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jc w:val="center"/>
        <w:rPr>
          <w:rFonts w:ascii="宋体" w:hAnsi="宋体" w:cs="宋体"/>
          <w:b/>
          <w:sz w:val="96"/>
          <w:szCs w:val="96"/>
        </w:rPr>
      </w:pPr>
      <w:r>
        <w:rPr>
          <w:rFonts w:ascii="宋体" w:hAnsi="宋体" w:cs="宋体"/>
          <w:b/>
          <w:sz w:val="96"/>
          <w:szCs w:val="96"/>
        </w:rPr>
      </w:r>
      <w:r/>
    </w:p>
    <w:p>
      <w:pPr>
        <w:pStyle w:val="842"/>
        <w:jc w:val="center"/>
        <w:rPr>
          <w:rFonts w:ascii="宋体" w:hAnsi="宋体" w:cs="宋体"/>
          <w:b/>
          <w:spacing w:val="40"/>
          <w:sz w:val="72"/>
          <w:szCs w:val="72"/>
        </w:rPr>
      </w:pPr>
      <w:r/>
      <w:bookmarkStart w:id="0" w:name="_Toc23250"/>
      <w:r>
        <w:rPr>
          <w:rFonts w:hint="eastAsia" w:ascii="宋体" w:hAnsi="宋体" w:cs="宋体"/>
          <w:b/>
          <w:spacing w:val="40"/>
          <w:sz w:val="72"/>
          <w:szCs w:val="72"/>
        </w:rPr>
        <w:t xml:space="preserve">苏州市吴江区政府采购</w:t>
      </w:r>
      <w:bookmarkEnd w:id="0"/>
      <w:r>
        <w:rPr>
          <w:rFonts w:ascii="宋体" w:hAnsi="宋体" w:cs="宋体"/>
          <w:b/>
          <w:spacing w:val="40"/>
          <w:sz w:val="72"/>
          <w:szCs w:val="72"/>
        </w:rPr>
      </w:r>
      <w:r/>
    </w:p>
    <w:p>
      <w:pPr>
        <w:pStyle w:val="842"/>
        <w:jc w:val="center"/>
        <w:rPr>
          <w:rFonts w:ascii="宋体" w:hAnsi="宋体" w:cs="宋体"/>
          <w:b/>
          <w:spacing w:val="20"/>
          <w:sz w:val="72"/>
          <w:szCs w:val="72"/>
        </w:rPr>
      </w:pPr>
      <w:r/>
      <w:bookmarkStart w:id="1" w:name="_Toc21822"/>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bookmarkEnd w:id="1"/>
      <w:r>
        <w:rPr>
          <w:rFonts w:ascii="宋体" w:hAnsi="宋体" w:cs="宋体"/>
          <w:b/>
          <w:spacing w:val="20"/>
          <w:sz w:val="72"/>
          <w:szCs w:val="72"/>
        </w:rPr>
      </w:r>
      <w:r/>
    </w:p>
    <w:p>
      <w:pPr>
        <w:pStyle w:val="842"/>
        <w:jc w:val="center"/>
        <w:rPr>
          <w:rFonts w:ascii="宋体" w:hAnsi="宋体" w:cs="宋体"/>
        </w:rPr>
      </w:pPr>
      <w:r>
        <w:rPr>
          <w:rFonts w:ascii="宋体" w:hAnsi="宋体" w:cs="宋体"/>
        </w:rPr>
      </w:r>
      <w:r/>
    </w:p>
    <w:p>
      <w:pPr>
        <w:pStyle w:val="1113"/>
        <w:spacing w:before="156" w:after="156"/>
        <w:rPr>
          <w:rFonts w:cs="宋体"/>
        </w:rPr>
      </w:pPr>
      <w:r>
        <w:rPr>
          <w:rFonts w:cs="宋体"/>
        </w:rPr>
      </w:r>
      <w:r/>
    </w:p>
    <w:p>
      <w:pPr>
        <w:pStyle w:val="842"/>
        <w:jc w:val="center"/>
        <w:rPr>
          <w:rFonts w:ascii="宋体" w:hAnsi="宋体" w:cs="宋体"/>
        </w:rPr>
      </w:pPr>
      <w:r>
        <w:rPr>
          <w:rFonts w:ascii="宋体" w:hAnsi="宋体" w:cs="宋体"/>
        </w:rPr>
      </w:r>
      <w:r/>
    </w:p>
    <w:p>
      <w:pPr>
        <w:pStyle w:val="842"/>
        <w:ind w:firstLine="1200"/>
        <w:tabs>
          <w:tab w:val="left" w:pos="709" w:leader="none"/>
        </w:tabs>
        <w:rPr>
          <w:rFonts w:ascii="宋体" w:hAnsi="宋体" w:cs="宋体"/>
          <w:sz w:val="30"/>
          <w:szCs w:val="30"/>
        </w:rPr>
      </w:pPr>
      <w:r>
        <w:rPr>
          <w:rFonts w:hint="eastAsia" w:ascii="宋体" w:hAnsi="宋体" w:cs="宋体"/>
          <w:sz w:val="30"/>
          <w:szCs w:val="30"/>
        </w:rPr>
        <w:t xml:space="preserve">采购编号：</w:t>
      </w:r>
      <w:r>
        <w:rPr>
          <w:rFonts w:hint="eastAsia" w:ascii="宋体" w:hAnsi="宋体" w:cs="宋体"/>
          <w:sz w:val="30"/>
          <w:szCs w:val="30"/>
        </w:rPr>
        <w:t xml:space="preserve">JSZC-320509-SZXC-C2026-0005</w:t>
      </w:r>
      <w:r>
        <w:rPr>
          <w:rFonts w:ascii="宋体" w:hAnsi="宋体" w:cs="宋体"/>
          <w:sz w:val="30"/>
          <w:szCs w:val="30"/>
        </w:rPr>
      </w:r>
      <w:r/>
    </w:p>
    <w:p>
      <w:pPr>
        <w:pStyle w:val="842"/>
        <w:ind w:firstLine="1200"/>
        <w:tabs>
          <w:tab w:val="left" w:pos="709" w:leader="none"/>
        </w:tabs>
        <w:rPr>
          <w:rFonts w:ascii="宋体" w:hAnsi="宋体" w:cs="宋体"/>
          <w:sz w:val="30"/>
          <w:szCs w:val="30"/>
        </w:rPr>
      </w:pPr>
      <w:r>
        <w:rPr>
          <w:rFonts w:hint="eastAsia" w:ascii="宋体" w:hAnsi="宋体" w:cs="宋体"/>
          <w:sz w:val="30"/>
          <w:szCs w:val="30"/>
        </w:rPr>
        <w:t xml:space="preserve">采购内容：</w:t>
      </w:r>
      <w:r>
        <w:rPr>
          <w:rFonts w:hint="eastAsia" w:ascii="宋体" w:hAnsi="宋体" w:cs="宋体"/>
          <w:sz w:val="32"/>
          <w:szCs w:val="32"/>
        </w:rPr>
        <w:t xml:space="preserve">吴江法院2026年度无纸化办案及归档扫描服务</w:t>
      </w:r>
      <w:r>
        <w:rPr>
          <w:rFonts w:ascii="宋体" w:hAnsi="宋体" w:cs="宋体"/>
          <w:sz w:val="30"/>
          <w:szCs w:val="30"/>
        </w:rPr>
      </w:r>
      <w:r/>
    </w:p>
    <w:p>
      <w:pPr>
        <w:pStyle w:val="842"/>
        <w:ind w:firstLine="1200"/>
        <w:tabs>
          <w:tab w:val="left" w:pos="709" w:leader="none"/>
        </w:tabs>
        <w:rPr>
          <w:rFonts w:ascii="宋体" w:hAnsi="宋体" w:cs="宋体"/>
          <w:sz w:val="30"/>
          <w:szCs w:val="30"/>
        </w:rPr>
      </w:pPr>
      <w:r>
        <w:rPr>
          <w:rFonts w:hint="eastAsia" w:ascii="宋体" w:hAnsi="宋体" w:cs="宋体"/>
          <w:sz w:val="30"/>
          <w:szCs w:val="30"/>
        </w:rPr>
        <w:t xml:space="preserve">采购类别：服务类</w:t>
      </w:r>
      <w:r>
        <w:rPr>
          <w:rFonts w:ascii="宋体" w:hAnsi="宋体" w:cs="宋体"/>
          <w:sz w:val="30"/>
          <w:szCs w:val="30"/>
        </w:rPr>
      </w:r>
      <w:r/>
    </w:p>
    <w:p>
      <w:pPr>
        <w:pStyle w:val="842"/>
        <w:ind w:firstLine="1200"/>
        <w:tabs>
          <w:tab w:val="left" w:pos="709" w:leader="none"/>
        </w:tabs>
        <w:rPr>
          <w:rFonts w:ascii="宋体" w:hAnsi="宋体" w:cs="宋体"/>
          <w:sz w:val="30"/>
          <w:szCs w:val="30"/>
        </w:rPr>
      </w:pPr>
      <w:r>
        <w:rPr>
          <w:rFonts w:hint="eastAsia" w:ascii="宋体" w:hAnsi="宋体" w:cs="宋体"/>
          <w:sz w:val="30"/>
          <w:szCs w:val="30"/>
        </w:rPr>
        <w:t xml:space="preserve">采 购 人：苏州市吴江区人民法院</w:t>
      </w:r>
      <w:r>
        <w:rPr>
          <w:rFonts w:ascii="宋体" w:hAnsi="宋体" w:cs="宋体"/>
          <w:sz w:val="30"/>
          <w:szCs w:val="30"/>
        </w:rPr>
      </w:r>
      <w:r/>
    </w:p>
    <w:p>
      <w:pPr>
        <w:pStyle w:val="842"/>
        <w:jc w:val="center"/>
        <w:rPr>
          <w:rFonts w:ascii="宋体" w:hAnsi="宋体" w:cs="宋体"/>
          <w:spacing w:val="-14"/>
          <w:sz w:val="30"/>
        </w:rPr>
      </w:pPr>
      <w:r>
        <w:rPr>
          <w:rFonts w:ascii="宋体" w:hAnsi="宋体" w:cs="宋体"/>
          <w:spacing w:val="-14"/>
          <w:sz w:val="30"/>
        </w:rPr>
      </w:r>
      <w:r/>
    </w:p>
    <w:p>
      <w:pPr>
        <w:pStyle w:val="842"/>
        <w:jc w:val="center"/>
        <w:rPr>
          <w:rFonts w:ascii="宋体" w:hAnsi="宋体" w:cs="宋体"/>
          <w:sz w:val="32"/>
        </w:rPr>
      </w:pPr>
      <w:r>
        <w:rPr>
          <w:rFonts w:ascii="宋体" w:hAnsi="宋体" w:cs="宋体"/>
          <w:sz w:val="32"/>
        </w:rPr>
      </w:r>
      <w:r/>
    </w:p>
    <w:p>
      <w:pPr>
        <w:pStyle w:val="842"/>
        <w:jc w:val="center"/>
        <w:rPr>
          <w:rFonts w:ascii="宋体" w:hAnsi="宋体" w:cs="宋体"/>
          <w:sz w:val="32"/>
        </w:rPr>
      </w:pPr>
      <w:r>
        <w:rPr>
          <w:rFonts w:ascii="宋体" w:hAnsi="宋体"/>
          <w:b/>
          <w:sz w:val="32"/>
          <w:szCs w:val="28"/>
        </w:rPr>
        <mc:AlternateContent>
          <mc:Choice Requires="wpg">
            <w:drawing>
              <wp:inline xmlns:wp="http://schemas.openxmlformats.org/drawingml/2006/wordprocessingDrawing" distT="0" distB="0" distL="0" distR="0">
                <wp:extent cx="1192469" cy="101906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92469" cy="1019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3.9pt;height:80.2pt;mso-wrap-distance-left:0.0pt;mso-wrap-distance-top:0.0pt;mso-wrap-distance-right:0.0pt;mso-wrap-distance-bottom:0.0pt;" stroked="f">
                <v:path textboxrect="0,0,0,0"/>
                <v:imagedata r:id="rId17" o:title=""/>
              </v:shape>
            </w:pict>
          </mc:Fallback>
        </mc:AlternateContent>
      </w:r>
      <w:r>
        <w:rPr>
          <w:rFonts w:ascii="宋体" w:hAnsi="宋体" w:cs="宋体"/>
          <w:sz w:val="32"/>
        </w:rPr>
      </w:r>
      <w:r/>
    </w:p>
    <w:p>
      <w:pPr>
        <w:pStyle w:val="842"/>
        <w:jc w:val="center"/>
        <w:rPr>
          <w:rFonts w:ascii="宋体" w:hAnsi="宋体" w:cs="宋体"/>
          <w:sz w:val="30"/>
          <w:szCs w:val="30"/>
        </w:rPr>
      </w:pPr>
      <w:r>
        <w:rPr>
          <w:rFonts w:hint="eastAsia" w:ascii="宋体" w:hAnsi="宋体" w:cs="宋体"/>
          <w:sz w:val="30"/>
          <w:szCs w:val="30"/>
        </w:rPr>
        <w:t xml:space="preserve">苏州市吴江区星辰技术咨询服务有限公司</w:t>
      </w:r>
      <w:r>
        <w:rPr>
          <w:rFonts w:ascii="宋体" w:hAnsi="宋体" w:cs="宋体"/>
          <w:sz w:val="30"/>
          <w:szCs w:val="30"/>
        </w:rPr>
      </w:r>
      <w:r/>
    </w:p>
    <w:p>
      <w:pPr>
        <w:pStyle w:val="842"/>
        <w:jc w:val="center"/>
        <w:rPr>
          <w:rFonts w:ascii="宋体" w:hAnsi="宋体" w:cs="宋体"/>
          <w:sz w:val="30"/>
          <w:szCs w:val="30"/>
          <w:lang w:val="zh-CN"/>
        </w:rPr>
      </w:pPr>
      <w:r>
        <w:rPr>
          <w:rFonts w:hint="eastAsia" w:ascii="宋体" w:hAnsi="宋体" w:cs="宋体"/>
          <w:sz w:val="30"/>
          <w:szCs w:val="30"/>
          <w:lang w:val="zh-CN"/>
        </w:rPr>
        <w:t xml:space="preserve">二</w:t>
      </w:r>
      <w:r>
        <w:rPr>
          <w:rFonts w:hint="eastAsia" w:ascii="宋体" w:hAnsi="宋体" w:cs="宋体"/>
          <w:sz w:val="30"/>
          <w:szCs w:val="30"/>
        </w:rPr>
        <w:t xml:space="preserve">〇二六 </w:t>
      </w:r>
      <w:r>
        <w:rPr>
          <w:rFonts w:hint="eastAsia" w:ascii="宋体" w:hAnsi="宋体" w:cs="宋体"/>
          <w:sz w:val="30"/>
          <w:szCs w:val="30"/>
          <w:lang w:val="zh-CN"/>
        </w:rPr>
        <w:t xml:space="preserve">年 </w:t>
      </w:r>
      <w:r>
        <w:rPr>
          <w:rFonts w:hint="eastAsia" w:ascii="宋体" w:hAnsi="宋体" w:cs="宋体"/>
          <w:sz w:val="30"/>
          <w:szCs w:val="30"/>
        </w:rPr>
        <w:t xml:space="preserve">八 月</w:t>
      </w:r>
      <w:r>
        <w:rPr>
          <w:rFonts w:ascii="宋体" w:hAnsi="宋体" w:cs="宋体"/>
          <w:sz w:val="30"/>
          <w:szCs w:val="30"/>
          <w:lang w:val="zh-CN"/>
        </w:rPr>
      </w:r>
      <w:r/>
    </w:p>
    <w:p>
      <w:pPr>
        <w:pStyle w:val="842"/>
        <w:jc w:val="center"/>
        <w:rPr>
          <w:rFonts w:ascii="宋体" w:hAnsi="宋体" w:cs="宋体"/>
          <w:b/>
          <w:sz w:val="52"/>
          <w:szCs w:val="52"/>
        </w:rPr>
      </w:pPr>
      <w:r/>
      <w:bookmarkStart w:id="2" w:name="_Toc27525"/>
      <w:r>
        <w:rPr>
          <w:rFonts w:ascii="宋体" w:hAnsi="宋体" w:cs="宋体"/>
          <w:b/>
          <w:sz w:val="52"/>
          <w:szCs w:val="52"/>
        </w:rPr>
      </w:r>
      <w:r/>
    </w:p>
    <w:p>
      <w:pPr>
        <w:pStyle w:val="842"/>
        <w:jc w:val="center"/>
        <w:rPr>
          <w:rFonts w:ascii="宋体" w:hAnsi="宋体" w:cs="宋体"/>
          <w:b/>
          <w:sz w:val="52"/>
          <w:szCs w:val="52"/>
        </w:rPr>
        <w:sectPr>
          <w:headerReference w:type="default" r:id="rId9"/>
          <w:footerReference w:type="default" r:id="rId11"/>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b/>
          <w:sz w:val="52"/>
          <w:szCs w:val="52"/>
        </w:rPr>
      </w:r>
      <w:r/>
    </w:p>
    <w:p>
      <w:pPr>
        <w:pStyle w:val="842"/>
        <w:jc w:val="center"/>
        <w:pageBreakBefore/>
        <w:rPr>
          <w:rFonts w:ascii="宋体" w:hAnsi="宋体" w:cs="宋体"/>
          <w:b/>
          <w:sz w:val="32"/>
        </w:rPr>
      </w:pPr>
      <w:r>
        <w:rPr>
          <w:rFonts w:hint="eastAsia" w:ascii="宋体" w:hAnsi="宋体" w:cs="宋体"/>
          <w:b/>
          <w:sz w:val="32"/>
        </w:rPr>
        <w:t xml:space="preserve">前附表</w:t>
      </w:r>
      <w:r>
        <w:rPr>
          <w:rFonts w:ascii="宋体" w:hAnsi="宋体" w:cs="宋体"/>
          <w:b/>
          <w:sz w:val="32"/>
        </w:rPr>
      </w:r>
      <w:r/>
    </w:p>
    <w:p>
      <w:pPr>
        <w:pStyle w:val="872"/>
        <w:ind w:firstLine="420"/>
        <w:rPr>
          <w:rFonts w:ascii="宋体" w:hAnsi="宋体" w:cs="宋体"/>
          <w:color w:val="000000"/>
        </w:rPr>
      </w:pPr>
      <w:r>
        <w:rPr>
          <w:rFonts w:hint="eastAsia" w:ascii="宋体" w:hAnsi="宋体" w:cs="宋体"/>
          <w:color w:val="000000"/>
        </w:rPr>
        <w:t xml:space="preserve">尊敬的投标单位：欢迎参加本项目的投标。为了保证投标顺利进行，请在制作投标文件之前，仔细阅读本招标文件的各项条款，并严格按要求制作和递交投标文件。谢谢合作！</w:t>
      </w:r>
      <w:r>
        <w:rPr>
          <w:rFonts w:ascii="宋体" w:hAnsi="宋体" w:cs="宋体"/>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09"/>
        <w:gridCol w:w="5569"/>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b/>
                <w:szCs w:val="21"/>
              </w:rPr>
            </w:pPr>
            <w:r>
              <w:rPr>
                <w:rFonts w:hint="eastAsia" w:ascii="宋体" w:hAnsi="宋体" w:cs="宋体"/>
                <w:bCs/>
                <w:szCs w:val="21"/>
              </w:rPr>
              <w:t xml:space="preserve">序号</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bCs/>
                <w:szCs w:val="21"/>
              </w:rPr>
            </w:pPr>
            <w:r>
              <w:rPr>
                <w:rFonts w:hint="eastAsia" w:ascii="宋体" w:hAnsi="宋体" w:cs="宋体"/>
                <w:bCs/>
                <w:szCs w:val="21"/>
              </w:rPr>
              <w:t xml:space="preserve">项   目</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bCs/>
                <w:szCs w:val="21"/>
              </w:rPr>
            </w:pPr>
            <w:r>
              <w:rPr>
                <w:rFonts w:hint="eastAsia" w:ascii="宋体" w:hAnsi="宋体" w:cs="宋体"/>
                <w:bCs/>
                <w:szCs w:val="21"/>
              </w:rPr>
              <w:t xml:space="preserve">内     容</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rPr>
            </w:pPr>
            <w:r>
              <w:rPr>
                <w:rFonts w:hint="eastAsia" w:ascii="宋体" w:hAnsi="宋体" w:cs="宋体"/>
              </w:rPr>
              <w:t xml:space="preserve">吴江法院2026年度无纸化办案及归档扫描服务</w:t>
            </w:r>
            <w:r>
              <w:rPr>
                <w:rFonts w:ascii="宋体" w:hAnsi="宋体" w:cs="宋体"/>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预算金额（元）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ind w:firstLine="420"/>
            </w:pPr>
            <w:r>
              <w:rPr>
                <w:rFonts w:hint="eastAsia" w:ascii="宋体" w:hAnsi="宋体" w:cs="宋体"/>
                <w:bCs/>
                <w:szCs w:val="21"/>
              </w:rPr>
              <w:t xml:space="preserve">人民币壹佰陆拾万元整（￥1600000元）</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联合体投标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不接受</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现场勘察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响应文件份数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rPr>
                <w:rFonts w:hint="eastAsia" w:ascii="宋体" w:hAnsi="宋体"/>
              </w:rPr>
              <w:t xml:space="preserve">（成交后，成交单位向招标代理机构提供与电子投标文件内容一致的纸质投标文件两份。）</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响应货币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szCs w:val="21"/>
              </w:rPr>
            </w:pPr>
            <w:r>
              <w:rPr>
                <w:rFonts w:hint="eastAsia" w:ascii="宋体" w:hAnsi="宋体" w:cs="宋体"/>
                <w:szCs w:val="21"/>
                <w:u w:val="single"/>
              </w:rPr>
              <w:t xml:space="preserve">90</w:t>
            </w:r>
            <w:r>
              <w:rPr>
                <w:rFonts w:hint="eastAsia" w:ascii="宋体" w:hAnsi="宋体" w:cs="宋体"/>
                <w:szCs w:val="21"/>
              </w:rPr>
              <w:t xml:space="preserve">日历天（从响应截止之日算起）</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1112"/>
              <w:ind w:firstLine="0"/>
              <w:jc w:val="center"/>
              <w:rPr>
                <w:rFonts w:ascii="宋体" w:hAnsi="宋体" w:cs="宋体"/>
                <w:szCs w:val="21"/>
                <w:lang w:val="en-US"/>
              </w:rPr>
            </w:pPr>
            <w:r>
              <w:rPr>
                <w:rFonts w:hint="eastAsia" w:ascii="宋体" w:hAnsi="宋体" w:cs="宋体"/>
                <w:szCs w:val="21"/>
                <w:lang w:val="en-US"/>
              </w:rPr>
              <w:t xml:space="preserve">8</w:t>
            </w:r>
            <w:r>
              <w:rPr>
                <w:rFonts w:ascii="宋体" w:hAnsi="宋体" w:cs="宋体"/>
                <w:szCs w:val="21"/>
                <w:lang w:val="en-US"/>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网上响应文件接收截止时间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color w:val="ff0000"/>
                <w:szCs w:val="21"/>
              </w:rPr>
            </w:pPr>
            <w:r>
              <w:rPr>
                <w:rFonts w:hint="eastAsia" w:ascii="宋体" w:hAnsi="宋体" w:cs="宋体"/>
                <w:color w:val="ff0000"/>
                <w:szCs w:val="21"/>
              </w:rPr>
              <w:t xml:space="preserve">2026年08月25日13：30 （北京时间）</w:t>
            </w:r>
            <w:r>
              <w:rPr>
                <w:rFonts w:ascii="宋体" w:hAnsi="宋体" w:cs="宋体"/>
                <w:color w:val="ff0000"/>
                <w:szCs w:val="21"/>
              </w:rPr>
            </w:r>
            <w:r/>
          </w:p>
        </w:tc>
      </w:tr>
      <w:tr>
        <w:trPr>
          <w:cantSplit/>
          <w:trHeight w:val="680"/>
        </w:trPr>
        <w:tc>
          <w:tcPr>
            <w:tcBorders>
              <w:left w:val="single" w:color="000000" w:sz="4" w:space="0"/>
              <w:right w:val="single" w:color="000000" w:sz="4" w:space="0"/>
            </w:tcBorders>
            <w:tcW w:w="639" w:type="dxa"/>
            <w:vAlign w:val="center"/>
            <w:vMerge w:val="restart"/>
            <w:textDirection w:val="lrTb"/>
            <w:noWrap/>
          </w:tcPr>
          <w:p>
            <w:pPr>
              <w:pStyle w:val="1112"/>
              <w:ind w:firstLine="0"/>
              <w:jc w:val="center"/>
              <w:rPr>
                <w:rFonts w:ascii="宋体" w:hAnsi="宋体" w:cs="宋体"/>
                <w:szCs w:val="21"/>
                <w:lang w:val="en-US"/>
              </w:rPr>
            </w:pPr>
            <w:r>
              <w:rPr>
                <w:rFonts w:hint="eastAsia" w:ascii="宋体" w:hAnsi="宋体" w:cs="宋体"/>
                <w:szCs w:val="21"/>
              </w:rPr>
              <w:t xml:space="preserve">9</w:t>
            </w:r>
            <w:r>
              <w:rPr>
                <w:rFonts w:ascii="宋体" w:hAnsi="宋体" w:cs="宋体"/>
                <w:szCs w:val="21"/>
                <w:lang w:val="en-US"/>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投标截止时间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rPr>
                <w:rFonts w:ascii="宋体" w:hAnsi="宋体" w:cs="宋体"/>
                <w:color w:val="ff0000"/>
                <w:szCs w:val="21"/>
              </w:rPr>
            </w:pPr>
            <w:r>
              <w:rPr>
                <w:rFonts w:hint="eastAsia" w:ascii="宋体" w:hAnsi="宋体" w:cs="宋体"/>
                <w:color w:val="ff0000"/>
                <w:szCs w:val="21"/>
              </w:rPr>
              <w:t xml:space="preserve">2026年08月25日13：30 （北京时间）</w:t>
            </w:r>
            <w:r>
              <w:rPr>
                <w:rFonts w:ascii="宋体" w:hAnsi="宋体" w:cs="宋体"/>
                <w:color w:val="ff0000"/>
                <w:szCs w:val="21"/>
              </w:rPr>
            </w:r>
            <w:r/>
          </w:p>
        </w:tc>
      </w:tr>
      <w:tr>
        <w:trPr>
          <w:cantSplit/>
          <w:trHeight w:val="680"/>
        </w:trPr>
        <w:tc>
          <w:tcPr>
            <w:tcBorders>
              <w:left w:val="single" w:color="000000" w:sz="4" w:space="0"/>
              <w:bottom w:val="single" w:color="000000" w:sz="4" w:space="0"/>
              <w:right w:val="single" w:color="000000" w:sz="4" w:space="0"/>
            </w:tcBorders>
            <w:tcW w:w="639"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spacing w:line="312" w:lineRule="auto"/>
              <w:rPr>
                <w:rFonts w:ascii="宋体" w:hAnsi="宋体" w:cs="宋体"/>
                <w:szCs w:val="21"/>
              </w:rPr>
            </w:pPr>
            <w:r>
              <w:rPr>
                <w:rFonts w:hint="eastAsia" w:ascii="宋体" w:hAnsi="宋体" w:cs="宋体"/>
                <w:szCs w:val="21"/>
              </w:rPr>
              <w:t xml:space="preserve">开启时间</w:t>
            </w:r>
            <w:r>
              <w:rPr>
                <w:rFonts w:ascii="宋体" w:hAnsi="宋体" w:cs="宋体"/>
                <w:szCs w:val="21"/>
              </w:rPr>
            </w:r>
            <w:r/>
          </w:p>
          <w:p>
            <w:pPr>
              <w:pStyle w:val="842"/>
              <w:jc w:val="center"/>
              <w:spacing w:line="312" w:lineRule="auto"/>
              <w:rPr>
                <w:rFonts w:ascii="宋体" w:hAnsi="宋体" w:cs="宋体"/>
                <w:szCs w:val="21"/>
              </w:rPr>
            </w:pPr>
            <w:r>
              <w:rPr>
                <w:rFonts w:hint="eastAsia" w:ascii="宋体" w:hAnsi="宋体" w:cs="宋体"/>
                <w:szCs w:val="21"/>
              </w:rPr>
              <w:t xml:space="preserve">开启地点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spacing w:line="312" w:lineRule="auto"/>
              <w:rPr>
                <w:rFonts w:ascii="宋体" w:hAnsi="宋体" w:cs="宋体"/>
                <w:color w:val="ff0000"/>
                <w:szCs w:val="21"/>
              </w:rPr>
            </w:pPr>
            <w:r>
              <w:rPr>
                <w:rFonts w:hint="eastAsia" w:ascii="宋体" w:hAnsi="宋体" w:cs="宋体"/>
                <w:color w:val="ff0000"/>
                <w:szCs w:val="21"/>
              </w:rPr>
              <w:t xml:space="preserve">2026年08月25日13：00 （北京时间）</w:t>
            </w:r>
            <w:r>
              <w:rPr>
                <w:rFonts w:ascii="宋体" w:hAnsi="宋体" w:cs="宋体"/>
                <w:color w:val="ff0000"/>
                <w:szCs w:val="21"/>
              </w:rPr>
            </w:r>
            <w:r/>
          </w:p>
          <w:p>
            <w:pPr>
              <w:pStyle w:val="842"/>
              <w:jc w:val="center"/>
              <w:spacing w:line="312" w:lineRule="auto"/>
              <w:rPr>
                <w:rFonts w:ascii="宋体" w:hAnsi="宋体" w:cs="宋体"/>
                <w:szCs w:val="21"/>
              </w:rPr>
            </w:pPr>
            <w:r>
              <w:rPr>
                <w:rFonts w:hint="eastAsia" w:ascii="宋体" w:hAnsi="宋体" w:cs="宋体"/>
                <w:szCs w:val="21"/>
              </w:rPr>
              <w:t xml:space="preserve">“苏采云”系统（网址：</w:t>
            </w:r>
            <w:r>
              <w:fldChar w:fldCharType="begin"/>
            </w:r>
            <w:r>
              <w:instrText xml:space="preserve">HYPERLINK "http://jszfcg.jsczt.cn/" \o "http://jszfcg.jsczt.cn/"</w:instrText>
            </w:r>
            <w:r>
              <w:fldChar w:fldCharType="separate"/>
            </w:r>
            <w:r>
              <w:rPr>
                <w:rFonts w:hint="eastAsia" w:ascii="宋体" w:hAnsi="宋体" w:cs="宋体"/>
                <w:szCs w:val="21"/>
              </w:rPr>
              <w:t xml:space="preserve">http://jszfcg.jsczt.cn/</w:t>
            </w:r>
            <w:r>
              <w:fldChar w:fldCharType="end"/>
            </w:r>
            <w:r>
              <w:rPr>
                <w:rFonts w:hint="eastAsia" w:ascii="宋体" w:hAnsi="宋体" w:cs="宋体"/>
                <w:szCs w:val="21"/>
              </w:rPr>
              <w:t xml:space="preserve">）</w:t>
            </w:r>
            <w:r>
              <w:rPr>
                <w:rFonts w:ascii="宋体" w:hAnsi="宋体" w:cs="宋体"/>
                <w:szCs w:val="21"/>
              </w:rPr>
            </w:r>
            <w:r/>
          </w:p>
          <w:p>
            <w:pPr>
              <w:pStyle w:val="842"/>
              <w:jc w:val="center"/>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rPr>
                <w:rFonts w:ascii="宋体" w:hAnsi="宋体" w:cs="宋体"/>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pStyle w:val="842"/>
              <w:jc w:val="center"/>
              <w:spacing w:line="312" w:lineRule="auto"/>
              <w:rPr>
                <w:rFonts w:ascii="宋体" w:hAnsi="宋体" w:cs="宋体"/>
                <w:szCs w:val="21"/>
              </w:rPr>
            </w:pPr>
            <w:r>
              <w:rPr>
                <w:rFonts w:hint="eastAsia" w:ascii="宋体" w:hAnsi="宋体" w:cs="宋体"/>
                <w:szCs w:val="21"/>
              </w:rPr>
              <w:t xml:space="preserve">评审时间</w:t>
            </w:r>
            <w:r>
              <w:rPr>
                <w:rFonts w:ascii="宋体" w:hAnsi="宋体" w:cs="宋体"/>
                <w:szCs w:val="21"/>
              </w:rPr>
            </w:r>
            <w:r/>
          </w:p>
          <w:p>
            <w:pPr>
              <w:pStyle w:val="842"/>
              <w:jc w:val="center"/>
              <w:spacing w:line="312" w:lineRule="auto"/>
              <w:rPr>
                <w:rFonts w:ascii="宋体" w:hAnsi="宋体" w:cs="宋体"/>
                <w:szCs w:val="21"/>
              </w:rPr>
            </w:pPr>
            <w:r>
              <w:rPr>
                <w:rFonts w:hint="eastAsia" w:ascii="宋体" w:hAnsi="宋体" w:cs="宋体"/>
                <w:szCs w:val="21"/>
              </w:rPr>
              <w:t xml:space="preserve">评审地点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9" w:type="dxa"/>
            <w:vAlign w:val="center"/>
            <w:textDirection w:val="lrTb"/>
            <w:noWrap/>
          </w:tcPr>
          <w:p>
            <w:pPr>
              <w:pStyle w:val="842"/>
              <w:jc w:val="center"/>
              <w:spacing w:line="312" w:lineRule="auto"/>
              <w:rPr>
                <w:rFonts w:ascii="宋体" w:hAnsi="宋体" w:cs="宋体"/>
                <w:color w:val="ff0000"/>
                <w:szCs w:val="21"/>
              </w:rPr>
            </w:pPr>
            <w:r>
              <w:rPr>
                <w:rFonts w:hint="eastAsia" w:ascii="宋体" w:hAnsi="宋体" w:cs="宋体"/>
                <w:color w:val="ff0000"/>
                <w:szCs w:val="21"/>
              </w:rPr>
              <w:t xml:space="preserve">2026年08月25日13：30（北京时间）</w:t>
            </w:r>
            <w:r>
              <w:rPr>
                <w:rFonts w:ascii="宋体" w:hAnsi="宋体" w:cs="宋体"/>
                <w:color w:val="ff0000"/>
                <w:szCs w:val="21"/>
              </w:rPr>
            </w:r>
            <w:r/>
          </w:p>
          <w:p>
            <w:pPr>
              <w:pStyle w:val="842"/>
              <w:jc w:val="center"/>
              <w:spacing w:line="312" w:lineRule="auto"/>
              <w:rPr>
                <w:rFonts w:ascii="宋体" w:hAnsi="宋体" w:cs="宋体"/>
                <w:b/>
                <w:szCs w:val="21"/>
              </w:rPr>
            </w:pPr>
            <w:r>
              <w:rPr>
                <w:rFonts w:hint="eastAsia" w:ascii="宋体" w:hAnsi="宋体" w:cs="宋体"/>
                <w:szCs w:val="21"/>
              </w:rPr>
              <w:t xml:space="preserve">苏州市吴江区开平路998号行政服务大楼三楼开标室</w:t>
            </w:r>
            <w:r>
              <w:rPr>
                <w:rFonts w:ascii="宋体" w:hAnsi="宋体" w:cs="宋体"/>
                <w:b/>
                <w:szCs w:val="21"/>
              </w:rPr>
            </w:r>
            <w:r/>
          </w:p>
        </w:tc>
      </w:tr>
    </w:tbl>
    <w:p>
      <w:pPr>
        <w:pStyle w:val="842"/>
        <w:jc w:val="center"/>
        <w:rPr>
          <w:rFonts w:ascii="宋体" w:hAnsi="宋体" w:cs="宋体"/>
          <w:b/>
          <w:sz w:val="52"/>
          <w:szCs w:val="52"/>
        </w:rPr>
      </w:pPr>
      <w:r>
        <w:rPr>
          <w:rFonts w:ascii="宋体" w:hAnsi="宋体" w:cs="宋体"/>
          <w:b/>
          <w:sz w:val="52"/>
          <w:szCs w:val="52"/>
        </w:rPr>
      </w:r>
      <w:r/>
    </w:p>
    <w:p>
      <w:pPr>
        <w:pStyle w:val="842"/>
        <w:jc w:val="center"/>
        <w:rPr>
          <w:rFonts w:ascii="宋体" w:hAnsi="宋体" w:cs="宋体"/>
          <w:b/>
          <w:sz w:val="52"/>
          <w:szCs w:val="52"/>
        </w:rPr>
      </w:pPr>
      <w:r>
        <w:rPr>
          <w:rFonts w:ascii="宋体" w:hAnsi="宋体" w:cs="宋体"/>
          <w:b/>
          <w:sz w:val="52"/>
          <w:szCs w:val="52"/>
        </w:rPr>
      </w:r>
      <w:r/>
    </w:p>
    <w:p>
      <w:pPr>
        <w:pStyle w:val="842"/>
        <w:jc w:val="center"/>
        <w:rPr>
          <w:rFonts w:ascii="宋体" w:hAnsi="宋体" w:cs="宋体"/>
          <w:b/>
          <w:sz w:val="52"/>
          <w:szCs w:val="52"/>
        </w:rPr>
        <w:sectPr>
          <w:footerReference w:type="default" r:id="rId12"/>
          <w:footnotePr/>
          <w:endnotePr/>
          <w:type w:val="nextPage"/>
          <w:pgSz w:w="11906" w:h="16838" w:orient="portrait"/>
          <w:pgMar w:top="1440" w:right="1417" w:bottom="1134" w:left="1417" w:header="851" w:footer="850" w:gutter="0"/>
          <w:pgNumType w:start="1"/>
          <w:cols w:num="1" w:sep="0" w:space="720" w:equalWidth="1"/>
          <w:docGrid w:linePitch="360"/>
        </w:sectPr>
      </w:pPr>
      <w:r>
        <w:rPr>
          <w:rFonts w:ascii="宋体" w:hAnsi="宋体" w:cs="宋体"/>
          <w:b/>
          <w:sz w:val="52"/>
          <w:szCs w:val="52"/>
        </w:rPr>
      </w:r>
      <w:r/>
    </w:p>
    <w:p>
      <w:pPr>
        <w:pStyle w:val="842"/>
        <w:jc w:val="center"/>
        <w:rPr>
          <w:rFonts w:ascii="宋体" w:hAnsi="宋体" w:cs="宋体"/>
          <w:b/>
          <w:sz w:val="52"/>
          <w:szCs w:val="52"/>
        </w:rPr>
      </w:pPr>
      <w:r>
        <w:rPr>
          <w:rFonts w:hint="eastAsia" w:ascii="宋体" w:hAnsi="宋体" w:cs="宋体"/>
          <w:b/>
          <w:sz w:val="52"/>
          <w:szCs w:val="52"/>
        </w:rPr>
        <w:t xml:space="preserve">目    录</w:t>
      </w:r>
      <w:bookmarkEnd w:id="2"/>
      <w:r>
        <w:rPr>
          <w:rFonts w:ascii="宋体" w:hAnsi="宋体" w:cs="宋体"/>
          <w:b/>
          <w:sz w:val="52"/>
          <w:szCs w:val="52"/>
        </w:rPr>
      </w:r>
      <w:r/>
    </w:p>
    <w:p>
      <w:pPr>
        <w:pStyle w:val="910"/>
        <w:ind w:left="0"/>
        <w:jc w:val="center"/>
        <w:spacing w:after="0" w:line="240" w:lineRule="auto"/>
        <w:rPr>
          <w:rFonts w:ascii="宋体" w:hAnsi="宋体" w:cs="宋体"/>
          <w:b/>
        </w:rPr>
      </w:pPr>
      <w:r>
        <w:rPr>
          <w:rFonts w:hint="eastAsia" w:ascii="宋体" w:hAnsi="宋体" w:cs="宋体"/>
        </w:rPr>
        <w:fldChar w:fldCharType="begin"/>
      </w:r>
      <w:r>
        <w:rPr>
          <w:rFonts w:hint="eastAsia" w:ascii="宋体" w:hAnsi="宋体" w:cs="宋体"/>
        </w:rPr>
        <w:instrText xml:space="preserve">TOC \o "1-2" \h \u </w:instrText>
      </w:r>
      <w:r>
        <w:rPr>
          <w:rFonts w:hint="eastAsia" w:ascii="宋体" w:hAnsi="宋体" w:cs="宋体"/>
        </w:rPr>
        <w:fldChar w:fldCharType="separate"/>
      </w:r>
      <w:r>
        <w:rPr>
          <w:rFonts w:ascii="宋体" w:hAnsi="宋体" w:cs="宋体"/>
          <w:b/>
        </w:rPr>
      </w:r>
      <w:r/>
    </w:p>
    <w:p>
      <w:pPr>
        <w:pStyle w:val="940"/>
        <w:tabs>
          <w:tab w:val="right" w:pos="9071" w:leader="dot"/>
        </w:tabs>
        <w:rPr>
          <w:rFonts w:ascii="宋体" w:hAnsi="宋体" w:cs="宋体"/>
        </w:rPr>
      </w:pPr>
      <w:r>
        <w:fldChar w:fldCharType="begin"/>
      </w:r>
      <w:r>
        <w:instrText xml:space="preserve">HYPERLINK \l "_Toc2745"</w:instrText>
      </w:r>
      <w:r>
        <w:fldChar w:fldCharType="separate"/>
      </w:r>
      <w:r>
        <w:rPr>
          <w:rFonts w:hint="eastAsia" w:ascii="宋体" w:hAnsi="宋体" w:cs="宋体"/>
        </w:rPr>
        <w:t xml:space="preserve">一、竞争性磋商邀请函</w:t>
        <w:tab/>
      </w:r>
      <w:r>
        <w:rPr>
          <w:rFonts w:hint="eastAsia" w:ascii="宋体" w:hAnsi="宋体" w:cs="宋体"/>
        </w:rPr>
        <w:fldChar w:fldCharType="begin"/>
      </w:r>
      <w:r>
        <w:rPr>
          <w:rFonts w:hint="eastAsia" w:ascii="宋体" w:hAnsi="宋体" w:cs="宋体"/>
        </w:rPr>
        <w:instrText xml:space="preserve"> PAGEREF _Toc2745 \h </w:instrText>
      </w:r>
      <w:r>
        <w:rPr>
          <w:rFonts w:hint="eastAsia" w:ascii="宋体" w:hAnsi="宋体" w:cs="宋体"/>
        </w:rPr>
        <w:fldChar w:fldCharType="separate"/>
      </w:r>
      <w:r>
        <w:rPr>
          <w:rFonts w:hint="eastAsia" w:ascii="宋体" w:hAnsi="宋体" w:cs="宋体"/>
        </w:rPr>
        <w:t xml:space="preserve">1</w:t>
      </w:r>
      <w:r>
        <w:rPr>
          <w:rFonts w:hint="eastAsia" w:ascii="宋体" w:hAnsi="宋体" w:cs="宋体"/>
        </w:rPr>
        <w:fldChar w:fldCharType="end"/>
      </w:r>
      <w:r>
        <w:fldChar w:fldCharType="end"/>
      </w:r>
      <w:r>
        <w:rPr>
          <w:rFonts w:ascii="宋体" w:hAnsi="宋体" w:cs="宋体"/>
        </w:rPr>
      </w:r>
      <w:r/>
    </w:p>
    <w:p>
      <w:pPr>
        <w:pStyle w:val="940"/>
        <w:tabs>
          <w:tab w:val="right" w:pos="9071" w:leader="dot"/>
        </w:tabs>
        <w:rPr>
          <w:rFonts w:ascii="宋体" w:hAnsi="宋体" w:cs="宋体"/>
        </w:rPr>
      </w:pPr>
      <w:r>
        <w:fldChar w:fldCharType="begin"/>
      </w:r>
      <w:r>
        <w:instrText xml:space="preserve">HYPERLINK \l "_Toc264"</w:instrText>
      </w:r>
      <w:r>
        <w:fldChar w:fldCharType="separate"/>
      </w:r>
      <w:r>
        <w:rPr>
          <w:rFonts w:hint="eastAsia" w:ascii="宋体" w:hAnsi="宋体" w:cs="宋体"/>
        </w:rPr>
        <w:t xml:space="preserve">二、磋商供应商须知</w:t>
        <w:tab/>
      </w:r>
      <w:r>
        <w:rPr>
          <w:rFonts w:hint="eastAsia" w:ascii="宋体" w:hAnsi="宋体" w:cs="宋体"/>
        </w:rPr>
        <w:fldChar w:fldCharType="begin"/>
      </w:r>
      <w:r>
        <w:rPr>
          <w:rFonts w:hint="eastAsia" w:ascii="宋体" w:hAnsi="宋体" w:cs="宋体"/>
        </w:rPr>
        <w:instrText xml:space="preserve"> PAGEREF _Toc264 \h </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fldChar w:fldCharType="end"/>
      </w:r>
      <w:r>
        <w:rPr>
          <w:rFonts w:ascii="宋体" w:hAnsi="宋体" w:cs="宋体"/>
        </w:rPr>
      </w:r>
      <w:r/>
    </w:p>
    <w:p>
      <w:pPr>
        <w:pStyle w:val="940"/>
        <w:tabs>
          <w:tab w:val="right" w:pos="9071" w:leader="dot"/>
        </w:tabs>
        <w:rPr>
          <w:rFonts w:ascii="宋体" w:hAnsi="宋体" w:cs="宋体"/>
        </w:rPr>
      </w:pPr>
      <w:r>
        <w:fldChar w:fldCharType="begin"/>
      </w:r>
      <w:r>
        <w:instrText xml:space="preserve">HYPERLINK \l "_Toc705"</w:instrText>
      </w:r>
      <w:r>
        <w:fldChar w:fldCharType="separate"/>
      </w:r>
      <w:r>
        <w:rPr>
          <w:rFonts w:hint="eastAsia" w:ascii="宋体" w:hAnsi="宋体" w:cs="宋体"/>
        </w:rPr>
        <w:t xml:space="preserve">三、采购需求</w:t>
        <w:tab/>
      </w:r>
      <w:r>
        <w:rPr>
          <w:rFonts w:hint="eastAsia" w:ascii="宋体" w:hAnsi="宋体" w:cs="宋体"/>
        </w:rPr>
        <w:fldChar w:fldCharType="begin"/>
      </w:r>
      <w:r>
        <w:rPr>
          <w:rFonts w:hint="eastAsia" w:ascii="宋体" w:hAnsi="宋体" w:cs="宋体"/>
        </w:rPr>
        <w:instrText xml:space="preserve"> PAGEREF _Toc705 \h </w:instrText>
      </w:r>
      <w:r>
        <w:rPr>
          <w:rFonts w:hint="eastAsia" w:ascii="宋体" w:hAnsi="宋体" w:cs="宋体"/>
        </w:rPr>
        <w:fldChar w:fldCharType="separate"/>
      </w:r>
      <w:r>
        <w:rPr>
          <w:rFonts w:hint="eastAsia" w:ascii="宋体" w:hAnsi="宋体" w:cs="宋体"/>
        </w:rPr>
        <w:t xml:space="preserve">19</w:t>
      </w:r>
      <w:r>
        <w:rPr>
          <w:rFonts w:hint="eastAsia" w:ascii="宋体" w:hAnsi="宋体" w:cs="宋体"/>
        </w:rPr>
        <w:fldChar w:fldCharType="end"/>
      </w:r>
      <w:r>
        <w:fldChar w:fldCharType="end"/>
      </w:r>
      <w:r>
        <w:rPr>
          <w:rFonts w:ascii="宋体" w:hAnsi="宋体" w:cs="宋体"/>
        </w:rPr>
      </w:r>
      <w:r/>
    </w:p>
    <w:p>
      <w:pPr>
        <w:pStyle w:val="940"/>
        <w:tabs>
          <w:tab w:val="right" w:pos="9071" w:leader="dot"/>
        </w:tabs>
        <w:rPr>
          <w:rFonts w:ascii="宋体" w:hAnsi="宋体" w:cs="宋体"/>
        </w:rPr>
      </w:pPr>
      <w:r>
        <w:fldChar w:fldCharType="begin"/>
      </w:r>
      <w:r>
        <w:instrText xml:space="preserve">HYPERLINK \l "_Toc20502"</w:instrText>
      </w:r>
      <w:r>
        <w:fldChar w:fldCharType="separate"/>
      </w:r>
      <w:r>
        <w:rPr>
          <w:rFonts w:hint="eastAsia" w:ascii="宋体" w:hAnsi="宋体" w:cs="宋体"/>
        </w:rPr>
        <w:t xml:space="preserve">四、评标办法及评分标准</w:t>
        <w:tab/>
      </w:r>
      <w:r>
        <w:rPr>
          <w:rFonts w:hint="eastAsia" w:ascii="宋体" w:hAnsi="宋体" w:cs="宋体"/>
        </w:rPr>
        <w:fldChar w:fldCharType="begin"/>
      </w:r>
      <w:r>
        <w:rPr>
          <w:rFonts w:hint="eastAsia" w:ascii="宋体" w:hAnsi="宋体" w:cs="宋体"/>
        </w:rPr>
        <w:instrText xml:space="preserve"> PAGEREF _Toc20502 \h </w:instrText>
      </w:r>
      <w:r>
        <w:rPr>
          <w:rFonts w:hint="eastAsia" w:ascii="宋体" w:hAnsi="宋体" w:cs="宋体"/>
        </w:rPr>
        <w:fldChar w:fldCharType="separate"/>
      </w:r>
      <w:r>
        <w:rPr>
          <w:rFonts w:hint="eastAsia" w:ascii="宋体" w:hAnsi="宋体" w:cs="宋体"/>
        </w:rPr>
        <w:t xml:space="preserve">30</w:t>
      </w:r>
      <w:r>
        <w:rPr>
          <w:rFonts w:hint="eastAsia" w:ascii="宋体" w:hAnsi="宋体" w:cs="宋体"/>
        </w:rPr>
        <w:fldChar w:fldCharType="end"/>
      </w:r>
      <w:r>
        <w:fldChar w:fldCharType="end"/>
      </w:r>
      <w:r>
        <w:rPr>
          <w:rFonts w:ascii="宋体" w:hAnsi="宋体" w:cs="宋体"/>
        </w:rPr>
      </w:r>
      <w:r/>
    </w:p>
    <w:p>
      <w:pPr>
        <w:pStyle w:val="940"/>
        <w:tabs>
          <w:tab w:val="right" w:pos="9071" w:leader="dot"/>
        </w:tabs>
        <w:rPr>
          <w:rFonts w:ascii="宋体" w:hAnsi="宋体" w:cs="宋体"/>
        </w:rPr>
      </w:pPr>
      <w:r>
        <w:fldChar w:fldCharType="begin"/>
      </w:r>
      <w:r>
        <w:instrText xml:space="preserve">HYPERLINK \l "_Toc12103"</w:instrText>
      </w:r>
      <w:r>
        <w:fldChar w:fldCharType="separate"/>
      </w:r>
      <w:r>
        <w:rPr>
          <w:rFonts w:hint="eastAsia" w:ascii="宋体" w:hAnsi="宋体" w:cs="宋体"/>
        </w:rPr>
        <w:t xml:space="preserve">五、合同主要条款</w:t>
        <w:tab/>
      </w:r>
      <w:r>
        <w:rPr>
          <w:rFonts w:hint="eastAsia" w:ascii="宋体" w:hAnsi="宋体" w:cs="宋体"/>
        </w:rPr>
        <w:fldChar w:fldCharType="begin"/>
      </w:r>
      <w:r>
        <w:rPr>
          <w:rFonts w:hint="eastAsia" w:ascii="宋体" w:hAnsi="宋体" w:cs="宋体"/>
        </w:rPr>
        <w:instrText xml:space="preserve"> PAGEREF _Toc12103 \h </w:instrText>
      </w:r>
      <w:r>
        <w:rPr>
          <w:rFonts w:hint="eastAsia" w:ascii="宋体" w:hAnsi="宋体" w:cs="宋体"/>
        </w:rPr>
        <w:fldChar w:fldCharType="separate"/>
      </w:r>
      <w:r>
        <w:rPr>
          <w:rFonts w:hint="eastAsia" w:ascii="宋体" w:hAnsi="宋体" w:cs="宋体"/>
        </w:rPr>
        <w:t xml:space="preserve">40</w:t>
      </w:r>
      <w:r>
        <w:rPr>
          <w:rFonts w:hint="eastAsia" w:ascii="宋体" w:hAnsi="宋体" w:cs="宋体"/>
        </w:rPr>
        <w:fldChar w:fldCharType="end"/>
      </w:r>
      <w:r>
        <w:fldChar w:fldCharType="end"/>
      </w:r>
      <w:r>
        <w:rPr>
          <w:rFonts w:ascii="宋体" w:hAnsi="宋体" w:cs="宋体"/>
        </w:rPr>
      </w:r>
      <w:r/>
    </w:p>
    <w:p>
      <w:pPr>
        <w:pStyle w:val="940"/>
        <w:tabs>
          <w:tab w:val="right" w:pos="9071" w:leader="dot"/>
        </w:tabs>
        <w:rPr>
          <w:rFonts w:ascii="宋体" w:hAnsi="宋体" w:cs="宋体"/>
        </w:rPr>
      </w:pPr>
      <w:r>
        <w:fldChar w:fldCharType="begin"/>
      </w:r>
      <w:r>
        <w:instrText xml:space="preserve">HYPERLINK \l "_Toc16404"</w:instrText>
      </w:r>
      <w:r>
        <w:fldChar w:fldCharType="separate"/>
      </w:r>
      <w:r>
        <w:rPr>
          <w:rFonts w:hint="eastAsia" w:ascii="宋体" w:hAnsi="宋体" w:cs="宋体"/>
        </w:rPr>
        <w:t xml:space="preserve">六、响应文件格式</w:t>
        <w:tab/>
        <w:t xml:space="preserve">5</w:t>
      </w:r>
      <w:r>
        <w:fldChar w:fldCharType="end"/>
      </w:r>
      <w:r>
        <w:rPr>
          <w:rFonts w:hint="eastAsia" w:ascii="宋体" w:hAnsi="宋体" w:cs="宋体"/>
        </w:rPr>
        <w:t xml:space="preserve">0</w:t>
      </w:r>
      <w:r>
        <w:rPr>
          <w:rFonts w:ascii="宋体" w:hAnsi="宋体" w:cs="宋体"/>
        </w:rPr>
      </w:r>
      <w:r/>
    </w:p>
    <w:p>
      <w:pPr>
        <w:pStyle w:val="880"/>
        <w:rPr>
          <w:rFonts w:ascii="宋体" w:hAnsi="宋体" w:cs="宋体"/>
        </w:rPr>
      </w:pPr>
      <w:r>
        <w:rPr>
          <w:rFonts w:hint="eastAsia" w:ascii="宋体" w:hAnsi="宋体" w:cs="宋体"/>
        </w:rPr>
        <w:fldChar w:fldCharType="end"/>
      </w:r>
      <w:bookmarkStart w:id="3" w:name="_Toc15176"/>
      <w:r/>
      <w:bookmarkStart w:id="4" w:name="_Toc2745"/>
      <w:r>
        <w:rPr>
          <w:rFonts w:ascii="宋体" w:hAnsi="宋体" w:cs="宋体"/>
        </w:rPr>
      </w:r>
      <w:r/>
    </w:p>
    <w:p>
      <w:pPr>
        <w:pStyle w:val="880"/>
        <w:rPr>
          <w:rFonts w:ascii="宋体" w:hAnsi="宋体" w:cs="宋体"/>
        </w:rPr>
        <w:sectPr>
          <w:footerReference w:type="default" r:id="rId13"/>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rPr>
      </w:r>
      <w:r/>
    </w:p>
    <w:p>
      <w:pPr>
        <w:pStyle w:val="880"/>
        <w:rPr>
          <w:rFonts w:ascii="宋体" w:hAnsi="宋体" w:cs="宋体"/>
        </w:rPr>
      </w:pPr>
      <w:r>
        <w:rPr>
          <w:rFonts w:hint="eastAsia" w:ascii="宋体" w:hAnsi="宋体" w:cs="宋体"/>
        </w:rPr>
        <w:t xml:space="preserve">一、</w:t>
      </w:r>
      <w:bookmarkStart w:id="5" w:name="_Toc1"/>
      <w:r>
        <w:rPr>
          <w:rFonts w:hint="eastAsia" w:ascii="宋体" w:hAnsi="宋体" w:cs="宋体"/>
        </w:rPr>
        <w:t xml:space="preserve">竞争性磋商邀请函</w:t>
      </w:r>
      <w:bookmarkEnd w:id="3"/>
      <w:r/>
      <w:bookmarkEnd w:id="4"/>
      <w:r/>
      <w:bookmarkEnd w:id="5"/>
      <w:r>
        <w:rPr>
          <w:rFonts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02" w:type="dxa"/>
            <w:vAlign w:val="center"/>
            <w:textDirection w:val="lrTb"/>
            <w:noWrap/>
          </w:tcPr>
          <w:p>
            <w:pPr>
              <w:pStyle w:val="842"/>
              <w:spacing w:after="21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w:t>
            </w:r>
            <w:r>
              <w:rPr>
                <w:rFonts w:ascii="宋体" w:hAnsi="宋体" w:cs="宋体"/>
                <w:szCs w:val="21"/>
              </w:rPr>
            </w:r>
            <w:r/>
          </w:p>
          <w:p>
            <w:pPr>
              <w:pStyle w:val="842"/>
              <w:spacing w:after="21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吴江法院2026年度无纸化办案及归档扫描服务</w:t>
            </w:r>
            <w:r>
              <w:rPr>
                <w:rFonts w:hint="eastAsia" w:ascii="宋体" w:hAnsi="宋体" w:cs="宋体"/>
                <w:szCs w:val="21"/>
              </w:rPr>
              <w:t xml:space="preserve">JSZC-320509-SZXC-C2026-0005</w:t>
            </w:r>
            <w:r>
              <w:rPr>
                <w:rFonts w:hint="eastAsia" w:ascii="宋体" w:hAnsi="宋体" w:cs="宋体"/>
                <w:szCs w:val="21"/>
              </w:rPr>
              <w:t xml:space="preserve">采购项目的潜在供应商应在“苏采云”系统获取采购文件，并于</w:t>
            </w:r>
            <w:r>
              <w:rPr>
                <w:rFonts w:hint="eastAsia" w:ascii="宋体" w:hAnsi="宋体" w:cs="宋体"/>
                <w:color w:val="ff0000"/>
                <w:szCs w:val="21"/>
              </w:rPr>
              <w:t xml:space="preserve">2026年08月25日13:30</w:t>
            </w:r>
            <w:r>
              <w:rPr>
                <w:rFonts w:hint="eastAsia" w:ascii="宋体" w:hAnsi="宋体" w:cs="宋体"/>
                <w:szCs w:val="21"/>
              </w:rPr>
              <w:t xml:space="preserve">（北京时间）前提交响应文件。</w:t>
            </w:r>
            <w:r>
              <w:rPr>
                <w:rFonts w:ascii="宋体" w:hAnsi="宋体" w:cs="宋体"/>
                <w:szCs w:val="21"/>
              </w:rPr>
            </w:r>
            <w:r/>
          </w:p>
        </w:tc>
      </w:tr>
    </w:tbl>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一、项目基本情况</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1、项目编号：</w:t>
      </w:r>
      <w:r>
        <w:rPr>
          <w:rFonts w:hint="eastAsia" w:ascii="宋体" w:hAnsi="宋体" w:cs="宋体"/>
          <w:szCs w:val="21"/>
        </w:rPr>
        <w:t xml:space="preserve">JSZC-320509-SZXC-C2026-0005</w:t>
      </w:r>
      <w:r>
        <w:rPr>
          <w:rFonts w:hint="eastAsia" w:ascii="宋体" w:hAnsi="宋体" w:cs="宋体"/>
          <w:szCs w:val="21"/>
        </w:rPr>
        <w:t xml:space="preserve"> </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2、项目名称：</w:t>
      </w:r>
      <w:r>
        <w:rPr>
          <w:rFonts w:hint="eastAsia" w:ascii="宋体" w:hAnsi="宋体" w:cs="宋体"/>
          <w:szCs w:val="21"/>
        </w:rPr>
        <w:t xml:space="preserve">吴江法院2026年度无纸化办案及归档扫描服务</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3、采购方式：竞争性磋商 </w:t>
      </w:r>
      <w:r>
        <w:rPr>
          <w:rFonts w:ascii="宋体" w:hAnsi="宋体" w:cs="宋体"/>
          <w:szCs w:val="21"/>
        </w:rPr>
      </w:r>
      <w:r/>
    </w:p>
    <w:p>
      <w:pPr>
        <w:pStyle w:val="842"/>
        <w:ind w:firstLine="420"/>
        <w:spacing w:line="440" w:lineRule="exact"/>
        <w:shd w:val="clear" w:color="ffffff" w:fill="ffffff"/>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bookmarkStart w:id="6" w:name="OLE_LINK25"/>
      <w:r>
        <w:rPr>
          <w:rFonts w:hint="eastAsia" w:ascii="宋体" w:hAnsi="宋体" w:cs="宋体"/>
          <w:szCs w:val="21"/>
        </w:rPr>
        <w:t xml:space="preserve">预算金额：</w:t>
      </w:r>
      <w:bookmarkEnd w:id="6"/>
      <w:r>
        <w:rPr>
          <w:rFonts w:hint="eastAsia" w:ascii="宋体" w:hAnsi="宋体" w:cs="宋体"/>
          <w:bCs/>
          <w:szCs w:val="21"/>
        </w:rPr>
        <w:t xml:space="preserve">人民币壹佰陆拾万元整（￥1600000元）</w:t>
      </w:r>
      <w:r>
        <w:rPr>
          <w:rFonts w:ascii="宋体" w:hAnsi="宋体" w:cs="宋体"/>
          <w:bCs/>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rPr>
          <w:rFonts w:hint="eastAsia" w:ascii="宋体" w:hAnsi="宋体"/>
          <w:szCs w:val="21"/>
        </w:rPr>
        <w:t xml:space="preserve">最高限价：人民币壹佰陆拾万元整（￥1600000元）</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项目背景：电子档案单套归档改革是深化在线诉讼的基础性、前提性工作，可以倒逼电子卷宗随案同步生成、推动全流程网上无纸化办案。2018年，最高人民法院在全国部署智慧法院建设，推动“电子档案为主、纸质档案为辅”的归档方式改革，并在全国8个省（市）30余家法院先行试点。2020年3月，国家档案局、国务院办公厅电子政务办、国家电子文件部联席会议办公室三部门联合发文，为前期法院单套制试点工作取得的成绩表示肯定，同时也为电子文件单套归档和电子档案单套管理工作从政策层面彻底扫清了障碍。</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吴江法院为适应司法体制改革加强顶层设计，以最科学的方法统筹司法资源、以最合理的标准分配司法资源、以最有效的方式组合司法资源，大力推进司法辅助事务集约化建设，以“全流程无纸化办案”建设及应用为基础，充分借鉴省内外法院成熟的社会化外包服务经验，着力实现“无纸化、集约化、智能化”办案，通过信息技术与审执工作深度融合，打造以辅助事务集约化、辅助事务外包化、全流程无纸化网上办案为特点的案件办理新模式，进一步促进审判方式变革和执行效率的提升。采购清单详见第三章采购需求。</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7、合同履行期限：自合同签订之日起1年或完成采购文件要求的服务量，服务到期（两者以先到者为准）。</w:t>
      </w:r>
      <w:r>
        <w:rPr>
          <w:rFonts w:ascii="宋体" w:hAnsi="宋体" w:cs="宋体"/>
          <w:szCs w:val="21"/>
        </w:rPr>
      </w:r>
      <w:r/>
    </w:p>
    <w:p>
      <w:pPr>
        <w:pStyle w:val="842"/>
        <w:ind w:firstLine="420"/>
        <w:spacing w:line="440" w:lineRule="exac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8、本项目（是/否）接受联合体：否 </w:t>
      </w:r>
      <w:r>
        <w:rPr>
          <w:rFonts w:ascii="宋体" w:hAnsi="宋体" w:cs="宋体"/>
        </w:rPr>
      </w:r>
      <w:r/>
    </w:p>
    <w:p>
      <w:pPr>
        <w:pStyle w:val="842"/>
        <w:ind w:firstLine="420"/>
        <w:spacing w:line="440" w:lineRule="exac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9、本项目不允许转包、分包。</w:t>
      </w:r>
      <w:r>
        <w:rPr>
          <w:rFonts w:ascii="宋体" w:hAnsi="宋体" w:cs="宋体"/>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二、申请人的资格要求：</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（一）满足</w:t>
      </w:r>
      <w:bookmarkStart w:id="7" w:name="OLE_LINK42"/>
      <w:r>
        <w:rPr>
          <w:rFonts w:hint="eastAsia" w:ascii="宋体" w:hAnsi="宋体" w:cs="宋体"/>
          <w:szCs w:val="21"/>
        </w:rPr>
        <w:t xml:space="preserve">《中华人民共和国政府采购法》第二十二条规定</w:t>
      </w:r>
      <w:bookmarkEnd w:id="7"/>
      <w:r>
        <w:rPr>
          <w:rFonts w:hint="eastAsia" w:ascii="宋体" w:hAnsi="宋体" w:cs="宋体"/>
          <w:szCs w:val="21"/>
        </w:rPr>
        <w:t xml:space="preserve">：</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1.具有独立承担民事责任的能力</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3.具有履行合同所必需的设备和专业技术能力</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4.有依法缴纳税收和社会保障资金的良好记录</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6.法律、行政法规规定的其他条件。</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（二）落实政府采购政策需满足的资格要求：</w:t>
      </w:r>
      <w:bookmarkStart w:id="8" w:name="OLE_LINK49"/>
      <w:r>
        <w:rPr>
          <w:rFonts w:hint="eastAsia" w:ascii="宋体" w:hAnsi="宋体" w:cs="宋体"/>
          <w:szCs w:val="21"/>
        </w:rPr>
        <w:t xml:space="preserve">根据《关于印发&lt;苏州市政府采购促进中小企业发展实施意见&gt;的通知》的相关规定，</w:t>
      </w:r>
      <w:r>
        <w:rPr>
          <w:rFonts w:hint="eastAsia" w:ascii="宋体" w:hAnsi="宋体" w:cs="宋体"/>
          <w:b/>
          <w:bCs/>
          <w:szCs w:val="21"/>
        </w:rPr>
        <w:t xml:space="preserve">本项目专门面向中小企业，所属行业为其他未列明行业，</w:t>
      </w:r>
      <w:r>
        <w:rPr>
          <w:rFonts w:hint="eastAsia" w:ascii="宋体" w:hAnsi="宋体" w:cs="宋体"/>
          <w:szCs w:val="21"/>
        </w:rPr>
        <w:t xml:space="preserve">承接服务的供应商应为中小微企业、监狱企业、残疾人福利性单位。供应商必须提供《中小企业声明函》或《残疾人福利性单位声明函》或由省级以上监狱管理局、戒毒管理局（含新疆生产建设兵团）出具的属于监狱企业的证明文件。</w:t>
      </w:r>
      <w:bookmarkEnd w:id="8"/>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（三）本项目的特定资格要求：无</w:t>
      </w:r>
      <w:r>
        <w:rPr>
          <w:rFonts w:ascii="宋体" w:hAnsi="宋体" w:cs="宋体"/>
          <w:szCs w:val="21"/>
        </w:rPr>
      </w:r>
      <w:r/>
    </w:p>
    <w:p>
      <w:pPr>
        <w:pStyle w:val="842"/>
        <w:ind w:firstLine="420"/>
        <w:spacing w:line="4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（四）其他要求：</w:t>
      </w:r>
      <w:r>
        <w:rPr>
          <w:rFonts w:ascii="宋体" w:hAnsi="宋体" w:cs="宋体"/>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b/>
          <w:bCs/>
          <w:szCs w:val="21"/>
        </w:rPr>
        <w:t xml:space="preserve">★</w:t>
      </w:r>
      <w:r>
        <w:rPr>
          <w:rFonts w:hint="eastAsia" w:ascii="宋体" w:hAnsi="宋体" w:cs="宋体"/>
          <w:szCs w:val="21"/>
        </w:rPr>
        <w:t xml:space="preserve">未被“信用中国”网站（www.creditchina.gov.cn）列入失信被执行人、重大税收违法案件当事人名单、政府采购严重失信行为记录名单。</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cs="宋体"/>
          <w:b/>
          <w:bCs/>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b/>
          <w:bCs/>
          <w:szCs w:val="21"/>
        </w:rPr>
        <w:t xml:space="preserve">★</w:t>
      </w:r>
      <w:r>
        <w:rPr>
          <w:rFonts w:hint="eastAsia" w:ascii="宋体" w:hAnsi="宋体" w:cs="宋体"/>
          <w:szCs w:val="21"/>
        </w:rPr>
        <w:t xml:space="preserve">法人的分支机构不得参加本项目的采购活动(除银行、保险、石油石化、电力、电信等行业特殊情况外)。</w:t>
      </w:r>
      <w:r>
        <w:rPr>
          <w:rFonts w:ascii="宋体" w:hAnsi="宋体" w:cs="宋体"/>
          <w:szCs w:val="21"/>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三、获取采购文件</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1.本项目实行供应商网上报名，网上报名截止时间</w:t>
      </w:r>
      <w:r>
        <w:rPr>
          <w:rFonts w:hint="eastAsia" w:ascii="宋体" w:hAnsi="宋体" w:cs="宋体"/>
          <w:color w:val="ff0000"/>
          <w:szCs w:val="21"/>
        </w:rPr>
        <w:t xml:space="preserve">：2026年08月18日24:00（北京时间）</w:t>
      </w:r>
      <w:r>
        <w:rPr>
          <w:rFonts w:hint="eastAsia" w:ascii="宋体" w:hAnsi="宋体" w:cs="宋体"/>
          <w:szCs w:val="21"/>
        </w:rPr>
        <w:t xml:space="preserve"> </w:t>
      </w:r>
      <w:r>
        <w:rPr>
          <w:rFonts w:ascii="宋体" w:hAnsi="宋体" w:cs="宋体"/>
          <w:szCs w:val="21"/>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四、响应文件提交</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截止时间：</w:t>
      </w:r>
      <w:r>
        <w:rPr>
          <w:rFonts w:hint="eastAsia" w:ascii="宋体" w:hAnsi="宋体" w:cs="宋体"/>
          <w:color w:val="ff0000"/>
          <w:szCs w:val="21"/>
        </w:rPr>
        <w:t xml:space="preserve">2026-08-25   13：30（北京时间）</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地点：“苏采云”系统（网址：http://jszfcg.jsczt.cn/） </w:t>
      </w:r>
      <w:r>
        <w:rPr>
          <w:rFonts w:ascii="宋体" w:hAnsi="宋体" w:cs="宋体"/>
          <w:szCs w:val="21"/>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五、开启</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时间：</w:t>
      </w:r>
      <w:r>
        <w:rPr>
          <w:rFonts w:hint="eastAsia" w:ascii="宋体" w:hAnsi="宋体" w:cs="宋体"/>
          <w:color w:val="ff0000"/>
          <w:szCs w:val="21"/>
        </w:rPr>
        <w:t xml:space="preserve">2026-08-25  13:00 （北京时间）</w:t>
      </w:r>
      <w:r>
        <w:rPr>
          <w:rFonts w:ascii="宋体" w:hAnsi="宋体" w:cs="宋体"/>
          <w:szCs w:val="21"/>
        </w:rPr>
      </w:r>
      <w:r/>
    </w:p>
    <w:p>
      <w:pPr>
        <w:pStyle w:val="842"/>
        <w:ind w:firstLine="420"/>
        <w:spacing w:line="440" w:lineRule="exact"/>
        <w:shd w:val="clear" w:color="ffffff" w:fill="ffffff"/>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rPr>
          <w:rFonts w:ascii="宋体" w:hAnsi="宋体" w:cs="宋体"/>
          <w:bCs/>
          <w:szCs w:val="21"/>
        </w:rPr>
      </w:r>
      <w:r/>
    </w:p>
    <w:p>
      <w:pPr>
        <w:pStyle w:val="842"/>
        <w:ind w:firstLine="422"/>
        <w:jc w:val="left"/>
        <w:tabs>
          <w:tab w:val="left" w:pos="540" w:leader="none"/>
          <w:tab w:val="left" w:pos="993" w:leader="none"/>
        </w:tabs>
        <w:rPr>
          <w:rFonts w:ascii="宋体" w:hAnsi="宋体" w:cs="宋体"/>
          <w:b/>
          <w:color w:val="000000"/>
          <w:szCs w:val="21"/>
        </w:rPr>
      </w:pPr>
      <w:r>
        <w:rPr>
          <w:rFonts w:hint="eastAsia" w:ascii="宋体" w:hAnsi="宋体" w:cs="宋体"/>
          <w:b/>
          <w:bCs/>
          <w:color w:val="000000"/>
          <w:szCs w:val="21"/>
        </w:rPr>
        <w:t xml:space="preserve">六、</w:t>
      </w:r>
      <w:r>
        <w:rPr>
          <w:rFonts w:hint="eastAsia" w:ascii="宋体" w:hAnsi="宋体" w:cs="宋体"/>
          <w:b/>
          <w:color w:val="000000"/>
          <w:szCs w:val="21"/>
          <w:lang w:val="zh-CN"/>
        </w:rPr>
        <w:t xml:space="preserve">成交服务费</w:t>
      </w:r>
      <w:r>
        <w:rPr>
          <w:rFonts w:ascii="宋体" w:hAnsi="宋体" w:cs="宋体"/>
          <w:b/>
          <w:color w:val="000000"/>
          <w:szCs w:val="21"/>
        </w:rPr>
      </w:r>
      <w:r/>
    </w:p>
    <w:p>
      <w:pPr>
        <w:pStyle w:val="842"/>
        <w:ind w:firstLine="420"/>
        <w:rPr>
          <w:rFonts w:ascii="宋体" w:hAnsi="宋体" w:cs="宋体"/>
          <w:color w:val="ff0000"/>
        </w:rPr>
      </w:pPr>
      <w:r>
        <w:rPr>
          <w:rFonts w:hint="eastAsia" w:ascii="宋体" w:hAnsi="宋体" w:cs="宋体"/>
          <w:color w:val="ff0000"/>
          <w:szCs w:val="21"/>
        </w:rPr>
        <w:t xml:space="preserve">根据招标采购委托代理协议，本次采购代理服务费由成交单位支付，</w:t>
      </w:r>
      <w:r>
        <w:rPr>
          <w:rFonts w:hint="eastAsia" w:ascii="宋体" w:hAnsi="宋体" w:cs="宋体"/>
          <w:color w:val="ff0000"/>
          <w:szCs w:val="21"/>
          <w:lang w:val="zh-CN"/>
        </w:rPr>
        <w:t xml:space="preserve">领取成交通知书时成交供应商向采购代理机构支付</w:t>
      </w:r>
      <w:r>
        <w:rPr>
          <w:rFonts w:hint="eastAsia" w:ascii="宋体" w:hAnsi="宋体" w:cs="宋体"/>
          <w:color w:val="ff0000"/>
          <w:szCs w:val="21"/>
        </w:rPr>
        <w:t xml:space="preserve">代理</w:t>
      </w:r>
      <w:r>
        <w:rPr>
          <w:rFonts w:hint="eastAsia" w:ascii="宋体" w:hAnsi="宋体" w:cs="宋体"/>
          <w:color w:val="ff0000"/>
          <w:szCs w:val="21"/>
          <w:lang w:val="zh-CN"/>
        </w:rPr>
        <w:t xml:space="preserve">服务费。其收取标准按</w:t>
      </w:r>
      <w:bookmarkStart w:id="9" w:name="OLE_LINK3"/>
      <w:r>
        <w:rPr>
          <w:rFonts w:hint="eastAsia" w:ascii="宋体" w:hAnsi="宋体" w:cs="宋体"/>
          <w:color w:val="ff0000"/>
          <w:szCs w:val="21"/>
          <w:lang w:val="zh-CN"/>
        </w:rPr>
        <w:t xml:space="preserve">江苏政务服务吴江区人民政府网站上的吴江区中介超市最低限价竞价选取为准，代理服务费按</w:t>
      </w:r>
      <w:r>
        <w:rPr>
          <w:rFonts w:hint="eastAsia" w:ascii="宋体" w:hAnsi="宋体" w:cs="宋体"/>
          <w:color w:val="ff0000"/>
          <w:szCs w:val="21"/>
        </w:rPr>
        <w:t xml:space="preserve">1900</w:t>
      </w:r>
      <w:r>
        <w:rPr>
          <w:rFonts w:hint="eastAsia" w:ascii="宋体" w:hAnsi="宋体" w:cs="宋体"/>
          <w:color w:val="ff0000"/>
          <w:szCs w:val="21"/>
          <w:lang w:val="zh-CN"/>
        </w:rPr>
        <w:t xml:space="preserve">0元的最低限价计取</w:t>
      </w:r>
      <w:bookmarkEnd w:id="9"/>
      <w:r>
        <w:rPr>
          <w:rFonts w:hint="eastAsia" w:ascii="宋体" w:hAnsi="宋体" w:cs="宋体"/>
          <w:color w:val="ff0000"/>
          <w:szCs w:val="21"/>
        </w:rPr>
        <w:t xml:space="preserve">，请各供应商在报价时予以综合考虑。</w:t>
      </w:r>
      <w:r>
        <w:rPr>
          <w:rFonts w:ascii="宋体" w:hAnsi="宋体" w:cs="宋体"/>
          <w:color w:val="ff0000"/>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七、公告期限</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自本公告发布之日起5个工作日。</w:t>
      </w:r>
      <w:r>
        <w:rPr>
          <w:rFonts w:ascii="宋体" w:hAnsi="宋体" w:cs="宋体"/>
          <w:szCs w:val="21"/>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八、其他补充事宜</w:t>
      </w:r>
      <w:r>
        <w:rPr>
          <w:rFonts w:ascii="宋体" w:hAnsi="宋体" w:cs="宋体"/>
          <w:sz w:val="21"/>
          <w:szCs w:val="21"/>
        </w:rPr>
      </w:r>
      <w:r/>
    </w:p>
    <w:p>
      <w:pPr>
        <w:pStyle w:val="842"/>
        <w:ind w:left="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bookmarkStart w:id="10" w:name="OLE_LINK50"/>
      <w:r>
        <w:rPr>
          <w:rFonts w:hint="eastAsia" w:ascii="宋体" w:hAnsi="宋体" w:cs="宋体"/>
          <w:szCs w:val="21"/>
        </w:rPr>
        <w:t xml:space="preserve">1.本次采购的相关信息刊登在苏州市政府采购网、江苏省政府采购网、中国政府采购网。</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2.采购文件获取方式：   </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（1）CA证书办理</w:t>
      </w:r>
      <w:r>
        <w:rPr>
          <w:rFonts w:ascii="宋体" w:hAnsi="宋体" w:cs="宋体"/>
          <w:szCs w:val="21"/>
        </w:rPr>
      </w:r>
      <w:r/>
    </w:p>
    <w:p>
      <w:pPr>
        <w:pStyle w:val="842"/>
        <w:ind w:firstLine="420"/>
        <w:jc w:val="left"/>
        <w:spacing w:line="440" w:lineRule="exact"/>
        <w:widowControl/>
        <w:rPr>
          <w:b/>
          <w:bCs/>
          <w:color w:val="000000"/>
          <w:szCs w:val="21"/>
          <w:lang w:val="zh-CN"/>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olor w:val="000000"/>
          <w:szCs w:val="21"/>
          <w:lang w:val="zh-CN"/>
        </w:rPr>
        <w:t xml:space="preserve">苏州现场办理地址：苏州高新区邓尉路105号狮山科技馆1楼服务大厅，咨</w:t>
      </w:r>
      <w:r>
        <w:rPr>
          <w:rFonts w:hint="eastAsia" w:ascii="宋体" w:hAnsi="宋体"/>
          <w:color w:val="000000"/>
          <w:szCs w:val="21"/>
          <w:lang w:val="zh-CN"/>
        </w:rPr>
        <w:t xml:space="preserve">询电话 0512-65737699。</w:t>
      </w:r>
      <w:r>
        <w:rPr>
          <w:b/>
          <w:bCs/>
          <w:color w:val="000000"/>
          <w:szCs w:val="21"/>
          <w:lang w:val="zh-CN"/>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（2）参与采购活动</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（3）电子投标准备</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注册咨询：18261002950；</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CA技术咨询电话：400-608-6099；</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签章使用问题：025-83633811、025-83633812、15380932027、15371015030；</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3.有关本项目电子投标具体操作方法详见苏采云系统中的客户端使用说明和供应商《操作手册》。</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4.补充通知（如有）。成功获取磋商文件的供应商通过“苏州市政府采购网”或“苏采云”系统自行查看所报项目的补充通知。</w:t>
      </w:r>
      <w:r>
        <w:rPr>
          <w:rFonts w:ascii="宋体" w:hAnsi="宋体" w:cs="宋体"/>
          <w:szCs w:val="21"/>
        </w:rPr>
      </w:r>
      <w:r/>
    </w:p>
    <w:p>
      <w:pPr>
        <w:pStyle w:val="842"/>
        <w:ind w:left="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5.报名成功的供应商在下载采购文件后，对采购文件有疑问的：</w:t>
      </w:r>
      <w:r>
        <w:rPr>
          <w:rFonts w:ascii="宋体" w:hAnsi="宋体" w:cs="宋体"/>
          <w:szCs w:val="21"/>
        </w:rPr>
      </w:r>
      <w:r/>
    </w:p>
    <w:p>
      <w:pPr>
        <w:pStyle w:val="842"/>
        <w:ind w:firstLine="420"/>
        <w:spacing w:line="440" w:lineRule="exact"/>
        <w:widowControl/>
        <w:rPr>
          <w:rFonts w:ascii="宋体" w:hAnsi="宋体" w:cs="宋体"/>
          <w:szCs w:val="21"/>
        </w:rPr>
      </w:pPr>
      <w:r>
        <w:rPr>
          <w:rFonts w:hint="eastAsia" w:ascii="宋体" w:hAnsi="宋体" w:cs="宋体"/>
          <w:szCs w:val="21"/>
        </w:rPr>
        <w:t xml:space="preserve">（1）询问：可在“苏采云系统”中进行询问，询问信息不显示询问人的相关资料。代理机构通过收到询问后应在三个工作日内以网上答复的方式予以解答，由系统回复给询问人。</w:t>
      </w:r>
      <w:r>
        <w:rPr>
          <w:rFonts w:ascii="宋体" w:hAnsi="宋体" w:cs="宋体"/>
          <w:szCs w:val="21"/>
        </w:rPr>
      </w:r>
      <w:r/>
    </w:p>
    <w:p>
      <w:pPr>
        <w:pStyle w:val="842"/>
        <w:ind w:firstLine="420"/>
        <w:spacing w:line="440" w:lineRule="exact"/>
        <w:widowControl/>
        <w:rPr>
          <w:rFonts w:ascii="宋体" w:hAnsi="宋体" w:cs="宋体"/>
          <w:szCs w:val="21"/>
        </w:rPr>
      </w:pPr>
      <w:r>
        <w:rPr>
          <w:rFonts w:hint="eastAsia" w:ascii="宋体" w:hAnsi="宋体" w:cs="宋体"/>
          <w:szCs w:val="21"/>
        </w:rPr>
        <w:t xml:space="preserve">（2）质疑：可以在知道或者应知其权益受到损害之日起七个工作日内，以书面形式向代理机构提出质疑（需同时提供网上报名确认单及质疑单位符合本项目合格响应单位资格要求的证明文件，因供应商资格条件或报名时间设定不符合有关法律法规规定等原因使供应商权益受损的质疑除外）。代理机构应当在收到供应商的书面质疑后七个工作日内就委托授权范围内的事项作出答复，并以书面形式通知质疑供应商和与质疑事项有关的供应商，但答复的内容不得涉及商业秘密。</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采购代理机构：苏州市吴江区星辰技术咨询服务有限公司</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地址:苏州市吴江区东太湖大道11666号开平商务中心A幢1515室</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联系人：屠超超、杨晓红</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联系电话：0512-81550501</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响应单位提出书面质疑必须有理、有据，不得恶意质疑或提交虚假质疑。否则，一经查实，招标采购人有权依据政府采购的有关规定，报请政府采购监管部门对该响应单位进行相应的行政处罚。</w:t>
      </w:r>
      <w:bookmarkEnd w:id="10"/>
      <w:r>
        <w:rPr>
          <w:rFonts w:ascii="宋体" w:hAnsi="宋体" w:cs="宋体"/>
          <w:szCs w:val="21"/>
        </w:rPr>
      </w:r>
      <w:r/>
    </w:p>
    <w:p>
      <w:pPr>
        <w:pStyle w:val="882"/>
        <w:ind w:firstLine="422"/>
        <w:spacing w:before="0" w:after="0" w:line="44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九、凡对本次采购提出询问，请按以下方式联系。</w:t>
      </w:r>
      <w:r>
        <w:rPr>
          <w:rFonts w:ascii="宋体" w:hAnsi="宋体" w:cs="宋体"/>
          <w:sz w:val="21"/>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1.采购人信息</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单位名称：</w:t>
      </w:r>
      <w:bookmarkStart w:id="11" w:name="OLE_LINK16"/>
      <w:r>
        <w:rPr>
          <w:rFonts w:hint="eastAsia" w:ascii="宋体" w:hAnsi="宋体" w:cs="宋体"/>
          <w:szCs w:val="21"/>
        </w:rPr>
        <w:t xml:space="preserve">苏州市吴江区人民法院</w:t>
      </w:r>
      <w:bookmarkEnd w:id="11"/>
      <w:r>
        <w:rPr>
          <w:rFonts w:ascii="宋体" w:hAnsi="宋体" w:cs="宋体"/>
          <w:szCs w:val="21"/>
        </w:rPr>
      </w:r>
      <w:r/>
    </w:p>
    <w:p>
      <w:pPr>
        <w:pStyle w:val="842"/>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地    址：苏州市吴江区高新路788号</w:t>
      </w:r>
      <w:r>
        <w:rPr>
          <w:rFonts w:ascii="宋体" w:hAnsi="宋体" w:cs="宋体"/>
          <w:szCs w:val="21"/>
          <w:lang w:val="zh-CN"/>
        </w:rPr>
      </w:r>
      <w:r/>
    </w:p>
    <w:p>
      <w:pPr>
        <w:pStyle w:val="842"/>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联 系 人：</w:t>
      </w:r>
      <w:r>
        <w:rPr>
          <w:rFonts w:hint="eastAsia" w:ascii="宋体" w:hAnsi="宋体" w:cs="宋体"/>
          <w:szCs w:val="21"/>
        </w:rPr>
        <w:t xml:space="preserve">柯震黎</w:t>
      </w:r>
      <w:r>
        <w:rPr>
          <w:rFonts w:ascii="宋体" w:hAnsi="宋体" w:cs="宋体"/>
          <w:szCs w:val="21"/>
          <w:lang w:val="zh-CN"/>
        </w:rPr>
      </w:r>
      <w:r/>
    </w:p>
    <w:p>
      <w:pPr>
        <w:pStyle w:val="842"/>
        <w:ind w:firstLine="420"/>
        <w:spacing w:line="440" w:lineRule="exact"/>
        <w:rPr>
          <w:rFonts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联系方式：</w:t>
      </w:r>
      <w:r>
        <w:rPr>
          <w:rFonts w:hint="eastAsia" w:ascii="宋体" w:hAnsi="宋体" w:cs="宋体"/>
          <w:szCs w:val="21"/>
        </w:rPr>
        <w:t xml:space="preserve">0512-</w:t>
      </w:r>
      <w:r>
        <w:rPr>
          <w:rFonts w:hint="eastAsia" w:ascii="宋体" w:hAnsi="宋体" w:cs="宋体"/>
          <w:szCs w:val="21"/>
          <w:lang w:val="zh-CN"/>
        </w:rPr>
        <w:t xml:space="preserve">63493826　</w:t>
      </w:r>
      <w:r>
        <w:rPr>
          <w:rFonts w:ascii="宋体" w:hAnsi="宋体" w:cs="宋体"/>
          <w:szCs w:val="21"/>
          <w:lang w:val="zh-CN"/>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2.采购代理机构信息</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单位名称：苏州市吴江区星辰技术咨询服务有限公司</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单位地址：苏州市吴江区东太湖大道11666号开平商务中心A幢1515室</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联系人：屠超超、杨晓红</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联系电话：0512-81550501</w:t>
      </w:r>
      <w:r>
        <w:rPr>
          <w:rFonts w:ascii="宋体" w:hAnsi="宋体" w:cs="宋体"/>
          <w:szCs w:val="21"/>
        </w:rPr>
      </w:r>
      <w:r/>
    </w:p>
    <w:p>
      <w:pPr>
        <w:pStyle w:val="842"/>
        <w:ind w:firstLine="420"/>
        <w:spacing w:line="44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3.项目联系方式</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项目联系人：屠超超、杨晓红</w:t>
      </w:r>
      <w:r>
        <w:rPr>
          <w:rFonts w:ascii="宋体" w:hAnsi="宋体" w:cs="宋体"/>
          <w:szCs w:val="21"/>
        </w:rPr>
      </w:r>
      <w:r/>
    </w:p>
    <w:p>
      <w:pPr>
        <w:pStyle w:val="842"/>
        <w:ind w:firstLine="420"/>
        <w:spacing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电话：0512-81550501</w:t>
      </w:r>
      <w:r>
        <w:rPr>
          <w:rFonts w:ascii="宋体" w:hAnsi="宋体" w:cs="宋体"/>
          <w:szCs w:val="21"/>
        </w:rPr>
      </w:r>
      <w:r/>
    </w:p>
    <w:p>
      <w:pPr>
        <w:pStyle w:val="842"/>
        <w:ind w:firstLine="420"/>
        <w:jc w:val="left"/>
        <w:spacing w:line="440" w:lineRule="exact"/>
        <w:rPr>
          <w:rFonts w:ascii="宋体" w:hAnsi="宋体" w:cs="宋体"/>
        </w:rPr>
      </w:pPr>
      <w:r>
        <w:rPr>
          <w:rFonts w:hint="eastAsia" w:ascii="宋体" w:hAnsi="宋体" w:cs="宋体"/>
          <w:szCs w:val="21"/>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rPr>
      </w:r>
      <w:r/>
    </w:p>
    <w:p>
      <w:pPr>
        <w:pStyle w:val="842"/>
        <w:ind w:firstLine="420"/>
        <w:jc w:val="center"/>
        <w:spacing w:after="210"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bookmarkStart w:id="12" w:name="_Toc6289"/>
      <w:r/>
      <w:bookmarkStart w:id="13" w:name="_Toc11937"/>
      <w:r/>
      <w:bookmarkStart w:id="14" w:name="_Toc264"/>
      <w:r/>
      <w:bookmarkStart w:id="15" w:name="_Toc25272"/>
      <w:r/>
      <w:bookmarkStart w:id="16" w:name="_Toc23541"/>
      <w:r/>
      <w:bookmarkStart w:id="17" w:name="_Toc19638"/>
      <w:r/>
      <w:bookmarkStart w:id="18" w:name="_Toc7179"/>
      <w:r/>
      <w:bookmarkStart w:id="19" w:name="_Toc18157"/>
      <w:r>
        <w:rPr>
          <w:rStyle w:val="881"/>
          <w:rFonts w:hint="eastAsia" w:ascii="宋体" w:hAnsi="宋体" w:cs="宋体"/>
        </w:rPr>
        <w:t xml:space="preserve">二、磋商供应商须知</w:t>
      </w:r>
      <w:bookmarkEnd w:id="12"/>
      <w:r/>
      <w:bookmarkEnd w:id="13"/>
      <w:r/>
      <w:bookmarkEnd w:id="14"/>
      <w:r/>
      <w:bookmarkEnd w:id="15"/>
      <w:r/>
      <w:bookmarkEnd w:id="16"/>
      <w:r/>
      <w:bookmarkEnd w:id="17"/>
      <w:r/>
      <w:bookmarkEnd w:id="18"/>
      <w:r/>
      <w:bookmarkEnd w:id="19"/>
      <w:r>
        <w:rPr>
          <w:rFonts w:ascii="宋体" w:hAnsi="宋体" w:cs="宋体"/>
        </w:rPr>
      </w:r>
      <w:r/>
    </w:p>
    <w:p>
      <w:pPr>
        <w:pStyle w:val="1112"/>
        <w:ind w:firstLine="422"/>
        <w:spacing w:line="440" w:lineRule="exact"/>
        <w:rPr>
          <w:rFonts w:ascii="宋体" w:hAnsi="宋体" w:cs="宋体"/>
          <w:b/>
          <w:bCs/>
          <w:szCs w:val="21"/>
          <w:lang w:val="en-US"/>
        </w:rPr>
      </w:pPr>
      <w:r/>
      <w:bookmarkStart w:id="20" w:name="_Toc29852"/>
      <w:r>
        <w:rPr>
          <w:rFonts w:hint="eastAsia" w:ascii="宋体" w:hAnsi="宋体" w:cs="宋体"/>
          <w:b/>
          <w:bCs/>
          <w:szCs w:val="21"/>
          <w:lang w:val="en-US"/>
        </w:rPr>
        <w:t xml:space="preserve">1.采购政策</w:t>
      </w:r>
      <w:r>
        <w:rPr>
          <w:rFonts w:ascii="宋体" w:hAnsi="宋体" w:cs="宋体"/>
          <w:b/>
          <w:bCs/>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1.5提供的产品属于政府强制采购节能产品的，供应商应当选择经过认证的节能产品投标，并提供有效的节能产品认证证书复印件。</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1.6提供的产品属于环境标志产品的,供应商应当选择经过认证的环境标志产品投标,并提供有效的环境标志产品认证证书复印件。</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1.7</w:t>
      </w:r>
      <w:r>
        <w:rPr>
          <w:rFonts w:hint="eastAsia" w:ascii="宋体" w:hAnsi="宋体" w:cs="宋体"/>
          <w:szCs w:val="21"/>
        </w:rPr>
        <w:t xml:space="preserve">如采购货物涉及协议供货相关产品的，执行协议供货相关政策。</w:t>
      </w:r>
      <w:r>
        <w:rPr>
          <w:rFonts w:ascii="宋体" w:hAnsi="宋体" w:cs="宋体"/>
          <w:szCs w:val="21"/>
          <w:lang w:val="en-US"/>
        </w:rPr>
      </w:r>
      <w:r/>
    </w:p>
    <w:p>
      <w:pPr>
        <w:pStyle w:val="842"/>
        <w:ind w:firstLine="422"/>
        <w:spacing w:line="440" w:lineRule="exact"/>
        <w:rPr>
          <w:rFonts w:ascii="宋体" w:hAnsi="宋体" w:cs="宋体"/>
          <w:bCs/>
          <w:szCs w:val="21"/>
        </w:rPr>
      </w:pPr>
      <w:r>
        <w:rPr>
          <w:rFonts w:hint="eastAsia" w:ascii="宋体" w:hAnsi="宋体" w:cs="宋体"/>
          <w:b/>
          <w:szCs w:val="21"/>
        </w:rPr>
        <w:t xml:space="preserve">2.★联合体响应：不接受。</w:t>
      </w:r>
      <w:r>
        <w:rPr>
          <w:rFonts w:ascii="宋体" w:hAnsi="宋体" w:cs="宋体"/>
          <w:bCs/>
          <w:szCs w:val="21"/>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2.1.两个以上的自然人、法人或者其他组织可以组成一个联合体，以一个供应商的身份共同参加政府采购。</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2.2.鼓励大中型企业和其他自然人、法人或者其他组织与小型、微型企业组成联合体共同参加非专门面向中小企业的政府采购活动。</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2.2.以联合体形式参加</w:t>
      </w:r>
      <w:r>
        <w:rPr>
          <w:rFonts w:hint="eastAsia" w:ascii="宋体" w:hAnsi="宋体" w:cs="宋体"/>
          <w:szCs w:val="21"/>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2.4. 联合体各方之间应当签订联合体协议，明确约定联合体各方承担的工作和相应的责任，并将联合体协议连同响应文件一并提交。</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2.5. 以联合体形式参加政府采购活动的，联合体各方不得再单独参加或者与其他供应商另外组成联合体参加同一合同项下的政府采购活动。</w:t>
      </w:r>
      <w:r>
        <w:rPr>
          <w:rFonts w:ascii="宋体" w:hAnsi="宋体" w:cs="宋体"/>
          <w:szCs w:val="21"/>
          <w:lang w:val="en-US"/>
        </w:rPr>
      </w:r>
      <w:r/>
    </w:p>
    <w:p>
      <w:pPr>
        <w:pStyle w:val="842"/>
        <w:ind w:firstLine="422"/>
        <w:spacing w:line="440" w:lineRule="exact"/>
        <w:rPr>
          <w:rFonts w:ascii="宋体" w:hAnsi="宋体" w:cs="宋体"/>
          <w:b/>
          <w:bCs/>
          <w:szCs w:val="21"/>
        </w:rPr>
      </w:pPr>
      <w:r>
        <w:rPr>
          <w:rFonts w:ascii="宋体" w:hAnsi="宋体" w:cs="宋体"/>
          <w:b/>
          <w:bCs/>
          <w:szCs w:val="21"/>
        </w:rPr>
      </w:r>
      <w:r/>
    </w:p>
    <w:p>
      <w:pPr>
        <w:pStyle w:val="842"/>
        <w:ind w:firstLine="422"/>
        <w:spacing w:line="440" w:lineRule="exact"/>
        <w:rPr>
          <w:rFonts w:ascii="宋体" w:hAnsi="宋体" w:cs="宋体"/>
          <w:bCs/>
          <w:szCs w:val="21"/>
        </w:rPr>
      </w:pPr>
      <w:r>
        <w:rPr>
          <w:rFonts w:hint="eastAsia" w:ascii="宋体" w:hAnsi="宋体" w:cs="宋体"/>
          <w:b/>
          <w:bCs/>
          <w:szCs w:val="21"/>
        </w:rPr>
        <w:t xml:space="preserve">3.★转包与分包与</w:t>
      </w:r>
      <w:r>
        <w:rPr>
          <w:rFonts w:hint="eastAsia" w:ascii="宋体" w:hAnsi="宋体" w:cs="宋体"/>
          <w:b/>
          <w:szCs w:val="21"/>
        </w:rPr>
        <w:t xml:space="preserve">磋商费用</w:t>
      </w:r>
      <w:r>
        <w:rPr>
          <w:rFonts w:ascii="宋体" w:hAnsi="宋体" w:cs="宋体"/>
          <w:bCs/>
          <w:szCs w:val="21"/>
        </w:rPr>
      </w:r>
      <w:r/>
    </w:p>
    <w:p>
      <w:pPr>
        <w:pStyle w:val="1203"/>
        <w:spacing w:line="440" w:lineRule="exact"/>
        <w:rPr>
          <w:rFonts w:ascii="宋体" w:hAnsi="宋体" w:cs="宋体"/>
        </w:rPr>
      </w:pPr>
      <w:r>
        <w:rPr>
          <w:rFonts w:hint="eastAsia" w:ascii="宋体" w:hAnsi="宋体" w:cs="宋体"/>
        </w:rPr>
        <w:t xml:space="preserve">3.1.本项目不允许转包或分包。</w:t>
      </w:r>
      <w:r>
        <w:rPr>
          <w:rFonts w:ascii="宋体" w:hAnsi="宋体" w:cs="宋体"/>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3.2.无论磋商过程中的做法和结果如何，磋商供应商自行承担所有与参加磋商有关的全部费用。</w:t>
      </w:r>
      <w:r>
        <w:rPr>
          <w:rFonts w:ascii="宋体" w:hAnsi="宋体" w:cs="宋体"/>
          <w:sz w:val="21"/>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
          <w:szCs w:val="21"/>
        </w:rPr>
      </w:pPr>
      <w:r>
        <w:rPr>
          <w:rFonts w:hint="eastAsia" w:ascii="宋体" w:hAnsi="宋体" w:cs="宋体"/>
          <w:b/>
          <w:szCs w:val="21"/>
        </w:rPr>
        <w:t xml:space="preserve">4.磋商文件</w:t>
      </w:r>
      <w:r>
        <w:rPr>
          <w:rFonts w:ascii="宋体" w:hAnsi="宋体" w:cs="宋体"/>
          <w:b/>
          <w:szCs w:val="21"/>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4.1.磋商文件的内容如下：</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第一章 磋商邀请书</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第二章 磋商供应商须知</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第三章 采购需求</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第四章 评标办法及评分标准</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第五章 合同主要条款</w:t>
      </w:r>
      <w:r>
        <w:rPr>
          <w:rFonts w:ascii="宋体" w:hAnsi="宋体" w:cs="宋体"/>
          <w:szCs w:val="21"/>
          <w:lang w:val="en-US"/>
        </w:rPr>
      </w:r>
      <w:r/>
    </w:p>
    <w:p>
      <w:pPr>
        <w:pStyle w:val="1112"/>
        <w:ind w:firstLine="420"/>
        <w:spacing w:line="440" w:lineRule="exact"/>
        <w:rPr>
          <w:rFonts w:ascii="宋体" w:hAnsi="宋体" w:cs="宋体"/>
          <w:szCs w:val="21"/>
          <w:lang w:val="en-US"/>
        </w:rPr>
      </w:pPr>
      <w:r>
        <w:rPr>
          <w:rFonts w:hint="eastAsia" w:ascii="宋体" w:hAnsi="宋体" w:cs="宋体"/>
          <w:szCs w:val="21"/>
          <w:lang w:val="en-US"/>
        </w:rPr>
        <w:t xml:space="preserve">第六章 响应文件格式</w:t>
      </w:r>
      <w:r>
        <w:rPr>
          <w:rFonts w:ascii="宋体" w:hAnsi="宋体" w:cs="宋体"/>
          <w:szCs w:val="21"/>
          <w:lang w:val="en-US"/>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sz w:val="21"/>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
          <w:szCs w:val="21"/>
        </w:rPr>
      </w:pPr>
      <w:r>
        <w:rPr>
          <w:rFonts w:hint="eastAsia" w:ascii="宋体" w:hAnsi="宋体" w:cs="宋体"/>
          <w:b/>
          <w:szCs w:val="21"/>
        </w:rPr>
        <w:t xml:space="preserve">5.磋商文件的澄清和修改</w:t>
      </w:r>
      <w:r>
        <w:rPr>
          <w:rFonts w:ascii="宋体" w:hAnsi="宋体" w:cs="宋体"/>
          <w:b/>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sz w:val="21"/>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5.2.磋商文件的澄清、修改等内容与竞争性磋商文件在同一内容的表述上不一致时，以发出日期最接近磋商时间的公告为准。</w:t>
      </w:r>
      <w:r>
        <w:rPr>
          <w:rFonts w:ascii="宋体" w:hAnsi="宋体" w:cs="宋体"/>
          <w:sz w:val="21"/>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5.3.磋商文件的澄清、修改等内容均将在财政部门指定的政府采购信息发布媒体上发布，作为磋商文件的组成部分，对供应商起约束作用。</w:t>
      </w:r>
      <w:r>
        <w:rPr>
          <w:rFonts w:ascii="宋体" w:hAnsi="宋体" w:cs="宋体"/>
          <w:sz w:val="21"/>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
          <w:szCs w:val="21"/>
        </w:rPr>
      </w:pPr>
      <w:r>
        <w:rPr>
          <w:rFonts w:hint="eastAsia" w:ascii="宋体" w:hAnsi="宋体" w:cs="宋体"/>
          <w:b/>
          <w:szCs w:val="21"/>
        </w:rPr>
        <w:t xml:space="preserve">6.★响应文件计量单位和使用文字</w:t>
      </w:r>
      <w:r>
        <w:rPr>
          <w:rFonts w:ascii="宋体" w:hAnsi="宋体" w:cs="宋体"/>
          <w:b/>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6.1.响应文件中所使用的计量单位，除竞争性磋商文件中有特殊要求外，均应使用中华人民共和国法定计量单位。</w:t>
      </w:r>
      <w:r>
        <w:rPr>
          <w:rFonts w:ascii="宋体" w:hAnsi="宋体" w:cs="宋体"/>
          <w:sz w:val="21"/>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sz w:val="21"/>
          <w:szCs w:val="21"/>
        </w:rPr>
      </w:r>
      <w:r/>
    </w:p>
    <w:p>
      <w:pPr>
        <w:pStyle w:val="1189"/>
        <w:ind w:firstLine="422"/>
        <w:spacing w:line="440" w:lineRule="exact"/>
        <w:rPr>
          <w:rFonts w:ascii="宋体" w:hAnsi="宋体" w:cs="宋体"/>
          <w:b/>
          <w:sz w:val="21"/>
          <w:szCs w:val="21"/>
        </w:rPr>
      </w:pP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7.响应文件的组成及要求</w:t>
      </w: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7.1封面</w:t>
      </w: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7.2磋商报价表</w:t>
      </w:r>
      <w:r>
        <w:rPr>
          <w:rFonts w:ascii="宋体" w:hAnsi="宋体" w:cs="宋体"/>
          <w:b/>
          <w:sz w:val="21"/>
          <w:szCs w:val="21"/>
        </w:rPr>
      </w:r>
      <w:r/>
    </w:p>
    <w:p>
      <w:pPr>
        <w:pStyle w:val="1189"/>
        <w:ind w:firstLine="422"/>
        <w:spacing w:line="440" w:lineRule="exact"/>
        <w:rPr>
          <w:rFonts w:ascii="宋体" w:hAnsi="宋体" w:cs="宋体"/>
          <w:b/>
          <w:sz w:val="21"/>
          <w:szCs w:val="21"/>
          <w:u w:val="single"/>
        </w:rPr>
      </w:pPr>
      <w:r>
        <w:rPr>
          <w:rFonts w:hint="eastAsia" w:ascii="宋体" w:hAnsi="宋体" w:cs="宋体"/>
          <w:b/>
          <w:sz w:val="21"/>
          <w:szCs w:val="21"/>
          <w:u w:val="single"/>
        </w:rPr>
        <w:t xml:space="preserve">7.3资格审查响应文件</w:t>
      </w:r>
      <w:r>
        <w:rPr>
          <w:rFonts w:ascii="宋体" w:hAnsi="宋体" w:cs="宋体"/>
          <w:b/>
          <w:sz w:val="21"/>
          <w:szCs w:val="21"/>
          <w:u w:val="single"/>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7.3.1具有独立承担民事责任的能力证明。（提供营业执照或事业单位法人证等法人证明材料（加盖公章））；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7.3.2具有良好的商业信誉和健全的财务会计制度证明（提供参加本次采购活动前的最近一期的年度会计报表或审计报告，其他组织、自然人及成立未满一年的法人应提供银行出具的资信证明（加盖公章））；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7.3.3有依法缴纳税收和社会保障资金的良好记录（提供参加本次政府采购活动前依法缴纳税收和社会保障资金的相关材料。响应单位如依法享受缓缴、免缴税收、社会保障资金的应提供相关主管部门出具的证明材料）；</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7.3.4</w:t>
      </w:r>
      <w:r>
        <w:rPr>
          <w:rFonts w:hint="eastAsia" w:ascii="宋体" w:hAnsi="宋体" w:cs="宋体"/>
          <w:sz w:val="21"/>
          <w:szCs w:val="21"/>
        </w:rPr>
        <w:t xml:space="preserve">具有</w:t>
      </w:r>
      <w:r>
        <w:rPr>
          <w:rFonts w:hint="eastAsia" w:ascii="宋体" w:hAnsi="宋体" w:cs="宋体"/>
          <w:bCs/>
          <w:sz w:val="21"/>
          <w:szCs w:val="21"/>
        </w:rPr>
        <w:t xml:space="preserve">履行合同所必需的设备和专业技术能力的证明材料或承诺；</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7.3.5参加政府采购活动前三年内在经营活动中没有重大违法记录的书面声明函；</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7.3.6法律、行政法规规定的其他条件；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7.3.7落实政府采购政策需满足的资格要求：提供《中小企业声明函》或《残疾人福利性单位声明函》或由省级以上监狱管理局、戒毒管理局（含新疆生产建设兵团）出具的属于监狱企业的证明文件；</w:t>
      </w:r>
      <w:r>
        <w:rPr>
          <w:rFonts w:ascii="宋体" w:hAnsi="宋体" w:cs="宋体"/>
          <w:bCs/>
          <w:sz w:val="21"/>
          <w:szCs w:val="21"/>
        </w:rPr>
      </w:r>
      <w:r/>
    </w:p>
    <w:p>
      <w:pPr>
        <w:pStyle w:val="842"/>
        <w:ind w:firstLine="420"/>
        <w:jc w:val="left"/>
        <w:spacing w:line="440" w:lineRule="exact"/>
        <w:rPr>
          <w:rFonts w:ascii="宋体" w:hAnsi="宋体" w:cs="宋体"/>
          <w:szCs w:val="21"/>
        </w:rPr>
      </w:pPr>
      <w:r>
        <w:rPr>
          <w:rFonts w:hint="eastAsia" w:ascii="宋体" w:hAnsi="宋体" w:cs="宋体"/>
          <w:bCs/>
          <w:szCs w:val="21"/>
        </w:rPr>
        <w:t xml:space="preserve">7.3.8 本项目的特定资格要求：无。</w:t>
      </w:r>
      <w:r>
        <w:rPr>
          <w:rFonts w:ascii="宋体" w:hAnsi="宋体" w:cs="宋体"/>
          <w:szCs w:val="21"/>
        </w:rPr>
      </w:r>
      <w:r/>
    </w:p>
    <w:p>
      <w:pPr>
        <w:pStyle w:val="1189"/>
        <w:ind w:firstLine="422"/>
        <w:spacing w:line="440" w:lineRule="exact"/>
        <w:rPr>
          <w:rFonts w:ascii="宋体" w:hAnsi="宋体" w:cs="宋体"/>
          <w:b/>
          <w:sz w:val="21"/>
          <w:szCs w:val="21"/>
          <w:u w:val="single"/>
        </w:rPr>
      </w:pPr>
      <w:r>
        <w:rPr>
          <w:rFonts w:hint="eastAsia" w:ascii="宋体" w:hAnsi="宋体" w:cs="宋体"/>
          <w:b/>
          <w:sz w:val="21"/>
          <w:szCs w:val="21"/>
          <w:u w:val="single"/>
        </w:rPr>
        <w:t xml:space="preserve">7.4符合性审查响应文件</w:t>
      </w:r>
      <w:r>
        <w:rPr>
          <w:rFonts w:ascii="宋体" w:hAnsi="宋体" w:cs="宋体"/>
          <w:b/>
          <w:sz w:val="21"/>
          <w:szCs w:val="21"/>
          <w:u w:val="single"/>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7.4.1磋商响应报价表</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7.4.2磋商</w:t>
      </w:r>
      <w:r>
        <w:rPr>
          <w:rFonts w:hint="eastAsia" w:ascii="宋体" w:hAnsi="宋体" w:cs="宋体"/>
          <w:sz w:val="21"/>
          <w:szCs w:val="21"/>
        </w:rPr>
        <w:t xml:space="preserve">报价分析表（</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7.4.3</w:t>
      </w:r>
      <w:r>
        <w:rPr>
          <w:rFonts w:hint="eastAsia" w:ascii="宋体" w:hAnsi="宋体" w:cs="宋体"/>
          <w:sz w:val="21"/>
          <w:szCs w:val="21"/>
        </w:rPr>
        <w:t xml:space="preserve">磋商响应函（</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7.4.4法定代表人身份证；</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7.4.5法人授权委托书及委托代理人身份证复印件（如有授权）（格式见第六章）；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7.</w:t>
      </w:r>
      <w:r>
        <w:rPr>
          <w:rFonts w:hint="eastAsia" w:ascii="宋体" w:hAnsi="宋体" w:cs="宋体"/>
          <w:sz w:val="21"/>
          <w:szCs w:val="21"/>
        </w:rPr>
        <w:t xml:space="preserve">4.6</w:t>
      </w:r>
      <w:r>
        <w:rPr>
          <w:rFonts w:hint="eastAsia" w:ascii="宋体" w:hAnsi="宋体" w:cs="宋体"/>
          <w:bCs/>
          <w:sz w:val="21"/>
          <w:szCs w:val="21"/>
        </w:rPr>
        <w:t xml:space="preserve">关于资格文件的声明函（格式见第六章）；</w:t>
      </w:r>
      <w:r>
        <w:rPr>
          <w:rFonts w:ascii="宋体" w:hAnsi="宋体" w:cs="宋体"/>
          <w:bCs/>
          <w:sz w:val="21"/>
          <w:szCs w:val="21"/>
        </w:rPr>
      </w:r>
      <w:r/>
    </w:p>
    <w:p>
      <w:pPr>
        <w:pStyle w:val="1189"/>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4.7</w:t>
      </w:r>
      <w:r>
        <w:rPr>
          <w:rFonts w:hint="eastAsia" w:ascii="宋体" w:hAnsi="宋体" w:cs="宋体"/>
          <w:bCs/>
          <w:sz w:val="21"/>
          <w:szCs w:val="21"/>
        </w:rPr>
        <w:t xml:space="preserve">响应单位基本情况表（格式见第六章）；</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4.8偏离表</w:t>
      </w:r>
      <w:r>
        <w:rPr>
          <w:rFonts w:hint="eastAsia" w:ascii="宋体" w:hAnsi="宋体" w:cs="宋体"/>
          <w:bCs/>
          <w:sz w:val="21"/>
          <w:szCs w:val="21"/>
        </w:rPr>
        <w:t xml:space="preserve">（格式见第六章）</w:t>
      </w:r>
      <w:r>
        <w:rPr>
          <w:rFonts w:hint="eastAsia" w:ascii="宋体" w:hAnsi="宋体" w:cs="宋体"/>
          <w:sz w:val="21"/>
          <w:szCs w:val="21"/>
        </w:rPr>
        <w:t xml:space="preserve">；</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4.9实质性条款（承诺函）；</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bCs/>
          <w:sz w:val="21"/>
          <w:szCs w:val="21"/>
        </w:rPr>
        <w:t xml:space="preserve">7.</w:t>
      </w:r>
      <w:r>
        <w:rPr>
          <w:rFonts w:hint="eastAsia" w:ascii="宋体" w:hAnsi="宋体" w:cs="宋体"/>
          <w:sz w:val="21"/>
          <w:szCs w:val="21"/>
        </w:rPr>
        <w:t xml:space="preserve">4.10其他有关符合性证明的文件（投标（响应）保证承诺书等）；</w:t>
      </w:r>
      <w:r>
        <w:rPr>
          <w:rFonts w:ascii="宋体" w:hAnsi="宋体" w:cs="宋体"/>
          <w:sz w:val="21"/>
          <w:szCs w:val="21"/>
        </w:rPr>
      </w:r>
      <w:r/>
    </w:p>
    <w:p>
      <w:pPr>
        <w:pStyle w:val="1189"/>
        <w:ind w:firstLine="422"/>
        <w:spacing w:line="440" w:lineRule="exact"/>
        <w:rPr>
          <w:rFonts w:ascii="宋体" w:hAnsi="宋体" w:cs="宋体"/>
          <w:sz w:val="21"/>
          <w:szCs w:val="21"/>
          <w:u w:val="single"/>
        </w:rPr>
      </w:pPr>
      <w:r>
        <w:rPr>
          <w:rFonts w:hint="eastAsia" w:ascii="宋体" w:hAnsi="宋体" w:cs="宋体"/>
          <w:b/>
          <w:sz w:val="21"/>
          <w:szCs w:val="21"/>
          <w:u w:val="single"/>
        </w:rPr>
        <w:t xml:space="preserve">7.5综合评审响应文件</w:t>
      </w:r>
      <w:r>
        <w:rPr>
          <w:rFonts w:ascii="宋体" w:hAnsi="宋体" w:cs="宋体"/>
          <w:sz w:val="21"/>
          <w:szCs w:val="21"/>
          <w:u w:val="single"/>
        </w:rPr>
      </w:r>
      <w:r/>
    </w:p>
    <w:p>
      <w:pPr>
        <w:pStyle w:val="842"/>
        <w:ind w:firstLine="420"/>
        <w:spacing w:line="440" w:lineRule="exact"/>
        <w:rPr>
          <w:rFonts w:ascii="宋体" w:hAnsi="宋体" w:cs="宋体"/>
          <w:szCs w:val="21"/>
        </w:rPr>
      </w:pPr>
      <w:r>
        <w:rPr>
          <w:rFonts w:hint="eastAsia" w:ascii="宋体" w:hAnsi="宋体" w:cs="宋体"/>
          <w:bCs/>
          <w:szCs w:val="21"/>
        </w:rPr>
        <w:t xml:space="preserve">7.</w:t>
      </w:r>
      <w:r>
        <w:rPr>
          <w:rFonts w:hint="eastAsia" w:ascii="宋体" w:hAnsi="宋体" w:cs="宋体"/>
          <w:szCs w:val="21"/>
        </w:rPr>
        <w:t xml:space="preserve">5</w:t>
      </w:r>
      <w:r>
        <w:rPr>
          <w:rFonts w:hint="eastAsia" w:ascii="宋体" w:hAnsi="宋体" w:cs="宋体"/>
          <w:szCs w:val="21"/>
          <w:lang w:val="zh-CN"/>
        </w:rPr>
        <w:t xml:space="preserve">.1</w:t>
      </w:r>
      <w:r>
        <w:rPr>
          <w:rFonts w:hint="eastAsia" w:ascii="宋体" w:hAnsi="宋体" w:cs="宋体"/>
          <w:szCs w:val="21"/>
        </w:rPr>
        <w:t xml:space="preserve">技术</w:t>
      </w:r>
      <w:r>
        <w:rPr>
          <w:rFonts w:hint="eastAsia" w:ascii="宋体" w:hAnsi="宋体" w:cs="宋体"/>
          <w:szCs w:val="21"/>
          <w:lang w:val="zh-CN"/>
        </w:rPr>
        <w:t xml:space="preserve">服务方案</w:t>
      </w:r>
      <w:r>
        <w:rPr>
          <w:rFonts w:ascii="宋体" w:hAnsi="宋体" w:cs="宋体"/>
          <w:szCs w:val="21"/>
        </w:rPr>
      </w:r>
      <w:r/>
    </w:p>
    <w:p>
      <w:pPr>
        <w:pStyle w:val="842"/>
        <w:ind w:firstLine="420"/>
        <w:spacing w:line="440" w:lineRule="exact"/>
        <w:rPr>
          <w:rFonts w:ascii="宋体" w:hAnsi="宋体" w:cs="宋体"/>
          <w:szCs w:val="21"/>
        </w:rPr>
      </w:pPr>
      <w:r>
        <w:rPr>
          <w:rFonts w:hint="eastAsia" w:ascii="宋体" w:hAnsi="宋体" w:cs="宋体"/>
          <w:bCs/>
          <w:szCs w:val="21"/>
        </w:rPr>
        <w:t xml:space="preserve">7.</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2企业综合实力评价</w:t>
      </w:r>
      <w:r>
        <w:rPr>
          <w:rFonts w:ascii="宋体" w:hAnsi="宋体" w:cs="宋体"/>
          <w:szCs w:val="21"/>
        </w:rPr>
      </w:r>
      <w:r/>
    </w:p>
    <w:p>
      <w:pPr>
        <w:pStyle w:val="842"/>
        <w:ind w:firstLine="420"/>
        <w:spacing w:line="440" w:lineRule="exact"/>
        <w:rPr>
          <w:rFonts w:ascii="宋体" w:hAnsi="宋体" w:cs="宋体"/>
          <w:szCs w:val="21"/>
        </w:rPr>
      </w:pPr>
      <w:r>
        <w:rPr>
          <w:rFonts w:hint="eastAsia" w:ascii="宋体" w:hAnsi="宋体" w:cs="宋体"/>
          <w:szCs w:val="21"/>
        </w:rPr>
        <w:t xml:space="preserve">7.5.3响应单位针对本项目服务人员的配备及设备比较</w:t>
      </w:r>
      <w:r>
        <w:rPr>
          <w:rFonts w:ascii="宋体" w:hAnsi="宋体" w:cs="宋体"/>
          <w:szCs w:val="21"/>
        </w:rPr>
      </w:r>
      <w:r/>
    </w:p>
    <w:p>
      <w:pPr>
        <w:pStyle w:val="842"/>
        <w:ind w:firstLine="420"/>
        <w:spacing w:line="440" w:lineRule="exact"/>
        <w:rPr>
          <w:rFonts w:ascii="宋体" w:hAnsi="宋体" w:cs="宋体"/>
          <w:szCs w:val="21"/>
        </w:rPr>
      </w:pPr>
      <w:r>
        <w:rPr>
          <w:rFonts w:hint="eastAsia" w:ascii="宋体" w:hAnsi="宋体" w:cs="宋体"/>
          <w:szCs w:val="21"/>
        </w:rPr>
        <w:t xml:space="preserve">7.5.4其他可以证明投标人资质、服务质量的证书、文件等相关资料。</w:t>
      </w:r>
      <w:r>
        <w:rPr>
          <w:rFonts w:ascii="宋体" w:hAnsi="宋体" w:cs="宋体"/>
          <w:szCs w:val="21"/>
        </w:rPr>
      </w:r>
      <w:r/>
    </w:p>
    <w:p>
      <w:pPr>
        <w:pStyle w:val="1189"/>
        <w:ind w:firstLine="422"/>
        <w:spacing w:line="440" w:lineRule="exact"/>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（1）以上7.3.1-7.3.8为资格审查要求提供的材料，是作为对供应商资格审查、质疑身份认定的依据，响应供应商必须提供并加盖电子公章。否则，磋商响应文件将被认定为不符合资格审查要求。</w:t>
      </w:r>
      <w:r>
        <w:rPr>
          <w:rFonts w:ascii="宋体" w:hAnsi="宋体" w:cs="宋体"/>
          <w:b/>
          <w:bCs/>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（2）以上7.4.1-7.4.10为符合性审查须提供的资料，响应供应商必须提供并加盖电子公章。否则，磋商响应文件将被认定为未实质性响应。</w:t>
      </w: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（3)制作电子响应文件时必须与投标文件制作软件目录一一对应，将相关资料上传至相应模块。</w:t>
      </w:r>
      <w:r>
        <w:rPr>
          <w:rFonts w:ascii="宋体" w:hAnsi="宋体" w:cs="宋体"/>
          <w:b/>
          <w:sz w:val="21"/>
          <w:szCs w:val="21"/>
        </w:rPr>
      </w:r>
      <w:r/>
    </w:p>
    <w:p>
      <w:pPr>
        <w:pStyle w:val="1189"/>
        <w:ind w:firstLine="422"/>
        <w:spacing w:line="440" w:lineRule="exact"/>
        <w:rPr>
          <w:rFonts w:ascii="宋体" w:hAnsi="宋体" w:cs="宋体"/>
          <w:sz w:val="21"/>
          <w:szCs w:val="21"/>
        </w:rPr>
      </w:pPr>
      <w:r>
        <w:rPr>
          <w:rFonts w:hint="eastAsia" w:ascii="宋体" w:hAnsi="宋体" w:cs="宋体"/>
          <w:b/>
          <w:sz w:val="21"/>
          <w:szCs w:val="21"/>
        </w:rPr>
        <w:t xml:space="preserve">（4）磋商响应文件编制要求：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b/>
          <w:sz w:val="21"/>
          <w:szCs w:val="21"/>
        </w:rPr>
        <w:t xml:space="preserve">注：具体投标文件编制教程查看苏采云系统中的客户端使用说明和供应商《操作手册》。</w:t>
      </w:r>
      <w:r>
        <w:rPr>
          <w:rFonts w:ascii="宋体" w:hAnsi="宋体" w:cs="宋体"/>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rPr>
          <w:rFonts w:ascii="宋体" w:hAnsi="宋体" w:cs="宋体"/>
          <w:b/>
          <w:sz w:val="21"/>
          <w:szCs w:val="21"/>
        </w:rPr>
      </w:r>
      <w:r/>
    </w:p>
    <w:p>
      <w:pPr>
        <w:pStyle w:val="1189"/>
        <w:ind w:firstLine="422"/>
        <w:spacing w:line="440" w:lineRule="exact"/>
        <w:rPr>
          <w:rFonts w:ascii="宋体" w:hAnsi="宋体" w:cs="宋体"/>
          <w:b/>
          <w:sz w:val="21"/>
          <w:szCs w:val="21"/>
        </w:rPr>
      </w:pP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8.响应文件的解密与评审</w:t>
      </w:r>
      <w:r>
        <w:rPr>
          <w:rFonts w:ascii="宋体" w:hAnsi="宋体" w:cs="宋体"/>
          <w:b/>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8.1采购代理机构按本须知规定的时间、地点主持磋商采购活动。</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8.2供应商通过“苏采云”系统在线参与磋商活动。供应商应当按照《苏采云系统供应商操作手册》规定在 “苏采云”系统规定的时间内对响应文件进行解密。</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8.3在磋商响应文件网上递交截止时间止成功解密的磋商供应商少于三家，则本次采购失败。</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8.4由磋商小组审查供应商解密的响应文件。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磋商小组并非对每个供应商都作澄清要求。</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8.6磋商小组要求供应商澄清、说明或者更正响应文件应当以书面形式做出。供应商的澄清、说明或者更正应当由其单位加盖电子公章。</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8.7对响应文件的审查</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8.7.1响应文件审查分为资格审查和符合性审查。</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8.7.1.1 资格审查：由磋商小组依据法律法规和磋商文件的规定，对响应文件中的资格证明文件进行审查，以确定供应商是否具备参加磋商的资格。</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磋商小组在进行资格审查的同时，将在“信用中国”网站（www.creditchina.gov.cn）查询供应商的信用记录，以确定供应商是否具备磋商资格，查询结果留存并归档。</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8.7.1.2 符合性审查：依据磋商文件的规定，由磋商小组从响应文件的有效性、完整性和对磋商文件的响应程度进行审查，以确定是否对磋商文件的实质性要求作出响应。</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8.7.2在详细评审之前，磋商小组将首先审查每份响应文件是否实质性响应了磋商文件的要求。实质性响应的响应文件应该是与磋商文件要求的条款、条件和规格相符，没有重大偏离或保留。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磋商小组通过“苏采云”系统向供应商发布“磋商函”，供应商应当按照要求在“苏采云”系统提交“磋商响应函”并加盖CA电子公章。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
          <w:sz w:val="21"/>
          <w:szCs w:val="21"/>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Cs/>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已提交响应文件的供应商，在提交最后报价之前，可以根据磋商情况退出磋商，并在“苏采云”系统中提交“退出磋商函”并加盖CA电子公章。</w:t>
      </w:r>
      <w:r>
        <w:rPr>
          <w:rFonts w:ascii="宋体" w:hAnsi="宋体" w:cs="宋体"/>
          <w:b/>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rPr>
          <w:rFonts w:ascii="宋体" w:hAnsi="宋体" w:cs="宋体"/>
          <w:b/>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8.11经磋商确定最终采购需求和提交最后报价的供应商后，由磋商小组采用综合评分法对提交最后报价的供应商的响应文件和最后报价进行综合评分。</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8.12磋商小组根据磋商成交原则确定成交供应商，并将结果通知所有参加磋商的供应商。</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8.13评审过程的保密与公正</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8.13.1磋商小组、采购人和代理公司工作人员、相关监督人员等与评审工作有关的人员，对评审情况以及在评审过程中获悉的国家秘密、商业秘密负有保密责任。</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8.13.2在评审过程中，供应商不得以任何行为影响磋商评审过程，否则其响应文件将被作为无效响应文件。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8.13.3在项目评审期间，代理公司将设专门人员与供应商联系。</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8.13.4 代理公司和磋商小组不向未成交的供应商解释未成交原因，也不公布评审过程中的相关细节。</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8.14如磋商过程中出现本采购文件未尽事宜，由磋商小组根据政府采购有关法律、法规讨论决定。</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9.未实质性响应磋商文件的情形</w:t>
      </w:r>
      <w:r>
        <w:rPr>
          <w:rFonts w:ascii="宋体" w:hAnsi="宋体" w:cs="宋体"/>
          <w:b/>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9.1供应商在苏采云系统规定的时间内未成功解密电子响应文件的。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9.2供应商未按照磋商文件要求上传电子响应文件的。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9.3同一供应商提交两个（含两个）以上不同的响应文件或者最后报价的。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9.4供应商不具备磋商文件中规定资格要求的。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9.5供应商的报价超过了采购预算或最高限价。</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9.6不符合磋商文件中规定的实质性要求和条件的。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9.8响应文件含有采购人不能接受的附加条件的。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9.10响应文件未按照磋商文件要求加盖CA电子公章或签署的。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9.11法律、法规和招标文件规定的其他无效情形。</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9.12未实质性响应磋商文件的响应文件按无效响应处理。</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注：</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①如果响应文件实质上没有响应磋商文件的要求，磋商小组将予以拒绝，供应商不得通过修改或撤销不合要求的偏离或保留而使其成为实质性响应的文件。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②供应商在项目评审全过程中应保持通讯畅通，并安排专人与代理公司及磋商小组联系。</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10.项目的终止</w:t>
      </w:r>
      <w:r>
        <w:rPr>
          <w:rFonts w:ascii="宋体" w:hAnsi="宋体" w:cs="宋体"/>
          <w:b/>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10.1出现下列情形之一的，本次竞争性磋商采购活动将被终止：</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10.1.1因情况变化，不再符合规定的竞争性磋商采购方式适用情形的。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10.1.2出现影响采购公正的违法、违规行为的。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10.1.4在苏采云系统规定时间内成功解密电子响应文件的供应商不足3家的。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10.1.5供应商的报价均超过了采购预算，采购人不能支付的； </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10.1.6因重大变故，采购任务取消的。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10.2供应商应当遵循公平竞争的原则，不得恶意串通，不得妨碍其他供应商的竞争行为，不得损害采购人或者其他供应商的合法权益。</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10.3在评审过程中发现供应商有下述情形的，磋商小组应当认定其响应无效，并书面报告本级财政部门。</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10.4有下列情形之一的，视为供应商串通投标，其响应无效：</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10.4.1不同供应商的响应文件由同一单位或者个人编制；</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10.4.2不同供应商委托同一单位或者个人办理投标事宜；</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10.4.3不同供应商的响应文件载明的项目管理成员或者联系人员为同一人；</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10.4.4不同供应商的响应文件异常一致或者报价呈规律性差异；</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10.4.5不同供应商的响应文件相互混装。</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11.成交</w:t>
      </w:r>
      <w:r>
        <w:rPr>
          <w:rFonts w:ascii="宋体" w:hAnsi="宋体" w:cs="宋体"/>
          <w:b/>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11.1确定成交单位</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11.1.1磋商小组根据磋商成交原则确定成交供应商，并将结果通知所有参加磋商的供应商。</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11.2若有充分证据证明，成交供应商出现下列情况之一的，一经查实，将被取消成交资格：</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11.2.1提供虚假材料谋取成交的。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11.2.2与评审专家、采购人、其他供应商或者代理公司工作人员恶意串通的。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11.2.3向评审专家、采购人或代理公司工作人员行贿或者提供其他不正当利益的。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11.2.4恶意竞争，最后报价明显低于其自身合理成本且又无法提供证明的。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11.2.5不满足本磋商文件规定的实质性要求，但在评审过程中又未被磋商小组发现的。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11.2.6成交后无正当理由拒不与采购人签订政府采购合同或者未按照磋商文件确定的事项签订政府采购合同的。</w:t>
      </w:r>
      <w:r>
        <w:rPr>
          <w:rFonts w:ascii="宋体" w:hAnsi="宋体" w:cs="宋体"/>
          <w:bCs/>
          <w:sz w:val="21"/>
          <w:szCs w:val="21"/>
        </w:rPr>
      </w:r>
      <w:r/>
    </w:p>
    <w:p>
      <w:pPr>
        <w:pStyle w:val="1189"/>
        <w:spacing w:line="440" w:lineRule="exact"/>
        <w:rPr>
          <w:rFonts w:ascii="宋体" w:hAnsi="宋体" w:cs="宋体"/>
          <w:bCs/>
          <w:sz w:val="21"/>
          <w:szCs w:val="21"/>
        </w:rPr>
      </w:pPr>
      <w:r>
        <w:rPr>
          <w:rFonts w:hint="eastAsia" w:ascii="宋体" w:hAnsi="宋体" w:cs="宋体"/>
          <w:bCs/>
          <w:sz w:val="21"/>
          <w:szCs w:val="21"/>
        </w:rPr>
        <w:t xml:space="preserve">11.2.7将政府采购合同转包的。</w:t>
      </w:r>
      <w:r>
        <w:rPr>
          <w:rFonts w:ascii="宋体" w:hAnsi="宋体" w:cs="宋体"/>
          <w:bCs/>
          <w:sz w:val="21"/>
          <w:szCs w:val="21"/>
        </w:rPr>
      </w:r>
      <w:r/>
    </w:p>
    <w:p>
      <w:pPr>
        <w:pStyle w:val="1189"/>
        <w:spacing w:line="440" w:lineRule="exact"/>
        <w:rPr>
          <w:rFonts w:ascii="宋体" w:hAnsi="宋体" w:cs="宋体"/>
          <w:sz w:val="21"/>
          <w:szCs w:val="21"/>
        </w:rPr>
      </w:pPr>
      <w:r>
        <w:rPr>
          <w:rFonts w:ascii="宋体" w:hAnsi="宋体" w:cs="宋体"/>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12.质疑处理</w:t>
      </w:r>
      <w:r>
        <w:rPr>
          <w:rFonts w:ascii="宋体" w:hAnsi="宋体" w:cs="宋体"/>
          <w:b/>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12.2本次采购文件要求供应商在法定质疑期内一次性提出针对同一采购程序环节的质疑，否则不予受理。</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12.3供应商提出质疑应当提交质疑函和必要的证明材料，质疑函应当包括下列内容：</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12.3.1供应商的姓名或者名称（以提供的营业执照副本复印件为准）、地址、邮编、联系人及联系电话；</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12.3.2质疑项目的名称、编号；</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12.3.3具体、明确的质疑事项和与质疑事项相关的请求；</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12.3.4事实依据；</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12.3.5必要的法律依据；</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12.3.6提出质疑的日期。</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rPr>
          <w:rFonts w:ascii="宋体" w:hAnsi="宋体" w:cs="宋体"/>
          <w:sz w:val="21"/>
          <w:szCs w:val="21"/>
        </w:rPr>
      </w:r>
      <w:r/>
    </w:p>
    <w:p>
      <w:pPr>
        <w:pStyle w:val="1189"/>
        <w:ind w:firstLine="422"/>
        <w:spacing w:line="440" w:lineRule="exact"/>
        <w:rPr>
          <w:rFonts w:ascii="宋体" w:hAnsi="宋体" w:cs="宋体"/>
          <w:b/>
          <w:sz w:val="21"/>
          <w:szCs w:val="21"/>
        </w:rPr>
      </w:pPr>
      <w:r>
        <w:rPr>
          <w:rFonts w:hint="eastAsia" w:ascii="宋体" w:hAnsi="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1"/>
          <w:szCs w:val="21"/>
        </w:rPr>
        <w:t xml:space="preserve">。</w:t>
      </w:r>
      <w:r>
        <w:rPr>
          <w:rFonts w:ascii="宋体" w:hAnsi="宋体" w:cs="宋体"/>
          <w:b/>
          <w:sz w:val="21"/>
          <w:szCs w:val="21"/>
        </w:rPr>
      </w:r>
      <w:r/>
    </w:p>
    <w:p>
      <w:pPr>
        <w:pStyle w:val="1189"/>
        <w:spacing w:line="440" w:lineRule="exact"/>
        <w:rPr>
          <w:rFonts w:ascii="宋体" w:hAnsi="宋体" w:cs="宋体"/>
          <w:b/>
          <w:sz w:val="21"/>
          <w:szCs w:val="21"/>
        </w:rPr>
      </w:pPr>
      <w:r>
        <w:rPr>
          <w:rFonts w:hint="eastAsia" w:ascii="宋体" w:hAnsi="宋体" w:cs="宋体"/>
          <w:sz w:val="21"/>
          <w:szCs w:val="21"/>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1"/>
          <w:szCs w:val="21"/>
        </w:rPr>
        <w:t xml:space="preserve">《投标供应商确认函》</w:t>
      </w:r>
      <w:r>
        <w:rPr>
          <w:rFonts w:hint="eastAsia" w:ascii="宋体" w:hAnsi="宋体" w:cs="宋体"/>
          <w:sz w:val="21"/>
          <w:szCs w:val="21"/>
        </w:rPr>
        <w:t xml:space="preserve">）与质疑函一起递交，否则不予受理。</w:t>
      </w:r>
      <w:r>
        <w:rPr>
          <w:rFonts w:ascii="宋体" w:hAnsi="宋体" w:cs="宋体"/>
          <w:b/>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12.5接收质疑函的方式：书面形式（当场送达或邮寄方式）</w:t>
      </w:r>
      <w:r>
        <w:rPr>
          <w:rFonts w:ascii="宋体" w:hAnsi="宋体" w:cs="宋体"/>
          <w:sz w:val="21"/>
          <w:szCs w:val="21"/>
        </w:rPr>
      </w:r>
      <w:r/>
    </w:p>
    <w:p>
      <w:pPr>
        <w:pStyle w:val="1112"/>
        <w:ind w:firstLine="420"/>
        <w:spacing w:line="440" w:lineRule="exact"/>
        <w:rPr>
          <w:rFonts w:ascii="宋体" w:hAnsi="宋体" w:cs="宋体"/>
          <w:szCs w:val="21"/>
          <w:lang w:val="en-US"/>
        </w:rPr>
      </w:pPr>
      <w:r>
        <w:rPr>
          <w:rFonts w:hint="eastAsia" w:ascii="宋体" w:hAnsi="宋体" w:cs="宋体"/>
          <w:szCs w:val="21"/>
        </w:rPr>
        <w:t xml:space="preserve">采购代理机构：</w:t>
      </w:r>
      <w:r>
        <w:rPr>
          <w:rFonts w:hint="eastAsia" w:ascii="宋体" w:hAnsi="宋体" w:cs="宋体"/>
          <w:szCs w:val="21"/>
          <w:lang w:val="en-US"/>
        </w:rPr>
        <w:t xml:space="preserve">苏州市吴江区星辰技术咨询服务有限公司</w:t>
      </w:r>
      <w:r>
        <w:rPr>
          <w:rFonts w:ascii="宋体" w:hAnsi="宋体" w:cs="宋体"/>
          <w:szCs w:val="21"/>
          <w:lang w:val="en-US"/>
        </w:rPr>
      </w:r>
      <w:r/>
    </w:p>
    <w:p>
      <w:pPr>
        <w:pStyle w:val="1112"/>
        <w:ind w:firstLine="420"/>
        <w:spacing w:line="440" w:lineRule="exact"/>
        <w:rPr>
          <w:rFonts w:ascii="宋体" w:hAnsi="宋体" w:cs="宋体"/>
          <w:szCs w:val="21"/>
        </w:rPr>
      </w:pPr>
      <w:r>
        <w:rPr>
          <w:rFonts w:hint="eastAsia" w:ascii="宋体" w:hAnsi="宋体" w:cs="宋体"/>
          <w:szCs w:val="21"/>
        </w:rPr>
        <w:t xml:space="preserve">地址:苏州市吴江区东太湖大道11666号开平商务中心A幢1515室</w:t>
      </w:r>
      <w:r>
        <w:rPr>
          <w:rFonts w:ascii="宋体" w:hAnsi="宋体" w:cs="宋体"/>
          <w:szCs w:val="21"/>
        </w:rPr>
      </w:r>
      <w:r/>
    </w:p>
    <w:p>
      <w:pPr>
        <w:pStyle w:val="1112"/>
        <w:ind w:firstLine="420"/>
        <w:spacing w:line="440" w:lineRule="exact"/>
        <w:rPr>
          <w:rFonts w:ascii="宋体" w:hAnsi="宋体" w:cs="宋体"/>
          <w:szCs w:val="21"/>
        </w:rPr>
      </w:pPr>
      <w:r>
        <w:rPr>
          <w:rFonts w:hint="eastAsia" w:ascii="宋体" w:hAnsi="宋体" w:cs="宋体"/>
          <w:szCs w:val="21"/>
        </w:rPr>
        <w:t xml:space="preserve">联系人：屠超超、杨晓红  </w:t>
      </w:r>
      <w:r>
        <w:rPr>
          <w:rFonts w:ascii="宋体" w:hAnsi="宋体" w:cs="宋体"/>
          <w:szCs w:val="21"/>
        </w:rPr>
      </w:r>
      <w:r/>
    </w:p>
    <w:p>
      <w:pPr>
        <w:pStyle w:val="1112"/>
        <w:ind w:firstLine="420"/>
        <w:spacing w:line="440" w:lineRule="exact"/>
        <w:rPr>
          <w:rFonts w:ascii="宋体" w:hAnsi="宋体" w:cs="宋体"/>
          <w:szCs w:val="21"/>
          <w:lang w:val="en-US"/>
        </w:rPr>
      </w:pPr>
      <w:r>
        <w:rPr>
          <w:rFonts w:hint="eastAsia" w:ascii="宋体" w:hAnsi="宋体" w:cs="宋体"/>
          <w:szCs w:val="21"/>
        </w:rPr>
        <w:t xml:space="preserve">联系电话：</w:t>
      </w:r>
      <w:r>
        <w:rPr>
          <w:rFonts w:hint="eastAsia" w:ascii="宋体" w:hAnsi="宋体" w:cs="宋体"/>
          <w:szCs w:val="21"/>
          <w:lang w:val="en-US"/>
        </w:rPr>
        <w:t xml:space="preserve">0512-81550501</w:t>
      </w:r>
      <w:r>
        <w:rPr>
          <w:rFonts w:ascii="宋体" w:hAnsi="宋体" w:cs="宋体"/>
          <w:szCs w:val="21"/>
          <w:lang w:val="en-US"/>
        </w:rPr>
      </w:r>
      <w:r/>
    </w:p>
    <w:p>
      <w:pPr>
        <w:pStyle w:val="1112"/>
        <w:ind w:firstLine="420"/>
        <w:spacing w:line="440" w:lineRule="exact"/>
        <w:rPr>
          <w:rFonts w:ascii="宋体" w:hAnsi="宋体" w:cs="宋体"/>
          <w:szCs w:val="21"/>
        </w:rPr>
      </w:pPr>
      <w:r>
        <w:rPr>
          <w:rFonts w:hint="eastAsia" w:ascii="宋体" w:hAnsi="宋体" w:cs="宋体"/>
          <w:szCs w:val="21"/>
        </w:rPr>
        <w:t xml:space="preserve">提交方式：书面形式原件（邮寄或当面递交）</w:t>
      </w:r>
      <w:r>
        <w:rPr>
          <w:rFonts w:ascii="宋体" w:hAnsi="宋体" w:cs="宋体"/>
          <w:szCs w:val="21"/>
        </w:rPr>
      </w:r>
      <w:r/>
    </w:p>
    <w:p>
      <w:pPr>
        <w:pStyle w:val="1189"/>
        <w:ind w:firstLine="422"/>
        <w:spacing w:line="440" w:lineRule="exact"/>
        <w:rPr>
          <w:rFonts w:ascii="宋体" w:hAnsi="宋体" w:cs="宋体"/>
          <w:b/>
          <w:sz w:val="21"/>
          <w:szCs w:val="21"/>
        </w:rPr>
      </w:pPr>
      <w:r>
        <w:rPr>
          <w:rFonts w:ascii="宋体" w:hAnsi="宋体" w:cs="宋体"/>
          <w:b/>
          <w:sz w:val="21"/>
          <w:szCs w:val="21"/>
        </w:rPr>
      </w:r>
      <w:r/>
    </w:p>
    <w:p>
      <w:pPr>
        <w:pStyle w:val="1189"/>
        <w:ind w:firstLine="422"/>
        <w:spacing w:line="440" w:lineRule="exact"/>
        <w:rPr>
          <w:rFonts w:ascii="宋体" w:hAnsi="宋体" w:cs="宋体"/>
          <w:b/>
          <w:bCs/>
          <w:sz w:val="21"/>
          <w:szCs w:val="21"/>
        </w:rPr>
      </w:pPr>
      <w:r>
        <w:rPr>
          <w:rFonts w:hint="eastAsia" w:ascii="宋体" w:hAnsi="宋体" w:cs="宋体"/>
          <w:b/>
          <w:bCs/>
          <w:sz w:val="21"/>
          <w:szCs w:val="21"/>
        </w:rPr>
        <w:t xml:space="preserve">13.响应无效和终止磋商活动条款</w:t>
      </w:r>
      <w:r>
        <w:rPr>
          <w:rFonts w:ascii="宋体" w:hAnsi="宋体" w:cs="宋体"/>
          <w:b/>
          <w:bCs/>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13.1响应人存在下列情况之一的，响应无效:</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13.1.1未按照竞争性磋商文件规定要求签署、盖章的；</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13.1.2供应商不具备竞争性磋商文件中规定资格条件的；</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13.1.3报价超过磋商文件中规定的预算金额或者最高限价的；</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13.1.4响应文件含有采购人不能接受的附加条件；</w:t>
      </w:r>
      <w:r>
        <w:rPr>
          <w:rFonts w:ascii="宋体" w:hAnsi="宋体" w:cs="宋体"/>
          <w:sz w:val="21"/>
          <w:szCs w:val="21"/>
        </w:rPr>
      </w:r>
      <w:r/>
    </w:p>
    <w:p>
      <w:pPr>
        <w:pStyle w:val="1118"/>
        <w:ind w:firstLine="420"/>
        <w:spacing w:line="440" w:lineRule="exact"/>
        <w:rPr>
          <w:rFonts w:ascii="宋体" w:hAnsi="宋体" w:cs="宋体"/>
          <w:sz w:val="21"/>
          <w:szCs w:val="21"/>
        </w:rPr>
      </w:pPr>
      <w:r>
        <w:rPr>
          <w:rFonts w:hint="eastAsia" w:ascii="宋体" w:hAnsi="宋体" w:cs="宋体"/>
          <w:sz w:val="21"/>
          <w:szCs w:val="21"/>
        </w:rPr>
        <w:t xml:space="preserve">13.1.5因磋商响应单位自身原因导致网上磋商响应文件无法递交的其他情况；</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13.1.6不符合法律、法规和竞争性磋商文件中规定的其他实质性要求的；</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13.1.7法律、法规及本竞争性磋商文件规定的其他无效的情形。</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13.2响应人应当遵循公平竞争的原则，不得恶意串通，不得妨碍其他响应人的竞争行为，不得损害采购人或者其他响应人的合法权益。</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磋商在过程中发现响应人有上述情形的，磋商小组应当认定其响应无效，并书面报告本级财政部门。</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13.3有下列情形之一的，视为响应人恶意串通，其响应无效：</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13.3.1不同响应人的响应文件由同一单位或者个人编制；</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13.3.2不同响应人委托同一单位或者个人办理磋商事宜；</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13.3.3不同响应人的响应文件载明的项目管理成员或者联系人员为同一人；</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13.3.4不同响应人的响应文件异常一致或者报价呈规律性差异；</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13.3.5不同响应人的响应文件相互混装；</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13.4终止竞争性磋商采购活动的条款</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出现下列情形之一的，采购代理机构将终止竞争性磋商采购活动，发布项目终止公告并说明原因，重新开展采购活动：</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13.4.1因情况变化，不再符合规定的竞争性磋商采购方式适用情形的；</w:t>
      </w:r>
      <w:r>
        <w:rPr>
          <w:rFonts w:ascii="宋体" w:hAnsi="宋体" w:cs="宋体"/>
          <w:sz w:val="21"/>
          <w:szCs w:val="21"/>
        </w:rPr>
      </w:r>
      <w:r/>
    </w:p>
    <w:p>
      <w:pPr>
        <w:pStyle w:val="1189"/>
        <w:spacing w:line="440" w:lineRule="exact"/>
        <w:rPr>
          <w:rFonts w:ascii="宋体" w:hAnsi="宋体" w:cs="宋体"/>
          <w:sz w:val="21"/>
          <w:szCs w:val="21"/>
        </w:rPr>
      </w:pPr>
      <w:r>
        <w:rPr>
          <w:rFonts w:hint="eastAsia" w:ascii="宋体" w:hAnsi="宋体" w:cs="宋体"/>
          <w:sz w:val="21"/>
          <w:szCs w:val="21"/>
        </w:rPr>
        <w:t xml:space="preserve">13.4.2出现影响采购公正的违法、违规行为的；</w:t>
      </w:r>
      <w:r>
        <w:rPr>
          <w:rFonts w:ascii="宋体" w:hAnsi="宋体" w:cs="宋体"/>
          <w:sz w:val="21"/>
          <w:szCs w:val="21"/>
        </w:rPr>
      </w:r>
      <w:r/>
    </w:p>
    <w:p>
      <w:pPr>
        <w:pStyle w:val="1189"/>
        <w:jc w:val="both"/>
        <w:spacing w:line="440" w:lineRule="exact"/>
        <w:rPr>
          <w:rFonts w:ascii="宋体" w:hAnsi="宋体" w:cs="宋体"/>
          <w:sz w:val="21"/>
          <w:szCs w:val="21"/>
        </w:rPr>
      </w:pPr>
      <w:r>
        <w:rPr>
          <w:rFonts w:hint="eastAsia" w:ascii="宋体" w:hAnsi="宋体" w:cs="宋体"/>
          <w:sz w:val="21"/>
          <w:szCs w:val="21"/>
        </w:rPr>
        <w:t xml:space="preserve">13.4.3在采购过程中符合要求的供应商或者报价未超过采购预算的供应商不足3家的。</w:t>
      </w:r>
      <w:r>
        <w:rPr>
          <w:rFonts w:ascii="宋体" w:hAnsi="宋体" w:cs="宋体"/>
          <w:sz w:val="21"/>
          <w:szCs w:val="21"/>
        </w:rPr>
      </w:r>
      <w:r/>
    </w:p>
    <w:p>
      <w:pPr>
        <w:pStyle w:val="842"/>
        <w:ind w:firstLine="422"/>
        <w:spacing w:line="440" w:lineRule="exact"/>
        <w:tabs>
          <w:tab w:val="left" w:pos="420" w:leader="none"/>
        </w:tabs>
        <w:rPr>
          <w:rFonts w:ascii="宋体" w:hAnsi="宋体" w:cs="宋体"/>
          <w:b/>
          <w:bCs/>
          <w:szCs w:val="21"/>
        </w:rPr>
      </w:pPr>
      <w:r>
        <w:rPr>
          <w:rFonts w:ascii="宋体" w:hAnsi="宋体" w:cs="宋体"/>
          <w:b/>
          <w:bCs/>
          <w:szCs w:val="21"/>
        </w:rPr>
      </w:r>
      <w:r/>
    </w:p>
    <w:p>
      <w:pPr>
        <w:pStyle w:val="1189"/>
        <w:ind w:firstLine="422"/>
        <w:spacing w:line="440" w:lineRule="exact"/>
        <w:rPr>
          <w:rFonts w:ascii="宋体" w:hAnsi="宋体" w:cs="宋体"/>
          <w:b/>
          <w:bCs/>
          <w:sz w:val="21"/>
          <w:szCs w:val="21"/>
        </w:rPr>
      </w:pPr>
      <w:r>
        <w:rPr>
          <w:rFonts w:hint="eastAsia" w:ascii="宋体" w:hAnsi="宋体" w:cs="宋体"/>
          <w:b/>
          <w:bCs/>
          <w:sz w:val="21"/>
          <w:szCs w:val="21"/>
        </w:rPr>
        <w:t xml:space="preserve">14.政府采购政策（如涉及）</w:t>
      </w:r>
      <w:r>
        <w:rPr>
          <w:rFonts w:ascii="宋体" w:hAnsi="宋体" w:cs="宋体"/>
          <w:b/>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14.3、关于节能环保产品政府采购按《关于调整优化节能产品、环境标志产品政府采购执行机制的通知》（财库〔2019〕9号）、苏财购〔2019〕10号规定执行。</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14.4、根</w:t>
      </w:r>
      <w:r>
        <w:rPr>
          <w:rFonts w:hint="eastAsia" w:ascii="宋体" w:hAnsi="宋体" w:cs="宋体"/>
          <w:bCs/>
          <w:sz w:val="21"/>
          <w:szCs w:val="21"/>
        </w:rPr>
        <w:t xml:space="preserve">据《关于推动解决政府采购异常低价问题相关工作的通知》（苏财购〔2025〕62号）、《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14.5、进一步明确政府采购促进残疾人就业政策</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14.6、进一步明确政府采购支持监狱企业发展政策</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14.7小、微企业</w:t>
      </w:r>
      <w:r>
        <w:rPr>
          <w:rFonts w:ascii="宋体" w:hAnsi="宋体" w:cs="宋体"/>
          <w:bCs/>
          <w:sz w:val="21"/>
          <w:szCs w:val="21"/>
        </w:rPr>
      </w:r>
      <w:r/>
    </w:p>
    <w:p>
      <w:pPr>
        <w:pStyle w:val="1189"/>
        <w:ind w:firstLine="422"/>
        <w:spacing w:line="440" w:lineRule="exact"/>
        <w:rPr>
          <w:rFonts w:ascii="宋体" w:hAnsi="宋体" w:cs="宋体"/>
          <w:bCs/>
          <w:sz w:val="21"/>
          <w:szCs w:val="21"/>
        </w:rPr>
      </w:pPr>
      <w:r>
        <w:rPr>
          <w:rFonts w:hint="eastAsia" w:ascii="宋体" w:hAnsi="宋体" w:cs="宋体"/>
          <w:bCs/>
          <w:sz w:val="21"/>
          <w:szCs w:val="21"/>
        </w:rPr>
        <w:t xml:space="preserve">根据《政府采购促进中小企业发展管理办法》（财库〔2020〕46号）、《关于做好政府采购支持企业发展有关</w:t>
      </w:r>
      <w:r>
        <w:rPr>
          <w:rFonts w:hint="eastAsia" w:ascii="宋体" w:hAnsi="宋体" w:cs="宋体"/>
          <w:bCs/>
          <w:sz w:val="21"/>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sz w:val="21"/>
          <w:szCs w:val="21"/>
        </w:rPr>
      </w:r>
      <w:r/>
    </w:p>
    <w:p>
      <w:pPr>
        <w:pStyle w:val="842"/>
        <w:ind w:firstLine="422"/>
        <w:spacing w:line="440" w:lineRule="exact"/>
        <w:tabs>
          <w:tab w:val="left" w:pos="420" w:leader="none"/>
        </w:tabs>
        <w:rPr>
          <w:rFonts w:ascii="宋体" w:hAnsi="宋体" w:cs="宋体"/>
          <w:b/>
          <w:bCs/>
          <w:szCs w:val="21"/>
        </w:rPr>
      </w:pPr>
      <w:r>
        <w:rPr>
          <w:rFonts w:ascii="宋体" w:hAnsi="宋体" w:cs="宋体"/>
          <w:b/>
          <w:bCs/>
          <w:szCs w:val="21"/>
        </w:rPr>
      </w:r>
      <w:r/>
    </w:p>
    <w:p>
      <w:pPr>
        <w:pStyle w:val="842"/>
        <w:ind w:firstLine="422"/>
        <w:spacing w:line="440" w:lineRule="exact"/>
        <w:tabs>
          <w:tab w:val="left" w:pos="420" w:leader="none"/>
        </w:tabs>
        <w:rPr>
          <w:rFonts w:ascii="宋体" w:hAnsi="宋体" w:cs="宋体"/>
          <w:b/>
          <w:bCs/>
          <w:szCs w:val="21"/>
        </w:rPr>
      </w:pPr>
      <w:r>
        <w:rPr>
          <w:rFonts w:hint="eastAsia" w:ascii="宋体" w:hAnsi="宋体" w:cs="宋体"/>
          <w:b/>
          <w:bCs/>
          <w:szCs w:val="21"/>
        </w:rPr>
        <w:t xml:space="preserve">15.关于对参与供应商信用记录的政府采购要求</w:t>
      </w:r>
      <w:r>
        <w:rPr>
          <w:rFonts w:ascii="宋体" w:hAnsi="宋体" w:cs="宋体"/>
          <w:b/>
          <w:bCs/>
          <w:szCs w:val="21"/>
        </w:rPr>
      </w:r>
      <w:r/>
    </w:p>
    <w:p>
      <w:pPr>
        <w:pStyle w:val="842"/>
        <w:ind w:firstLine="420"/>
        <w:spacing w:line="440" w:lineRule="exact"/>
        <w:tabs>
          <w:tab w:val="left" w:pos="420" w:leader="none"/>
        </w:tabs>
        <w:rPr>
          <w:rFonts w:ascii="宋体" w:hAnsi="宋体" w:cs="宋体"/>
          <w:szCs w:val="21"/>
        </w:rPr>
      </w:pPr>
      <w:r>
        <w:rPr>
          <w:rFonts w:hint="eastAsia" w:ascii="宋体" w:hAnsi="宋体" w:cs="宋体"/>
          <w:szCs w:val="21"/>
        </w:rPr>
        <w:t xml:space="preserve">15.1采购代理机构会在接收响应文件截止时间后，实时查询“信用中国”相关主体信用记录，并将查询结果递交评审小组并留档。</w:t>
      </w:r>
      <w:r>
        <w:rPr>
          <w:rFonts w:ascii="宋体" w:hAnsi="宋体" w:cs="宋体"/>
          <w:szCs w:val="21"/>
        </w:rPr>
      </w:r>
      <w:r/>
    </w:p>
    <w:p>
      <w:pPr>
        <w:pStyle w:val="842"/>
        <w:ind w:firstLine="420"/>
        <w:spacing w:line="440" w:lineRule="exact"/>
        <w:tabs>
          <w:tab w:val="left" w:pos="567" w:leader="none"/>
        </w:tabs>
        <w:rPr>
          <w:rFonts w:ascii="宋体" w:hAnsi="宋体" w:cs="宋体"/>
          <w:szCs w:val="21"/>
        </w:rPr>
      </w:pPr>
      <w:r>
        <w:rPr>
          <w:rFonts w:hint="eastAsia" w:ascii="宋体" w:hAnsi="宋体" w:cs="宋体"/>
          <w:szCs w:val="21"/>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rPr>
      </w:r>
      <w:r/>
    </w:p>
    <w:p>
      <w:pPr>
        <w:pStyle w:val="842"/>
        <w:ind w:firstLine="420"/>
        <w:spacing w:line="440" w:lineRule="exact"/>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Cs w:val="21"/>
        </w:rPr>
      </w:r>
      <w:r/>
    </w:p>
    <w:p>
      <w:pPr>
        <w:pStyle w:val="842"/>
        <w:ind w:firstLine="420"/>
        <w:spacing w:line="440" w:lineRule="exact"/>
        <w:tabs>
          <w:tab w:val="left" w:pos="567" w:leader="none"/>
        </w:tabs>
        <w:rPr>
          <w:rFonts w:ascii="宋体" w:hAnsi="宋体" w:cs="宋体"/>
          <w:szCs w:val="21"/>
        </w:rPr>
      </w:pPr>
      <w:r>
        <w:rPr>
          <w:rFonts w:hint="eastAsia" w:ascii="宋体" w:hAnsi="宋体" w:cs="宋体"/>
          <w:szCs w:val="21"/>
        </w:rPr>
        <w:t xml:space="preserve">15.3供应商若在经营活动中受到罚款的，请携带相关地方、部门对较大数额认定标准的证明材料，与响应文件一并提交。若无法提供，则可能承担响应无效等相应不利后果。</w:t>
      </w:r>
      <w:r>
        <w:rPr>
          <w:rFonts w:ascii="宋体" w:hAnsi="宋体" w:cs="宋体"/>
          <w:szCs w:val="21"/>
        </w:rPr>
      </w:r>
      <w:r/>
    </w:p>
    <w:p>
      <w:pPr>
        <w:pStyle w:val="842"/>
        <w:ind w:firstLine="420"/>
        <w:spacing w:line="440" w:lineRule="exact"/>
        <w:tabs>
          <w:tab w:val="left" w:pos="420" w:leader="none"/>
        </w:tabs>
        <w:rPr>
          <w:rFonts w:ascii="宋体" w:hAnsi="宋体" w:cs="宋体"/>
          <w:szCs w:val="21"/>
        </w:rPr>
      </w:pPr>
      <w:r>
        <w:rPr>
          <w:rFonts w:hint="eastAsia" w:ascii="宋体" w:hAnsi="宋体" w:cs="宋体"/>
          <w:szCs w:val="21"/>
        </w:rPr>
        <w:t xml:space="preserve">15.4对存在失信信息的供应商，由失信供应商进行确认。同时，采购代理机构工作人员应根据评审小组确认的失信信息，登陆到相关来源网站页面进行复核并打印，作为证据留存。</w:t>
      </w:r>
      <w:r>
        <w:rPr>
          <w:rFonts w:ascii="宋体" w:hAnsi="宋体" w:cs="宋体"/>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
          <w:szCs w:val="21"/>
        </w:rPr>
      </w:pPr>
      <w:r>
        <w:rPr>
          <w:rFonts w:hint="eastAsia" w:ascii="宋体" w:hAnsi="宋体" w:cs="宋体"/>
          <w:b/>
          <w:szCs w:val="21"/>
        </w:rPr>
        <w:t xml:space="preserve">16.合同的签订</w:t>
      </w:r>
      <w:r>
        <w:rPr>
          <w:rFonts w:ascii="宋体" w:hAnsi="宋体" w:cs="宋体"/>
          <w:b/>
          <w:szCs w:val="21"/>
        </w:rPr>
      </w:r>
      <w:r/>
    </w:p>
    <w:p>
      <w:pPr>
        <w:pStyle w:val="1187"/>
        <w:ind w:firstLine="420"/>
        <w:jc w:val="both"/>
        <w:spacing w:before="0" w:beforeAutospacing="0" w:after="0" w:afterAutospacing="0" w:line="440" w:lineRule="exact"/>
        <w:widowControl w:val="off"/>
        <w:rPr>
          <w:sz w:val="21"/>
          <w:szCs w:val="21"/>
        </w:rPr>
      </w:pPr>
      <w:r>
        <w:rPr>
          <w:rFonts w:hint="eastAsia"/>
          <w:sz w:val="21"/>
          <w:szCs w:val="21"/>
        </w:rPr>
        <w:t xml:space="preserve">16.1.成交供应商应按成交通知书中规定的时间和地点，与采购人签订合同。</w:t>
      </w:r>
      <w:r>
        <w:rPr>
          <w:sz w:val="21"/>
          <w:szCs w:val="21"/>
        </w:rPr>
      </w:r>
      <w:r/>
    </w:p>
    <w:p>
      <w:pPr>
        <w:pStyle w:val="1187"/>
        <w:ind w:firstLine="420"/>
        <w:jc w:val="both"/>
        <w:spacing w:before="0" w:beforeAutospacing="0" w:after="0" w:afterAutospacing="0" w:line="44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rPr>
          <w:sz w:val="21"/>
          <w:szCs w:val="21"/>
        </w:rPr>
      </w:r>
      <w:r/>
    </w:p>
    <w:p>
      <w:pPr>
        <w:pStyle w:val="842"/>
        <w:ind w:firstLine="422"/>
        <w:spacing w:line="44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szCs w:val="21"/>
        </w:rPr>
      </w:r>
      <w:r/>
    </w:p>
    <w:p>
      <w:pPr>
        <w:pStyle w:val="1187"/>
        <w:ind w:firstLine="422"/>
        <w:jc w:val="both"/>
        <w:spacing w:before="0" w:beforeAutospacing="0" w:after="0" w:afterAutospacing="0" w:line="440" w:lineRule="exact"/>
        <w:rPr>
          <w:b/>
          <w:sz w:val="21"/>
          <w:szCs w:val="21"/>
        </w:rPr>
      </w:pPr>
      <w:r>
        <w:rPr>
          <w:b/>
          <w:sz w:val="21"/>
          <w:szCs w:val="21"/>
        </w:rPr>
      </w:r>
      <w:r/>
    </w:p>
    <w:p>
      <w:pPr>
        <w:pStyle w:val="1187"/>
        <w:ind w:firstLine="422"/>
        <w:jc w:val="both"/>
        <w:spacing w:before="0" w:beforeAutospacing="0" w:after="0" w:afterAutospacing="0" w:line="440" w:lineRule="exact"/>
        <w:rPr>
          <w:bCs/>
          <w:sz w:val="21"/>
          <w:szCs w:val="21"/>
        </w:rPr>
      </w:pPr>
      <w:r>
        <w:rPr>
          <w:rFonts w:hint="eastAsia"/>
          <w:b/>
          <w:sz w:val="21"/>
          <w:szCs w:val="21"/>
        </w:rPr>
        <w:t xml:space="preserve">17.磋商保证金：</w:t>
      </w:r>
      <w:r>
        <w:rPr>
          <w:rFonts w:hint="eastAsia"/>
          <w:bCs/>
          <w:sz w:val="21"/>
          <w:szCs w:val="21"/>
        </w:rPr>
        <w:t xml:space="preserve">本项目不收取保证金，但需在响应文件中提供《</w:t>
      </w:r>
      <w:r>
        <w:rPr>
          <w:rFonts w:hint="eastAsia"/>
          <w:bCs/>
          <w:sz w:val="21"/>
          <w:szCs w:val="21"/>
          <w:lang w:val="zh-CN"/>
        </w:rPr>
        <w:t xml:space="preserve">投标（响应）保证承诺书》。</w:t>
      </w:r>
      <w:r>
        <w:rPr>
          <w:bCs/>
          <w:sz w:val="21"/>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Cs/>
          <w:szCs w:val="21"/>
        </w:rPr>
      </w:pPr>
      <w:r>
        <w:rPr>
          <w:rFonts w:hint="eastAsia" w:ascii="宋体" w:hAnsi="宋体" w:cs="宋体"/>
          <w:b/>
          <w:szCs w:val="21"/>
        </w:rPr>
        <w:t xml:space="preserve">18.代理服务费：</w:t>
      </w:r>
      <w:r>
        <w:rPr>
          <w:rFonts w:hint="eastAsia" w:ascii="宋体" w:hAnsi="宋体" w:cs="宋体"/>
          <w:szCs w:val="21"/>
          <w:lang w:val="zh-CN"/>
        </w:rPr>
        <w:t xml:space="preserve">按差额定率累进法</w:t>
      </w:r>
      <w:r>
        <w:rPr>
          <w:rFonts w:hint="eastAsia" w:ascii="宋体" w:hAnsi="宋体" w:cs="宋体"/>
          <w:szCs w:val="21"/>
        </w:rPr>
        <w:t xml:space="preserve">分标段</w:t>
      </w:r>
      <w:r>
        <w:rPr>
          <w:rFonts w:hint="eastAsia" w:ascii="宋体" w:hAnsi="宋体" w:cs="宋体"/>
          <w:szCs w:val="21"/>
          <w:lang w:val="zh-CN"/>
        </w:rPr>
        <w:t xml:space="preserve">计算收取，</w:t>
      </w:r>
      <w:r>
        <w:rPr>
          <w:rFonts w:hint="eastAsia" w:ascii="宋体" w:hAnsi="宋体" w:cs="宋体"/>
          <w:szCs w:val="21"/>
        </w:rPr>
        <w:t xml:space="preserve">成交</w:t>
      </w:r>
      <w:r>
        <w:rPr>
          <w:rFonts w:hint="eastAsia" w:ascii="宋体" w:hAnsi="宋体" w:cs="宋体"/>
          <w:szCs w:val="21"/>
          <w:lang w:val="zh-CN"/>
        </w:rPr>
        <w:t xml:space="preserve">单位在领取</w:t>
      </w:r>
      <w:r>
        <w:rPr>
          <w:rFonts w:hint="eastAsia" w:ascii="宋体" w:hAnsi="宋体" w:cs="宋体"/>
          <w:szCs w:val="21"/>
        </w:rPr>
        <w:t xml:space="preserve">成交</w:t>
      </w:r>
      <w:r>
        <w:rPr>
          <w:rFonts w:hint="eastAsia" w:ascii="宋体" w:hAnsi="宋体" w:cs="宋体"/>
          <w:szCs w:val="21"/>
          <w:lang w:val="zh-CN"/>
        </w:rPr>
        <w:t xml:space="preserve">通知书时向采购代理机构一次性付清。预算金额100万以下费率为预算金额的1.5%；预算金额100万（含）-500万费率为预算金额的1.1%；</w:t>
      </w:r>
      <w:r>
        <w:rPr>
          <w:rFonts w:hint="eastAsia" w:ascii="宋体" w:hAnsi="宋体"/>
          <w:color w:val="ff0000"/>
          <w:szCs w:val="21"/>
        </w:rPr>
        <w:t xml:space="preserve">本项目经中介超市最低限价竞价选取，招标代理费为19000元，</w:t>
      </w:r>
      <w:r>
        <w:rPr>
          <w:rFonts w:hint="eastAsia" w:ascii="宋体" w:hAnsi="宋体"/>
          <w:color w:val="ff0000"/>
          <w:szCs w:val="21"/>
        </w:rPr>
        <w:t xml:space="preserve">根据采购代理协议约定</w:t>
      </w:r>
      <w:r>
        <w:rPr>
          <w:rFonts w:hint="eastAsia" w:ascii="宋体" w:hAnsi="宋体"/>
          <w:color w:val="ff0000"/>
          <w:szCs w:val="21"/>
        </w:rPr>
        <w:t xml:space="preserve">由中标成交单位支付。</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服务费交纳账户：苏州市吴江区星辰技术咨询服务有限公司</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账号：</w:t>
      </w:r>
      <w:r>
        <w:rPr>
          <w:rFonts w:hint="eastAsia" w:ascii="宋体" w:hAnsi="宋体" w:cs="宋体"/>
          <w:szCs w:val="21"/>
        </w:rPr>
        <w:t xml:space="preserve">32250199763600006382</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开户银行：</w:t>
      </w:r>
      <w:r>
        <w:rPr>
          <w:rFonts w:hint="eastAsia" w:ascii="宋体" w:hAnsi="宋体" w:cs="宋体"/>
          <w:szCs w:val="21"/>
        </w:rPr>
        <w:t xml:space="preserve">中国建设银行股份有限公司苏州长三角一体化示范区分行</w:t>
      </w:r>
      <w:r>
        <w:rPr>
          <w:rFonts w:ascii="宋体" w:hAnsi="宋体" w:cs="宋体"/>
          <w:bCs/>
          <w:szCs w:val="21"/>
        </w:rPr>
      </w:r>
      <w:r/>
    </w:p>
    <w:p>
      <w:pPr>
        <w:pStyle w:val="842"/>
        <w:ind w:firstLine="422"/>
        <w:spacing w:line="440" w:lineRule="exact"/>
        <w:rPr>
          <w:rFonts w:ascii="宋体" w:hAnsi="宋体" w:cs="宋体"/>
          <w:b/>
          <w:szCs w:val="21"/>
        </w:rPr>
      </w:pPr>
      <w:r>
        <w:rPr>
          <w:rFonts w:ascii="宋体" w:hAnsi="宋体" w:cs="宋体"/>
          <w:b/>
          <w:szCs w:val="21"/>
        </w:rPr>
      </w:r>
      <w:r/>
    </w:p>
    <w:p>
      <w:pPr>
        <w:pStyle w:val="842"/>
        <w:ind w:firstLine="422"/>
        <w:spacing w:line="440" w:lineRule="exact"/>
        <w:rPr>
          <w:rFonts w:ascii="宋体" w:hAnsi="宋体" w:cs="宋体"/>
          <w:b/>
          <w:szCs w:val="21"/>
        </w:rPr>
      </w:pPr>
      <w:r>
        <w:rPr>
          <w:rFonts w:hint="eastAsia" w:ascii="宋体" w:hAnsi="宋体" w:cs="宋体"/>
          <w:b/>
          <w:szCs w:val="21"/>
        </w:rPr>
        <w:t xml:space="preserve">19.磋商说明：</w:t>
      </w:r>
      <w:r>
        <w:rPr>
          <w:rFonts w:ascii="宋体" w:hAnsi="宋体" w:cs="宋体"/>
          <w:b/>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19.1不符合供应商资格要求的响应文件将被拒绝；</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19.2参加磋商的供应商必须</w:t>
      </w:r>
      <w:r>
        <w:rPr>
          <w:rFonts w:hint="eastAsia" w:ascii="宋体" w:hAnsi="宋体" w:cs="宋体"/>
          <w:szCs w:val="21"/>
        </w:rPr>
        <w:t xml:space="preserve">法定代表人或授权委托人</w:t>
      </w:r>
      <w:r>
        <w:rPr>
          <w:rFonts w:hint="eastAsia" w:ascii="宋体" w:hAnsi="宋体" w:cs="宋体"/>
          <w:bCs/>
          <w:szCs w:val="21"/>
        </w:rPr>
        <w:t xml:space="preserve">；</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19.3响应文件签署不符合要求的，响应文件将被拒绝；</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19.4最终报价超过采购预算的，不能成交；</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19.5不实质性响应磋商文件的不能成交；</w:t>
      </w:r>
      <w:r>
        <w:rPr>
          <w:rFonts w:ascii="宋体" w:hAnsi="宋体" w:cs="宋体"/>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19.6各标段实质性响应磋商文件不满三家或进入二次报价的不满三家或二次报价在采购预算内不满三家的，磋商采购失败。</w:t>
      </w:r>
      <w:r>
        <w:rPr>
          <w:rFonts w:ascii="宋体" w:hAnsi="宋体" w:cs="宋体"/>
          <w:bCs/>
          <w:szCs w:val="21"/>
        </w:rPr>
      </w:r>
      <w:r/>
    </w:p>
    <w:p>
      <w:pPr>
        <w:pStyle w:val="842"/>
        <w:ind w:firstLine="420"/>
        <w:spacing w:line="440" w:lineRule="exact"/>
        <w:rPr>
          <w:rFonts w:ascii="宋体" w:hAnsi="宋体" w:cs="宋体"/>
          <w:b/>
          <w:bCs/>
          <w:szCs w:val="21"/>
        </w:rPr>
      </w:pPr>
      <w:r>
        <w:rPr>
          <w:rFonts w:hint="eastAsia" w:ascii="宋体" w:hAnsi="宋体" w:cs="宋体"/>
          <w:b/>
          <w:bCs/>
          <w:szCs w:val="21"/>
        </w:rPr>
        <w:t xml:space="preserve">20.未尽事宜：按《中华人民共和国政府采购法》及其他有关的法律法规的规定执行。</w:t>
      </w:r>
      <w:r>
        <w:rPr>
          <w:rFonts w:ascii="宋体" w:hAnsi="宋体" w:cs="宋体"/>
          <w:b/>
          <w:bCs/>
          <w:szCs w:val="21"/>
        </w:rPr>
      </w:r>
      <w:r/>
    </w:p>
    <w:p>
      <w:pPr>
        <w:pStyle w:val="842"/>
        <w:ind w:firstLine="420"/>
        <w:spacing w:line="440" w:lineRule="exact"/>
        <w:rPr>
          <w:rFonts w:ascii="宋体" w:hAnsi="宋体" w:cs="宋体"/>
          <w:b/>
          <w:bCs/>
          <w:szCs w:val="21"/>
        </w:rPr>
      </w:pPr>
      <w:r>
        <w:rPr>
          <w:rFonts w:hint="eastAsia" w:ascii="宋体" w:hAnsi="宋体" w:cs="宋体"/>
          <w:b/>
          <w:bCs/>
          <w:szCs w:val="21"/>
        </w:rPr>
        <w:t xml:space="preserve">21.对供应商的机器码检查</w:t>
      </w:r>
      <w:r>
        <w:rPr>
          <w:rFonts w:ascii="宋体" w:hAnsi="宋体" w:cs="宋体"/>
          <w:b/>
          <w:bCs/>
          <w:szCs w:val="21"/>
        </w:rPr>
      </w:r>
      <w:r/>
    </w:p>
    <w:p>
      <w:pPr>
        <w:pStyle w:val="842"/>
        <w:ind w:firstLine="420"/>
        <w:spacing w:line="440" w:lineRule="exact"/>
        <w:rPr>
          <w:rFonts w:ascii="宋体" w:hAnsi="宋体" w:cs="宋体"/>
          <w:bCs/>
          <w:szCs w:val="21"/>
        </w:rPr>
      </w:pPr>
      <w:r>
        <w:rPr>
          <w:rFonts w:hint="eastAsia" w:ascii="宋体" w:hAnsi="宋体" w:cs="宋体"/>
          <w:bCs/>
          <w:szCs w:val="21"/>
        </w:rPr>
        <w:t xml:space="preserve">机器码检查中，出现不同供应商响应文件机器码一致情形的，响应文件将被认定为无效响应；</w:t>
      </w:r>
      <w:r>
        <w:rPr>
          <w:rFonts w:ascii="宋体" w:hAnsi="宋体" w:cs="宋体"/>
          <w:bCs/>
          <w:szCs w:val="21"/>
        </w:rPr>
      </w:r>
      <w:r/>
    </w:p>
    <w:p>
      <w:pPr>
        <w:pStyle w:val="842"/>
        <w:ind w:firstLine="420"/>
        <w:spacing w:line="440" w:lineRule="exact"/>
        <w:rPr>
          <w:rFonts w:ascii="宋体" w:hAnsi="宋体" w:cs="宋体"/>
          <w:b/>
          <w:bCs/>
          <w:szCs w:val="21"/>
        </w:rPr>
      </w:pPr>
      <w:r>
        <w:rPr>
          <w:rFonts w:hint="eastAsia" w:ascii="宋体" w:hAnsi="宋体" w:cs="宋体"/>
          <w:b/>
          <w:bCs/>
          <w:szCs w:val="21"/>
        </w:rPr>
        <w:t xml:space="preserve">22.备注：本文件打“★”为实质性条款，不可负偏离，如负偏离响应文件无效。</w:t>
      </w:r>
      <w:r>
        <w:rPr>
          <w:rFonts w:ascii="宋体" w:hAnsi="宋体" w:cs="宋体"/>
          <w:b/>
          <w:bCs/>
          <w:szCs w:val="21"/>
        </w:rPr>
      </w:r>
      <w:r/>
    </w:p>
    <w:p>
      <w:pPr>
        <w:pStyle w:val="842"/>
        <w:ind w:firstLine="420"/>
        <w:spacing w:line="440" w:lineRule="exact"/>
        <w:rPr>
          <w:rFonts w:ascii="宋体" w:hAnsi="宋体" w:cs="宋体"/>
          <w:bCs/>
          <w:szCs w:val="21"/>
        </w:rPr>
      </w:pPr>
      <w:r>
        <w:rPr>
          <w:rFonts w:ascii="宋体" w:hAnsi="宋体" w:cs="宋体"/>
          <w:bCs/>
          <w:szCs w:val="21"/>
        </w:rPr>
      </w:r>
      <w:r/>
    </w:p>
    <w:p>
      <w:pPr>
        <w:pStyle w:val="842"/>
        <w:jc w:val="center"/>
        <w:rPr>
          <w:rFonts w:ascii="宋体" w:hAnsi="宋体" w:cs="宋体"/>
        </w:rPr>
      </w:pPr>
      <w:r/>
      <w:bookmarkEnd w:id="20"/>
      <w:r/>
      <w:bookmarkStart w:id="21" w:name="_Toc705"/>
      <w:r/>
      <w:bookmarkStart w:id="22" w:name="_Toc18546"/>
      <w:r>
        <w:rPr>
          <w:rStyle w:val="881"/>
          <w:rFonts w:hint="eastAsia" w:ascii="宋体" w:hAnsi="宋体" w:cs="宋体"/>
        </w:rPr>
        <w:br w:type="page" w:clear="all"/>
      </w:r>
      <w:r>
        <w:rPr>
          <w:rStyle w:val="881"/>
          <w:rFonts w:hint="eastAsia" w:ascii="宋体" w:hAnsi="宋体" w:cs="宋体"/>
          <w:b w:val="0"/>
          <w:bCs w:val="0"/>
        </w:rPr>
        <w:t xml:space="preserve">三、采购需求</w:t>
      </w:r>
      <w:bookmarkEnd w:id="21"/>
      <w:r/>
      <w:bookmarkEnd w:id="22"/>
      <w:r>
        <w:rPr>
          <w:rFonts w:ascii="宋体" w:hAnsi="宋体" w:cs="宋体"/>
        </w:rPr>
      </w:r>
      <w:r/>
    </w:p>
    <w:p>
      <w:pPr>
        <w:pStyle w:val="842"/>
        <w:ind w:firstLine="420"/>
        <w:jc w:val="left"/>
        <w:shd w:val="clear" w:color="ffffff" w:fill="ffffff"/>
        <w:widowControl/>
        <w:rPr>
          <w:rFonts w:ascii="宋体" w:hAnsi="宋体" w:cs="宋体"/>
          <w:bCs/>
          <w:szCs w:val="21"/>
        </w:rPr>
      </w:pPr>
      <w:r/>
      <w:bookmarkStart w:id="23" w:name="_Toc20120"/>
      <w:r>
        <w:rPr>
          <w:rFonts w:hint="eastAsia" w:ascii="宋体" w:hAnsi="宋体" w:cs="宋体"/>
          <w:bCs/>
          <w:szCs w:val="21"/>
        </w:rPr>
        <w:t xml:space="preserve">受苏州市吴江区人民法院之委托，苏州市吴江区星辰技术咨询服务有限公司对其需采购的</w:t>
      </w:r>
      <w:r>
        <w:rPr>
          <w:rFonts w:hint="eastAsia" w:ascii="宋体" w:hAnsi="宋体" w:cs="宋体"/>
          <w:bCs/>
          <w:szCs w:val="21"/>
        </w:rPr>
        <w:t xml:space="preserve">吴江法院2026年度无纸化办案及归档扫描服务</w:t>
      </w:r>
      <w:r>
        <w:rPr>
          <w:rFonts w:hint="eastAsia" w:ascii="宋体" w:hAnsi="宋体" w:cs="宋体"/>
          <w:bCs/>
          <w:szCs w:val="21"/>
        </w:rPr>
        <w:t xml:space="preserve">在国内组织竞争性磋商采购。欢迎符合资格条件的响应单位前来报名参加。</w:t>
      </w:r>
      <w:bookmarkEnd w:id="23"/>
      <w:r>
        <w:rPr>
          <w:rFonts w:ascii="宋体" w:hAnsi="宋体" w:cs="宋体"/>
          <w:bCs/>
          <w:szCs w:val="21"/>
        </w:rPr>
      </w:r>
      <w:r/>
    </w:p>
    <w:p>
      <w:pPr>
        <w:pStyle w:val="842"/>
        <w:ind w:firstLine="422"/>
        <w:rPr>
          <w:rFonts w:ascii="宋体" w:hAnsi="宋体" w:cs="宋体"/>
          <w:szCs w:val="21"/>
        </w:rPr>
      </w:pPr>
      <w:r/>
      <w:bookmarkStart w:id="24" w:name="_Toc3978"/>
      <w:r>
        <w:rPr>
          <w:rFonts w:hint="eastAsia" w:ascii="宋体" w:hAnsi="宋体" w:cs="宋体"/>
          <w:b/>
          <w:szCs w:val="21"/>
        </w:rPr>
        <w:t xml:space="preserve">一、采购编号</w:t>
      </w:r>
      <w:r>
        <w:rPr>
          <w:rFonts w:hint="eastAsia" w:ascii="宋体" w:hAnsi="宋体" w:cs="宋体"/>
          <w:szCs w:val="21"/>
        </w:rPr>
        <w:t xml:space="preserve">：</w:t>
      </w:r>
      <w:bookmarkEnd w:id="24"/>
      <w:r>
        <w:rPr>
          <w:rFonts w:hint="eastAsia" w:ascii="宋体" w:hAnsi="宋体" w:cs="宋体"/>
          <w:szCs w:val="21"/>
        </w:rPr>
        <w:t xml:space="preserve">JSZC-320509-SZXC-C2026-0005</w:t>
      </w:r>
      <w:r>
        <w:rPr>
          <w:rFonts w:ascii="宋体" w:hAnsi="宋体" w:cs="宋体"/>
          <w:szCs w:val="21"/>
        </w:rPr>
      </w:r>
      <w:r/>
    </w:p>
    <w:p>
      <w:pPr>
        <w:pStyle w:val="842"/>
        <w:ind w:firstLine="422"/>
        <w:rPr>
          <w:rFonts w:ascii="宋体" w:hAnsi="宋体" w:cs="宋体"/>
          <w:b/>
          <w:szCs w:val="21"/>
        </w:rPr>
      </w:pPr>
      <w:r/>
      <w:bookmarkStart w:id="25" w:name="_Toc5894"/>
      <w:r>
        <w:rPr>
          <w:rFonts w:hint="eastAsia" w:ascii="宋体" w:hAnsi="宋体" w:cs="宋体"/>
          <w:b/>
          <w:szCs w:val="21"/>
        </w:rPr>
        <w:t xml:space="preserve">二、项目名称：</w:t>
      </w:r>
      <w:bookmarkEnd w:id="25"/>
      <w:r>
        <w:rPr>
          <w:rFonts w:hint="eastAsia" w:ascii="宋体" w:hAnsi="宋体" w:cs="宋体"/>
          <w:bCs/>
          <w:szCs w:val="21"/>
        </w:rPr>
        <w:t xml:space="preserve">吴江法院2026年度无纸化办案及归档扫描服务</w:t>
      </w:r>
      <w:r>
        <w:rPr>
          <w:rFonts w:ascii="宋体" w:hAnsi="宋体" w:cs="宋体"/>
          <w:b/>
          <w:szCs w:val="21"/>
        </w:rPr>
      </w:r>
      <w:r/>
    </w:p>
    <w:p>
      <w:pPr>
        <w:pStyle w:val="842"/>
        <w:ind w:firstLine="422"/>
        <w:rPr>
          <w:rFonts w:ascii="宋体" w:hAnsi="宋体" w:cs="宋体"/>
          <w:bCs/>
          <w:szCs w:val="21"/>
        </w:rPr>
      </w:pPr>
      <w:r>
        <w:rPr>
          <w:rFonts w:hint="eastAsia" w:ascii="宋体" w:hAnsi="宋体" w:cs="宋体"/>
          <w:b/>
          <w:szCs w:val="21"/>
        </w:rPr>
        <w:t xml:space="preserve">三、预算金额：</w:t>
      </w:r>
      <w:r>
        <w:rPr>
          <w:rFonts w:hint="eastAsia" w:ascii="宋体" w:hAnsi="宋体" w:cs="宋体"/>
          <w:bCs/>
          <w:szCs w:val="21"/>
        </w:rPr>
        <w:t xml:space="preserve">人民币壹佰陆拾万元整（￥1600000元）</w:t>
      </w:r>
      <w:r>
        <w:rPr>
          <w:rFonts w:ascii="宋体" w:hAnsi="宋体" w:cs="宋体"/>
          <w:bCs/>
          <w:szCs w:val="21"/>
        </w:rPr>
      </w:r>
      <w:r/>
    </w:p>
    <w:p>
      <w:pPr>
        <w:pStyle w:val="842"/>
        <w:ind w:firstLine="840"/>
        <w:rPr>
          <w:rFonts w:ascii="宋体" w:hAnsi="宋体" w:cs="宋体"/>
          <w:bCs/>
          <w:szCs w:val="21"/>
        </w:rPr>
      </w:pPr>
      <w:r/>
      <w:bookmarkStart w:id="26" w:name="OLE_LINK4"/>
      <w:r>
        <w:rPr>
          <w:rFonts w:hint="eastAsia" w:ascii="宋体" w:hAnsi="宋体" w:cs="宋体"/>
          <w:bCs/>
          <w:szCs w:val="21"/>
        </w:rPr>
        <w:t xml:space="preserve">最高限价：人民币壹佰陆拾万元整（￥1600000元）</w:t>
      </w:r>
      <w:bookmarkEnd w:id="26"/>
      <w:r>
        <w:rPr>
          <w:rFonts w:ascii="宋体" w:hAnsi="宋体" w:cs="宋体"/>
          <w:bCs/>
          <w:szCs w:val="21"/>
        </w:rPr>
      </w:r>
      <w:r/>
    </w:p>
    <w:p>
      <w:pPr>
        <w:pStyle w:val="842"/>
        <w:ind w:firstLine="422"/>
        <w:rPr>
          <w:rFonts w:ascii="宋体" w:hAnsi="宋体" w:cs="宋体"/>
          <w:bCs/>
          <w:szCs w:val="21"/>
        </w:rPr>
      </w:pPr>
      <w:r>
        <w:rPr>
          <w:rFonts w:hint="eastAsia" w:ascii="宋体" w:hAnsi="宋体" w:cs="宋体"/>
          <w:b/>
          <w:szCs w:val="21"/>
        </w:rPr>
        <w:t xml:space="preserve">四、服务期限：</w:t>
      </w:r>
      <w:bookmarkStart w:id="27" w:name="OLE_LINK1"/>
      <w:r>
        <w:rPr>
          <w:rFonts w:hint="eastAsia" w:ascii="宋体" w:hAnsi="宋体" w:cs="宋体"/>
          <w:szCs w:val="21"/>
        </w:rPr>
        <w:t xml:space="preserve">自合同签订之日起1年或完成采购文件要求的服务量，服务到期（两者以先到者为准）。 </w:t>
      </w:r>
      <w:bookmarkEnd w:id="27"/>
      <w:r>
        <w:rPr>
          <w:rFonts w:ascii="宋体" w:hAnsi="宋体" w:cs="宋体"/>
          <w:bCs/>
          <w:szCs w:val="21"/>
        </w:rPr>
      </w:r>
      <w:r/>
    </w:p>
    <w:p>
      <w:pPr>
        <w:pStyle w:val="842"/>
        <w:ind w:firstLine="422"/>
        <w:rPr>
          <w:rFonts w:ascii="宋体" w:hAnsi="宋体" w:cs="宋体"/>
          <w:szCs w:val="21"/>
          <w:lang w:bidi="zh-CN"/>
        </w:rPr>
      </w:pPr>
      <w:r/>
      <w:bookmarkStart w:id="28" w:name="_Toc1554"/>
      <w:r>
        <w:rPr>
          <w:rFonts w:hint="eastAsia" w:ascii="宋体" w:hAnsi="宋体" w:cs="宋体"/>
          <w:b/>
          <w:szCs w:val="21"/>
        </w:rPr>
        <w:t xml:space="preserve">五</w:t>
      </w:r>
      <w:r>
        <w:rPr>
          <w:rFonts w:hint="eastAsia" w:ascii="宋体" w:hAnsi="宋体" w:cs="宋体"/>
          <w:b/>
          <w:szCs w:val="21"/>
          <w:lang w:val="zh-CN"/>
        </w:rPr>
        <w:t xml:space="preserve">、</w:t>
      </w:r>
      <w:bookmarkEnd w:id="28"/>
      <w:r>
        <w:rPr>
          <w:rFonts w:hint="eastAsia" w:ascii="宋体" w:hAnsi="宋体" w:cs="宋体"/>
          <w:b/>
          <w:szCs w:val="21"/>
        </w:rPr>
        <w:t xml:space="preserve">采购内容（采购范围）</w:t>
      </w:r>
      <w:r>
        <w:rPr>
          <w:rFonts w:hint="eastAsia" w:ascii="宋体" w:hAnsi="宋体" w:cs="宋体"/>
          <w:b/>
          <w:bCs/>
          <w:szCs w:val="21"/>
          <w:lang w:bidi="zh-CN"/>
        </w:rPr>
        <w:t xml:space="preserve">：</w:t>
      </w:r>
      <w:r>
        <w:rPr>
          <w:rFonts w:ascii="宋体" w:hAnsi="宋体" w:cs="宋体"/>
          <w:szCs w:val="21"/>
          <w:lang w:bidi="zh-CN"/>
        </w:rPr>
      </w:r>
      <w:r/>
    </w:p>
    <w:tbl>
      <w:tblPr>
        <w:tblW w:w="87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6"/>
        <w:gridCol w:w="2031"/>
        <w:gridCol w:w="2700"/>
        <w:gridCol w:w="2270"/>
      </w:tblGrid>
      <w:tr>
        <w:trPr>
          <w:trHeight w:val="57"/>
        </w:trPr>
        <w:tc>
          <w:tcPr>
            <w:shd w:val="clear" w:color="000000" w:fill="auto"/>
            <w:tcW w:w="1756" w:type="dxa"/>
            <w:vAlign w:val="center"/>
            <w:textDirection w:val="lrTb"/>
            <w:noWrap/>
          </w:tcPr>
          <w:p>
            <w:pPr>
              <w:pStyle w:val="842"/>
              <w:widowControl/>
              <w:rPr>
                <w:rFonts w:ascii="宋体" w:hAnsi="宋体" w:cs="宋体"/>
                <w:b/>
                <w:bCs/>
              </w:rPr>
            </w:pPr>
            <w:r>
              <w:rPr>
                <w:rFonts w:hint="eastAsia" w:ascii="宋体" w:hAnsi="宋体" w:cs="宋体"/>
                <w:b/>
                <w:bCs/>
              </w:rPr>
              <w:t xml:space="preserve">服务类别</w:t>
            </w:r>
            <w:r>
              <w:rPr>
                <w:rFonts w:ascii="宋体" w:hAnsi="宋体" w:cs="宋体"/>
                <w:b/>
                <w:bCs/>
              </w:rPr>
            </w:r>
            <w:r/>
          </w:p>
        </w:tc>
        <w:tc>
          <w:tcPr>
            <w:shd w:val="clear" w:color="000000" w:fill="auto"/>
            <w:tcW w:w="2031" w:type="dxa"/>
            <w:vAlign w:val="center"/>
            <w:textDirection w:val="lrTb"/>
            <w:noWrap/>
          </w:tcPr>
          <w:p>
            <w:pPr>
              <w:pStyle w:val="842"/>
              <w:ind w:firstLine="422"/>
              <w:widowControl/>
              <w:rPr>
                <w:rFonts w:ascii="宋体" w:hAnsi="宋体" w:cs="宋体"/>
                <w:b/>
                <w:bCs/>
              </w:rPr>
            </w:pPr>
            <w:r>
              <w:rPr>
                <w:rFonts w:hint="eastAsia" w:ascii="宋体" w:hAnsi="宋体" w:cs="宋体"/>
                <w:b/>
                <w:bCs/>
              </w:rPr>
              <w:t xml:space="preserve">案件类型</w:t>
            </w:r>
            <w:r>
              <w:rPr>
                <w:rFonts w:ascii="宋体" w:hAnsi="宋体" w:cs="宋体"/>
                <w:b/>
                <w:bCs/>
              </w:rPr>
            </w:r>
            <w:r/>
          </w:p>
        </w:tc>
        <w:tc>
          <w:tcPr>
            <w:shd w:val="clear" w:color="000000" w:fill="auto"/>
            <w:tcW w:w="2700" w:type="dxa"/>
            <w:vAlign w:val="center"/>
            <w:textDirection w:val="lrTb"/>
            <w:noWrap/>
          </w:tcPr>
          <w:p>
            <w:pPr>
              <w:pStyle w:val="842"/>
              <w:widowControl/>
              <w:rPr>
                <w:rFonts w:ascii="宋体" w:hAnsi="宋体" w:cs="宋体"/>
                <w:b/>
                <w:bCs/>
              </w:rPr>
            </w:pPr>
            <w:r>
              <w:rPr>
                <w:rFonts w:hint="eastAsia" w:ascii="宋体" w:hAnsi="宋体" w:cs="宋体"/>
                <w:b/>
                <w:bCs/>
              </w:rPr>
              <w:t xml:space="preserve">预估工作量</w:t>
            </w:r>
            <w:r>
              <w:rPr>
                <w:rFonts w:ascii="宋体" w:hAnsi="宋体" w:cs="宋体"/>
                <w:b/>
                <w:bCs/>
              </w:rPr>
            </w:r>
            <w:r/>
          </w:p>
        </w:tc>
        <w:tc>
          <w:tcPr>
            <w:shd w:val="clear" w:color="000000" w:fill="auto"/>
            <w:tcW w:w="2270" w:type="dxa"/>
            <w:vAlign w:val="center"/>
            <w:textDirection w:val="lrTb"/>
            <w:noWrap/>
          </w:tcPr>
          <w:p>
            <w:pPr>
              <w:pStyle w:val="842"/>
              <w:ind w:firstLine="422"/>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57"/>
        </w:trPr>
        <w:tc>
          <w:tcPr>
            <w:tcW w:w="1756" w:type="dxa"/>
            <w:vAlign w:val="center"/>
            <w:textDirection w:val="lrTb"/>
            <w:noWrap/>
          </w:tcPr>
          <w:p>
            <w:pPr>
              <w:pStyle w:val="842"/>
              <w:widowControl/>
              <w:rPr>
                <w:rFonts w:ascii="宋体" w:hAnsi="宋体" w:cs="宋体"/>
              </w:rPr>
            </w:pPr>
            <w:r>
              <w:rPr>
                <w:rFonts w:hint="eastAsia" w:ascii="宋体" w:hAnsi="宋体" w:cs="宋体"/>
              </w:rPr>
              <w:t xml:space="preserve">无纸化辅助服务</w:t>
            </w:r>
            <w:r>
              <w:rPr>
                <w:rFonts w:ascii="宋体" w:hAnsi="宋体" w:cs="宋体"/>
              </w:rPr>
            </w:r>
            <w:r/>
          </w:p>
        </w:tc>
        <w:tc>
          <w:tcPr>
            <w:tcW w:w="2031" w:type="dxa"/>
            <w:vAlign w:val="center"/>
            <w:textDirection w:val="lrTb"/>
            <w:noWrap/>
          </w:tcPr>
          <w:p>
            <w:pPr>
              <w:pStyle w:val="842"/>
              <w:rPr>
                <w:rFonts w:ascii="宋体" w:hAnsi="宋体" w:cs="宋体"/>
              </w:rPr>
            </w:pPr>
            <w:r>
              <w:rPr>
                <w:rFonts w:hint="eastAsia" w:ascii="宋体" w:hAnsi="宋体" w:cs="宋体"/>
              </w:rPr>
              <w:t xml:space="preserve">普通审判和执行案件</w:t>
            </w:r>
            <w:r>
              <w:rPr>
                <w:rFonts w:ascii="宋体" w:hAnsi="宋体" w:cs="宋体"/>
              </w:rPr>
            </w:r>
            <w:r/>
          </w:p>
        </w:tc>
        <w:tc>
          <w:tcPr>
            <w:tcW w:w="2700" w:type="dxa"/>
            <w:vAlign w:val="center"/>
            <w:textDirection w:val="lrTb"/>
            <w:noWrap/>
          </w:tcPr>
          <w:p>
            <w:pPr>
              <w:pStyle w:val="842"/>
              <w:rPr>
                <w:rFonts w:ascii="宋体" w:hAnsi="宋体" w:cs="宋体"/>
              </w:rPr>
            </w:pPr>
            <w:r>
              <w:rPr>
                <w:rFonts w:hint="eastAsia" w:ascii="宋体" w:hAnsi="宋体" w:cs="宋体"/>
              </w:rPr>
              <w:t xml:space="preserve">47000件（接上一年度工作项目遗留应归未归量起算。）</w:t>
            </w:r>
            <w:r>
              <w:rPr>
                <w:rFonts w:ascii="宋体" w:hAnsi="宋体" w:cs="宋体"/>
              </w:rPr>
            </w:r>
            <w:r/>
          </w:p>
        </w:tc>
        <w:tc>
          <w:tcPr>
            <w:tcW w:w="2270" w:type="dxa"/>
            <w:vAlign w:val="center"/>
            <w:vMerge w:val="restart"/>
            <w:textDirection w:val="lrTb"/>
            <w:noWrap/>
          </w:tcPr>
          <w:p>
            <w:pPr>
              <w:pStyle w:val="842"/>
              <w:rPr>
                <w:rFonts w:ascii="宋体" w:hAnsi="宋体" w:cs="宋体"/>
              </w:rPr>
            </w:pPr>
            <w:r>
              <w:rPr>
                <w:rFonts w:hint="eastAsia" w:ascii="宋体" w:hAnsi="宋体" w:cs="宋体"/>
              </w:rPr>
              <w:t xml:space="preserve">数量暂定，最终按实结算。（数量单价按最终报价表得出下浮率，成交单价按同比例下浮率计算得出）</w:t>
            </w:r>
            <w:r>
              <w:rPr>
                <w:rFonts w:ascii="宋体" w:hAnsi="宋体" w:cs="宋体"/>
              </w:rPr>
            </w:r>
            <w:r/>
          </w:p>
        </w:tc>
      </w:tr>
      <w:tr>
        <w:trPr>
          <w:cantSplit/>
          <w:trHeight w:val="57"/>
        </w:trPr>
        <w:tc>
          <w:tcPr>
            <w:tcW w:w="1756" w:type="dxa"/>
            <w:vAlign w:val="center"/>
            <w:textDirection w:val="lrTb"/>
            <w:noWrap/>
          </w:tcPr>
          <w:p>
            <w:pPr>
              <w:pStyle w:val="842"/>
              <w:widowControl/>
              <w:rPr>
                <w:rFonts w:ascii="宋体" w:hAnsi="宋体" w:cs="宋体"/>
              </w:rPr>
            </w:pPr>
            <w:r>
              <w:rPr>
                <w:rFonts w:hint="eastAsia" w:ascii="宋体" w:hAnsi="宋体" w:cs="宋体"/>
              </w:rPr>
              <w:t xml:space="preserve">档案数字化加工服务</w:t>
            </w:r>
            <w:r>
              <w:rPr>
                <w:rFonts w:ascii="宋体" w:hAnsi="宋体" w:cs="宋体"/>
              </w:rPr>
            </w:r>
            <w:r/>
          </w:p>
        </w:tc>
        <w:tc>
          <w:tcPr>
            <w:tcW w:w="2031" w:type="dxa"/>
            <w:vAlign w:val="center"/>
            <w:textDirection w:val="lrTb"/>
            <w:noWrap/>
          </w:tcPr>
          <w:p>
            <w:pPr>
              <w:pStyle w:val="842"/>
              <w:widowControl/>
              <w:rPr>
                <w:rFonts w:ascii="宋体" w:hAnsi="宋体" w:cs="宋体"/>
              </w:rPr>
            </w:pPr>
            <w:r>
              <w:rPr>
                <w:rFonts w:hint="eastAsia" w:ascii="宋体" w:hAnsi="宋体" w:cs="宋体"/>
              </w:rPr>
              <w:t xml:space="preserve">归档扫描</w:t>
            </w:r>
            <w:r>
              <w:rPr>
                <w:rFonts w:ascii="宋体" w:hAnsi="宋体" w:cs="宋体"/>
              </w:rPr>
            </w:r>
            <w:r/>
          </w:p>
        </w:tc>
        <w:tc>
          <w:tcPr>
            <w:tcW w:w="2700" w:type="dxa"/>
            <w:vAlign w:val="center"/>
            <w:textDirection w:val="lrTb"/>
            <w:noWrap/>
          </w:tcPr>
          <w:p>
            <w:pPr>
              <w:pStyle w:val="842"/>
              <w:widowControl/>
              <w:rPr>
                <w:rFonts w:ascii="宋体" w:hAnsi="宋体" w:cs="宋体"/>
              </w:rPr>
            </w:pPr>
            <w:r>
              <w:rPr>
                <w:rFonts w:hint="eastAsia" w:ascii="宋体" w:hAnsi="宋体" w:cs="宋体"/>
              </w:rPr>
              <w:t xml:space="preserve">330000页</w:t>
            </w:r>
            <w:r>
              <w:rPr>
                <w:rFonts w:ascii="宋体" w:hAnsi="宋体" w:cs="宋体"/>
              </w:rPr>
            </w:r>
            <w:r/>
          </w:p>
        </w:tc>
        <w:tc>
          <w:tcPr>
            <w:tcW w:w="2270" w:type="dxa"/>
            <w:vAlign w:val="center"/>
            <w:vMerge w:val="continue"/>
            <w:textDirection w:val="lrTb"/>
            <w:noWrap/>
          </w:tcPr>
          <w:p>
            <w:pPr>
              <w:pStyle w:val="842"/>
              <w:ind w:firstLine="420"/>
              <w:rPr>
                <w:rFonts w:ascii="宋体" w:hAnsi="宋体" w:cs="宋体"/>
              </w:rPr>
            </w:pPr>
            <w:r>
              <w:rPr>
                <w:rFonts w:ascii="宋体" w:hAnsi="宋体" w:cs="宋体"/>
              </w:rPr>
            </w:r>
            <w:r/>
          </w:p>
        </w:tc>
      </w:tr>
    </w:tbl>
    <w:p>
      <w:pPr>
        <w:pStyle w:val="842"/>
        <w:ind w:firstLine="422"/>
        <w:jc w:val="left"/>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842"/>
        <w:ind w:firstLine="420"/>
        <w:jc w:val="left"/>
        <w:rPr>
          <w:rFonts w:ascii="宋体" w:hAnsi="宋体" w:cs="宋体"/>
          <w:szCs w:val="21"/>
        </w:rPr>
      </w:pPr>
      <w:r>
        <w:rPr>
          <w:rFonts w:hint="eastAsia" w:ascii="宋体" w:hAnsi="宋体" w:cs="宋体"/>
          <w:szCs w:val="21"/>
        </w:rPr>
        <w:t xml:space="preserve">1.清单中数据仅作参考，实际工作量以实际工作为准，采购人不再由于该数据误差而更改方案。</w:t>
      </w:r>
      <w:r>
        <w:rPr>
          <w:rFonts w:ascii="宋体" w:hAnsi="宋体" w:cs="宋体"/>
          <w:szCs w:val="21"/>
        </w:rPr>
      </w:r>
      <w:r/>
    </w:p>
    <w:p>
      <w:pPr>
        <w:pStyle w:val="842"/>
        <w:ind w:firstLine="420"/>
        <w:jc w:val="left"/>
        <w:rPr>
          <w:rFonts w:ascii="宋体" w:hAnsi="宋体" w:cs="宋体"/>
          <w:szCs w:val="21"/>
        </w:rPr>
      </w:pPr>
      <w:r>
        <w:rPr>
          <w:rFonts w:hint="eastAsia" w:ascii="宋体" w:hAnsi="宋体" w:cs="宋体"/>
          <w:szCs w:val="21"/>
        </w:rPr>
        <w:t xml:space="preserve">2.</w:t>
      </w:r>
      <w:r>
        <w:rPr>
          <w:rFonts w:ascii="仿宋" w:hAnsi="仿宋" w:cs="Arial"/>
        </w:rPr>
        <w:t xml:space="preserve">如果1年合同到期，</w:t>
      </w:r>
      <w:r>
        <w:rPr>
          <w:rFonts w:hint="eastAsia" w:ascii="仿宋" w:hAnsi="仿宋" w:cs="Arial"/>
        </w:rPr>
        <w:t xml:space="preserve">无纸化</w:t>
      </w:r>
      <w:r>
        <w:rPr>
          <w:rFonts w:ascii="仿宋" w:hAnsi="仿宋" w:cs="Arial"/>
        </w:rPr>
        <w:t xml:space="preserve">辅助服务和档案数字化加工服务</w:t>
      </w:r>
      <w:r>
        <w:rPr>
          <w:rFonts w:hint="eastAsia" w:ascii="仿宋" w:hAnsi="仿宋" w:cs="Arial"/>
        </w:rPr>
        <w:t xml:space="preserve">内</w:t>
      </w:r>
      <w:r>
        <w:rPr>
          <w:rFonts w:ascii="仿宋" w:hAnsi="仿宋" w:cs="Arial"/>
        </w:rPr>
        <w:t xml:space="preserve">一种达到合同要求数量而另一种没有达到合同要求数量，</w:t>
      </w:r>
      <w:r>
        <w:rPr>
          <w:rFonts w:hint="eastAsia" w:ascii="仿宋" w:hAnsi="仿宋" w:cs="Arial"/>
        </w:rPr>
        <w:t xml:space="preserve">采购</w:t>
      </w:r>
      <w:r>
        <w:rPr>
          <w:rFonts w:ascii="仿宋" w:hAnsi="仿宋" w:cs="Arial"/>
        </w:rPr>
        <w:t xml:space="preserve">方可以在不超过合同总价范围内相互调剂</w:t>
      </w:r>
      <w:r>
        <w:rPr>
          <w:rFonts w:hint="eastAsia" w:ascii="宋体" w:hAnsi="宋体" w:cs="宋体"/>
          <w:szCs w:val="21"/>
        </w:rPr>
        <w:t xml:space="preserve">。</w:t>
      </w:r>
      <w:r>
        <w:rPr>
          <w:rFonts w:ascii="宋体" w:hAnsi="宋体" w:cs="宋体"/>
          <w:szCs w:val="21"/>
        </w:rPr>
      </w:r>
      <w:r/>
    </w:p>
    <w:p>
      <w:pPr>
        <w:pStyle w:val="842"/>
        <w:ind w:firstLine="422"/>
        <w:rPr>
          <w:b/>
          <w:bCs/>
          <w:szCs w:val="21"/>
        </w:rPr>
      </w:pPr>
      <w:r>
        <w:rPr>
          <w:rFonts w:hint="eastAsia"/>
          <w:b/>
          <w:bCs/>
          <w:szCs w:val="21"/>
        </w:rPr>
        <w:t xml:space="preserve">六、服务要求</w:t>
      </w:r>
      <w:r>
        <w:rPr>
          <w:b/>
          <w:bCs/>
          <w:szCs w:val="21"/>
        </w:rPr>
      </w:r>
      <w:r/>
    </w:p>
    <w:p>
      <w:pPr>
        <w:pStyle w:val="909"/>
        <w:ind w:firstLine="422"/>
        <w:spacing w:line="360" w:lineRule="auto"/>
      </w:pPr>
      <w:r>
        <w:rPr>
          <w:rFonts w:hint="eastAsia"/>
          <w:b/>
          <w:bCs/>
          <w:szCs w:val="21"/>
        </w:rPr>
        <w:t xml:space="preserve">1.服务内容</w:t>
      </w:r>
      <w:r/>
    </w:p>
    <w:p>
      <w:pPr>
        <w:pStyle w:val="842"/>
        <w:ind w:firstLine="420"/>
        <w:rPr>
          <w:szCs w:val="21"/>
        </w:rPr>
      </w:pPr>
      <w:r>
        <w:rPr>
          <w:rFonts w:hint="eastAsia"/>
          <w:szCs w:val="21"/>
        </w:rPr>
        <w:t xml:space="preserve">（1）供应商负责对吴江法院合同期内立案且纳入无纸化办案的约</w:t>
      </w:r>
      <w:r>
        <w:rPr>
          <w:rFonts w:hint="eastAsia"/>
          <w:szCs w:val="21"/>
        </w:rPr>
        <w:t xml:space="preserve">47</w:t>
      </w:r>
      <w:r>
        <w:rPr>
          <w:rFonts w:hint="eastAsia"/>
          <w:szCs w:val="21"/>
        </w:rPr>
        <w:t xml:space="preserve">000件/年案件提供材料收转、立案扫描、补充扫描、中间库管理、卷宗归档理卷备份和档案装订上架等无纸化辅助服务。</w:t>
      </w:r>
      <w:r>
        <w:rPr>
          <w:szCs w:val="21"/>
        </w:rPr>
      </w:r>
      <w:r/>
    </w:p>
    <w:p>
      <w:pPr>
        <w:pStyle w:val="842"/>
        <w:ind w:firstLine="420"/>
        <w:rPr>
          <w:szCs w:val="21"/>
        </w:rPr>
      </w:pPr>
      <w:r>
        <w:rPr>
          <w:rFonts w:hint="eastAsia"/>
          <w:szCs w:val="21"/>
        </w:rPr>
        <w:t xml:space="preserve">（2）供应商负责对吴江法院</w:t>
      </w:r>
      <w:r>
        <w:rPr>
          <w:szCs w:val="21"/>
        </w:rPr>
        <w:t xml:space="preserve">合同期内暂不纳入无纸化</w:t>
      </w:r>
      <w:r>
        <w:rPr>
          <w:rFonts w:hint="eastAsia"/>
          <w:szCs w:val="21"/>
        </w:rPr>
        <w:t xml:space="preserve">办理</w:t>
      </w:r>
      <w:r>
        <w:rPr>
          <w:szCs w:val="21"/>
        </w:rPr>
        <w:t xml:space="preserve">的如刑事、破产案件</w:t>
      </w:r>
      <w:r>
        <w:rPr>
          <w:rFonts w:hint="eastAsia"/>
          <w:szCs w:val="21"/>
        </w:rPr>
        <w:t xml:space="preserve">以及公文等非诉档案</w:t>
      </w:r>
      <w:r>
        <w:rPr>
          <w:szCs w:val="21"/>
        </w:rPr>
        <w:t xml:space="preserve">（约</w:t>
      </w:r>
      <w:r>
        <w:rPr>
          <w:rFonts w:hint="eastAsia"/>
          <w:szCs w:val="21"/>
        </w:rPr>
        <w:t xml:space="preserve">330000页/年</w:t>
      </w:r>
      <w:r>
        <w:rPr>
          <w:szCs w:val="21"/>
        </w:rPr>
        <w:t xml:space="preserve">）</w:t>
      </w:r>
      <w:r>
        <w:rPr>
          <w:rFonts w:hint="eastAsia"/>
          <w:szCs w:val="21"/>
        </w:rPr>
        <w:t xml:space="preserve">提供</w:t>
      </w:r>
      <w:r>
        <w:rPr>
          <w:szCs w:val="21"/>
        </w:rPr>
        <w:t xml:space="preserve">档案数字化加工服务</w:t>
      </w:r>
      <w:r>
        <w:rPr>
          <w:rFonts w:hint="eastAsia"/>
          <w:szCs w:val="21"/>
        </w:rPr>
        <w:t xml:space="preserve">。</w:t>
      </w:r>
      <w:r>
        <w:rPr>
          <w:szCs w:val="21"/>
        </w:rPr>
      </w:r>
      <w:r/>
    </w:p>
    <w:p>
      <w:pPr>
        <w:pStyle w:val="842"/>
        <w:ind w:firstLine="420"/>
        <w:rPr>
          <w:szCs w:val="21"/>
        </w:rPr>
      </w:pPr>
      <w:r>
        <w:rPr>
          <w:rFonts w:hint="eastAsia"/>
          <w:szCs w:val="21"/>
        </w:rPr>
        <w:t xml:space="preserve">（3）基础性配套服务</w:t>
      </w:r>
      <w:r>
        <w:rPr>
          <w:szCs w:val="21"/>
        </w:rPr>
      </w:r>
      <w:r/>
    </w:p>
    <w:p>
      <w:pPr>
        <w:pStyle w:val="842"/>
        <w:ind w:firstLine="420"/>
        <w:rPr>
          <w:szCs w:val="21"/>
        </w:rPr>
      </w:pPr>
      <w:r>
        <w:rPr>
          <w:rFonts w:hint="eastAsia"/>
          <w:szCs w:val="21"/>
        </w:rPr>
        <w:t xml:space="preserve">供应商应随服务提供相关技术性服务和软、硬件基础性配套服务（CPU：四核八线程，主频2.0GHz及以上，内存16G及以上，硬盘512GB及以上固态硬盘，显示器23英寸及以上，支持1920</w:t>
      </w:r>
      <w:r>
        <w:rPr>
          <w:rFonts w:ascii="Arial" w:hAnsi="Arial" w:cs="Arial"/>
          <w:szCs w:val="21"/>
        </w:rPr>
        <w:t xml:space="preserve">×</w:t>
      </w:r>
      <w:r>
        <w:rPr>
          <w:rFonts w:hint="eastAsia"/>
          <w:szCs w:val="21"/>
        </w:rPr>
        <w:t xml:space="preserve">1080分辨率及以上），各环节提供所有耗材（例如硒鼓、封皮、胶水、A4纸等）</w:t>
      </w:r>
      <w:r>
        <w:rPr>
          <w:szCs w:val="21"/>
        </w:rPr>
        <w:t xml:space="preserve">实现</w:t>
      </w:r>
      <w:r>
        <w:rPr>
          <w:rFonts w:hint="eastAsia"/>
          <w:szCs w:val="21"/>
        </w:rPr>
        <w:t xml:space="preserve">吴江</w:t>
      </w:r>
      <w:r>
        <w:rPr>
          <w:szCs w:val="21"/>
        </w:rPr>
        <w:t xml:space="preserve">法院无纸化办案和归档改革需求</w:t>
      </w:r>
      <w:r>
        <w:rPr>
          <w:rFonts w:hint="eastAsia"/>
          <w:szCs w:val="21"/>
        </w:rPr>
        <w:t xml:space="preserve">。</w:t>
      </w:r>
      <w:r>
        <w:rPr>
          <w:szCs w:val="21"/>
        </w:rPr>
      </w:r>
      <w:r/>
    </w:p>
    <w:p>
      <w:pPr>
        <w:pStyle w:val="842"/>
        <w:ind w:firstLine="420"/>
        <w:rPr>
          <w:szCs w:val="21"/>
        </w:rPr>
      </w:pPr>
      <w:r>
        <w:rPr>
          <w:rFonts w:hint="eastAsia"/>
          <w:szCs w:val="21"/>
        </w:rPr>
        <w:t xml:space="preserve">（4）法院办案系统更新/升级的，供应商应在7个工作日内完成软件的更新/升级，达到顺畅运行，否则按违约处理。</w:t>
      </w:r>
      <w:r>
        <w:rPr>
          <w:szCs w:val="21"/>
        </w:rPr>
      </w:r>
      <w:r/>
    </w:p>
    <w:p>
      <w:pPr>
        <w:pStyle w:val="842"/>
        <w:ind w:firstLine="422"/>
        <w:rPr>
          <w:b/>
          <w:bCs/>
          <w:szCs w:val="21"/>
        </w:rPr>
      </w:pPr>
      <w:r>
        <w:rPr>
          <w:rFonts w:hint="eastAsia"/>
          <w:b/>
          <w:bCs/>
          <w:szCs w:val="21"/>
        </w:rPr>
        <w:t xml:space="preserve">1.1 无纸化辅助服务</w:t>
      </w:r>
      <w:r>
        <w:rPr>
          <w:b/>
          <w:bCs/>
          <w:szCs w:val="21"/>
        </w:rPr>
      </w:r>
      <w:r/>
    </w:p>
    <w:p>
      <w:pPr>
        <w:pStyle w:val="886"/>
        <w:ind w:firstLine="422"/>
        <w:spacing w:before="0" w:after="0" w:line="360" w:lineRule="auto"/>
        <w:rPr>
          <w:sz w:val="21"/>
          <w:szCs w:val="21"/>
        </w:rPr>
      </w:pPr>
      <w:r>
        <w:rPr>
          <w:rFonts w:hint="eastAsia"/>
          <w:sz w:val="21"/>
          <w:szCs w:val="21"/>
        </w:rPr>
        <w:t xml:space="preserve">1.1.1 材料收转服务</w:t>
      </w:r>
      <w:r>
        <w:rPr>
          <w:sz w:val="21"/>
          <w:szCs w:val="21"/>
        </w:rPr>
      </w:r>
      <w:r/>
    </w:p>
    <w:p>
      <w:pPr>
        <w:pStyle w:val="842"/>
        <w:ind w:firstLine="420"/>
        <w:rPr>
          <w:szCs w:val="21"/>
        </w:rPr>
      </w:pPr>
      <w:r>
        <w:rPr>
          <w:rFonts w:hint="eastAsia"/>
          <w:szCs w:val="21"/>
        </w:rPr>
        <w:t xml:space="preserve">（1）供应商应提供</w:t>
      </w:r>
      <w:r>
        <w:rPr>
          <w:szCs w:val="21"/>
        </w:rPr>
        <w:t xml:space="preserve">材料收转环节材料登记服务与材料质检服务</w:t>
      </w:r>
      <w:r>
        <w:rPr>
          <w:rFonts w:hint="eastAsia"/>
          <w:szCs w:val="21"/>
        </w:rPr>
        <w:t xml:space="preserve">。</w:t>
      </w:r>
      <w:r>
        <w:rPr>
          <w:szCs w:val="21"/>
        </w:rPr>
      </w:r>
      <w:r/>
    </w:p>
    <w:p>
      <w:pPr>
        <w:pStyle w:val="886"/>
        <w:ind w:firstLine="422"/>
        <w:spacing w:before="0" w:after="0" w:line="360" w:lineRule="auto"/>
        <w:rPr>
          <w:sz w:val="21"/>
          <w:szCs w:val="21"/>
        </w:rPr>
      </w:pPr>
      <w:r>
        <w:rPr>
          <w:rFonts w:hint="eastAsia"/>
          <w:sz w:val="21"/>
          <w:szCs w:val="21"/>
        </w:rPr>
        <w:t xml:space="preserve">1.1.2 立案扫描服务</w:t>
      </w:r>
      <w:r>
        <w:rPr>
          <w:sz w:val="21"/>
          <w:szCs w:val="21"/>
        </w:rPr>
      </w:r>
      <w:r/>
    </w:p>
    <w:p>
      <w:pPr>
        <w:pStyle w:val="842"/>
        <w:ind w:firstLine="420"/>
        <w:rPr>
          <w:szCs w:val="21"/>
        </w:rPr>
      </w:pPr>
      <w:r>
        <w:rPr>
          <w:rFonts w:hint="eastAsia"/>
          <w:szCs w:val="21"/>
        </w:rPr>
        <w:t xml:space="preserve">（1）供应商应按照阅卷习惯、档案级要求进行电子化服务。</w:t>
      </w:r>
      <w:r>
        <w:rPr>
          <w:szCs w:val="21"/>
        </w:rPr>
      </w:r>
      <w:r/>
    </w:p>
    <w:p>
      <w:pPr>
        <w:pStyle w:val="842"/>
        <w:ind w:firstLine="420"/>
        <w:rPr>
          <w:szCs w:val="21"/>
        </w:rPr>
      </w:pPr>
      <w:r>
        <w:rPr>
          <w:rFonts w:hint="eastAsia"/>
          <w:szCs w:val="21"/>
        </w:rPr>
        <w:t xml:space="preserve">（2）供应商应在1个工作日内完成纸质卷宗转电子化工作，当日完成扫描的起诉立案材料当日移送中间库。</w:t>
      </w:r>
      <w:r>
        <w:rPr>
          <w:szCs w:val="21"/>
        </w:rPr>
      </w:r>
      <w:r/>
    </w:p>
    <w:p>
      <w:pPr>
        <w:pStyle w:val="886"/>
        <w:ind w:firstLine="422"/>
        <w:spacing w:before="0" w:after="0" w:line="360" w:lineRule="auto"/>
        <w:rPr>
          <w:sz w:val="21"/>
          <w:szCs w:val="21"/>
        </w:rPr>
      </w:pPr>
      <w:r>
        <w:rPr>
          <w:rFonts w:hint="eastAsia"/>
          <w:sz w:val="21"/>
          <w:szCs w:val="21"/>
        </w:rPr>
        <w:t xml:space="preserve">1.1.3 补充扫描服务</w:t>
      </w:r>
      <w:r>
        <w:rPr>
          <w:sz w:val="21"/>
          <w:szCs w:val="21"/>
        </w:rPr>
      </w:r>
      <w:r/>
    </w:p>
    <w:p>
      <w:pPr>
        <w:pStyle w:val="842"/>
        <w:ind w:firstLine="420"/>
        <w:rPr>
          <w:szCs w:val="21"/>
        </w:rPr>
      </w:pPr>
      <w:r>
        <w:rPr>
          <w:rFonts w:hint="eastAsia"/>
          <w:szCs w:val="21"/>
        </w:rPr>
        <w:t xml:space="preserve">（1）供应商收到补充材料后，根据材料移送时间，0.5个工作日内完成电子转化工作，电子化后的材料移送中间库。</w:t>
      </w:r>
      <w:r>
        <w:rPr>
          <w:szCs w:val="21"/>
        </w:rPr>
      </w:r>
      <w:r/>
    </w:p>
    <w:p>
      <w:pPr>
        <w:pStyle w:val="842"/>
        <w:ind w:firstLine="420"/>
        <w:rPr>
          <w:szCs w:val="21"/>
        </w:rPr>
      </w:pPr>
      <w:r>
        <w:rPr>
          <w:rFonts w:hint="eastAsia"/>
          <w:szCs w:val="21"/>
        </w:rPr>
        <w:t xml:space="preserve">（2）供应商应制定完整，高效的补充材料电子化标准作业流程和分类方案，提高随案扫描成效和提升无纸化阅卷成效。</w:t>
      </w:r>
      <w:r>
        <w:rPr>
          <w:szCs w:val="21"/>
        </w:rPr>
      </w:r>
      <w:r/>
    </w:p>
    <w:p>
      <w:pPr>
        <w:pStyle w:val="886"/>
        <w:ind w:firstLine="422"/>
        <w:spacing w:before="0" w:after="0" w:line="360" w:lineRule="auto"/>
        <w:rPr>
          <w:sz w:val="21"/>
          <w:szCs w:val="21"/>
        </w:rPr>
      </w:pPr>
      <w:r>
        <w:rPr>
          <w:rFonts w:hint="eastAsia"/>
          <w:sz w:val="21"/>
          <w:szCs w:val="21"/>
        </w:rPr>
        <w:t xml:space="preserve">1.1.4 中间库管理服务</w:t>
      </w:r>
      <w:r>
        <w:rPr>
          <w:sz w:val="21"/>
          <w:szCs w:val="21"/>
        </w:rPr>
      </w:r>
      <w:r/>
    </w:p>
    <w:p>
      <w:pPr>
        <w:pStyle w:val="842"/>
        <w:ind w:firstLine="420"/>
        <w:rPr>
          <w:szCs w:val="21"/>
        </w:rPr>
      </w:pPr>
      <w:r>
        <w:rPr>
          <w:rFonts w:hint="eastAsia"/>
          <w:szCs w:val="21"/>
        </w:rPr>
        <w:t xml:space="preserve">（1）诉讼材料收转发管理设计方案</w:t>
      </w:r>
      <w:r>
        <w:rPr>
          <w:szCs w:val="21"/>
        </w:rPr>
      </w:r>
      <w:r/>
    </w:p>
    <w:p>
      <w:pPr>
        <w:pStyle w:val="842"/>
        <w:ind w:firstLine="420"/>
        <w:rPr>
          <w:szCs w:val="21"/>
        </w:rPr>
      </w:pPr>
      <w:r>
        <w:rPr>
          <w:rFonts w:hint="eastAsia"/>
          <w:szCs w:val="21"/>
        </w:rPr>
        <w:t xml:space="preserve">提供材料流转机制，包括卷宗借阅归还流程等。</w:t>
      </w:r>
      <w:r>
        <w:rPr>
          <w:szCs w:val="21"/>
        </w:rPr>
      </w:r>
      <w:r/>
    </w:p>
    <w:p>
      <w:pPr>
        <w:pStyle w:val="842"/>
        <w:ind w:firstLine="420"/>
        <w:rPr>
          <w:rFonts w:ascii="仿宋" w:hAnsi="仿宋"/>
          <w:szCs w:val="21"/>
        </w:rPr>
      </w:pPr>
      <w:r>
        <w:rPr>
          <w:rFonts w:ascii="仿宋" w:hAnsi="仿宋"/>
          <w:szCs w:val="21"/>
        </w:rPr>
        <w:t xml:space="preserve">（</w:t>
      </w:r>
      <w:r>
        <w:rPr>
          <w:rFonts w:hint="eastAsia" w:ascii="仿宋" w:hAnsi="仿宋"/>
          <w:szCs w:val="21"/>
        </w:rPr>
        <w:t xml:space="preserve">2</w:t>
      </w:r>
      <w:r>
        <w:rPr>
          <w:rFonts w:ascii="仿宋" w:hAnsi="仿宋"/>
          <w:szCs w:val="21"/>
        </w:rPr>
        <w:t xml:space="preserve">）电子卷</w:t>
      </w:r>
      <w:r>
        <w:rPr>
          <w:rFonts w:hint="eastAsia" w:ascii="仿宋" w:hAnsi="仿宋"/>
          <w:szCs w:val="21"/>
        </w:rPr>
        <w:t xml:space="preserve">质检</w:t>
      </w:r>
      <w:r>
        <w:rPr>
          <w:rFonts w:ascii="仿宋" w:hAnsi="仿宋"/>
          <w:szCs w:val="21"/>
        </w:rPr>
      </w:r>
      <w:r/>
    </w:p>
    <w:p>
      <w:pPr>
        <w:pStyle w:val="842"/>
        <w:ind w:firstLine="420"/>
        <w:rPr>
          <w:rFonts w:ascii="仿宋" w:hAnsi="仿宋"/>
          <w:szCs w:val="21"/>
        </w:rPr>
      </w:pPr>
      <w:r>
        <w:rPr>
          <w:rFonts w:hint="eastAsia" w:ascii="仿宋" w:hAnsi="仿宋"/>
          <w:szCs w:val="21"/>
        </w:rPr>
        <w:t xml:space="preserve">供应商须提供电子卷宗质检方案，</w:t>
      </w:r>
      <w:r>
        <w:rPr>
          <w:rFonts w:hint="eastAsia"/>
          <w:szCs w:val="21"/>
        </w:rPr>
        <w:t xml:space="preserve">包括外部质检（包含材料电子化环节、法院阅卷环节、归档环节）和内部质检（包含名称标注质检、阅卷目录质检、档案卷目录质检）两部分，</w:t>
      </w:r>
      <w:r>
        <w:rPr>
          <w:rFonts w:hint="eastAsia" w:ascii="仿宋" w:hAnsi="仿宋"/>
          <w:szCs w:val="21"/>
        </w:rPr>
        <w:t xml:space="preserve">确保电子卷宗清晰度和完整性，提高法官阅卷体验感。</w:t>
      </w:r>
      <w:r>
        <w:rPr>
          <w:rFonts w:ascii="仿宋" w:hAnsi="仿宋"/>
          <w:szCs w:val="21"/>
        </w:rPr>
      </w:r>
      <w:r/>
    </w:p>
    <w:p>
      <w:pPr>
        <w:pStyle w:val="842"/>
        <w:ind w:firstLine="420"/>
        <w:rPr>
          <w:szCs w:val="21"/>
        </w:rPr>
      </w:pPr>
      <w:r>
        <w:rPr>
          <w:rFonts w:hint="eastAsia"/>
          <w:szCs w:val="21"/>
        </w:rPr>
        <w:t xml:space="preserve">（3）中间库管理</w:t>
      </w:r>
      <w:r>
        <w:rPr>
          <w:szCs w:val="21"/>
        </w:rPr>
      </w:r>
      <w:r/>
    </w:p>
    <w:p>
      <w:pPr>
        <w:pStyle w:val="842"/>
        <w:ind w:firstLine="420"/>
        <w:rPr>
          <w:b/>
          <w:szCs w:val="21"/>
        </w:rPr>
      </w:pPr>
      <w:r>
        <w:rPr>
          <w:rFonts w:hint="eastAsia"/>
          <w:szCs w:val="21"/>
        </w:rPr>
        <w:t xml:space="preserve">提供中间库管理方案，包括材料入库、在库管理、卷宗出库、卷宗借阅，中间库库区维护。</w:t>
      </w:r>
      <w:r>
        <w:rPr>
          <w:b/>
          <w:szCs w:val="21"/>
        </w:rPr>
      </w:r>
      <w:r/>
    </w:p>
    <w:p>
      <w:pPr>
        <w:pStyle w:val="886"/>
        <w:ind w:firstLine="422"/>
        <w:spacing w:before="0" w:after="0" w:line="360" w:lineRule="auto"/>
        <w:rPr>
          <w:sz w:val="21"/>
          <w:szCs w:val="21"/>
        </w:rPr>
      </w:pPr>
      <w:r>
        <w:rPr>
          <w:rFonts w:hint="eastAsia"/>
          <w:sz w:val="21"/>
          <w:szCs w:val="21"/>
        </w:rPr>
        <w:t xml:space="preserve">1.1.5 </w:t>
      </w:r>
      <w:r>
        <w:rPr>
          <w:rFonts w:ascii="Lucida Sans Unicode" w:hAnsi="Lucida Sans Unicode" w:eastAsia="Lucida Sans Unicode" w:cs="Lucida Sans Unicode"/>
          <w:spacing w:val="3"/>
          <w:szCs w:val="21"/>
        </w:rPr>
        <w:t xml:space="preserve">▲</w:t>
      </w:r>
      <w:r>
        <w:rPr>
          <w:rFonts w:hint="eastAsia"/>
          <w:sz w:val="21"/>
          <w:szCs w:val="21"/>
        </w:rPr>
        <w:t xml:space="preserve">归档服务</w:t>
      </w:r>
      <w:r>
        <w:rPr>
          <w:sz w:val="21"/>
          <w:szCs w:val="21"/>
        </w:rPr>
      </w:r>
      <w:r/>
    </w:p>
    <w:p>
      <w:pPr>
        <w:pStyle w:val="842"/>
        <w:ind w:firstLine="420"/>
        <w:rPr>
          <w:bCs/>
          <w:szCs w:val="21"/>
        </w:rPr>
      </w:pPr>
      <w:r>
        <w:rPr>
          <w:rFonts w:hint="eastAsia"/>
          <w:szCs w:val="21"/>
        </w:rPr>
        <w:t xml:space="preserve">（1）</w:t>
      </w:r>
      <w:r>
        <w:rPr>
          <w:rFonts w:hint="eastAsia"/>
          <w:bCs/>
          <w:szCs w:val="21"/>
        </w:rPr>
        <w:t xml:space="preserve">归档服务流程方案</w:t>
      </w:r>
      <w:r>
        <w:rPr>
          <w:bCs/>
          <w:szCs w:val="21"/>
        </w:rPr>
      </w:r>
      <w:r/>
    </w:p>
    <w:p>
      <w:pPr>
        <w:pStyle w:val="842"/>
        <w:ind w:firstLine="420"/>
        <w:rPr>
          <w:szCs w:val="21"/>
        </w:rPr>
      </w:pPr>
      <w:r>
        <w:rPr>
          <w:rFonts w:hint="eastAsia"/>
          <w:szCs w:val="21"/>
        </w:rPr>
        <w:t xml:space="preserve">案件结案后，书记员进行电子转档后成交供应商根据法院的归档要求，在每月底完成档案整理、页码制作、归档质检等工作，不达标/逾期按违约处理，具体参见本采购需求第九条“违约责任”。</w:t>
      </w:r>
      <w:r>
        <w:rPr>
          <w:szCs w:val="21"/>
        </w:rPr>
      </w:r>
      <w:r/>
    </w:p>
    <w:p>
      <w:pPr>
        <w:pStyle w:val="842"/>
        <w:ind w:firstLine="420"/>
        <w:rPr>
          <w:szCs w:val="21"/>
        </w:rPr>
      </w:pPr>
      <w:r>
        <w:rPr>
          <w:rFonts w:hint="eastAsia"/>
          <w:szCs w:val="21"/>
        </w:rPr>
        <w:t xml:space="preserve">（2）纸质档案加工</w:t>
      </w:r>
      <w:r>
        <w:rPr>
          <w:szCs w:val="21"/>
        </w:rPr>
      </w:r>
      <w:r/>
    </w:p>
    <w:p>
      <w:pPr>
        <w:pStyle w:val="842"/>
        <w:ind w:firstLine="420"/>
        <w:rPr>
          <w:szCs w:val="21"/>
        </w:rPr>
      </w:pPr>
      <w:r>
        <w:rPr>
          <w:rFonts w:hint="eastAsia"/>
          <w:szCs w:val="21"/>
        </w:rPr>
        <w:t xml:space="preserve">供应商提供纸质档案加工方案，包括“混合单套制”下纸质卷宗</w:t>
      </w:r>
      <w:r>
        <w:rPr>
          <w:szCs w:val="21"/>
        </w:rPr>
        <w:t xml:space="preserve">归档理卷</w:t>
      </w:r>
      <w:r>
        <w:rPr>
          <w:rFonts w:hint="eastAsia"/>
          <w:szCs w:val="21"/>
        </w:rPr>
        <w:t xml:space="preserve">、打码、目录制作、卷皮制作、档案装订、质检上架、数据备份</w:t>
      </w:r>
      <w:r>
        <w:rPr>
          <w:szCs w:val="21"/>
        </w:rPr>
        <w:t xml:space="preserve">等服务</w:t>
      </w:r>
      <w:r>
        <w:rPr>
          <w:rFonts w:hint="eastAsia"/>
          <w:szCs w:val="21"/>
        </w:rPr>
        <w:t xml:space="preserve">。</w:t>
      </w:r>
      <w:r>
        <w:rPr>
          <w:szCs w:val="21"/>
        </w:rPr>
      </w:r>
      <w:r/>
    </w:p>
    <w:p>
      <w:pPr>
        <w:pStyle w:val="884"/>
        <w:ind w:firstLine="422"/>
        <w:spacing w:before="0" w:after="0" w:line="360" w:lineRule="auto"/>
        <w:rPr>
          <w:sz w:val="21"/>
          <w:szCs w:val="21"/>
        </w:rPr>
      </w:pPr>
      <w:r>
        <w:rPr>
          <w:rFonts w:hint="eastAsia"/>
          <w:sz w:val="21"/>
          <w:szCs w:val="21"/>
        </w:rPr>
        <w:t xml:space="preserve">1.2 档案数字化加工服务需求</w:t>
      </w:r>
      <w:r>
        <w:rPr>
          <w:sz w:val="21"/>
          <w:szCs w:val="21"/>
        </w:rPr>
      </w:r>
      <w:r/>
    </w:p>
    <w:p>
      <w:pPr>
        <w:pStyle w:val="886"/>
        <w:ind w:firstLine="422"/>
        <w:spacing w:before="0" w:after="0" w:line="360" w:lineRule="auto"/>
        <w:rPr>
          <w:sz w:val="21"/>
          <w:szCs w:val="21"/>
        </w:rPr>
      </w:pPr>
      <w:r>
        <w:rPr>
          <w:rFonts w:hint="eastAsia"/>
          <w:sz w:val="21"/>
          <w:szCs w:val="21"/>
        </w:rPr>
        <w:t xml:space="preserve">1.2.1 档案接收</w:t>
      </w:r>
      <w:r>
        <w:rPr>
          <w:sz w:val="21"/>
          <w:szCs w:val="21"/>
        </w:rPr>
      </w:r>
      <w:r/>
    </w:p>
    <w:p>
      <w:pPr>
        <w:pStyle w:val="842"/>
        <w:ind w:firstLine="420"/>
        <w:rPr>
          <w:szCs w:val="21"/>
        </w:rPr>
      </w:pPr>
      <w:r>
        <w:rPr>
          <w:rFonts w:hint="eastAsia"/>
          <w:szCs w:val="21"/>
        </w:rPr>
        <w:t xml:space="preserve">（1）按照各审判业务部门提交的《归档清单》逐件核对、点算接收实体案件，进行纸质签收和系统签收，按照《人民法院案件诉讼文书材料归档排列顺序规范》的要求进行逐卷检查验收，对不符合立卷规范要求的，退回各审判业务部门重新整理。</w:t>
      </w:r>
      <w:r>
        <w:rPr>
          <w:szCs w:val="21"/>
        </w:rPr>
      </w:r>
      <w:r/>
    </w:p>
    <w:p>
      <w:pPr>
        <w:pStyle w:val="842"/>
        <w:ind w:firstLine="420"/>
        <w:rPr>
          <w:szCs w:val="21"/>
        </w:rPr>
      </w:pPr>
      <w:r>
        <w:rPr>
          <w:rFonts w:hint="eastAsia"/>
          <w:szCs w:val="21"/>
        </w:rPr>
        <w:t xml:space="preserve">（2）扫描档案袋上的二维码，在“卷宗流转管理系统”确认接收，并在《归档清单》上签名确认。</w:t>
      </w:r>
      <w:r>
        <w:rPr>
          <w:szCs w:val="21"/>
        </w:rPr>
      </w:r>
      <w:r/>
    </w:p>
    <w:p>
      <w:pPr>
        <w:pStyle w:val="842"/>
        <w:ind w:firstLine="420"/>
        <w:rPr>
          <w:szCs w:val="21"/>
        </w:rPr>
      </w:pPr>
      <w:r>
        <w:rPr>
          <w:rFonts w:hint="eastAsia"/>
          <w:szCs w:val="21"/>
        </w:rPr>
        <w:t xml:space="preserve">（3）在综合业务系统对每个案件进行案件基本信息核对后对案件进行纸质签收和系统签收，每件档案系统签收后生成一个归档号，并在案件袋上标注。</w:t>
      </w:r>
      <w:r>
        <w:rPr>
          <w:szCs w:val="21"/>
        </w:rPr>
      </w:r>
      <w:r/>
    </w:p>
    <w:p>
      <w:pPr>
        <w:pStyle w:val="842"/>
        <w:ind w:firstLine="420"/>
        <w:rPr>
          <w:szCs w:val="21"/>
        </w:rPr>
      </w:pPr>
      <w:r>
        <w:rPr>
          <w:rFonts w:hint="eastAsia"/>
          <w:szCs w:val="21"/>
        </w:rPr>
        <w:t xml:space="preserve">（4）检查有问题的档案发回各庭室处理。</w:t>
      </w:r>
      <w:r>
        <w:rPr>
          <w:szCs w:val="21"/>
        </w:rPr>
      </w:r>
      <w:r/>
    </w:p>
    <w:p>
      <w:pPr>
        <w:pStyle w:val="886"/>
        <w:ind w:firstLine="422"/>
        <w:spacing w:before="0" w:after="0" w:line="360" w:lineRule="auto"/>
        <w:rPr>
          <w:sz w:val="21"/>
          <w:szCs w:val="21"/>
        </w:rPr>
      </w:pPr>
      <w:r>
        <w:rPr>
          <w:rFonts w:hint="eastAsia"/>
          <w:sz w:val="21"/>
          <w:szCs w:val="21"/>
        </w:rPr>
        <w:t xml:space="preserve">1.2.2 档案整理</w:t>
      </w:r>
      <w:r>
        <w:rPr>
          <w:sz w:val="21"/>
          <w:szCs w:val="21"/>
        </w:rPr>
      </w:r>
      <w:r/>
    </w:p>
    <w:p>
      <w:pPr>
        <w:pStyle w:val="842"/>
        <w:ind w:firstLine="420"/>
        <w:rPr>
          <w:szCs w:val="21"/>
        </w:rPr>
      </w:pPr>
      <w:r>
        <w:rPr>
          <w:rFonts w:hint="eastAsia"/>
          <w:szCs w:val="21"/>
        </w:rPr>
        <w:t xml:space="preserve">工作人员需负责档案整理。包括以下内容：</w:t>
      </w:r>
      <w:r>
        <w:rPr>
          <w:szCs w:val="21"/>
        </w:rPr>
      </w:r>
      <w:r/>
    </w:p>
    <w:p>
      <w:pPr>
        <w:pStyle w:val="842"/>
        <w:ind w:firstLine="420"/>
        <w:rPr>
          <w:szCs w:val="21"/>
        </w:rPr>
      </w:pPr>
      <w:r>
        <w:rPr>
          <w:rFonts w:hint="eastAsia"/>
          <w:szCs w:val="21"/>
        </w:rPr>
        <w:t xml:space="preserve">（1）材料检查：档案材料是否齐全完整，材料是否符合规范，非入卷的材料和多余的材料作退回处理。</w:t>
      </w:r>
      <w:r>
        <w:rPr>
          <w:szCs w:val="21"/>
        </w:rPr>
      </w:r>
      <w:r/>
    </w:p>
    <w:p>
      <w:pPr>
        <w:pStyle w:val="842"/>
        <w:ind w:firstLine="420"/>
        <w:rPr>
          <w:szCs w:val="21"/>
        </w:rPr>
      </w:pPr>
      <w:r>
        <w:rPr>
          <w:rFonts w:hint="eastAsia"/>
          <w:szCs w:val="21"/>
        </w:rPr>
        <w:t xml:space="preserve">（2）档案材料是否手续完备：检查档案材料是否办理完毕的，如单位盖章、签名等。对档案材料不完善的，需逐项标注提示补充。</w:t>
      </w:r>
      <w:r>
        <w:rPr>
          <w:szCs w:val="21"/>
        </w:rPr>
      </w:r>
      <w:r/>
    </w:p>
    <w:p>
      <w:pPr>
        <w:pStyle w:val="842"/>
        <w:ind w:firstLine="420"/>
        <w:rPr>
          <w:szCs w:val="21"/>
        </w:rPr>
      </w:pPr>
      <w:r>
        <w:rPr>
          <w:rFonts w:hint="eastAsia"/>
          <w:szCs w:val="21"/>
        </w:rPr>
        <w:t xml:space="preserve">（3）按《人民法院案件诉讼文书材料归档排列顺序规范》进行立卷：票据材料规范粘贴，特殊材料按要求复印、包装入档，图纸按规范折叠等。</w:t>
      </w:r>
      <w:r>
        <w:rPr>
          <w:szCs w:val="21"/>
        </w:rPr>
      </w:r>
      <w:r/>
    </w:p>
    <w:p>
      <w:pPr>
        <w:pStyle w:val="842"/>
        <w:ind w:firstLine="420"/>
        <w:rPr>
          <w:szCs w:val="21"/>
        </w:rPr>
      </w:pPr>
      <w:r>
        <w:rPr>
          <w:rFonts w:hint="eastAsia"/>
          <w:szCs w:val="21"/>
        </w:rPr>
        <w:t xml:space="preserve">（4）材料经系统整理后逐页进行编写页码，从档案正文内容第一页起编写页码每册按次序从 1 开始连续编号，避免出现重号、跳号和错号等情况，空白的页面不编页号。</w:t>
      </w:r>
      <w:r>
        <w:rPr>
          <w:szCs w:val="21"/>
        </w:rPr>
      </w:r>
      <w:r/>
    </w:p>
    <w:p>
      <w:pPr>
        <w:pStyle w:val="842"/>
        <w:ind w:firstLine="420"/>
        <w:rPr>
          <w:szCs w:val="21"/>
        </w:rPr>
      </w:pPr>
      <w:r>
        <w:rPr>
          <w:rFonts w:hint="eastAsia"/>
          <w:szCs w:val="21"/>
        </w:rPr>
        <w:t xml:space="preserve">（5）编写正、副卷目录号码。</w:t>
      </w:r>
      <w:r>
        <w:rPr>
          <w:szCs w:val="21"/>
        </w:rPr>
      </w:r>
      <w:r/>
    </w:p>
    <w:p>
      <w:pPr>
        <w:pStyle w:val="842"/>
        <w:ind w:firstLine="420"/>
        <w:rPr>
          <w:szCs w:val="21"/>
        </w:rPr>
      </w:pPr>
      <w:r>
        <w:rPr>
          <w:rFonts w:hint="eastAsia"/>
          <w:szCs w:val="21"/>
        </w:rPr>
        <w:t xml:space="preserve">（6）档案的后补材料：对档案进行材料补充，按规范编写页码。</w:t>
      </w:r>
      <w:r>
        <w:rPr>
          <w:szCs w:val="21"/>
        </w:rPr>
      </w:r>
      <w:r/>
    </w:p>
    <w:p>
      <w:pPr>
        <w:pStyle w:val="842"/>
        <w:ind w:firstLine="420"/>
        <w:rPr>
          <w:szCs w:val="21"/>
        </w:rPr>
      </w:pPr>
      <w:r>
        <w:rPr>
          <w:rFonts w:hint="eastAsia"/>
          <w:szCs w:val="21"/>
        </w:rPr>
        <w:t xml:space="preserve">（7）每条整理数据按要求做好纸质登记并录入到档案整理系统。</w:t>
      </w:r>
      <w:r>
        <w:rPr>
          <w:szCs w:val="21"/>
        </w:rPr>
      </w:r>
      <w:r/>
    </w:p>
    <w:p>
      <w:pPr>
        <w:pStyle w:val="842"/>
        <w:ind w:firstLine="420"/>
        <w:rPr>
          <w:szCs w:val="21"/>
        </w:rPr>
      </w:pPr>
      <w:r>
        <w:rPr>
          <w:rFonts w:hint="eastAsia"/>
          <w:szCs w:val="21"/>
        </w:rPr>
        <w:t xml:space="preserve">（8）材料齐全整理完成的卷宗立即送给法官助理和法官检查，签名后让法官助理提交归档并打印一式两份《归档清单》，由档案整理人员送到档案室归档。</w:t>
      </w:r>
      <w:r>
        <w:rPr>
          <w:szCs w:val="21"/>
        </w:rPr>
      </w:r>
      <w:r/>
    </w:p>
    <w:p>
      <w:pPr>
        <w:pStyle w:val="842"/>
        <w:ind w:firstLine="420"/>
        <w:rPr>
          <w:szCs w:val="21"/>
        </w:rPr>
      </w:pPr>
      <w:r>
        <w:rPr>
          <w:rFonts w:hint="eastAsia"/>
          <w:szCs w:val="21"/>
        </w:rPr>
        <w:t xml:space="preserve">（9）归档签收后的《归档清单》归还对应书记员自行保管。</w:t>
      </w:r>
      <w:r>
        <w:rPr>
          <w:szCs w:val="21"/>
        </w:rPr>
      </w:r>
      <w:r/>
    </w:p>
    <w:p>
      <w:pPr>
        <w:pStyle w:val="842"/>
        <w:ind w:firstLine="420"/>
        <w:rPr>
          <w:szCs w:val="21"/>
        </w:rPr>
      </w:pPr>
      <w:r>
        <w:rPr>
          <w:rFonts w:hint="eastAsia"/>
          <w:szCs w:val="21"/>
        </w:rPr>
        <w:t xml:space="preserve">（10）整理员还需对立案后当事人补充的材料进行扫描，根据材料内容扫描到随案生成系统相应的目录下并检查扫描质量。</w:t>
      </w:r>
      <w:r>
        <w:rPr>
          <w:szCs w:val="21"/>
        </w:rPr>
      </w:r>
      <w:r/>
    </w:p>
    <w:p>
      <w:pPr>
        <w:pStyle w:val="886"/>
        <w:ind w:firstLine="422"/>
        <w:spacing w:before="0" w:after="0" w:line="360" w:lineRule="auto"/>
        <w:rPr>
          <w:sz w:val="21"/>
          <w:szCs w:val="21"/>
        </w:rPr>
      </w:pPr>
      <w:r>
        <w:rPr>
          <w:rFonts w:hint="eastAsia"/>
          <w:sz w:val="21"/>
          <w:szCs w:val="21"/>
        </w:rPr>
        <w:t xml:space="preserve">1.2.3 档案扫描</w:t>
      </w:r>
      <w:r>
        <w:rPr>
          <w:sz w:val="21"/>
          <w:szCs w:val="21"/>
        </w:rPr>
      </w:r>
      <w:r/>
    </w:p>
    <w:p>
      <w:pPr>
        <w:pStyle w:val="842"/>
        <w:ind w:firstLine="420"/>
        <w:rPr>
          <w:szCs w:val="21"/>
        </w:rPr>
      </w:pPr>
      <w:r>
        <w:rPr>
          <w:rFonts w:hint="eastAsia"/>
          <w:szCs w:val="21"/>
        </w:rPr>
        <w:t xml:space="preserve">扫描人员对完成预处理的档案进行实物清点，确认接收后进入数字化扫描工序。</w:t>
      </w:r>
      <w:r>
        <w:rPr>
          <w:szCs w:val="21"/>
        </w:rPr>
      </w:r>
      <w:r/>
    </w:p>
    <w:p>
      <w:pPr>
        <w:pStyle w:val="842"/>
        <w:ind w:firstLine="420"/>
        <w:rPr>
          <w:szCs w:val="21"/>
        </w:rPr>
      </w:pPr>
      <w:r>
        <w:rPr>
          <w:rFonts w:hint="eastAsia"/>
          <w:szCs w:val="21"/>
        </w:rPr>
        <w:t xml:space="preserve">（1）领取：领取的档案数量进行逐份清点，并在《档案交接清单》上签字确认。</w:t>
      </w:r>
      <w:r>
        <w:rPr>
          <w:szCs w:val="21"/>
        </w:rPr>
      </w:r>
      <w:r/>
    </w:p>
    <w:p>
      <w:pPr>
        <w:pStyle w:val="842"/>
        <w:ind w:firstLine="420"/>
        <w:rPr>
          <w:szCs w:val="21"/>
        </w:rPr>
      </w:pPr>
      <w:r>
        <w:rPr>
          <w:rFonts w:hint="eastAsia"/>
          <w:szCs w:val="21"/>
        </w:rPr>
        <w:t xml:space="preserve">（2）发票或其他各类不同证据材料，需用不同分辨率或者扫描方法进行扫描。</w:t>
      </w:r>
      <w:r>
        <w:rPr>
          <w:szCs w:val="21"/>
        </w:rPr>
      </w:r>
      <w:r/>
    </w:p>
    <w:p>
      <w:pPr>
        <w:pStyle w:val="842"/>
        <w:ind w:firstLine="420"/>
        <w:rPr>
          <w:szCs w:val="21"/>
        </w:rPr>
      </w:pPr>
      <w:r>
        <w:rPr>
          <w:rFonts w:hint="eastAsia"/>
          <w:szCs w:val="21"/>
        </w:rPr>
        <w:t xml:space="preserve">（3）影像扫描 ：图形格式采用</w:t>
      </w:r>
      <w:r>
        <w:rPr>
          <w:rFonts w:hint="eastAsia"/>
          <w:b/>
          <w:bCs/>
          <w:szCs w:val="21"/>
        </w:rPr>
        <w:t xml:space="preserve">JPEG</w:t>
      </w:r>
      <w:r>
        <w:rPr>
          <w:rFonts w:hint="eastAsia"/>
          <w:szCs w:val="21"/>
        </w:rPr>
        <w:t xml:space="preserve">格式，扫描分辨率要求</w:t>
      </w:r>
      <w:r>
        <w:rPr>
          <w:rFonts w:hint="eastAsia"/>
          <w:b/>
          <w:bCs/>
          <w:szCs w:val="21"/>
        </w:rPr>
        <w:t xml:space="preserve">200*200dpi</w:t>
      </w:r>
      <w:r>
        <w:rPr>
          <w:rFonts w:hint="eastAsia"/>
          <w:szCs w:val="21"/>
        </w:rPr>
        <w:t xml:space="preserve">。每份档案扫描生成的图形按照档案装订顺序形成JPG格式文件。档案原件文字偏小、密集、清晰度较差时，扫描的分辨率不少于</w:t>
      </w:r>
      <w:r>
        <w:rPr>
          <w:rFonts w:hint="eastAsia"/>
          <w:b/>
          <w:bCs/>
          <w:szCs w:val="21"/>
        </w:rPr>
        <w:t xml:space="preserve">300dpi</w:t>
      </w:r>
      <w:r>
        <w:rPr>
          <w:rFonts w:hint="eastAsia"/>
          <w:szCs w:val="21"/>
        </w:rPr>
        <w:t xml:space="preserve">。</w:t>
      </w:r>
      <w:r>
        <w:rPr>
          <w:szCs w:val="21"/>
        </w:rPr>
      </w:r>
      <w:r/>
    </w:p>
    <w:p>
      <w:pPr>
        <w:pStyle w:val="842"/>
        <w:ind w:firstLine="420"/>
        <w:rPr>
          <w:szCs w:val="21"/>
        </w:rPr>
      </w:pPr>
      <w:r>
        <w:rPr>
          <w:rFonts w:hint="eastAsia"/>
          <w:szCs w:val="21"/>
        </w:rPr>
        <w:t xml:space="preserve">（4）最大限度保留档案原件信息，便于多种方式的利用，宜全部采用彩色模式进行扫描。以档案纸张轮廓为准，页面倾斜度不能大于十度，扫描页面效果清晰。</w:t>
      </w:r>
      <w:r>
        <w:rPr>
          <w:szCs w:val="21"/>
        </w:rPr>
      </w:r>
      <w:r/>
    </w:p>
    <w:p>
      <w:pPr>
        <w:pStyle w:val="842"/>
        <w:ind w:firstLine="420"/>
        <w:rPr>
          <w:szCs w:val="21"/>
        </w:rPr>
      </w:pPr>
      <w:r>
        <w:rPr>
          <w:rFonts w:hint="eastAsia"/>
          <w:szCs w:val="21"/>
        </w:rPr>
        <w:t xml:space="preserve">（5）对不符合阅读方向的数字图像应进行旋转还原。对出现偏斜的图像应进行纠偏处理，以达到视觉上基本不感觉偏斜为准；如需对数字图像进行去污处理，以去除在扫描过程中产生的污点、污线、黑边等影响图像质量的杂质，应遵循展现档案原貌的原则，处理过程中不得去除档案页面原有的纸张褪变斑点、水渍、污点、装订孔等痕迹。</w:t>
      </w:r>
      <w:r>
        <w:rPr>
          <w:szCs w:val="21"/>
        </w:rPr>
      </w:r>
      <w:r/>
    </w:p>
    <w:p>
      <w:pPr>
        <w:pStyle w:val="842"/>
        <w:ind w:firstLine="420"/>
        <w:rPr>
          <w:szCs w:val="21"/>
        </w:rPr>
      </w:pPr>
      <w:r>
        <w:rPr>
          <w:rFonts w:hint="eastAsia"/>
          <w:szCs w:val="21"/>
        </w:rPr>
        <w:t xml:space="preserve">（6）要求扫描图像完整、效果清晰、无缺页、无漏页，页面清晰度与档案原件基本保持一致。</w:t>
      </w:r>
      <w:r>
        <w:rPr>
          <w:szCs w:val="21"/>
        </w:rPr>
      </w:r>
      <w:r/>
    </w:p>
    <w:p>
      <w:pPr>
        <w:pStyle w:val="886"/>
        <w:ind w:firstLine="422"/>
        <w:spacing w:before="0" w:after="0" w:line="360" w:lineRule="auto"/>
        <w:rPr>
          <w:sz w:val="21"/>
          <w:szCs w:val="21"/>
        </w:rPr>
      </w:pPr>
      <w:r>
        <w:rPr>
          <w:rFonts w:hint="eastAsia"/>
          <w:sz w:val="21"/>
          <w:szCs w:val="21"/>
        </w:rPr>
        <w:t xml:space="preserve">1.2.4 编目著录</w:t>
      </w:r>
      <w:r>
        <w:rPr>
          <w:sz w:val="21"/>
          <w:szCs w:val="21"/>
        </w:rPr>
      </w:r>
      <w:r/>
    </w:p>
    <w:p>
      <w:pPr>
        <w:pStyle w:val="842"/>
        <w:ind w:firstLine="420"/>
        <w:rPr>
          <w:szCs w:val="21"/>
        </w:rPr>
      </w:pPr>
      <w:r>
        <w:rPr>
          <w:rFonts w:hint="eastAsia"/>
          <w:szCs w:val="21"/>
        </w:rPr>
        <w:t xml:space="preserve">诉讼档案须根据最高法院制订的《人民法院计算机信息网络系统建设技术规范》要求将约200至300个字段数据录入到电子档案管理系统中。采用双人著录，软件需确保双人输入信息不一致时，信息自动无法存储或出现其他明显的标示方法等纠错方式，保证索引建立的准确性。</w:t>
      </w:r>
      <w:r>
        <w:rPr>
          <w:szCs w:val="21"/>
        </w:rPr>
      </w:r>
      <w:r/>
    </w:p>
    <w:p>
      <w:pPr>
        <w:pStyle w:val="886"/>
        <w:ind w:firstLine="422"/>
        <w:spacing w:before="0" w:after="0" w:line="360" w:lineRule="auto"/>
        <w:rPr>
          <w:sz w:val="21"/>
          <w:szCs w:val="21"/>
        </w:rPr>
      </w:pPr>
      <w:r>
        <w:rPr>
          <w:rFonts w:hint="eastAsia"/>
          <w:sz w:val="21"/>
          <w:szCs w:val="21"/>
        </w:rPr>
        <w:t xml:space="preserve">1.2.5 图文质检</w:t>
      </w:r>
      <w:r>
        <w:rPr>
          <w:sz w:val="21"/>
          <w:szCs w:val="21"/>
        </w:rPr>
      </w:r>
      <w:r/>
    </w:p>
    <w:p>
      <w:pPr>
        <w:pStyle w:val="842"/>
        <w:ind w:firstLine="420"/>
        <w:rPr>
          <w:szCs w:val="21"/>
        </w:rPr>
      </w:pPr>
      <w:r>
        <w:rPr>
          <w:rFonts w:hint="eastAsia"/>
          <w:szCs w:val="21"/>
        </w:rPr>
        <w:t xml:space="preserve">质检人员对完成著录的档案进行实物清点，确认接收后进入数字化档案质检工序。</w:t>
      </w:r>
      <w:r>
        <w:rPr>
          <w:szCs w:val="21"/>
        </w:rPr>
      </w:r>
      <w:r/>
    </w:p>
    <w:p>
      <w:pPr>
        <w:pStyle w:val="842"/>
        <w:ind w:firstLine="420"/>
        <w:rPr>
          <w:szCs w:val="21"/>
        </w:rPr>
      </w:pPr>
      <w:r>
        <w:rPr>
          <w:rFonts w:hint="eastAsia"/>
          <w:szCs w:val="21"/>
        </w:rPr>
        <w:t xml:space="preserve">（1）将扫描完成的资料逐一核查，去除扫描软件没能自动处理的黑边、纠斜、污点等，记录补扫信息（对漏扫、不合要求的扫描图像重新补扫）。按要求对图文索引完成的档案进行检查，对不符合质量要求的返工处理。主要检查内容有：</w:t>
      </w:r>
      <w:r>
        <w:rPr>
          <w:szCs w:val="21"/>
        </w:rPr>
      </w:r>
      <w:r/>
    </w:p>
    <w:p>
      <w:pPr>
        <w:pStyle w:val="842"/>
        <w:ind w:firstLine="420"/>
        <w:rPr>
          <w:szCs w:val="21"/>
        </w:rPr>
      </w:pPr>
      <w:r>
        <w:rPr>
          <w:rFonts w:hint="eastAsia"/>
          <w:szCs w:val="21"/>
        </w:rPr>
        <w:t xml:space="preserve">著录信息检查：电子档案实行多重索引，能按法院案件的事项（年度、案号、案由、当事人、承办人、归档号等）进行检索查询。</w:t>
      </w:r>
      <w:r>
        <w:rPr>
          <w:szCs w:val="21"/>
        </w:rPr>
      </w:r>
      <w:r/>
    </w:p>
    <w:p>
      <w:pPr>
        <w:pStyle w:val="842"/>
        <w:ind w:firstLine="420"/>
        <w:rPr>
          <w:szCs w:val="21"/>
        </w:rPr>
      </w:pPr>
      <w:r>
        <w:rPr>
          <w:rFonts w:hint="eastAsia"/>
          <w:szCs w:val="21"/>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rPr>
          <w:szCs w:val="21"/>
        </w:rPr>
      </w:r>
      <w:r/>
    </w:p>
    <w:p>
      <w:pPr>
        <w:pStyle w:val="842"/>
        <w:ind w:firstLine="420"/>
        <w:rPr>
          <w:szCs w:val="21"/>
        </w:rPr>
      </w:pPr>
      <w:r>
        <w:rPr>
          <w:rFonts w:hint="eastAsia"/>
          <w:szCs w:val="21"/>
        </w:rPr>
        <w:t xml:space="preserve">（2）电子档案著录信息准确无误，可按案件的事项进行多重检索查询，影像文件清晰度要与档案纸张原件基本保持一致。</w:t>
      </w:r>
      <w:r>
        <w:rPr>
          <w:szCs w:val="21"/>
        </w:rPr>
      </w:r>
      <w:r/>
    </w:p>
    <w:p>
      <w:pPr>
        <w:pStyle w:val="842"/>
        <w:ind w:firstLine="420"/>
        <w:rPr>
          <w:szCs w:val="21"/>
        </w:rPr>
      </w:pPr>
      <w:r>
        <w:rPr>
          <w:rFonts w:hint="eastAsia"/>
          <w:szCs w:val="21"/>
        </w:rPr>
        <w:t xml:space="preserve">（3）确保纸质档案与电子档案的页数、内容、排序一致，案卷列表、目录录入正确、归类准确，无缺页、漏页，发现不符合图像质量要求时，应重新进行图像处理。</w:t>
      </w:r>
      <w:r>
        <w:rPr>
          <w:szCs w:val="21"/>
        </w:rPr>
      </w:r>
      <w:r/>
    </w:p>
    <w:p>
      <w:pPr>
        <w:pStyle w:val="886"/>
        <w:ind w:firstLine="422"/>
        <w:spacing w:before="0" w:after="0" w:line="360" w:lineRule="auto"/>
        <w:rPr>
          <w:sz w:val="21"/>
          <w:szCs w:val="21"/>
        </w:rPr>
      </w:pPr>
      <w:r>
        <w:rPr>
          <w:rFonts w:hint="eastAsia"/>
          <w:sz w:val="21"/>
          <w:szCs w:val="21"/>
        </w:rPr>
        <w:t xml:space="preserve">1.2.6 数据挂接</w:t>
      </w:r>
      <w:r>
        <w:rPr>
          <w:sz w:val="21"/>
          <w:szCs w:val="21"/>
        </w:rPr>
      </w:r>
      <w:r/>
    </w:p>
    <w:p>
      <w:pPr>
        <w:pStyle w:val="842"/>
        <w:ind w:firstLine="420"/>
        <w:rPr>
          <w:szCs w:val="21"/>
        </w:rPr>
      </w:pPr>
      <w:r>
        <w:rPr>
          <w:rFonts w:hint="eastAsia"/>
          <w:szCs w:val="21"/>
        </w:rPr>
        <w:t xml:space="preserve">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r>
        <w:rPr>
          <w:szCs w:val="21"/>
        </w:rPr>
      </w:r>
      <w:r/>
    </w:p>
    <w:p>
      <w:pPr>
        <w:pStyle w:val="842"/>
        <w:ind w:firstLine="420"/>
        <w:rPr>
          <w:szCs w:val="21"/>
        </w:rPr>
      </w:pPr>
      <w:r>
        <w:rPr>
          <w:rFonts w:hint="eastAsia"/>
          <w:szCs w:val="21"/>
        </w:rPr>
        <w:t xml:space="preserve">将通过质检的图像与著录信息挂接到法院综合档案管理系统时，挂接前需核对系统的全宗号、归档单位、保管期限、属类号、目录号、卷号等内容是否正确；按材料的档号逐卷挂接；挂接前需先做好原数据的备份以及挂接方案，挂接方案通过采购人审核后再进行数据挂接。</w:t>
      </w:r>
      <w:r>
        <w:rPr>
          <w:szCs w:val="21"/>
        </w:rPr>
      </w:r>
      <w:r/>
    </w:p>
    <w:p>
      <w:pPr>
        <w:pStyle w:val="842"/>
        <w:ind w:firstLine="420"/>
        <w:rPr>
          <w:szCs w:val="21"/>
        </w:rPr>
      </w:pPr>
      <w:r>
        <w:rPr>
          <w:rFonts w:hint="eastAsia"/>
          <w:szCs w:val="21"/>
        </w:rPr>
        <w:t xml:space="preserve">挂接要求确保纸质档案与电子档案的页数、内容、排序一致，归类准确，无缺页、漏页，挂接正确；档案数字化成果必须通过完整性、准确性、可用性和安全性检查。</w:t>
      </w:r>
      <w:r>
        <w:rPr>
          <w:szCs w:val="21"/>
        </w:rPr>
      </w:r>
      <w:r/>
    </w:p>
    <w:p>
      <w:pPr>
        <w:pStyle w:val="886"/>
        <w:ind w:firstLine="422"/>
        <w:spacing w:before="0" w:after="0" w:line="360" w:lineRule="auto"/>
        <w:rPr>
          <w:sz w:val="21"/>
          <w:szCs w:val="21"/>
        </w:rPr>
      </w:pPr>
      <w:r>
        <w:rPr>
          <w:rFonts w:hint="eastAsia"/>
          <w:sz w:val="21"/>
          <w:szCs w:val="21"/>
        </w:rPr>
        <w:t xml:space="preserve">1.2.7 档案质检</w:t>
      </w:r>
      <w:r>
        <w:rPr>
          <w:sz w:val="21"/>
          <w:szCs w:val="21"/>
        </w:rPr>
      </w:r>
      <w:r/>
    </w:p>
    <w:p>
      <w:pPr>
        <w:pStyle w:val="842"/>
        <w:ind w:firstLine="420"/>
        <w:rPr>
          <w:szCs w:val="21"/>
        </w:rPr>
      </w:pPr>
      <w:r>
        <w:rPr>
          <w:rFonts w:hint="eastAsia"/>
          <w:szCs w:val="21"/>
        </w:rPr>
        <w:t xml:space="preserve">根据案号在档案加工系统将纸质档案质检：</w:t>
      </w:r>
      <w:r>
        <w:rPr>
          <w:szCs w:val="21"/>
        </w:rPr>
      </w:r>
      <w:r/>
    </w:p>
    <w:p>
      <w:pPr>
        <w:pStyle w:val="842"/>
        <w:ind w:firstLine="420"/>
        <w:rPr>
          <w:szCs w:val="21"/>
        </w:rPr>
      </w:pPr>
      <w:r>
        <w:rPr>
          <w:rFonts w:hint="eastAsia"/>
          <w:szCs w:val="21"/>
        </w:rPr>
        <w:t xml:space="preserve">（1）对不符合要求的图像进行重新扫描，对漏扫的材料进行补充扫描。</w:t>
      </w:r>
      <w:r>
        <w:rPr>
          <w:szCs w:val="21"/>
        </w:rPr>
      </w:r>
      <w:r/>
    </w:p>
    <w:p>
      <w:pPr>
        <w:pStyle w:val="842"/>
        <w:ind w:firstLine="420"/>
        <w:rPr>
          <w:szCs w:val="21"/>
        </w:rPr>
      </w:pPr>
      <w:r>
        <w:rPr>
          <w:rFonts w:hint="eastAsia"/>
          <w:szCs w:val="21"/>
        </w:rPr>
        <w:t xml:space="preserve">（2）对系统录入错误的信息内容进行更正并补充，根据封面和判决书增加当事人信息、审判结果、归档日期、册数等内容。</w:t>
      </w:r>
      <w:r>
        <w:rPr>
          <w:szCs w:val="21"/>
        </w:rPr>
      </w:r>
      <w:r/>
    </w:p>
    <w:p>
      <w:pPr>
        <w:pStyle w:val="842"/>
        <w:ind w:firstLine="420"/>
        <w:rPr>
          <w:szCs w:val="21"/>
        </w:rPr>
      </w:pPr>
      <w:r>
        <w:rPr>
          <w:rFonts w:hint="eastAsia"/>
          <w:szCs w:val="21"/>
        </w:rPr>
        <w:t xml:space="preserve">（3）检查材料顺序与目录页序是否相符，如有不符修改处理，并打印档案目录。</w:t>
      </w:r>
      <w:r>
        <w:rPr>
          <w:szCs w:val="21"/>
        </w:rPr>
      </w:r>
      <w:r/>
    </w:p>
    <w:p>
      <w:pPr>
        <w:pStyle w:val="842"/>
        <w:ind w:firstLine="420"/>
        <w:rPr>
          <w:szCs w:val="21"/>
        </w:rPr>
      </w:pPr>
      <w:r>
        <w:rPr>
          <w:rFonts w:hint="eastAsia"/>
          <w:szCs w:val="21"/>
        </w:rPr>
        <w:t xml:space="preserve">（4）检查确认无误后将档案电子档上传到档案管理系统。</w:t>
      </w:r>
      <w:r>
        <w:rPr>
          <w:szCs w:val="21"/>
        </w:rPr>
      </w:r>
      <w:r/>
    </w:p>
    <w:p>
      <w:pPr>
        <w:pStyle w:val="842"/>
        <w:ind w:firstLine="420"/>
        <w:rPr>
          <w:szCs w:val="21"/>
        </w:rPr>
      </w:pPr>
      <w:r>
        <w:rPr>
          <w:rFonts w:hint="eastAsia"/>
          <w:szCs w:val="21"/>
        </w:rPr>
        <w:t xml:space="preserve">（5）纸质档案统一打印页码，双面有文字的,正面在右上角编写页码，反面在左上角编写页码，只有单面有文字的，在右上角编写页码。一个案卷一个流水号，页号从“1”开始。</w:t>
      </w:r>
      <w:r>
        <w:rPr>
          <w:szCs w:val="21"/>
        </w:rPr>
      </w:r>
      <w:r/>
    </w:p>
    <w:p>
      <w:pPr>
        <w:pStyle w:val="886"/>
        <w:ind w:firstLine="422"/>
        <w:spacing w:before="0" w:after="0" w:line="360" w:lineRule="auto"/>
        <w:rPr>
          <w:sz w:val="21"/>
          <w:szCs w:val="21"/>
        </w:rPr>
      </w:pPr>
      <w:r>
        <w:rPr>
          <w:rFonts w:hint="eastAsia"/>
          <w:sz w:val="21"/>
          <w:szCs w:val="21"/>
        </w:rPr>
        <w:t xml:space="preserve">1.2.8 档案装订</w:t>
      </w:r>
      <w:r>
        <w:rPr>
          <w:sz w:val="21"/>
          <w:szCs w:val="21"/>
        </w:rPr>
      </w:r>
      <w:r/>
    </w:p>
    <w:p>
      <w:pPr>
        <w:pStyle w:val="842"/>
        <w:ind w:firstLine="420"/>
        <w:rPr>
          <w:szCs w:val="21"/>
        </w:rPr>
      </w:pPr>
      <w:r>
        <w:rPr>
          <w:rFonts w:hint="eastAsia"/>
          <w:szCs w:val="21"/>
        </w:rPr>
        <w:t xml:space="preserve">（1）对影像扫描完成的纸质档案逐卷清点，把材料按编号叠齐修正后装订，正副卷分开装订；对于影像扫描前已折叠过的大于A4幅面的图纸应按照相关规范重新折叠。最后按照要求对档案以卷为单位进行装订。</w:t>
      </w:r>
      <w:r>
        <w:rPr>
          <w:szCs w:val="21"/>
        </w:rPr>
      </w:r>
      <w:r/>
    </w:p>
    <w:p>
      <w:pPr>
        <w:pStyle w:val="842"/>
        <w:ind w:firstLine="420"/>
        <w:rPr>
          <w:szCs w:val="21"/>
        </w:rPr>
      </w:pPr>
      <w:r>
        <w:rPr>
          <w:rFonts w:hint="eastAsia"/>
          <w:szCs w:val="21"/>
        </w:rPr>
        <w:t xml:space="preserve">（2）将纸张档案装订成册，贴好封条，加盖档案骑缝章，折叠档案盒，根据档案资料利用针式打印机打印档案盒并将案卷装入对应档案盒中。装盒完成后要对装盒工作进行质量检查，确保档案盒打印清晰美观、档案没有漏装、错装及装盒不规范等问题。如打印有不合规范重新打印。</w:t>
      </w:r>
      <w:r>
        <w:rPr>
          <w:szCs w:val="21"/>
        </w:rPr>
      </w:r>
      <w:r/>
    </w:p>
    <w:p>
      <w:pPr>
        <w:pStyle w:val="842"/>
        <w:ind w:firstLine="420"/>
        <w:rPr>
          <w:szCs w:val="21"/>
        </w:rPr>
      </w:pPr>
      <w:r>
        <w:rPr>
          <w:rFonts w:hint="eastAsia"/>
          <w:szCs w:val="21"/>
        </w:rPr>
        <w:t xml:space="preserve">由于合同期内的案件归档无法按照流水号的顺序归档，故装盒的工作由甲方指定一个年度的诉讼档案进行装盒工作。</w:t>
      </w:r>
      <w:r>
        <w:rPr>
          <w:szCs w:val="21"/>
        </w:rPr>
      </w:r>
      <w:r/>
    </w:p>
    <w:p>
      <w:pPr>
        <w:pStyle w:val="842"/>
        <w:ind w:firstLine="420"/>
        <w:rPr>
          <w:szCs w:val="21"/>
        </w:rPr>
      </w:pPr>
      <w:r>
        <w:rPr>
          <w:rFonts w:hint="eastAsia"/>
          <w:szCs w:val="21"/>
        </w:rPr>
        <w:t xml:space="preserve">（3）归档验收：将已经装盒的纸质档案和数字化生成的电子档案，移交档案室验收人员进行验收，对于验收过程中发现的问题，及时进行沟通并处理。</w:t>
      </w:r>
      <w:r>
        <w:rPr>
          <w:szCs w:val="21"/>
        </w:rPr>
      </w:r>
      <w:r/>
    </w:p>
    <w:p>
      <w:pPr>
        <w:pStyle w:val="842"/>
        <w:ind w:firstLine="420"/>
        <w:rPr>
          <w:szCs w:val="21"/>
        </w:rPr>
      </w:pPr>
      <w:r>
        <w:rPr>
          <w:rFonts w:hint="eastAsia"/>
          <w:szCs w:val="21"/>
        </w:rPr>
        <w:t xml:space="preserve">（4）帮助庭室整理装订上诉案件。</w:t>
      </w:r>
      <w:r>
        <w:rPr>
          <w:szCs w:val="21"/>
        </w:rPr>
      </w:r>
      <w:r/>
    </w:p>
    <w:p>
      <w:pPr>
        <w:pStyle w:val="886"/>
        <w:ind w:firstLine="422"/>
        <w:spacing w:before="0" w:after="0" w:line="360" w:lineRule="auto"/>
        <w:rPr>
          <w:sz w:val="21"/>
          <w:szCs w:val="21"/>
        </w:rPr>
      </w:pPr>
      <w:r>
        <w:rPr>
          <w:rFonts w:hint="eastAsia"/>
          <w:sz w:val="21"/>
          <w:szCs w:val="21"/>
        </w:rPr>
        <w:t xml:space="preserve">1.2.9 </w:t>
      </w:r>
      <w:r>
        <w:rPr>
          <w:sz w:val="21"/>
          <w:szCs w:val="21"/>
        </w:rPr>
        <w:t xml:space="preserve">数据备份</w:t>
      </w:r>
      <w:r/>
    </w:p>
    <w:p>
      <w:pPr>
        <w:pStyle w:val="842"/>
        <w:ind w:firstLine="420"/>
        <w:rPr>
          <w:szCs w:val="21"/>
        </w:rPr>
      </w:pPr>
      <w:r>
        <w:rPr>
          <w:rFonts w:hint="eastAsia"/>
          <w:szCs w:val="21"/>
        </w:rPr>
        <w:t xml:space="preserve">提供电子档案数据备份方案并随服务自带电子档案数据离线备份管理系统对档案数字化加工成果进行离线备份保存。</w:t>
      </w:r>
      <w:r>
        <w:rPr>
          <w:szCs w:val="21"/>
        </w:rPr>
      </w:r>
      <w:r/>
    </w:p>
    <w:p>
      <w:pPr>
        <w:pStyle w:val="842"/>
        <w:ind w:firstLine="420"/>
        <w:rPr>
          <w:szCs w:val="21"/>
        </w:rPr>
      </w:pPr>
      <w:r>
        <w:rPr>
          <w:rFonts w:hint="eastAsia"/>
          <w:szCs w:val="21"/>
        </w:rPr>
        <w:t xml:space="preserve">档案数据备份包括两部分：纸质归档案件的扫描数据备份，电子归档案件的备份指档案系统的档案数据备份。备份要求均按照年份、案件类别、案号的顺序建好文件，备份数据采用图片格式。</w:t>
      </w:r>
      <w:r>
        <w:rPr>
          <w:rFonts w:hint="eastAsia"/>
          <w:color w:val="c00000"/>
          <w:szCs w:val="21"/>
        </w:rPr>
        <w:t xml:space="preserve">档案数据备份每季度移交一次档案室。</w:t>
      </w:r>
      <w:r>
        <w:rPr>
          <w:szCs w:val="21"/>
        </w:rPr>
      </w:r>
      <w:r/>
    </w:p>
    <w:p>
      <w:pPr>
        <w:pStyle w:val="842"/>
        <w:ind w:firstLine="420"/>
        <w:rPr>
          <w:szCs w:val="21"/>
        </w:rPr>
      </w:pPr>
      <w:r>
        <w:rPr>
          <w:rFonts w:hint="eastAsia"/>
          <w:szCs w:val="21"/>
        </w:rPr>
        <w:t xml:space="preserve">1.2.10 入库上架</w:t>
      </w:r>
      <w:r>
        <w:rPr>
          <w:szCs w:val="21"/>
        </w:rPr>
      </w:r>
      <w:r/>
    </w:p>
    <w:p>
      <w:pPr>
        <w:pStyle w:val="842"/>
        <w:ind w:firstLine="420"/>
        <w:rPr>
          <w:szCs w:val="21"/>
        </w:rPr>
      </w:pPr>
      <w:r>
        <w:rPr>
          <w:rFonts w:hint="eastAsia"/>
          <w:szCs w:val="21"/>
        </w:rPr>
        <w:t xml:space="preserve">（1）已验收的档案分类装箱打包，运送到法院指定库房。</w:t>
      </w:r>
      <w:r>
        <w:rPr>
          <w:szCs w:val="21"/>
        </w:rPr>
      </w:r>
      <w:r/>
    </w:p>
    <w:p>
      <w:pPr>
        <w:pStyle w:val="842"/>
        <w:ind w:firstLine="420"/>
        <w:rPr>
          <w:szCs w:val="21"/>
        </w:rPr>
      </w:pPr>
      <w:r>
        <w:rPr>
          <w:rFonts w:hint="eastAsia"/>
          <w:szCs w:val="21"/>
        </w:rPr>
        <w:t xml:space="preserve">（2）入库：按类型、年份、归档号顺序入库、上架，档案按档案管理部门要求入库，完成档案上架。</w:t>
      </w:r>
      <w:r>
        <w:rPr>
          <w:szCs w:val="21"/>
        </w:rPr>
      </w:r>
      <w:r/>
    </w:p>
    <w:p>
      <w:pPr>
        <w:pStyle w:val="884"/>
        <w:ind w:firstLine="422"/>
        <w:spacing w:before="0" w:after="0" w:line="360" w:lineRule="auto"/>
        <w:rPr>
          <w:sz w:val="21"/>
          <w:szCs w:val="21"/>
        </w:rPr>
      </w:pPr>
      <w:r>
        <w:rPr>
          <w:rFonts w:hint="eastAsia"/>
          <w:sz w:val="21"/>
          <w:szCs w:val="21"/>
        </w:rPr>
        <w:t xml:space="preserve">1.3 无纸化办案基础性配套服务</w:t>
      </w:r>
      <w:r>
        <w:rPr>
          <w:sz w:val="21"/>
          <w:szCs w:val="21"/>
        </w:rPr>
      </w:r>
      <w:r/>
    </w:p>
    <w:p>
      <w:pPr>
        <w:pStyle w:val="886"/>
        <w:ind w:firstLine="422"/>
        <w:spacing w:before="0" w:after="0" w:line="360" w:lineRule="auto"/>
        <w:rPr>
          <w:sz w:val="21"/>
          <w:szCs w:val="21"/>
        </w:rPr>
      </w:pPr>
      <w:r>
        <w:rPr>
          <w:rFonts w:hint="eastAsia"/>
          <w:sz w:val="21"/>
          <w:szCs w:val="21"/>
        </w:rPr>
        <w:t xml:space="preserve">1.3.1 ▲</w:t>
      </w:r>
      <w:r>
        <w:rPr>
          <w:sz w:val="21"/>
          <w:szCs w:val="21"/>
        </w:rPr>
        <w:t xml:space="preserve">诉讼材料收转发管理</w:t>
      </w:r>
      <w:r/>
    </w:p>
    <w:p>
      <w:pPr>
        <w:pStyle w:val="842"/>
        <w:ind w:firstLine="420"/>
        <w:rPr>
          <w:color w:val="000000"/>
          <w:szCs w:val="21"/>
        </w:rPr>
      </w:pPr>
      <w:r>
        <w:rPr>
          <w:szCs w:val="21"/>
        </w:rPr>
        <w:t xml:space="preserve">为配套采购人无纸化办案需求，供应商应提供一套基于</w:t>
      </w:r>
      <w:r>
        <w:rPr>
          <w:rFonts w:hint="eastAsia"/>
          <w:szCs w:val="21"/>
        </w:rPr>
        <w:t xml:space="preserve">材料管理</w:t>
      </w:r>
      <w:r>
        <w:rPr>
          <w:szCs w:val="21"/>
        </w:rPr>
        <w:t xml:space="preserve">、卷宗（中间库）管理</w:t>
      </w:r>
      <w:r>
        <w:rPr>
          <w:rFonts w:hint="eastAsia"/>
          <w:szCs w:val="21"/>
        </w:rPr>
        <w:t xml:space="preserve">以及</w:t>
      </w:r>
      <w:r>
        <w:rPr>
          <w:szCs w:val="21"/>
        </w:rPr>
        <w:t xml:space="preserve">卷宗查询的卷宗流转管理系统，便捷实体卷宗的追溯管理，同时可以统计电子卷宗生成各环节时效性。供应商承诺提供的配套系统可以与采购人审判、执行业务系统实现无缝对接，</w:t>
      </w:r>
      <w:r>
        <w:rPr>
          <w:rFonts w:hint="eastAsia"/>
          <w:szCs w:val="21"/>
        </w:rPr>
        <w:t xml:space="preserve">并确保与采购人即将切换的最高院“一张网”系统数据保持一致</w:t>
      </w:r>
      <w:r>
        <w:rPr>
          <w:szCs w:val="21"/>
        </w:rPr>
        <w:t xml:space="preserve">，</w:t>
      </w:r>
      <w:r>
        <w:rPr>
          <w:rFonts w:hint="eastAsia"/>
          <w:szCs w:val="21"/>
        </w:rPr>
        <w:t xml:space="preserve">供应商</w:t>
      </w:r>
      <w:r>
        <w:rPr>
          <w:szCs w:val="21"/>
        </w:rPr>
        <w:t xml:space="preserve">要具有上述要求的开发能力。采购人负责</w:t>
      </w:r>
      <w:r>
        <w:rPr>
          <w:color w:val="000000"/>
          <w:szCs w:val="21"/>
        </w:rPr>
        <w:t xml:space="preserve">提供对接所需的原系统相关技术资料及相关协调工作，对接费用由</w:t>
      </w:r>
      <w:r>
        <w:rPr>
          <w:rFonts w:hint="eastAsia"/>
          <w:color w:val="000000"/>
          <w:szCs w:val="21"/>
        </w:rPr>
        <w:t xml:space="preserve">供应商</w:t>
      </w:r>
      <w:r>
        <w:rPr>
          <w:color w:val="000000"/>
          <w:szCs w:val="21"/>
        </w:rPr>
        <w:t xml:space="preserve">承担。</w:t>
      </w:r>
      <w:r>
        <w:rPr>
          <w:rFonts w:hint="eastAsia"/>
          <w:color w:val="000000"/>
          <w:szCs w:val="21"/>
        </w:rPr>
        <w:t xml:space="preserve">供应商</w:t>
      </w:r>
      <w:r>
        <w:rPr>
          <w:color w:val="000000"/>
          <w:szCs w:val="21"/>
        </w:rPr>
        <w:t xml:space="preserve">需提供卷宗管理（包括</w:t>
      </w:r>
      <w:r>
        <w:rPr>
          <w:rFonts w:hint="eastAsia"/>
          <w:color w:val="000000"/>
          <w:szCs w:val="21"/>
        </w:rPr>
        <w:t xml:space="preserve">①材料登记②材料加工③材料入库④在库管理⑤卷宗出库⑥卷宗借阅⑦中间库库区维护⑧出库申请⑨卷宗整理⑩上诉管理</w:t>
      </w:r>
      <w:r>
        <w:rPr>
          <w:color w:val="000000"/>
          <w:szCs w:val="21"/>
        </w:rPr>
        <w:t xml:space="preserve">）相关</w:t>
      </w:r>
      <w:r>
        <w:rPr>
          <w:rFonts w:hint="eastAsia"/>
          <w:color w:val="000000"/>
          <w:szCs w:val="21"/>
        </w:rPr>
        <w:t xml:space="preserve">功能</w:t>
      </w:r>
      <w:r>
        <w:rPr>
          <w:color w:val="000000"/>
          <w:szCs w:val="21"/>
        </w:rPr>
        <w:t xml:space="preserve">截图及说明</w:t>
      </w:r>
      <w:r>
        <w:rPr>
          <w:rFonts w:hint="eastAsia"/>
          <w:color w:val="000000"/>
          <w:szCs w:val="21"/>
        </w:rPr>
        <w:t xml:space="preserve">。</w:t>
      </w:r>
      <w:r>
        <w:rPr>
          <w:color w:val="000000"/>
          <w:szCs w:val="21"/>
        </w:rPr>
      </w:r>
      <w:r/>
    </w:p>
    <w:p>
      <w:pPr>
        <w:pStyle w:val="886"/>
        <w:ind w:firstLine="422"/>
        <w:spacing w:before="0" w:after="0" w:line="360" w:lineRule="auto"/>
        <w:rPr>
          <w:color w:val="000000"/>
          <w:sz w:val="21"/>
          <w:szCs w:val="21"/>
        </w:rPr>
      </w:pPr>
      <w:r>
        <w:rPr>
          <w:rFonts w:hint="eastAsia"/>
          <w:color w:val="000000"/>
          <w:sz w:val="21"/>
          <w:szCs w:val="21"/>
        </w:rPr>
        <w:t xml:space="preserve">1.3.2 数字化扫描加工配套工具软件</w:t>
      </w:r>
      <w:r>
        <w:rPr>
          <w:color w:val="000000"/>
          <w:sz w:val="21"/>
          <w:szCs w:val="21"/>
        </w:rPr>
      </w:r>
      <w:r/>
    </w:p>
    <w:p>
      <w:pPr>
        <w:pStyle w:val="842"/>
        <w:ind w:firstLine="420"/>
        <w:rPr>
          <w:szCs w:val="21"/>
        </w:rPr>
      </w:pPr>
      <w:r>
        <w:rPr>
          <w:szCs w:val="21"/>
        </w:rPr>
        <w:t xml:space="preserve">（</w:t>
      </w:r>
      <w:r>
        <w:rPr>
          <w:rFonts w:hint="eastAsia"/>
          <w:szCs w:val="21"/>
        </w:rPr>
        <w:t xml:space="preserve">1</w:t>
      </w:r>
      <w:r>
        <w:rPr>
          <w:szCs w:val="21"/>
        </w:rPr>
        <w:t xml:space="preserve">）供应商</w:t>
      </w:r>
      <w:r>
        <w:rPr>
          <w:rFonts w:hint="eastAsia"/>
          <w:szCs w:val="21"/>
        </w:rPr>
        <w:t xml:space="preserve">必须有能力根据法院提供的技术文档开发接口系统。实现与法院审判系统、执行系统、电子卷宗系统、材料收转发系统、电子档案管理系统数据交换接口开发，定期将质检通过的电子扫描件及电子档案目录数据上传到电子档案管理平台、电子卷宗管理平台，并实现与审执系统等业务系统资源共享。采购人负责提供对接所需的原系统相关技术资料及相关协调工作。因考虑法院审判工作的需要，且法院审判系统和电子档案管理系统是内部工作系统，不对外联网，接口的详细数据不宜对外公开。采购人不再另行支付相应的费用，</w:t>
      </w:r>
      <w:r>
        <w:rPr>
          <w:szCs w:val="21"/>
        </w:rPr>
        <w:t xml:space="preserve">也不为软件知识产权可能产生的纠纷负责。</w:t>
      </w:r>
      <w:r/>
    </w:p>
    <w:p>
      <w:pPr>
        <w:pStyle w:val="842"/>
        <w:ind w:firstLine="420"/>
        <w:rPr>
          <w:szCs w:val="21"/>
        </w:rPr>
      </w:pPr>
      <w:r>
        <w:rPr>
          <w:rFonts w:hint="eastAsia"/>
          <w:szCs w:val="21"/>
        </w:rPr>
        <w:t xml:space="preserve">（2）供应商提供数字化加工相关软件需要提供①图像去污②剪裁裁边③图像旋转④图像纠偏⑤分辨率设置⑥格式路径设置⑦图像加深减淡⑧拼接打码⑨文字加深变浅锐化⑩图像合并转换等功能。</w:t>
      </w:r>
      <w:r>
        <w:rPr>
          <w:szCs w:val="21"/>
        </w:rPr>
      </w:r>
      <w:r/>
    </w:p>
    <w:p>
      <w:pPr>
        <w:pStyle w:val="842"/>
        <w:ind w:firstLine="420"/>
        <w:rPr>
          <w:szCs w:val="21"/>
        </w:rPr>
      </w:pPr>
      <w:r>
        <w:rPr>
          <w:rFonts w:hint="eastAsia"/>
          <w:szCs w:val="21"/>
        </w:rPr>
        <w:t xml:space="preserve">（3）</w:t>
      </w:r>
      <w:bookmarkStart w:id="29" w:name="OLE_LINK6"/>
      <w:r>
        <w:rPr>
          <w:rFonts w:hint="eastAsia"/>
          <w:b/>
          <w:szCs w:val="21"/>
        </w:rPr>
        <w:t xml:space="preserve">▲</w:t>
      </w:r>
      <w:bookmarkEnd w:id="29"/>
      <w:r>
        <w:rPr>
          <w:rFonts w:hint="eastAsia"/>
          <w:szCs w:val="21"/>
        </w:rPr>
        <w:t xml:space="preserve">数字化加工配套软件需支持模板配置，提供打印封面，目录，备考表，档案盒等功能；需支持对接审判和档案等系统自动获取案件结构化数据功能，减少手工录入工作量以及手工录入准确性的问题；需支持卷宗归档后加册功能，规范归档加册流程；需支持分卷册自动生成并打印条形码，解决档案分册条形码打印问题；需要支持</w:t>
      </w:r>
      <w:r>
        <w:rPr>
          <w:szCs w:val="21"/>
        </w:rPr>
        <w:t xml:space="preserve">自动生成卷册信息，</w:t>
      </w:r>
      <w:r>
        <w:rPr>
          <w:rFonts w:hint="eastAsia"/>
          <w:szCs w:val="21"/>
        </w:rPr>
        <w:t xml:space="preserve">无需手工引入。</w:t>
      </w:r>
      <w:r>
        <w:rPr>
          <w:szCs w:val="21"/>
        </w:rPr>
        <w:t xml:space="preserve">供应商需提供相关</w:t>
      </w:r>
      <w:r>
        <w:rPr>
          <w:rFonts w:hint="eastAsia"/>
          <w:szCs w:val="21"/>
        </w:rPr>
        <w:t xml:space="preserve">功能</w:t>
      </w:r>
      <w:r>
        <w:rPr>
          <w:szCs w:val="21"/>
        </w:rPr>
        <w:t xml:space="preserve">页面截图</w:t>
      </w:r>
      <w:r>
        <w:rPr>
          <w:rFonts w:hint="eastAsia"/>
          <w:szCs w:val="21"/>
        </w:rPr>
        <w:t xml:space="preserve">。</w:t>
      </w:r>
      <w:r>
        <w:rPr>
          <w:szCs w:val="21"/>
        </w:rPr>
      </w:r>
      <w:r/>
    </w:p>
    <w:p>
      <w:pPr>
        <w:pStyle w:val="886"/>
        <w:ind w:firstLine="422"/>
        <w:spacing w:before="0" w:after="0" w:line="360" w:lineRule="auto"/>
        <w:rPr>
          <w:sz w:val="21"/>
          <w:szCs w:val="21"/>
        </w:rPr>
      </w:pPr>
      <w:r>
        <w:rPr>
          <w:rFonts w:hint="eastAsia"/>
          <w:sz w:val="21"/>
          <w:szCs w:val="21"/>
        </w:rPr>
        <w:t xml:space="preserve">1.3.3 提供司法辅助事务集约化管理系统</w:t>
      </w:r>
      <w:r>
        <w:rPr>
          <w:sz w:val="21"/>
          <w:szCs w:val="21"/>
        </w:rPr>
      </w:r>
      <w:r/>
    </w:p>
    <w:p>
      <w:pPr>
        <w:pStyle w:val="842"/>
        <w:ind w:firstLine="420"/>
        <w:rPr>
          <w:szCs w:val="21"/>
        </w:rPr>
      </w:pPr>
      <w:r>
        <w:rPr>
          <w:rFonts w:hint="eastAsia"/>
          <w:szCs w:val="21"/>
          <w:lang w:val="zh-CN"/>
        </w:rPr>
        <w:t xml:space="preserve">司法辅助事务集约化管理系统</w:t>
      </w:r>
      <w:r>
        <w:rPr>
          <w:rFonts w:hint="eastAsia"/>
          <w:szCs w:val="21"/>
        </w:rPr>
        <w:t xml:space="preserve">整合实现了司法资源整合，优</w:t>
      </w:r>
      <w:r>
        <w:rPr>
          <w:rFonts w:hint="eastAsia"/>
          <w:szCs w:val="21"/>
        </w:rPr>
        <w:t xml:space="preserve">化管理，将归档等辅助事项剥离出来，实现了法官专注核心事务，改革过去的辅助事务分散处理的工作模式，将法官助理的部分非核心事务和书记员的事务剥离出来，交由司法辅助集约化服务平台统一集中办理。让法官将更多地精力投入到审理案件，有效缩短了办案周期，实现司法辅助事务集约化、专业化管理，法官事务性工作大大减少，提高效率和质量。将辅助事务通过司法辅助集约化管理系统统一进行流转管理，事项的交办和办理全程流程。将传统的“法官+法官助理+书记员”的团队审判模式，改变为由“多个法官+法官助理”共享一个辅助事务服务团队的审判模式。</w:t>
      </w:r>
      <w:r>
        <w:rPr>
          <w:szCs w:val="21"/>
        </w:rPr>
      </w:r>
      <w:r/>
    </w:p>
    <w:p>
      <w:pPr>
        <w:pStyle w:val="842"/>
        <w:ind w:firstLine="422"/>
        <w:rPr>
          <w:szCs w:val="21"/>
        </w:rPr>
      </w:pPr>
      <w:r>
        <w:rPr>
          <w:rFonts w:hint="eastAsia"/>
          <w:b/>
          <w:szCs w:val="21"/>
        </w:rPr>
        <w:t xml:space="preserve">▲</w:t>
      </w:r>
      <w:r>
        <w:rPr>
          <w:rFonts w:hint="eastAsia"/>
          <w:szCs w:val="21"/>
        </w:rPr>
        <w:t xml:space="preserve">提供解决方案并提供事务发起（包括补充扫描、无纸化归档），事务分派、事务管理、事务监督等功能截图。</w:t>
      </w:r>
      <w:r>
        <w:rPr>
          <w:szCs w:val="21"/>
        </w:rPr>
        <w:t xml:space="preserve">（供应商需提供相关</w:t>
      </w:r>
      <w:r>
        <w:rPr>
          <w:rFonts w:hint="eastAsia"/>
          <w:szCs w:val="21"/>
        </w:rPr>
        <w:t xml:space="preserve">功能</w:t>
      </w:r>
      <w:r>
        <w:rPr>
          <w:szCs w:val="21"/>
        </w:rPr>
        <w:t xml:space="preserve">页面截图）</w:t>
      </w:r>
      <w:r>
        <w:rPr>
          <w:rFonts w:hint="eastAsia"/>
          <w:szCs w:val="21"/>
        </w:rPr>
        <w:t xml:space="preserve">。</w:t>
      </w:r>
      <w:r>
        <w:rPr>
          <w:szCs w:val="21"/>
        </w:rPr>
      </w:r>
      <w:r/>
    </w:p>
    <w:p>
      <w:pPr>
        <w:pStyle w:val="886"/>
        <w:ind w:firstLine="422"/>
        <w:spacing w:before="0" w:after="0" w:line="360" w:lineRule="auto"/>
        <w:rPr>
          <w:sz w:val="21"/>
          <w:szCs w:val="21"/>
        </w:rPr>
      </w:pPr>
      <w:r>
        <w:rPr>
          <w:rFonts w:hint="eastAsia"/>
          <w:sz w:val="21"/>
          <w:szCs w:val="21"/>
        </w:rPr>
        <w:t xml:space="preserve">1.3.4 ▲</w:t>
      </w:r>
      <w:r>
        <w:rPr>
          <w:sz w:val="21"/>
          <w:szCs w:val="21"/>
        </w:rPr>
        <w:t xml:space="preserve">提供</w:t>
      </w:r>
      <w:r>
        <w:rPr>
          <w:rFonts w:hint="eastAsia"/>
          <w:sz w:val="21"/>
          <w:szCs w:val="21"/>
        </w:rPr>
        <w:t xml:space="preserve">司法辅助事务数据可视化展示平台</w:t>
      </w:r>
      <w:r>
        <w:rPr>
          <w:sz w:val="21"/>
          <w:szCs w:val="21"/>
        </w:rPr>
        <w:t xml:space="preserve">服务</w:t>
      </w:r>
      <w:r/>
    </w:p>
    <w:p>
      <w:pPr>
        <w:pStyle w:val="842"/>
        <w:ind w:firstLine="420"/>
        <w:rPr>
          <w:color w:val="000000"/>
          <w:szCs w:val="21"/>
        </w:rPr>
      </w:pPr>
      <w:r>
        <w:rPr>
          <w:szCs w:val="21"/>
        </w:rPr>
        <w:t xml:space="preserve">供应商应提供包含电子卷宗随案同步生成各环节数据的数据展示服务，展示内容包括但不限于</w:t>
      </w:r>
      <w:r>
        <w:rPr>
          <w:rFonts w:hint="eastAsia"/>
          <w:szCs w:val="21"/>
        </w:rPr>
        <w:t xml:space="preserve">提供立案</w:t>
      </w:r>
      <w:r>
        <w:rPr>
          <w:rFonts w:hint="eastAsia"/>
          <w:color w:val="1111fb"/>
          <w:szCs w:val="21"/>
        </w:rPr>
        <w:t xml:space="preserve">、</w:t>
      </w:r>
      <w:r>
        <w:rPr>
          <w:rFonts w:hint="eastAsia"/>
          <w:color w:val="000000"/>
          <w:szCs w:val="21"/>
        </w:rPr>
        <w:t xml:space="preserve">编目、审理、中间库、结案、归档等环节</w:t>
      </w:r>
      <w:r>
        <w:rPr>
          <w:color w:val="000000"/>
          <w:szCs w:val="21"/>
        </w:rPr>
        <w:t xml:space="preserve">统计数据</w:t>
      </w:r>
      <w:r>
        <w:rPr>
          <w:rFonts w:hint="eastAsia"/>
          <w:color w:val="000000"/>
          <w:szCs w:val="21"/>
        </w:rPr>
        <w:t xml:space="preserve">。</w:t>
      </w:r>
      <w:r>
        <w:rPr>
          <w:color w:val="000000"/>
          <w:szCs w:val="21"/>
        </w:rPr>
        <w:t xml:space="preserve">供应商需提供相关数据可视化展示页面截图</w:t>
      </w:r>
      <w:r>
        <w:rPr>
          <w:rFonts w:hint="eastAsia"/>
          <w:color w:val="000000"/>
          <w:szCs w:val="21"/>
        </w:rPr>
        <w:t xml:space="preserve">。</w:t>
      </w:r>
      <w:r>
        <w:rPr>
          <w:color w:val="000000"/>
          <w:szCs w:val="21"/>
        </w:rPr>
      </w:r>
      <w:r/>
    </w:p>
    <w:p>
      <w:pPr>
        <w:pStyle w:val="886"/>
        <w:ind w:firstLine="422"/>
        <w:spacing w:before="0" w:after="0" w:line="360" w:lineRule="auto"/>
        <w:rPr>
          <w:color w:val="000000"/>
          <w:sz w:val="21"/>
          <w:szCs w:val="21"/>
        </w:rPr>
      </w:pPr>
      <w:r>
        <w:rPr>
          <w:rFonts w:hint="eastAsia"/>
          <w:color w:val="000000"/>
          <w:sz w:val="21"/>
          <w:szCs w:val="21"/>
        </w:rPr>
        <w:t xml:space="preserve">1.3.5 提供软件系统优化升级服务</w:t>
      </w:r>
      <w:r>
        <w:rPr>
          <w:color w:val="000000"/>
          <w:sz w:val="21"/>
          <w:szCs w:val="21"/>
        </w:rPr>
      </w:r>
      <w:r/>
    </w:p>
    <w:p>
      <w:pPr>
        <w:pStyle w:val="842"/>
        <w:ind w:firstLine="420"/>
        <w:rPr>
          <w:szCs w:val="21"/>
        </w:rPr>
      </w:pPr>
      <w:r>
        <w:rPr>
          <w:rFonts w:hint="eastAsia"/>
          <w:szCs w:val="21"/>
        </w:rPr>
        <w:t xml:space="preserve">为确保吴江法院无纸化办案成效，供应商需着力推进贯穿立案，送达，接待，调查，询问，调解，庭审，合议，裁判，结案，归档等环节的全流程、全要素无纸化办案配套服务。供应商应基于现有法院业务系统进行软件功能操作，服务期间供应商提供的相关配套服务软件需与即将切换的最高院“一张网”核心业务系统进行无缝对接，确保数据准确性及一致性，同时需要支持后期接入</w:t>
      </w:r>
      <w:r>
        <w:rPr>
          <w:szCs w:val="21"/>
        </w:rPr>
        <w:t xml:space="preserve">AI大模型的能力</w:t>
      </w:r>
      <w:r>
        <w:rPr>
          <w:rFonts w:hint="eastAsia"/>
          <w:szCs w:val="21"/>
        </w:rPr>
        <w:t xml:space="preserve">。</w:t>
      </w:r>
      <w:r>
        <w:rPr>
          <w:szCs w:val="21"/>
        </w:rPr>
      </w:r>
      <w:r/>
    </w:p>
    <w:p>
      <w:pPr>
        <w:pStyle w:val="882"/>
        <w:ind w:firstLine="422"/>
        <w:spacing w:before="0" w:after="0" w:line="360" w:lineRule="auto"/>
        <w:rPr>
          <w:sz w:val="21"/>
          <w:szCs w:val="21"/>
        </w:rPr>
      </w:pPr>
      <w:r>
        <w:rPr>
          <w:rFonts w:hint="eastAsia"/>
          <w:sz w:val="21"/>
          <w:szCs w:val="21"/>
        </w:rPr>
        <w:t xml:space="preserve">2. 服务标准及服务质量要求</w:t>
      </w:r>
      <w:r>
        <w:rPr>
          <w:sz w:val="21"/>
          <w:szCs w:val="21"/>
        </w:rPr>
      </w:r>
      <w:r/>
    </w:p>
    <w:p>
      <w:pPr>
        <w:pStyle w:val="842"/>
        <w:ind w:firstLine="420"/>
        <w:rPr>
          <w:szCs w:val="21"/>
        </w:rPr>
      </w:pPr>
      <w:r>
        <w:rPr>
          <w:rFonts w:hint="eastAsia"/>
          <w:szCs w:val="21"/>
        </w:rPr>
        <w:t xml:space="preserve">建立健全吴江法院无纸化办案全流程服务质量和标准，主要内容包括：全流程无纸化服务标准，服务质量保障、全流程服务绩效考核体系以及数据监管方案。</w:t>
      </w:r>
      <w:r>
        <w:rPr>
          <w:szCs w:val="21"/>
        </w:rPr>
      </w:r>
      <w:r/>
    </w:p>
    <w:p>
      <w:pPr>
        <w:pStyle w:val="884"/>
        <w:ind w:firstLine="422"/>
        <w:spacing w:before="0" w:after="0" w:line="360" w:lineRule="auto"/>
        <w:rPr>
          <w:sz w:val="21"/>
          <w:szCs w:val="21"/>
        </w:rPr>
      </w:pPr>
      <w:r>
        <w:rPr>
          <w:rFonts w:hint="eastAsia"/>
          <w:sz w:val="21"/>
          <w:szCs w:val="21"/>
        </w:rPr>
        <w:t xml:space="preserve">2.1 服务标准</w:t>
      </w:r>
      <w:r>
        <w:rPr>
          <w:sz w:val="21"/>
          <w:szCs w:val="21"/>
        </w:rPr>
      </w:r>
      <w:r/>
    </w:p>
    <w:p>
      <w:pPr>
        <w:pStyle w:val="842"/>
        <w:ind w:firstLine="420"/>
        <w:rPr>
          <w:szCs w:val="21"/>
        </w:rPr>
      </w:pPr>
      <w:r>
        <w:rPr>
          <w:rFonts w:hint="eastAsia"/>
          <w:szCs w:val="21"/>
        </w:rPr>
        <w:t xml:space="preserve">（1）成交供应商须提供全流程无纸化服务标准。</w:t>
      </w:r>
      <w:r>
        <w:rPr>
          <w:szCs w:val="21"/>
        </w:rPr>
      </w:r>
      <w:r/>
    </w:p>
    <w:p>
      <w:pPr>
        <w:pStyle w:val="842"/>
        <w:ind w:firstLine="420"/>
        <w:rPr>
          <w:szCs w:val="21"/>
        </w:rPr>
      </w:pPr>
      <w:r>
        <w:rPr>
          <w:rFonts w:hint="eastAsia"/>
          <w:szCs w:val="21"/>
        </w:rPr>
        <w:t xml:space="preserve">（2）成交供应商须提供电子卷宗随案同步生成标准。</w:t>
      </w:r>
      <w:r>
        <w:rPr>
          <w:szCs w:val="21"/>
        </w:rPr>
      </w:r>
      <w:r/>
    </w:p>
    <w:p>
      <w:pPr>
        <w:pStyle w:val="842"/>
        <w:ind w:firstLine="420"/>
        <w:rPr>
          <w:szCs w:val="21"/>
        </w:rPr>
      </w:pPr>
      <w:r>
        <w:rPr>
          <w:rFonts w:hint="eastAsia"/>
          <w:szCs w:val="21"/>
        </w:rPr>
        <w:t xml:space="preserve">（3）成交供应商须提供案件纸质卷宗排序标准。</w:t>
      </w:r>
      <w:r>
        <w:rPr>
          <w:szCs w:val="21"/>
        </w:rPr>
      </w:r>
      <w:r/>
    </w:p>
    <w:p>
      <w:pPr>
        <w:pStyle w:val="884"/>
        <w:ind w:firstLine="422"/>
        <w:spacing w:before="0" w:after="0" w:line="360" w:lineRule="auto"/>
        <w:rPr>
          <w:sz w:val="21"/>
          <w:szCs w:val="21"/>
        </w:rPr>
      </w:pPr>
      <w:r>
        <w:rPr>
          <w:rFonts w:hint="eastAsia"/>
          <w:sz w:val="21"/>
          <w:szCs w:val="21"/>
        </w:rPr>
        <w:t xml:space="preserve">2.2 服务质量</w:t>
      </w:r>
      <w:r>
        <w:rPr>
          <w:sz w:val="21"/>
          <w:szCs w:val="21"/>
        </w:rPr>
      </w:r>
      <w:r/>
    </w:p>
    <w:p>
      <w:pPr>
        <w:pStyle w:val="842"/>
        <w:ind w:firstLine="420"/>
        <w:rPr>
          <w:szCs w:val="21"/>
        </w:rPr>
      </w:pPr>
      <w:r>
        <w:rPr>
          <w:rFonts w:hint="eastAsia"/>
          <w:szCs w:val="21"/>
        </w:rPr>
        <w:t xml:space="preserve">成交供应商须提供为满足本次项目全流程服务可量化绩效考核体系方案。为充分激发员工积极性，绩效考核体系须包括客观指标和主观指标，并提供相对应的数据监管方案。</w:t>
      </w:r>
      <w:r>
        <w:rPr>
          <w:szCs w:val="21"/>
        </w:rPr>
      </w:r>
      <w:r/>
    </w:p>
    <w:p>
      <w:pPr>
        <w:pStyle w:val="842"/>
        <w:ind w:firstLine="420"/>
        <w:rPr>
          <w:szCs w:val="21"/>
        </w:rPr>
      </w:pPr>
      <w:r>
        <w:rPr>
          <w:rFonts w:hint="eastAsia"/>
          <w:szCs w:val="21"/>
        </w:rPr>
        <w:t xml:space="preserve">（1）成交供应商须提供全流程服务绩效考核体系。</w:t>
      </w:r>
      <w:r>
        <w:rPr>
          <w:szCs w:val="21"/>
        </w:rPr>
      </w:r>
      <w:r/>
    </w:p>
    <w:p>
      <w:pPr>
        <w:pStyle w:val="842"/>
        <w:ind w:firstLine="420"/>
        <w:rPr>
          <w:szCs w:val="21"/>
        </w:rPr>
      </w:pPr>
      <w:r>
        <w:rPr>
          <w:rFonts w:hint="eastAsia"/>
          <w:szCs w:val="21"/>
        </w:rPr>
        <w:t xml:space="preserve">（2）成交供应商须提供绩效管理办法。</w:t>
      </w:r>
      <w:r>
        <w:rPr>
          <w:szCs w:val="21"/>
        </w:rPr>
      </w:r>
      <w:r/>
    </w:p>
    <w:p>
      <w:pPr>
        <w:pStyle w:val="842"/>
        <w:ind w:firstLine="420"/>
        <w:rPr>
          <w:szCs w:val="21"/>
        </w:rPr>
      </w:pPr>
      <w:r>
        <w:rPr>
          <w:rFonts w:hint="eastAsia"/>
          <w:szCs w:val="21"/>
        </w:rPr>
        <w:t xml:space="preserve">（3）成交供应商须提供</w:t>
      </w:r>
      <w:r>
        <w:rPr>
          <w:szCs w:val="21"/>
        </w:rPr>
        <w:t xml:space="preserve">全流程服务数据监管</w:t>
      </w:r>
      <w:r>
        <w:rPr>
          <w:rFonts w:hint="eastAsia"/>
          <w:szCs w:val="21"/>
        </w:rPr>
        <w:t xml:space="preserve">、</w:t>
      </w:r>
      <w:r>
        <w:rPr>
          <w:szCs w:val="21"/>
        </w:rPr>
        <w:t xml:space="preserve">统计与上报方案</w:t>
      </w:r>
      <w:r/>
    </w:p>
    <w:p>
      <w:pPr>
        <w:pStyle w:val="884"/>
        <w:ind w:firstLine="422"/>
        <w:spacing w:before="0" w:after="0" w:line="360" w:lineRule="auto"/>
        <w:rPr>
          <w:sz w:val="21"/>
          <w:szCs w:val="21"/>
        </w:rPr>
      </w:pPr>
      <w:r>
        <w:rPr>
          <w:rFonts w:hint="eastAsia" w:ascii="Microsoft JhengHei" w:hAnsi="Microsoft JhengHei" w:cs="Microsoft JhengHei"/>
          <w:sz w:val="21"/>
          <w:szCs w:val="21"/>
        </w:rPr>
        <w:t xml:space="preserve">3. </w:t>
      </w:r>
      <w:r>
        <w:rPr>
          <w:rFonts w:hint="eastAsia"/>
          <w:sz w:val="21"/>
          <w:szCs w:val="21"/>
        </w:rPr>
        <w:t xml:space="preserve">项目组织</w:t>
      </w:r>
      <w:r>
        <w:rPr>
          <w:sz w:val="21"/>
          <w:szCs w:val="21"/>
        </w:rPr>
      </w:r>
      <w:r/>
    </w:p>
    <w:p>
      <w:pPr>
        <w:pStyle w:val="842"/>
        <w:ind w:firstLine="420"/>
        <w:rPr>
          <w:szCs w:val="21"/>
        </w:rPr>
      </w:pPr>
      <w:r>
        <w:rPr>
          <w:rFonts w:hint="eastAsia"/>
          <w:szCs w:val="21"/>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rPr>
          <w:szCs w:val="21"/>
        </w:rPr>
      </w:r>
      <w:r/>
    </w:p>
    <w:p>
      <w:pPr>
        <w:pStyle w:val="842"/>
        <w:ind w:firstLine="420"/>
        <w:rPr>
          <w:szCs w:val="21"/>
        </w:rPr>
      </w:pPr>
      <w:r>
        <w:rPr>
          <w:rFonts w:hint="eastAsia"/>
          <w:szCs w:val="21"/>
        </w:rPr>
        <w:t xml:space="preserve">（1）项目组成员必须包括现场服务主管等岗位，现场所有项目人员服从法院管理，在年中或者年终案件量高峰期，需承诺免费增派人手配合院方处理积压案件。</w:t>
      </w:r>
      <w:r>
        <w:rPr>
          <w:szCs w:val="21"/>
        </w:rPr>
      </w:r>
      <w:r/>
    </w:p>
    <w:p>
      <w:pPr>
        <w:pStyle w:val="842"/>
        <w:ind w:firstLine="420"/>
        <w:rPr>
          <w:szCs w:val="21"/>
        </w:rPr>
      </w:pPr>
      <w:r>
        <w:rPr>
          <w:rFonts w:hint="eastAsia"/>
          <w:szCs w:val="21"/>
        </w:rPr>
        <w:t xml:space="preserve">（2）本项目的项目团队中至少需包含线上技术运维工程师。</w:t>
      </w:r>
      <w:r>
        <w:rPr>
          <w:szCs w:val="21"/>
        </w:rPr>
      </w:r>
      <w:r/>
    </w:p>
    <w:p>
      <w:pPr>
        <w:pStyle w:val="842"/>
        <w:ind w:firstLine="420"/>
        <w:rPr>
          <w:szCs w:val="21"/>
        </w:rPr>
      </w:pPr>
      <w:r>
        <w:rPr>
          <w:rFonts w:hint="eastAsia"/>
          <w:szCs w:val="21"/>
        </w:rPr>
        <w:t xml:space="preserve">（3）本项目拟派团队人员在上岗前须具备专业技能培训经历；至少具备大专以上学历，服务态度端正、作风优良，熟悉法院中需要服务岗位的业务流程，熟练掌握电脑等办公设备，遵守法院的规章制度，入场前签保密及网络安全承诺书。</w:t>
      </w:r>
      <w:r>
        <w:rPr>
          <w:szCs w:val="21"/>
        </w:rPr>
      </w:r>
      <w:r/>
    </w:p>
    <w:p>
      <w:pPr>
        <w:pStyle w:val="842"/>
        <w:ind w:firstLine="420"/>
        <w:rPr>
          <w:szCs w:val="21"/>
        </w:rPr>
      </w:pPr>
      <w:r>
        <w:rPr>
          <w:rFonts w:hint="eastAsia"/>
          <w:szCs w:val="21"/>
        </w:rPr>
        <w:t xml:space="preserve">（4</w:t>
      </w:r>
      <w:r>
        <w:rPr>
          <w:szCs w:val="21"/>
        </w:rPr>
        <w:t xml:space="preserve">）采购人为中标供应商提供办公场地、办公桌椅、中间库密集架</w:t>
      </w:r>
      <w:r>
        <w:rPr>
          <w:rFonts w:hint="eastAsia"/>
          <w:szCs w:val="21"/>
        </w:rPr>
        <w:t xml:space="preserve">、</w:t>
      </w:r>
      <w:r>
        <w:rPr>
          <w:szCs w:val="21"/>
        </w:rPr>
        <w:t xml:space="preserve">提供强弱电、门禁、监控接入。</w:t>
      </w:r>
      <w:r>
        <w:rPr>
          <w:rFonts w:hint="eastAsia"/>
          <w:szCs w:val="21"/>
        </w:rPr>
        <w:t xml:space="preserve">除此之外</w:t>
      </w:r>
      <w:r>
        <w:rPr>
          <w:szCs w:val="21"/>
        </w:rPr>
        <w:t xml:space="preserve">其他与项目相关的</w:t>
      </w:r>
      <w:r>
        <w:rPr>
          <w:rFonts w:hint="eastAsia"/>
          <w:szCs w:val="21"/>
        </w:rPr>
        <w:t xml:space="preserve">终端</w:t>
      </w:r>
      <w:r>
        <w:rPr>
          <w:szCs w:val="21"/>
        </w:rPr>
        <w:t xml:space="preserve">设备由中标供应商自行提供</w:t>
      </w:r>
      <w:r>
        <w:rPr>
          <w:rFonts w:hint="eastAsia"/>
          <w:szCs w:val="21"/>
        </w:rPr>
        <w:t xml:space="preserve">（含</w:t>
      </w:r>
      <w:r>
        <w:rPr>
          <w:szCs w:val="21"/>
        </w:rPr>
        <w:t xml:space="preserve">装订机</w:t>
      </w:r>
      <w:r>
        <w:rPr>
          <w:rFonts w:hint="eastAsia"/>
          <w:szCs w:val="21"/>
        </w:rPr>
        <w:t xml:space="preserve">）。终端设备包括但不限于符合配置要求的电脑、扫描仪、高拍仪、打印机、装订机等，</w:t>
      </w:r>
      <w:r>
        <w:rPr>
          <w:szCs w:val="21"/>
        </w:rPr>
        <w:t xml:space="preserve">具体数量由中标供应商根据项目工作量及工作进度要求自行配置</w:t>
      </w:r>
      <w:r>
        <w:rPr>
          <w:rFonts w:hint="eastAsia"/>
          <w:szCs w:val="21"/>
        </w:rPr>
        <w:t xml:space="preserve">以满足</w:t>
      </w:r>
      <w:r>
        <w:rPr>
          <w:szCs w:val="21"/>
        </w:rPr>
        <w:t xml:space="preserve">工作要求。</w:t>
      </w:r>
      <w:r/>
    </w:p>
    <w:p>
      <w:pPr>
        <w:pStyle w:val="842"/>
        <w:ind w:firstLine="420"/>
        <w:rPr>
          <w:szCs w:val="21"/>
        </w:rPr>
      </w:pPr>
      <w:r>
        <w:rPr>
          <w:rFonts w:hint="eastAsia"/>
          <w:szCs w:val="21"/>
        </w:rPr>
        <w:t xml:space="preserve">（5）法院有权对供应商进行业务培训、业务指导、业务监督等活动的开展。</w:t>
      </w:r>
      <w:r>
        <w:rPr>
          <w:szCs w:val="21"/>
        </w:rPr>
      </w:r>
      <w:r/>
    </w:p>
    <w:p>
      <w:pPr>
        <w:pStyle w:val="882"/>
        <w:ind w:firstLine="422"/>
        <w:spacing w:before="0" w:after="0" w:line="360" w:lineRule="auto"/>
        <w:rPr>
          <w:sz w:val="21"/>
          <w:szCs w:val="21"/>
        </w:rPr>
      </w:pPr>
      <w:r>
        <w:rPr>
          <w:rFonts w:hint="eastAsia" w:ascii="Microsoft JhengHei" w:hAnsi="Microsoft JhengHei" w:cs="Microsoft JhengHei"/>
          <w:sz w:val="21"/>
          <w:szCs w:val="21"/>
        </w:rPr>
        <w:t xml:space="preserve">4. </w:t>
      </w:r>
      <w:r>
        <w:rPr>
          <w:rFonts w:hint="eastAsia"/>
          <w:sz w:val="21"/>
          <w:szCs w:val="21"/>
        </w:rPr>
        <w:t xml:space="preserve">★时间进度要求（提供承诺函）</w:t>
      </w:r>
      <w:r>
        <w:rPr>
          <w:sz w:val="21"/>
          <w:szCs w:val="21"/>
        </w:rPr>
      </w:r>
      <w:r/>
    </w:p>
    <w:p>
      <w:pPr>
        <w:pStyle w:val="842"/>
        <w:ind w:firstLine="420"/>
        <w:rPr>
          <w:szCs w:val="21"/>
        </w:rPr>
      </w:pPr>
      <w:r>
        <w:rPr>
          <w:rFonts w:hint="eastAsia"/>
          <w:szCs w:val="21"/>
        </w:rPr>
        <w:t xml:space="preserve">本项目要求成交供应商于合同签订后5个工作日内完成相关软、硬件配备、无纸化业务流程梳理及全面调试完成，顺畅开展服务。</w:t>
      </w:r>
      <w:r>
        <w:rPr>
          <w:szCs w:val="21"/>
        </w:rPr>
      </w:r>
      <w:r/>
    </w:p>
    <w:p>
      <w:pPr>
        <w:pStyle w:val="882"/>
        <w:ind w:firstLine="422"/>
        <w:spacing w:before="0" w:after="0" w:line="360" w:lineRule="auto"/>
        <w:rPr>
          <w:sz w:val="21"/>
          <w:szCs w:val="21"/>
        </w:rPr>
      </w:pPr>
      <w:r>
        <w:rPr>
          <w:rFonts w:hint="eastAsia" w:ascii="Microsoft JhengHei" w:hAnsi="Microsoft JhengHei" w:cs="Microsoft JhengHei"/>
          <w:sz w:val="21"/>
          <w:szCs w:val="21"/>
        </w:rPr>
        <w:t xml:space="preserve">5. </w:t>
      </w:r>
      <w:r>
        <w:rPr>
          <w:rFonts w:hint="eastAsia"/>
          <w:sz w:val="21"/>
          <w:szCs w:val="21"/>
        </w:rPr>
        <w:t xml:space="preserve">★安全保密要求（提供承诺函）</w:t>
      </w:r>
      <w:r>
        <w:rPr>
          <w:sz w:val="21"/>
          <w:szCs w:val="21"/>
        </w:rPr>
      </w:r>
      <w:r/>
    </w:p>
    <w:p>
      <w:pPr>
        <w:pStyle w:val="842"/>
        <w:ind w:firstLine="420"/>
        <w:rPr>
          <w:szCs w:val="21"/>
        </w:rPr>
      </w:pPr>
      <w:r>
        <w:rPr>
          <w:rFonts w:hint="eastAsia"/>
          <w:szCs w:val="21"/>
        </w:rPr>
        <w:t xml:space="preserve">（1）成交供应商应严格遵守国家相关的保密法律规定，无条件遵守《保密协议》（由采购人提供，双方另行</w:t>
      </w:r>
      <w:r>
        <w:rPr>
          <w:szCs w:val="21"/>
        </w:rPr>
        <w:t xml:space="preserve">签订</w:t>
      </w:r>
      <w:r>
        <w:rPr>
          <w:rFonts w:hint="eastAsia"/>
          <w:szCs w:val="21"/>
        </w:rPr>
        <w:t xml:space="preserve">）和法院的有关规定。</w:t>
      </w:r>
      <w:r>
        <w:rPr>
          <w:szCs w:val="21"/>
        </w:rPr>
      </w:r>
      <w:r/>
    </w:p>
    <w:p>
      <w:pPr>
        <w:pStyle w:val="842"/>
        <w:ind w:firstLine="420"/>
        <w:rPr>
          <w:szCs w:val="21"/>
        </w:rPr>
      </w:pPr>
      <w:r>
        <w:rPr>
          <w:rFonts w:hint="eastAsia"/>
          <w:szCs w:val="21"/>
        </w:rPr>
        <w:t xml:space="preserve">（2）服务工作必须在法院指定的场所内进行，确保场所正常秩序和安全。不得遗失、损坏卷宗，如有违法行为或违反相关规定，将依法或依据约定追究相应的责任。</w:t>
      </w:r>
      <w:r>
        <w:rPr>
          <w:szCs w:val="21"/>
        </w:rPr>
      </w:r>
      <w:r/>
    </w:p>
    <w:p>
      <w:pPr>
        <w:pStyle w:val="842"/>
        <w:ind w:firstLine="420"/>
        <w:rPr>
          <w:szCs w:val="21"/>
        </w:rPr>
      </w:pPr>
      <w:r>
        <w:rPr>
          <w:rFonts w:hint="eastAsia"/>
          <w:szCs w:val="21"/>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rPr>
          <w:szCs w:val="21"/>
        </w:rPr>
      </w:r>
      <w:r/>
    </w:p>
    <w:p>
      <w:pPr>
        <w:pStyle w:val="842"/>
        <w:ind w:firstLine="420"/>
        <w:rPr>
          <w:szCs w:val="21"/>
        </w:rPr>
      </w:pPr>
      <w:r>
        <w:rPr>
          <w:rFonts w:hint="eastAsia"/>
          <w:szCs w:val="21"/>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rPr>
          <w:szCs w:val="21"/>
        </w:rPr>
      </w:r>
      <w:r/>
    </w:p>
    <w:p>
      <w:pPr>
        <w:pStyle w:val="842"/>
        <w:ind w:firstLine="420"/>
        <w:rPr>
          <w:szCs w:val="21"/>
        </w:rPr>
      </w:pPr>
      <w:r>
        <w:rPr>
          <w:rFonts w:hint="eastAsia"/>
          <w:szCs w:val="21"/>
        </w:rPr>
        <w:t xml:space="preserve">（5）未经法院批准，成交供应商不得以任何形式复制离线的卷宗图像和卷宗目录数据。</w:t>
      </w:r>
      <w:r>
        <w:rPr>
          <w:szCs w:val="21"/>
        </w:rPr>
      </w:r>
      <w:r/>
    </w:p>
    <w:p>
      <w:pPr>
        <w:pStyle w:val="842"/>
        <w:ind w:firstLine="420"/>
        <w:rPr>
          <w:szCs w:val="21"/>
        </w:rPr>
      </w:pPr>
      <w:r>
        <w:rPr>
          <w:rFonts w:hint="eastAsia"/>
          <w:szCs w:val="21"/>
        </w:rPr>
        <w:t xml:space="preserve">（6）成交供应商工作人员剔除同一案卷内的重复文件必须经法院有关人员审核同意方可实施。</w:t>
      </w:r>
      <w:r>
        <w:rPr>
          <w:szCs w:val="21"/>
        </w:rPr>
      </w:r>
      <w:r/>
    </w:p>
    <w:p>
      <w:pPr>
        <w:pStyle w:val="842"/>
        <w:ind w:firstLine="420"/>
        <w:rPr>
          <w:szCs w:val="21"/>
        </w:rPr>
      </w:pPr>
      <w:r>
        <w:rPr>
          <w:rFonts w:hint="eastAsia"/>
          <w:szCs w:val="21"/>
        </w:rPr>
        <w:t xml:space="preserve">（7）卷宗工作室内的废纸必须集中放置，并定期运送至法院指定位置进行销毁。</w:t>
      </w:r>
      <w:r>
        <w:rPr>
          <w:szCs w:val="21"/>
        </w:rPr>
      </w:r>
      <w:r/>
    </w:p>
    <w:p>
      <w:pPr>
        <w:pStyle w:val="842"/>
        <w:ind w:firstLine="420"/>
        <w:rPr>
          <w:szCs w:val="21"/>
        </w:rPr>
      </w:pPr>
      <w:r>
        <w:rPr>
          <w:rFonts w:hint="eastAsia"/>
          <w:szCs w:val="21"/>
        </w:rPr>
        <w:t xml:space="preserve">（8）成交供应商工作人员不得以任何方式非法向外人泄露档案所涉及的审判秘密、工作秘密及其他不宜公开的信息，否则按国家有关规定处理，情节严重的要承担相应的刑事责任。</w:t>
      </w:r>
      <w:r>
        <w:rPr>
          <w:szCs w:val="21"/>
        </w:rPr>
      </w:r>
      <w:r/>
    </w:p>
    <w:p>
      <w:pPr>
        <w:pStyle w:val="842"/>
        <w:ind w:firstLine="420"/>
        <w:rPr>
          <w:szCs w:val="21"/>
        </w:rPr>
      </w:pPr>
      <w:r>
        <w:rPr>
          <w:rFonts w:hint="eastAsia"/>
          <w:szCs w:val="21"/>
        </w:rPr>
        <w:t xml:space="preserve">（9）成交供应商应对本项目所有产生的电子化数据的完整性和安全性负责，全面做好电子化数据的备份（至少有一份以上的电子化数据备份），确保数据的安全。</w:t>
      </w:r>
      <w:r>
        <w:rPr>
          <w:szCs w:val="21"/>
        </w:rPr>
      </w:r>
      <w:r/>
    </w:p>
    <w:p>
      <w:pPr>
        <w:pStyle w:val="882"/>
        <w:ind w:firstLine="422"/>
        <w:spacing w:before="0" w:after="0" w:line="360" w:lineRule="auto"/>
        <w:rPr>
          <w:sz w:val="21"/>
          <w:szCs w:val="21"/>
        </w:rPr>
      </w:pPr>
      <w:r>
        <w:rPr>
          <w:rFonts w:hint="eastAsia" w:ascii="Microsoft JhengHei" w:hAnsi="Microsoft JhengHei" w:cs="Microsoft JhengHei"/>
          <w:sz w:val="21"/>
          <w:szCs w:val="21"/>
        </w:rPr>
        <w:t xml:space="preserve">6. </w:t>
      </w:r>
      <w:r>
        <w:rPr>
          <w:rFonts w:hint="eastAsia"/>
          <w:sz w:val="21"/>
          <w:szCs w:val="21"/>
        </w:rPr>
        <w:t xml:space="preserve">其他要求</w:t>
      </w:r>
      <w:r>
        <w:rPr>
          <w:sz w:val="21"/>
          <w:szCs w:val="21"/>
        </w:rPr>
      </w:r>
      <w:r/>
    </w:p>
    <w:p>
      <w:pPr>
        <w:pStyle w:val="842"/>
        <w:ind w:firstLine="420"/>
        <w:rPr>
          <w:szCs w:val="21"/>
        </w:rPr>
      </w:pPr>
      <w:r>
        <w:rPr>
          <w:rFonts w:hint="eastAsia"/>
          <w:szCs w:val="21"/>
        </w:rPr>
        <w:t xml:space="preserve">（1）为确保吴江法院无纸化办案成效，供应商需着力推进贯穿立案，送达，接待，调查，询问，调解，庭审，合议，裁判，结案，归档等环节的全流程、全要素无纸化办案配套服务。供应商应基于现有法院业务系统进行软件功能操作，服务期间供应商提供的相关配套服务软件需与即将切换的最高院“一张网”核心业务系统进行无缝对接，确保数据准确性及一致性，同时需要支持后期接入</w:t>
      </w:r>
      <w:r>
        <w:rPr>
          <w:szCs w:val="21"/>
        </w:rPr>
        <w:t xml:space="preserve">AI大模型的能力</w:t>
      </w:r>
      <w:r>
        <w:rPr>
          <w:rFonts w:hint="eastAsia"/>
          <w:szCs w:val="21"/>
        </w:rPr>
        <w:t xml:space="preserve">。</w:t>
      </w:r>
      <w:r>
        <w:rPr>
          <w:szCs w:val="21"/>
        </w:rPr>
      </w:r>
      <w:r/>
    </w:p>
    <w:p>
      <w:pPr>
        <w:pStyle w:val="842"/>
        <w:ind w:firstLine="420"/>
        <w:rPr>
          <w:szCs w:val="21"/>
        </w:rPr>
      </w:pPr>
      <w:r>
        <w:rPr>
          <w:szCs w:val="21"/>
        </w:rPr>
        <w:t xml:space="preserve">（</w:t>
      </w:r>
      <w:r>
        <w:rPr>
          <w:rFonts w:hint="eastAsia"/>
          <w:szCs w:val="21"/>
        </w:rPr>
        <w:t xml:space="preserve">2</w:t>
      </w:r>
      <w:r>
        <w:rPr>
          <w:szCs w:val="21"/>
        </w:rPr>
        <w:t xml:space="preserve">）</w:t>
      </w:r>
      <w:r>
        <w:rPr>
          <w:rFonts w:hint="eastAsia"/>
          <w:szCs w:val="21"/>
        </w:rPr>
        <w:t xml:space="preserve">合同签订后5个工作日内，供应商提供的软件与采购人现有办案系统无缝对接，并向采购人提供有效的证明材料。供应商携带配备的本项目的主要设备到采购人现场进行测试</w:t>
      </w:r>
      <w:r>
        <w:rPr>
          <w:szCs w:val="21"/>
        </w:rPr>
        <w:t xml:space="preserve">[包括完成法</w:t>
      </w:r>
      <w:r>
        <w:rPr>
          <w:rFonts w:hint="eastAsia"/>
          <w:szCs w:val="21"/>
        </w:rPr>
        <w:t xml:space="preserve">院卷宗的整理扫描（测评页数：≤</w:t>
      </w:r>
      <w:r>
        <w:rPr>
          <w:szCs w:val="21"/>
        </w:rPr>
        <w:t xml:space="preserve">1万页，测评的具体数量根据</w:t>
      </w:r>
      <w:r>
        <w:rPr>
          <w:rFonts w:hint="eastAsia"/>
          <w:szCs w:val="21"/>
        </w:rPr>
        <w:t xml:space="preserve">采购人实际需要确定），扫描数据能够流畅的接入到法院材料与卷宗系统。</w:t>
      </w:r>
      <w:r>
        <w:rPr>
          <w:b/>
          <w:bCs/>
          <w:szCs w:val="21"/>
        </w:rPr>
        <w:t xml:space="preserve">供应商不能实现系统无缝对接或不能通过技术测试或测试结果</w:t>
      </w:r>
      <w:r>
        <w:rPr>
          <w:rFonts w:hint="eastAsia"/>
          <w:b/>
          <w:bCs/>
          <w:szCs w:val="21"/>
        </w:rPr>
        <w:t xml:space="preserve">与本项目要求不符的视为虚假响应，采购人有权终止本项目合同不承担违约责任，采购人将追究成交供应商的违约和赔偿。</w:t>
      </w:r>
      <w:r>
        <w:rPr>
          <w:szCs w:val="21"/>
        </w:rPr>
      </w:r>
      <w:r/>
    </w:p>
    <w:p>
      <w:pPr>
        <w:pStyle w:val="842"/>
        <w:ind w:firstLine="420"/>
        <w:rPr>
          <w:szCs w:val="21"/>
        </w:rPr>
      </w:pPr>
      <w:r>
        <w:rPr>
          <w:szCs w:val="21"/>
        </w:rPr>
        <w:t xml:space="preserve">（</w:t>
      </w:r>
      <w:r>
        <w:rPr>
          <w:rFonts w:hint="eastAsia"/>
          <w:szCs w:val="21"/>
        </w:rPr>
        <w:t xml:space="preserve">3</w:t>
      </w:r>
      <w:r>
        <w:rPr>
          <w:szCs w:val="21"/>
        </w:rPr>
        <w:t xml:space="preserve">）</w:t>
      </w:r>
      <w:r>
        <w:rPr>
          <w:rFonts w:hint="eastAsia"/>
          <w:szCs w:val="21"/>
        </w:rPr>
        <w:t xml:space="preserve">投标人须承诺在投标文件中所附的投标人员资质、社保、企业资质、合同案例等相应材料扫描件，签订合同后两个工作日需将原件交与吴江法院验证真实性和有效性，如发现有提供虚假材料的，吴江法院将追究违约责任。</w:t>
      </w:r>
      <w:r>
        <w:rPr>
          <w:szCs w:val="21"/>
        </w:rPr>
      </w:r>
      <w:r/>
    </w:p>
    <w:p>
      <w:pPr>
        <w:pStyle w:val="842"/>
        <w:ind w:firstLine="420"/>
        <w:rPr>
          <w:szCs w:val="21"/>
        </w:rPr>
      </w:pPr>
      <w:r>
        <w:rPr>
          <w:szCs w:val="21"/>
        </w:rPr>
        <w:t xml:space="preserve">（</w:t>
      </w:r>
      <w:r>
        <w:rPr>
          <w:rFonts w:hint="eastAsia"/>
          <w:szCs w:val="21"/>
        </w:rPr>
        <w:t xml:space="preserve">4</w:t>
      </w:r>
      <w:r>
        <w:rPr>
          <w:szCs w:val="21"/>
        </w:rPr>
        <w:t xml:space="preserve">）未尽事项。本文件未尽之处按照最高院、省高院</w:t>
      </w:r>
      <w:r>
        <w:rPr>
          <w:rFonts w:hint="eastAsia"/>
          <w:szCs w:val="21"/>
        </w:rPr>
        <w:t xml:space="preserve">和市</w:t>
      </w:r>
      <w:r>
        <w:rPr>
          <w:szCs w:val="21"/>
        </w:rPr>
        <w:t xml:space="preserve">中院有关规定执行。</w:t>
      </w:r>
      <w:r/>
    </w:p>
    <w:p>
      <w:pPr>
        <w:pStyle w:val="842"/>
        <w:ind w:firstLine="422"/>
        <w:rPr>
          <w:b/>
          <w:bCs/>
        </w:rPr>
      </w:pPr>
      <w:r/>
      <w:bookmarkStart w:id="30" w:name="_Toc45264038"/>
      <w:r>
        <w:rPr>
          <w:rFonts w:hint="eastAsia"/>
          <w:b/>
          <w:bCs/>
        </w:rPr>
        <w:t xml:space="preserve">七、技术服务、培训等</w:t>
      </w:r>
      <w:bookmarkEnd w:id="30"/>
      <w:r>
        <w:rPr>
          <w:b/>
          <w:bCs/>
        </w:rPr>
      </w:r>
      <w:r/>
    </w:p>
    <w:p>
      <w:pPr>
        <w:pStyle w:val="842"/>
        <w:ind w:firstLine="422"/>
        <w:rPr>
          <w:b/>
        </w:rPr>
      </w:pPr>
      <w:r>
        <w:rPr>
          <w:rFonts w:hint="eastAsia"/>
          <w:b/>
        </w:rPr>
        <w:t xml:space="preserve">（1）工作时间</w:t>
      </w:r>
      <w:r>
        <w:rPr>
          <w:b/>
        </w:rPr>
      </w:r>
      <w:r/>
    </w:p>
    <w:p>
      <w:pPr>
        <w:pStyle w:val="842"/>
        <w:ind w:firstLine="420"/>
      </w:pPr>
      <w:r>
        <w:rPr>
          <w:rFonts w:hint="eastAsia"/>
        </w:rPr>
        <w:t xml:space="preserve">成交供应商应严格执行考勤制度，做好考勤登记，确保员工准时上班，</w:t>
      </w:r>
      <w:r>
        <w:t xml:space="preserve">特殊情况应加班完成工作任务</w:t>
      </w:r>
      <w:r>
        <w:rPr>
          <w:rFonts w:hint="eastAsia"/>
        </w:rPr>
        <w:t xml:space="preserve">。事病假、休假需要双重审批，不能耽误工作进度。</w:t>
      </w:r>
      <w:r/>
    </w:p>
    <w:p>
      <w:pPr>
        <w:pStyle w:val="842"/>
        <w:ind w:firstLine="422"/>
        <w:rPr>
          <w:b/>
        </w:rPr>
      </w:pPr>
      <w:r>
        <w:rPr>
          <w:rFonts w:hint="eastAsia"/>
          <w:b/>
        </w:rPr>
        <w:t xml:space="preserve">（2）技术服务</w:t>
      </w:r>
      <w:r>
        <w:rPr>
          <w:b/>
        </w:rPr>
      </w:r>
      <w:r/>
    </w:p>
    <w:p>
      <w:pPr>
        <w:pStyle w:val="842"/>
        <w:ind w:firstLine="420"/>
      </w:pPr>
      <w:r>
        <w:rPr>
          <w:rFonts w:hint="eastAsia"/>
        </w:rPr>
        <w:t xml:space="preserve">工作时间成交供应商须提供运维工程师现场或远程解答采购人关于全流程无纸化的业务和技术问题。另外提供每天24小时的不间断技术支持服务，为采购人提供电话、微信、视频、现场等多种方式技术支持服务，全方位响应需求。</w:t>
      </w:r>
      <w:r/>
    </w:p>
    <w:p>
      <w:pPr>
        <w:pStyle w:val="842"/>
        <w:ind w:firstLine="422"/>
        <w:rPr>
          <w:b/>
        </w:rPr>
      </w:pPr>
      <w:r>
        <w:rPr>
          <w:rFonts w:hint="eastAsia"/>
          <w:b/>
        </w:rPr>
        <w:t xml:space="preserve">（3）培训</w:t>
      </w:r>
      <w:r>
        <w:rPr>
          <w:b/>
        </w:rPr>
      </w:r>
      <w:r/>
    </w:p>
    <w:p>
      <w:pPr>
        <w:pStyle w:val="842"/>
        <w:ind w:firstLine="420"/>
      </w:pPr>
      <w:r>
        <w:rPr>
          <w:rFonts w:hint="eastAsia"/>
        </w:rPr>
        <w:t xml:space="preserve">成交供应商有计划地每季度对员工进行安全保密知识培训以及相关档案整理装订扫描业务的培训；培训内容包括但不限于法律法规、工作技能、管理制度、服务意识等。法院开展保密课程，无条件配合。采购人可对中标人团队人员的工作业务能力进行考核，如不合格者，可要求调换。</w:t>
      </w:r>
      <w:r/>
    </w:p>
    <w:p>
      <w:pPr>
        <w:pStyle w:val="842"/>
        <w:ind w:firstLine="422"/>
      </w:pPr>
      <w:r>
        <w:rPr>
          <w:rFonts w:hint="eastAsia"/>
          <w:b/>
        </w:rPr>
        <w:t xml:space="preserve">（4）人员调整</w:t>
      </w:r>
      <w:r>
        <w:rPr>
          <w:b/>
        </w:rPr>
      </w:r>
      <w:r/>
    </w:p>
    <w:p>
      <w:pPr>
        <w:pStyle w:val="842"/>
        <w:ind w:firstLine="420"/>
      </w:pPr>
      <w:r>
        <w:rPr>
          <w:rFonts w:hint="eastAsia"/>
        </w:rPr>
        <w:t xml:space="preserve">成交供应商工作人员若有违反采购人规定或工作质量出现问题的，采购人有权提出更换人员并收回相关出入采购人场所证件。</w:t>
      </w:r>
      <w:r/>
    </w:p>
    <w:p>
      <w:pPr>
        <w:pStyle w:val="842"/>
        <w:ind w:firstLine="422"/>
        <w:rPr>
          <w:b/>
        </w:rPr>
      </w:pPr>
      <w:r>
        <w:rPr>
          <w:rFonts w:hint="eastAsia"/>
          <w:b/>
        </w:rPr>
        <w:t xml:space="preserve">（5）库房搬迁。</w:t>
      </w:r>
      <w:r>
        <w:rPr>
          <w:b/>
        </w:rPr>
      </w:r>
      <w:r/>
    </w:p>
    <w:p>
      <w:pPr>
        <w:pStyle w:val="842"/>
        <w:ind w:firstLine="420"/>
        <w:rPr>
          <w:bCs/>
        </w:rPr>
      </w:pPr>
      <w:r>
        <w:rPr>
          <w:rFonts w:hint="eastAsia"/>
          <w:bCs/>
        </w:rPr>
        <w:t xml:space="preserve">合同期内如遇到法院内部库房调整，搬迁由法院提供搬迁交通工具，成交供应商提供搬迁所需人工、配件、工具等。</w:t>
      </w:r>
      <w:r>
        <w:rPr>
          <w:bCs/>
        </w:rPr>
      </w:r>
      <w:r/>
    </w:p>
    <w:p>
      <w:pPr>
        <w:pStyle w:val="842"/>
        <w:ind w:firstLine="422"/>
        <w:rPr>
          <w:b/>
        </w:rPr>
      </w:pPr>
      <w:r>
        <w:rPr>
          <w:rFonts w:hint="eastAsia"/>
          <w:b/>
        </w:rPr>
        <w:t xml:space="preserve">说明：</w:t>
      </w:r>
      <w:r>
        <w:rPr>
          <w:b/>
        </w:rPr>
      </w:r>
      <w:r/>
    </w:p>
    <w:p>
      <w:pPr>
        <w:pStyle w:val="842"/>
        <w:ind w:firstLine="422"/>
        <w:rPr>
          <w:b/>
        </w:rPr>
      </w:pPr>
      <w:r>
        <w:rPr>
          <w:rFonts w:hint="eastAsia"/>
          <w:b/>
        </w:rPr>
        <w:t xml:space="preserve">打“</w:t>
      </w:r>
      <w:bookmarkStart w:id="31" w:name="OLE_LINK5"/>
      <w:r>
        <w:rPr>
          <w:rFonts w:hint="eastAsia"/>
          <w:b/>
        </w:rPr>
        <w:t xml:space="preserve">★</w:t>
      </w:r>
      <w:bookmarkEnd w:id="31"/>
      <w:r>
        <w:rPr>
          <w:rFonts w:hint="eastAsia"/>
          <w:b/>
        </w:rPr>
        <w:t xml:space="preserve">”号条款为实质性条款，若有任何一条负偏离或不满足则导致投标无效。</w:t>
      </w:r>
      <w:r>
        <w:rPr>
          <w:b/>
        </w:rPr>
      </w:r>
      <w:r/>
    </w:p>
    <w:p>
      <w:pPr>
        <w:pStyle w:val="909"/>
        <w:ind w:firstLine="422"/>
        <w:spacing w:line="360" w:lineRule="auto"/>
      </w:pPr>
      <w:r>
        <w:rPr>
          <w:rFonts w:hint="eastAsia"/>
          <w:b/>
        </w:rPr>
        <w:t xml:space="preserve">打“▲”号条款为重要技术参数，若有部分“▲”条款未响应或不满足，将导致其响应性评审加重扣分，但不作为无效投标条款。</w:t>
      </w:r>
      <w:r/>
    </w:p>
    <w:p>
      <w:pPr>
        <w:pStyle w:val="842"/>
        <w:ind w:firstLine="422"/>
        <w:widowControl/>
        <w:tabs>
          <w:tab w:val="left" w:pos="753" w:leader="none"/>
        </w:tabs>
        <w:rPr>
          <w:rFonts w:ascii="宋体" w:hAnsi="宋体" w:cs="宋体"/>
          <w:b/>
          <w:szCs w:val="21"/>
        </w:rPr>
      </w:pPr>
      <w:r>
        <w:rPr>
          <w:rFonts w:hint="eastAsia" w:ascii="宋体" w:hAnsi="宋体" w:cs="宋体"/>
          <w:b/>
          <w:szCs w:val="21"/>
        </w:rPr>
        <w:t xml:space="preserve">八、知识产权及安全：</w:t>
      </w:r>
      <w:r>
        <w:rPr>
          <w:rFonts w:ascii="宋体" w:hAnsi="宋体" w:cs="宋体"/>
          <w:b/>
          <w:szCs w:val="21"/>
        </w:rPr>
      </w:r>
      <w:r/>
    </w:p>
    <w:p>
      <w:pPr>
        <w:pStyle w:val="842"/>
        <w:ind w:firstLine="420"/>
        <w:widowControl/>
        <w:rPr>
          <w:rFonts w:ascii="宋体" w:hAnsi="宋体" w:cs="宋体"/>
          <w:szCs w:val="21"/>
        </w:rPr>
      </w:pPr>
      <w:r>
        <w:rPr>
          <w:rFonts w:hint="eastAsia" w:ascii="宋体" w:hAnsi="宋体" w:cs="宋体"/>
          <w:szCs w:val="21"/>
        </w:rPr>
        <w:t xml:space="preserve">投标单位应保证所提供的服务涉及到的知识产权是合法取得，并享有完整的知识产权，不会因为招标单位的使用而被责令停止使用、追偿或要求赔偿损失，如出现此情况，一切经济和法律责任均由投标单位承担。与本次招标项目相关的所有项目质量安全问题均由投标单位终身负责，如因上述原因造成的一切后果均由投标单位自行承担，与甲方无关。</w:t>
      </w:r>
      <w:r>
        <w:rPr>
          <w:rFonts w:ascii="宋体" w:hAnsi="宋体" w:cs="宋体"/>
          <w:szCs w:val="21"/>
        </w:rPr>
      </w:r>
      <w:r/>
    </w:p>
    <w:p>
      <w:pPr>
        <w:pStyle w:val="842"/>
        <w:ind w:firstLine="422"/>
        <w:widowControl/>
        <w:tabs>
          <w:tab w:val="left" w:pos="753" w:leader="none"/>
        </w:tabs>
        <w:rPr>
          <w:b/>
        </w:rPr>
      </w:pPr>
      <w:r>
        <w:rPr>
          <w:rFonts w:hint="eastAsia" w:hAnsi="宋体" w:cs="宋体"/>
          <w:b/>
          <w:szCs w:val="21"/>
        </w:rPr>
        <w:t xml:space="preserve">九、</w:t>
      </w:r>
      <w:r>
        <w:rPr>
          <w:rFonts w:hint="eastAsia"/>
          <w:b/>
        </w:rPr>
        <w:t xml:space="preserve">违约责任</w:t>
      </w:r>
      <w:r>
        <w:rPr>
          <w:b/>
        </w:rPr>
      </w:r>
      <w:r/>
    </w:p>
    <w:p>
      <w:pPr>
        <w:pStyle w:val="842"/>
        <w:numPr>
          <w:ilvl w:val="0"/>
          <w:numId w:val="5"/>
        </w:numPr>
        <w:ind w:hanging="5"/>
        <w:widowControl/>
        <w:rPr>
          <w:rFonts w:ascii="宋体" w:hAnsi="宋体" w:cs="宋体"/>
          <w:szCs w:val="21"/>
        </w:rPr>
      </w:pPr>
      <w:r>
        <w:rPr>
          <w:rFonts w:hint="eastAsia" w:ascii="宋体" w:hAnsi="宋体" w:cs="宋体"/>
          <w:szCs w:val="21"/>
        </w:rPr>
        <w:t xml:space="preserve">甲方违约责任及违约金支付：</w:t>
      </w:r>
      <w:r>
        <w:rPr>
          <w:rFonts w:ascii="宋体" w:hAnsi="宋体" w:cs="宋体"/>
          <w:szCs w:val="21"/>
        </w:rPr>
      </w:r>
      <w:r/>
    </w:p>
    <w:p>
      <w:pPr>
        <w:pStyle w:val="842"/>
        <w:numPr>
          <w:ilvl w:val="0"/>
          <w:numId w:val="6"/>
        </w:numPr>
        <w:ind w:left="5" w:firstLine="415"/>
        <w:widowControl/>
        <w:rPr>
          <w:rFonts w:ascii="宋体" w:hAnsi="宋体" w:cs="宋体"/>
          <w:szCs w:val="21"/>
        </w:rPr>
      </w:pPr>
      <w:r>
        <w:rPr>
          <w:rFonts w:hint="eastAsia" w:ascii="宋体" w:hAnsi="宋体" w:cs="宋体"/>
          <w:szCs w:val="21"/>
        </w:rPr>
        <w:t xml:space="preserve">在合同生效后，甲方无理由要求解除合同的，应向乙方偿付合同总价款的5%，作为违约金，违约金不足以补偿损失的，乙方有权要求甲方补足。</w:t>
      </w:r>
      <w:r>
        <w:rPr>
          <w:rFonts w:ascii="宋体" w:hAnsi="宋体" w:cs="宋体"/>
          <w:szCs w:val="21"/>
        </w:rPr>
      </w:r>
      <w:r/>
    </w:p>
    <w:p>
      <w:pPr>
        <w:pStyle w:val="842"/>
        <w:numPr>
          <w:ilvl w:val="0"/>
          <w:numId w:val="6"/>
        </w:numPr>
        <w:ind w:left="5" w:firstLine="415"/>
        <w:widowControl/>
        <w:rPr>
          <w:rFonts w:ascii="宋体" w:hAnsi="宋体" w:cs="宋体"/>
          <w:szCs w:val="21"/>
        </w:rPr>
      </w:pPr>
      <w:r>
        <w:rPr>
          <w:rFonts w:hint="eastAsia" w:ascii="宋体" w:hAnsi="宋体" w:cs="宋体"/>
          <w:szCs w:val="21"/>
        </w:rPr>
        <w:t xml:space="preserve">甲方违反合同规定，无正当理由拒绝接受乙方服务的合格标的物，应承担乙方由此造成的损失。</w:t>
      </w:r>
      <w:r>
        <w:rPr>
          <w:rFonts w:ascii="宋体" w:hAnsi="宋体" w:cs="宋体"/>
          <w:szCs w:val="21"/>
        </w:rPr>
      </w:r>
      <w:r/>
    </w:p>
    <w:p>
      <w:pPr>
        <w:pStyle w:val="842"/>
        <w:numPr>
          <w:ilvl w:val="0"/>
          <w:numId w:val="5"/>
        </w:numPr>
        <w:ind w:hanging="5"/>
        <w:widowControl/>
        <w:rPr>
          <w:rFonts w:ascii="宋体" w:hAnsi="宋体" w:cs="宋体"/>
          <w:szCs w:val="21"/>
        </w:rPr>
      </w:pPr>
      <w:r>
        <w:rPr>
          <w:rFonts w:hint="eastAsia" w:ascii="宋体" w:hAnsi="宋体" w:cs="宋体"/>
          <w:szCs w:val="21"/>
        </w:rPr>
        <w:t xml:space="preserve">乙方违约责任及违约金支付：</w:t>
      </w:r>
      <w:r>
        <w:rPr>
          <w:rFonts w:ascii="宋体" w:hAnsi="宋体" w:cs="宋体"/>
          <w:szCs w:val="21"/>
        </w:rPr>
      </w:r>
      <w:r/>
    </w:p>
    <w:p>
      <w:pPr>
        <w:pStyle w:val="842"/>
        <w:numPr>
          <w:ilvl w:val="0"/>
          <w:numId w:val="7"/>
        </w:numPr>
        <w:ind w:left="5" w:firstLine="415"/>
        <w:widowControl/>
        <w:rPr>
          <w:rFonts w:ascii="宋体" w:hAnsi="宋体" w:cs="宋体"/>
          <w:szCs w:val="21"/>
        </w:rPr>
      </w:pPr>
      <w:r>
        <w:rPr>
          <w:rFonts w:hint="eastAsia" w:ascii="宋体" w:hAnsi="宋体" w:cs="宋体"/>
          <w:szCs w:val="21"/>
        </w:rPr>
        <w:t xml:space="preserve">乙方不能按期提供服务，即根据本需求第六条的“服务要求”所约定的各类期限，逾期超过五天，或维护不合格从而影响甲方按期正常使用的（扫描、入卷、归档等质检不合格率达到总工作量2%），应向甲方偿付合同总价5%的违约金，违约金不足以补偿损失的甲方有权要求乙方补足。</w:t>
      </w:r>
      <w:r>
        <w:rPr>
          <w:rFonts w:ascii="宋体" w:hAnsi="宋体" w:cs="宋体"/>
          <w:szCs w:val="21"/>
        </w:rPr>
      </w:r>
      <w:r/>
    </w:p>
    <w:p>
      <w:pPr>
        <w:pStyle w:val="842"/>
        <w:numPr>
          <w:ilvl w:val="0"/>
          <w:numId w:val="7"/>
        </w:numPr>
        <w:ind w:left="5" w:firstLine="415"/>
        <w:widowControl/>
        <w:rPr>
          <w:rFonts w:ascii="宋体" w:hAnsi="宋体" w:cs="宋体"/>
          <w:szCs w:val="21"/>
        </w:rPr>
      </w:pPr>
      <w:r>
        <w:rPr>
          <w:rFonts w:hint="eastAsia" w:ascii="宋体" w:hAnsi="宋体" w:cs="宋体"/>
          <w:szCs w:val="21"/>
        </w:rPr>
        <w:t xml:space="preserve">乙方不能提供服务，即根据本需求第六条的“服务要求”所约定的各类期限，逾期超过10天，或维护不合格从而影响甲方按期正常使用的（扫描、入卷、归档等质检不合格率达到总工作量5%），构成根本违约，甲方有权要求解除合同，乙方应向甲方偿付合同总价20%的违约金，同时承担甲方因此遭受的损失费用。</w:t>
      </w:r>
      <w:r>
        <w:rPr>
          <w:rFonts w:ascii="宋体" w:hAnsi="宋体" w:cs="宋体"/>
          <w:szCs w:val="21"/>
        </w:rPr>
      </w:r>
      <w:r/>
    </w:p>
    <w:p>
      <w:pPr>
        <w:pStyle w:val="842"/>
        <w:numPr>
          <w:ilvl w:val="0"/>
          <w:numId w:val="7"/>
        </w:numPr>
        <w:ind w:left="5" w:firstLine="415"/>
        <w:widowControl/>
        <w:rPr>
          <w:rFonts w:ascii="宋体" w:hAnsi="宋体" w:cs="宋体"/>
          <w:szCs w:val="21"/>
        </w:rPr>
      </w:pPr>
      <w:r>
        <w:rPr>
          <w:rFonts w:hint="eastAsia" w:ascii="宋体" w:hAnsi="宋体" w:cs="宋体"/>
          <w:szCs w:val="21"/>
        </w:rPr>
        <w:t xml:space="preserve">每季度末月乙方逾期归档服务数超过5%（含5%）（如截至季度末月未按期完成当期应归档总量超过5%），应按20元每件/每日支付逾期服务违约金，同时承担甲方因此遭受的损失费用。</w:t>
      </w:r>
      <w:r>
        <w:rPr>
          <w:rFonts w:ascii="宋体" w:hAnsi="宋体" w:cs="宋体"/>
          <w:szCs w:val="21"/>
        </w:rPr>
      </w:r>
      <w:r/>
    </w:p>
    <w:p>
      <w:pPr>
        <w:pStyle w:val="842"/>
        <w:numPr>
          <w:ilvl w:val="0"/>
          <w:numId w:val="7"/>
        </w:numPr>
        <w:ind w:left="5" w:firstLine="415"/>
        <w:widowControl/>
        <w:rPr>
          <w:rFonts w:ascii="宋体" w:hAnsi="宋体" w:cs="宋体"/>
          <w:szCs w:val="21"/>
        </w:rPr>
      </w:pPr>
      <w:r>
        <w:rPr>
          <w:rFonts w:hint="eastAsia" w:ascii="宋体" w:hAnsi="宋体" w:cs="宋体"/>
          <w:szCs w:val="21"/>
        </w:rPr>
        <w:t xml:space="preserve">如乙方在入场后的首季度（以实际入场时间计算三个月）未能按期完成当季度应归档总量的10%（及超过10%），视为不能提供服务，甲方有权要求解除合同，并不再支付首季度的任何服务费用。</w:t>
      </w:r>
      <w:r>
        <w:rPr>
          <w:rFonts w:ascii="宋体" w:hAnsi="宋体" w:cs="宋体"/>
          <w:szCs w:val="21"/>
        </w:rPr>
      </w:r>
      <w:r/>
    </w:p>
    <w:p>
      <w:pPr>
        <w:pStyle w:val="842"/>
        <w:numPr>
          <w:ilvl w:val="0"/>
          <w:numId w:val="7"/>
        </w:numPr>
        <w:ind w:left="5" w:firstLine="415"/>
        <w:widowControl/>
        <w:rPr>
          <w:rFonts w:ascii="宋体" w:hAnsi="宋体" w:cs="宋体"/>
          <w:szCs w:val="21"/>
        </w:rPr>
      </w:pPr>
      <w:r>
        <w:rPr>
          <w:rFonts w:hint="eastAsia" w:ascii="宋体" w:hAnsi="宋体" w:cs="宋体"/>
          <w:szCs w:val="21"/>
        </w:rPr>
        <w:t xml:space="preserve">第二、三、四季度末月乙方逾期归档服务数超过10%（含10%）（如截至季度末月未按期完成当月应归档总量超过10%），则视为根本违约，甲方有权要求解除合同，乙方应向甲方偿付合同总价20%的违约金，同时承担甲方因此遭受的损失费用。</w:t>
      </w:r>
      <w:r>
        <w:rPr>
          <w:rFonts w:ascii="宋体" w:hAnsi="宋体" w:cs="宋体"/>
          <w:szCs w:val="21"/>
        </w:rPr>
      </w:r>
      <w:r/>
    </w:p>
    <w:p>
      <w:pPr>
        <w:pStyle w:val="842"/>
        <w:ind w:firstLine="422"/>
        <w:rPr>
          <w:rFonts w:ascii="宋体" w:hAnsi="宋体" w:cs="宋体"/>
          <w:b/>
          <w:szCs w:val="21"/>
        </w:rPr>
      </w:pPr>
      <w:r>
        <w:rPr>
          <w:rFonts w:hint="eastAsia" w:ascii="宋体" w:hAnsi="宋体" w:cs="宋体"/>
          <w:b/>
          <w:szCs w:val="21"/>
        </w:rPr>
        <w:t xml:space="preserve">十、综合说明：</w:t>
      </w:r>
      <w:r>
        <w:rPr>
          <w:rFonts w:ascii="宋体" w:hAnsi="宋体" w:cs="宋体"/>
          <w:b/>
          <w:szCs w:val="21"/>
        </w:rPr>
      </w:r>
      <w:r/>
    </w:p>
    <w:p>
      <w:pPr>
        <w:pStyle w:val="842"/>
        <w:ind w:firstLine="420"/>
        <w:widowControl/>
        <w:rPr>
          <w:rFonts w:ascii="宋体" w:hAnsi="宋体" w:cs="宋体"/>
          <w:szCs w:val="21"/>
        </w:rPr>
      </w:pPr>
      <w:r>
        <w:rPr>
          <w:rFonts w:hint="eastAsia" w:ascii="宋体" w:hAnsi="宋体" w:cs="宋体"/>
          <w:szCs w:val="21"/>
        </w:rPr>
        <w:t xml:space="preserve">1.投标人按照招标文件的要求提交投标文件，并对所提供的全部资料的真实性承担法律责任。</w:t>
      </w:r>
      <w:r>
        <w:rPr>
          <w:rFonts w:ascii="宋体" w:hAnsi="宋体" w:cs="宋体"/>
          <w:szCs w:val="21"/>
        </w:rPr>
      </w:r>
      <w:r/>
    </w:p>
    <w:p>
      <w:pPr>
        <w:pStyle w:val="842"/>
        <w:ind w:firstLine="420"/>
        <w:widowControl/>
        <w:rPr>
          <w:rFonts w:ascii="宋体" w:hAnsi="宋体" w:cs="宋体"/>
          <w:szCs w:val="21"/>
        </w:rPr>
      </w:pPr>
      <w:r>
        <w:rPr>
          <w:rFonts w:hint="eastAsia" w:ascii="宋体" w:hAnsi="宋体" w:cs="宋体"/>
          <w:szCs w:val="21"/>
        </w:rPr>
        <w:t xml:space="preserve">2.此次投标报价包括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w:t>
      </w:r>
      <w:r>
        <w:rPr>
          <w:rFonts w:ascii="宋体" w:hAnsi="宋体" w:cs="宋体"/>
          <w:szCs w:val="21"/>
        </w:rPr>
      </w:r>
      <w:r/>
    </w:p>
    <w:p>
      <w:pPr>
        <w:pStyle w:val="842"/>
        <w:ind w:firstLine="420"/>
        <w:rPr>
          <w:rFonts w:hAnsi="宋体" w:cs="宋体"/>
          <w:b/>
          <w:szCs w:val="21"/>
        </w:rPr>
      </w:pPr>
      <w:r>
        <w:rPr>
          <w:rFonts w:hint="eastAsia" w:ascii="宋体" w:hAnsi="宋体" w:cs="宋体"/>
          <w:szCs w:val="21"/>
        </w:rPr>
        <w:t xml:space="preserve">3.付款步骤：本项目按实结算，按季度考核并付款（预估总价的25%-考核扣减金额）。最后一个季度结束验收合格后六个月内支付实际服务数量金额的剩余部分（即实际数量结算金额-预估数量结算金额*75%-考核扣减金额）。</w:t>
      </w:r>
      <w:r>
        <w:rPr>
          <w:rFonts w:hAnsi="宋体" w:cs="宋体"/>
          <w:b/>
          <w:szCs w:val="21"/>
        </w:rPr>
      </w:r>
      <w:r/>
    </w:p>
    <w:p>
      <w:pPr>
        <w:pStyle w:val="842"/>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季度考核主要考核乙方能否按期保质、保量完成案件归档服务。</w:t>
      </w:r>
      <w:r>
        <w:rPr>
          <w:rFonts w:ascii="宋体" w:hAnsi="宋体" w:cs="宋体"/>
          <w:szCs w:val="21"/>
        </w:rPr>
      </w:r>
      <w:r/>
    </w:p>
    <w:p>
      <w:pPr>
        <w:pStyle w:val="842"/>
        <w:ind w:firstLine="420"/>
      </w:pPr>
      <w:r>
        <w:rPr>
          <w:rFonts w:hint="eastAsia"/>
        </w:rPr>
        <w:t xml:space="preserve">1、</w:t>
      </w:r>
      <w:bookmarkStart w:id="32" w:name="OLE_LINK10"/>
      <w:r/>
      <w:bookmarkStart w:id="33" w:name="OLE_LINK9"/>
      <w:r>
        <w:rPr>
          <w:rFonts w:hint="eastAsia"/>
        </w:rPr>
        <w:t xml:space="preserve">季度</w:t>
      </w:r>
      <w:bookmarkEnd w:id="32"/>
      <w:r/>
      <w:bookmarkEnd w:id="33"/>
      <w:r>
        <w:rPr>
          <w:rFonts w:hint="eastAsia"/>
        </w:rPr>
        <w:t xml:space="preserve">考核98分以上全额支付</w:t>
      </w:r>
      <w:bookmarkStart w:id="34" w:name="OLE_LINK12"/>
      <w:r/>
      <w:bookmarkStart w:id="35" w:name="OLE_LINK11"/>
      <w:r>
        <w:rPr>
          <w:rFonts w:hint="eastAsia"/>
        </w:rPr>
        <w:t xml:space="preserve">当季扫描归档</w:t>
      </w:r>
      <w:bookmarkEnd w:id="34"/>
      <w:r/>
      <w:bookmarkEnd w:id="35"/>
      <w:r>
        <w:rPr>
          <w:rFonts w:hint="eastAsia"/>
        </w:rPr>
        <w:t xml:space="preserve">费用；</w:t>
      </w:r>
      <w:r/>
    </w:p>
    <w:p>
      <w:pPr>
        <w:pStyle w:val="842"/>
        <w:ind w:firstLine="420"/>
      </w:pPr>
      <w:r>
        <w:rPr>
          <w:rFonts w:hint="eastAsia"/>
        </w:rPr>
        <w:t xml:space="preserve">2、季度考核在96分（含96分）——98分（含98分）部分的，扣除当季费用的10%；</w:t>
      </w:r>
      <w:r/>
    </w:p>
    <w:p>
      <w:pPr>
        <w:pStyle w:val="842"/>
        <w:ind w:firstLine="420"/>
      </w:pPr>
      <w:r>
        <w:rPr>
          <w:rFonts w:hint="eastAsia"/>
        </w:rPr>
        <w:t xml:space="preserve">3、季度考核在90分（含90分）——95分（含95分）部分的，扣除当季费用的20%；</w:t>
      </w:r>
      <w:r/>
    </w:p>
    <w:p>
      <w:pPr>
        <w:pStyle w:val="842"/>
        <w:ind w:firstLine="420"/>
      </w:pPr>
      <w:r>
        <w:rPr>
          <w:rFonts w:hint="eastAsia"/>
        </w:rPr>
        <w:t xml:space="preserve">4、季度考核低于90分或发生泄密、丢失卷宗等安全事故的，扣除当季度一切费用，且甲方有权解除合同，并要求乙方偿付合同总价20%的违约金。</w:t>
      </w:r>
      <w:r/>
    </w:p>
    <w:p>
      <w:pPr>
        <w:pStyle w:val="842"/>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注：（1）在履行合同过程中，追加合同金额不得超过原合同价的10%。</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（2）原合同金额10%以内的追加合同金额，限于原合同内服务内容工作清单调整增加的服务金额，原合同外服务内容不得计入。</w:t>
      </w:r>
      <w:r>
        <w:rPr>
          <w:rFonts w:ascii="宋体" w:hAnsi="宋体" w:cs="宋体"/>
          <w:szCs w:val="21"/>
        </w:rPr>
      </w:r>
      <w:r/>
    </w:p>
    <w:p>
      <w:pPr>
        <w:pStyle w:val="842"/>
        <w:ind w:firstLine="420"/>
      </w:pPr>
      <w:r>
        <w:rPr>
          <w:rFonts w:hint="eastAsia" w:hAnsi="宋体" w:cs="宋体"/>
          <w:szCs w:val="21"/>
        </w:rPr>
        <w:t xml:space="preserve">（3）考核细则详见合同附件。</w:t>
      </w:r>
      <w:r/>
    </w:p>
    <w:p>
      <w:pPr>
        <w:pStyle w:val="842"/>
        <w:ind w:firstLine="420"/>
        <w:rPr>
          <w:rFonts w:ascii="宋体" w:hAnsi="宋体" w:cs="宋体"/>
          <w:szCs w:val="21"/>
        </w:rPr>
      </w:pPr>
      <w:r>
        <w:rPr>
          <w:rFonts w:hint="eastAsia" w:ascii="宋体" w:hAnsi="宋体" w:cs="宋体"/>
          <w:szCs w:val="21"/>
        </w:rPr>
        <w:t xml:space="preserve">4.履约保证金：无。</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5.中标人将根据招标文件、投标文件的相关约定，承担合同责任，履行合同义务。</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6.关于对参与投标人信用记录的政府采购要求</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6.1采购代理机构会在接收投标文件截止时间后，登录信用中国网站（www.creditchina.gov.cn/）和中国政府采购网（www.ccgp.gov.cn/）查询投标人的信用记录，并将查询结果递交评标委员会。</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6.3投标人若在经营活动中受到罚款的，请携带相关地方、部门对较大数额认定标准的证明材料，与投标文件一并提交。若无法提供，则可能承担投标无效等相应不利后果。</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6.4对存在失信信息的投标人，由失信投标人进行确认。同时，采购代理机构工作人员应根据评标委员会确认的失信信息，登陆到相关来源网站页面进行复核并打印，作为证据留存。</w:t>
      </w:r>
      <w:r>
        <w:rPr>
          <w:rFonts w:ascii="宋体" w:hAnsi="宋体" w:cs="宋体"/>
          <w:szCs w:val="21"/>
        </w:rPr>
      </w:r>
      <w:r/>
    </w:p>
    <w:p>
      <w:pPr>
        <w:pStyle w:val="842"/>
        <w:ind w:firstLine="422"/>
        <w:rPr>
          <w:rFonts w:ascii="宋体" w:hAnsi="宋体" w:cs="宋体"/>
          <w:szCs w:val="21"/>
        </w:rPr>
      </w:pPr>
      <w:r>
        <w:rPr>
          <w:rFonts w:hint="eastAsia" w:ascii="宋体" w:hAnsi="宋体" w:cs="宋体"/>
          <w:b/>
          <w:bCs/>
          <w:szCs w:val="21"/>
        </w:rPr>
        <w:t xml:space="preserve">十一、</w:t>
      </w:r>
      <w:r>
        <w:rPr>
          <w:rFonts w:hint="eastAsia" w:ascii="宋体" w:hAnsi="宋体" w:cs="宋体"/>
          <w:szCs w:val="21"/>
        </w:rPr>
        <w:t xml:space="preserve">凡涉及招标文件的补充说明和修改，均以网上发布的通知为准。</w:t>
      </w:r>
      <w:r>
        <w:rPr>
          <w:rFonts w:hint="eastAsia" w:ascii="宋体" w:hAnsi="宋体" w:cs="宋体"/>
          <w:bCs/>
          <w:szCs w:val="21"/>
        </w:rPr>
        <w:br w:type="page" w:clear="all"/>
      </w:r>
      <w:r>
        <w:rPr>
          <w:rFonts w:ascii="宋体" w:hAnsi="宋体" w:cs="宋体"/>
          <w:szCs w:val="21"/>
        </w:rPr>
      </w:r>
      <w:r/>
    </w:p>
    <w:p>
      <w:pPr>
        <w:pStyle w:val="880"/>
        <w:rPr>
          <w:rFonts w:ascii="宋体" w:hAnsi="宋体" w:cs="宋体"/>
        </w:rPr>
      </w:pPr>
      <w:r/>
      <w:bookmarkStart w:id="36" w:name="_Toc20502"/>
      <w:r/>
      <w:bookmarkStart w:id="37" w:name="_Toc7862"/>
      <w:r>
        <w:rPr>
          <w:rFonts w:hint="eastAsia" w:ascii="宋体" w:hAnsi="宋体" w:cs="宋体"/>
        </w:rPr>
        <w:t xml:space="preserve">四、评标办法及评分标准</w:t>
      </w:r>
      <w:bookmarkEnd w:id="36"/>
      <w:r/>
      <w:bookmarkEnd w:id="37"/>
      <w:r>
        <w:rPr>
          <w:rFonts w:ascii="宋体" w:hAnsi="宋体" w:cs="宋体"/>
        </w:rPr>
      </w:r>
      <w:r/>
    </w:p>
    <w:p>
      <w:pPr>
        <w:pStyle w:val="842"/>
        <w:ind w:firstLine="422"/>
        <w:tabs>
          <w:tab w:val="left" w:pos="2870" w:leader="none"/>
        </w:tabs>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1196"/>
        <w:ind w:firstLine="420"/>
        <w:rPr>
          <w:rFonts w:ascii="宋体" w:hAnsi="宋体" w:cs="宋体"/>
        </w:rPr>
      </w:pPr>
      <w:r/>
      <w:bookmarkStart w:id="38" w:name="_Toc2682"/>
      <w:r>
        <w:rPr>
          <w:rFonts w:hint="eastAsia" w:ascii="宋体" w:hAnsi="宋体" w:cs="宋体"/>
        </w:rPr>
        <w:t xml:space="preserve">1.本次磋商评标采用综合评分法，综合评分法是指投标文件满足投标文件全部实质性要求，且按照评审因素的量化指标评审得分最高的投标人为中标人的评标方法。</w:t>
      </w:r>
      <w:r>
        <w:rPr>
          <w:rFonts w:ascii="宋体" w:hAnsi="宋体" w:cs="宋体"/>
        </w:rPr>
      </w:r>
      <w:r/>
    </w:p>
    <w:p>
      <w:pPr>
        <w:pStyle w:val="1196"/>
        <w:ind w:firstLine="420"/>
        <w:rPr>
          <w:rFonts w:ascii="宋体" w:hAnsi="宋体" w:cs="宋体"/>
        </w:rPr>
      </w:pPr>
      <w:r>
        <w:rPr>
          <w:rFonts w:hint="eastAsia" w:ascii="宋体" w:hAnsi="宋体" w:cs="宋体"/>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rPr>
          <w:rFonts w:ascii="宋体" w:hAnsi="宋体" w:cs="宋体"/>
        </w:rPr>
      </w:r>
      <w:r/>
    </w:p>
    <w:p>
      <w:pPr>
        <w:pStyle w:val="1196"/>
        <w:ind w:firstLine="420"/>
        <w:rPr>
          <w:rFonts w:ascii="宋体" w:hAnsi="宋体" w:cs="宋体"/>
        </w:rPr>
      </w:pPr>
      <w:r>
        <w:rPr>
          <w:rFonts w:hint="eastAsia" w:ascii="宋体" w:hAnsi="宋体" w:cs="宋体"/>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rPr>
          <w:rFonts w:ascii="宋体" w:hAnsi="宋体" w:cs="宋体"/>
        </w:rPr>
      </w:r>
      <w:r/>
    </w:p>
    <w:p>
      <w:pPr>
        <w:pStyle w:val="1196"/>
        <w:ind w:firstLine="420"/>
        <w:rPr>
          <w:rFonts w:ascii="宋体" w:hAnsi="宋体" w:cs="宋体"/>
        </w:rPr>
      </w:pPr>
      <w:r>
        <w:rPr>
          <w:rFonts w:hint="eastAsia" w:ascii="宋体" w:hAnsi="宋体" w:cs="宋体"/>
        </w:rPr>
        <w:t xml:space="preserve">4.针对小型、微型企业的价格评审办法：</w:t>
      </w:r>
      <w:r>
        <w:rPr>
          <w:rFonts w:ascii="宋体" w:hAnsi="宋体" w:cs="宋体"/>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根据</w:t>
      </w:r>
      <w:r>
        <w:rPr>
          <w:rFonts w:hint="eastAsia" w:ascii="宋体" w:hAnsi="宋体" w:cs="宋体"/>
          <w:szCs w:val="21"/>
          <w:lang w:val="zh-CN"/>
        </w:rPr>
        <w:t xml:space="preserve">《关于印发〈苏州市政府采购促进中小企业发展实施意见〉的通知》（苏财购〔2022〕16号）的相关规定</w:t>
      </w:r>
      <w:r>
        <w:rPr>
          <w:rFonts w:hint="eastAsia" w:ascii="宋体" w:hAnsi="宋体" w:cs="宋体"/>
          <w:szCs w:val="21"/>
        </w:rPr>
        <w:t xml:space="preserve">，采用综合评分法的采购项目对属于小型、微型企业的供应商给予评审优惠：</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（1）如供应商属于小型或微型企业且提供自有服务的，对其报价给予20%的扣除；扣除后的价格参与价格评审。</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（2）中小企业划分标准详见“工信部联企业〔2011〕300号通知”</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（3）中小微企业在响应文件中提供签署的《中小企业声明函》。未按采购文件的规定在响应文件中提供《中小企业声明函》的，不享受促进中小微企业发展的相关政府采购政策。</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（4）以上规定未尽事项，按《政府采购促进中小企业发展暂行办法》等有关制度规定执行。</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②若供应商提供的 “中小企业声明函”（见第六章格式）为虚假声明则视同提供虚假材料，按“政府采购法”相关规定处理并报请政府监管部门给予行政处罚。</w:t>
      </w:r>
      <w:r>
        <w:rPr>
          <w:rFonts w:ascii="宋体" w:hAnsi="宋体" w:cs="宋体"/>
          <w:szCs w:val="21"/>
        </w:rPr>
      </w:r>
      <w:r/>
    </w:p>
    <w:p>
      <w:pPr>
        <w:pStyle w:val="842"/>
        <w:ind w:firstLine="422"/>
        <w:tabs>
          <w:tab w:val="left" w:pos="2870" w:leader="none"/>
        </w:tabs>
        <w:rPr>
          <w:rFonts w:ascii="宋体" w:hAnsi="宋体" w:cs="宋体"/>
          <w:szCs w:val="21"/>
        </w:rPr>
      </w:pPr>
      <w:r>
        <w:rPr>
          <w:rFonts w:hint="eastAsia" w:ascii="宋体" w:hAnsi="宋体" w:cs="宋体"/>
          <w:szCs w:val="21"/>
        </w:rPr>
        <w:t xml:space="preserve">③专门面向中小企业采购的项目或者采购包，不再执行价格评审优惠的扶持政策。</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5.针对残疾人福利性单位的评审：</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根据《关于促进残疾人就业政府采购政策的通知》（财库〔2017〕141号）的通知规定，对属于残疾人福利性单位的供应商给予评审加分：</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rPr>
          <w:rFonts w:ascii="宋体" w:hAnsi="宋体" w:cs="宋体"/>
          <w:szCs w:val="21"/>
        </w:rPr>
      </w:r>
      <w:r/>
    </w:p>
    <w:p>
      <w:pPr>
        <w:pStyle w:val="842"/>
        <w:ind w:firstLine="420"/>
        <w:tabs>
          <w:tab w:val="left" w:pos="2870" w:leader="none"/>
        </w:tabs>
        <w:rPr>
          <w:rFonts w:ascii="宋体" w:hAnsi="宋体" w:cs="宋体"/>
          <w:szCs w:val="21"/>
        </w:rPr>
        <w:outlineLvl w:val="1"/>
      </w:pPr>
      <w:r>
        <w:rPr>
          <w:rFonts w:hint="eastAsia" w:ascii="宋体" w:hAnsi="宋体" w:cs="宋体"/>
          <w:szCs w:val="21"/>
        </w:rPr>
        <w:t xml:space="preserve">6.针对监狱企业的评审加分：</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根据《关于政府采购支持监狱企业发展有关问题的通知》（财库〔2014〕68号）的通知规定，对属于监狱企业的供应商给予评审加分：</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符合条件的监狱企业参加磋商时，应当提供由省级以上监狱管理局、戒毒管理局（含新疆生产建设兵团）出具的属于监狱企业的证明文件，未提交则不享受相关价格扣除政策。</w:t>
      </w:r>
      <w:r>
        <w:rPr>
          <w:rFonts w:ascii="宋体" w:hAnsi="宋体" w:cs="宋体"/>
          <w:szCs w:val="21"/>
        </w:rPr>
      </w:r>
      <w:r/>
    </w:p>
    <w:p>
      <w:pPr>
        <w:pStyle w:val="842"/>
        <w:ind w:firstLine="420"/>
        <w:tabs>
          <w:tab w:val="left" w:pos="2870" w:leader="none"/>
        </w:tabs>
        <w:rPr>
          <w:rFonts w:ascii="宋体" w:hAnsi="宋体" w:cs="宋体"/>
          <w:szCs w:val="21"/>
        </w:rPr>
      </w:pPr>
      <w:r>
        <w:rPr>
          <w:rFonts w:hint="eastAsia" w:ascii="宋体" w:hAnsi="宋体" w:cs="宋体"/>
          <w:szCs w:val="21"/>
        </w:rPr>
        <w:t xml:space="preserve">7.供应商对提供的制造商的认定证明负有核实义务及责任。若供应商提供的“中小企业声明函”或认定证明（包括制造商）为虚假声明则视同提供虚假材料，供应商将按“政府采购法”相关规定处理并报请政府监管部门给予相应处罚。</w:t>
      </w:r>
      <w:r>
        <w:rPr>
          <w:rFonts w:ascii="宋体" w:hAnsi="宋体" w:cs="宋体"/>
          <w:szCs w:val="21"/>
        </w:rPr>
      </w:r>
      <w:r/>
    </w:p>
    <w:p>
      <w:pPr>
        <w:pStyle w:val="1196"/>
        <w:ind w:firstLine="428"/>
        <w:rPr>
          <w:rFonts w:ascii="宋体" w:hAnsi="宋体" w:cs="宋体"/>
          <w:b/>
          <w:bCs/>
        </w:rPr>
      </w:pPr>
      <w:r>
        <w:rPr>
          <w:rFonts w:hint="eastAsia" w:ascii="宋体" w:hAnsi="宋体" w:cs="宋体"/>
          <w:b/>
          <w:bCs/>
        </w:rPr>
        <w:t xml:space="preserve">上述优惠政策不重复享受。</w:t>
      </w:r>
      <w:r>
        <w:rPr>
          <w:rFonts w:ascii="宋体" w:hAnsi="宋体" w:cs="宋体"/>
          <w:b/>
          <w:bCs/>
        </w:rPr>
      </w:r>
      <w:r/>
    </w:p>
    <w:p>
      <w:pPr>
        <w:pStyle w:val="1196"/>
        <w:ind w:firstLine="428"/>
        <w:rPr>
          <w:rFonts w:ascii="宋体" w:hAnsi="宋体" w:cs="宋体"/>
          <w:b/>
          <w:bCs/>
        </w:rPr>
      </w:pPr>
      <w:r>
        <w:rPr>
          <w:rFonts w:hint="eastAsia" w:ascii="宋体" w:hAnsi="宋体" w:cs="宋体"/>
          <w:b/>
          <w:bCs/>
        </w:rPr>
        <w:t xml:space="preserve">注：本项目专门面向中小企业采购，不再执行价格评审优惠的扶持政策，项目所属行业为其他未列明行业。</w:t>
      </w:r>
      <w:r>
        <w:rPr>
          <w:rFonts w:ascii="宋体" w:hAnsi="宋体" w:cs="宋体"/>
          <w:b/>
          <w:bCs/>
        </w:rPr>
      </w:r>
      <w:r/>
    </w:p>
    <w:p>
      <w:pPr>
        <w:pStyle w:val="842"/>
        <w:numPr>
          <w:ilvl w:val="0"/>
          <w:numId w:val="8"/>
        </w:numPr>
        <w:ind w:firstLine="422"/>
        <w:rPr>
          <w:rFonts w:ascii="宋体" w:hAnsi="宋体" w:cs="宋体"/>
          <w:b/>
          <w:szCs w:val="21"/>
        </w:rPr>
      </w:pPr>
      <w:r>
        <w:rPr>
          <w:rFonts w:hint="eastAsia" w:ascii="宋体" w:hAnsi="宋体" w:cs="宋体"/>
          <w:b/>
          <w:szCs w:val="21"/>
        </w:rPr>
        <w:t xml:space="preserve">评分标准</w:t>
      </w:r>
      <w:bookmarkEnd w:id="38"/>
      <w:r>
        <w:rPr>
          <w:rFonts w:ascii="宋体" w:hAnsi="宋体" w:cs="宋体"/>
          <w:b/>
          <w:szCs w:val="21"/>
        </w:rPr>
      </w:r>
      <w:r/>
    </w:p>
    <w:p>
      <w:pPr>
        <w:pStyle w:val="1196"/>
        <w:ind w:firstLine="420"/>
        <w:rPr>
          <w:rFonts w:ascii="宋体" w:hAnsi="宋体" w:cs="宋体"/>
        </w:rPr>
      </w:pPr>
      <w:r>
        <w:rPr>
          <w:rFonts w:hint="eastAsia" w:ascii="宋体" w:hAnsi="宋体" w:cs="宋体"/>
        </w:rPr>
        <w:t xml:space="preserve">总分值均为100分，评审因素及各比重如下：价格分值占总分值的比重为10%（权重），技术与方案及其它占90%（权重）。</w:t>
      </w:r>
      <w:r>
        <w:rPr>
          <w:rFonts w:ascii="宋体" w:hAnsi="宋体" w:cs="宋体"/>
        </w:rPr>
      </w:r>
      <w:r/>
    </w:p>
    <w:p>
      <w:pPr>
        <w:pStyle w:val="1196"/>
        <w:numPr>
          <w:ilvl w:val="0"/>
          <w:numId w:val="9"/>
        </w:numPr>
        <w:rPr>
          <w:rFonts w:ascii="宋体" w:hAnsi="宋体" w:cs="宋体"/>
          <w:b/>
          <w:bCs/>
        </w:rPr>
      </w:pPr>
      <w:r/>
      <w:bookmarkStart w:id="39" w:name="_Toc1758"/>
      <w:r>
        <w:rPr>
          <w:rFonts w:hint="eastAsia" w:ascii="宋体" w:hAnsi="宋体" w:cs="宋体"/>
          <w:b/>
          <w:bCs/>
        </w:rPr>
        <w:t xml:space="preserve">价格分（10分）</w:t>
      </w:r>
      <w:r>
        <w:rPr>
          <w:rFonts w:ascii="宋体" w:hAnsi="宋体" w:cs="宋体"/>
          <w:b/>
          <w:bCs/>
        </w:rPr>
      </w:r>
      <w:r/>
    </w:p>
    <w:p>
      <w:pPr>
        <w:pStyle w:val="1196"/>
        <w:ind w:firstLine="420"/>
        <w:rPr>
          <w:rFonts w:ascii="宋体" w:hAnsi="宋体" w:cs="宋体"/>
        </w:rPr>
      </w:pPr>
      <w:r/>
      <w:bookmarkStart w:id="40" w:name="OLE_LINK39"/>
      <w:r>
        <w:rPr>
          <w:rFonts w:hint="eastAsia" w:ascii="宋体" w:hAnsi="宋体" w:cs="宋体"/>
        </w:rPr>
        <w:t xml:space="preserve">1.投标总报价低于或等于财政预算价格的，为有效投标报价。超财政预算的投标报价为无效投标报价。无效投标报价的投标文件不进行评审，也不得标。</w:t>
      </w:r>
      <w:r>
        <w:rPr>
          <w:rFonts w:ascii="宋体" w:hAnsi="宋体" w:cs="宋体"/>
        </w:rPr>
      </w:r>
      <w:r/>
    </w:p>
    <w:p>
      <w:pPr>
        <w:pStyle w:val="1196"/>
        <w:ind w:firstLine="420"/>
        <w:rPr>
          <w:rFonts w:ascii="宋体" w:hAnsi="宋体" w:cs="宋体"/>
        </w:rPr>
      </w:pPr>
      <w:r>
        <w:rPr>
          <w:rFonts w:hint="eastAsia" w:ascii="宋体" w:hAnsi="宋体" w:cs="宋体"/>
        </w:rPr>
        <w:t xml:space="preserve">2.价格分采用低价优先法计算，即满足招标文件要求且投标价格最低的投标报价为评标基准价。其他响应单位的价格分按照下列公式计算（计算结果四舍五入保留两位小数）。</w:t>
      </w:r>
      <w:r>
        <w:rPr>
          <w:rFonts w:ascii="宋体" w:hAnsi="宋体" w:cs="宋体"/>
        </w:rPr>
      </w:r>
      <w:r/>
    </w:p>
    <w:p>
      <w:pPr>
        <w:pStyle w:val="1196"/>
        <w:ind w:firstLine="420"/>
        <w:rPr>
          <w:rFonts w:ascii="宋体" w:hAnsi="宋体" w:cs="宋体"/>
        </w:rPr>
      </w:pPr>
      <w:r>
        <w:rPr>
          <w:rFonts w:hint="eastAsia" w:ascii="宋体" w:hAnsi="宋体" w:cs="宋体"/>
        </w:rPr>
        <w:t xml:space="preserve">投标报价得分=（评标基准价/投标报价）*10%*100，小数点后保留两位。</w:t>
      </w:r>
      <w:bookmarkEnd w:id="40"/>
      <w:r>
        <w:rPr>
          <w:rFonts w:ascii="宋体" w:hAnsi="宋体" w:cs="宋体"/>
        </w:rPr>
      </w:r>
      <w:r/>
    </w:p>
    <w:p>
      <w:pPr>
        <w:pStyle w:val="1196"/>
        <w:ind w:firstLine="420"/>
        <w:rPr>
          <w:rFonts w:ascii="宋体" w:hAnsi="宋体" w:cs="宋体"/>
        </w:rPr>
      </w:pPr>
      <w:r>
        <w:rPr>
          <w:rFonts w:hint="eastAsia" w:ascii="宋体" w:hAnsi="宋体" w:cs="宋体"/>
        </w:rPr>
        <w:t xml:space="preserve">3.报价修正规则</w:t>
      </w:r>
      <w:r>
        <w:rPr>
          <w:rFonts w:ascii="宋体" w:hAnsi="宋体" w:cs="宋体"/>
        </w:rPr>
      </w:r>
      <w:r/>
    </w:p>
    <w:p>
      <w:pPr>
        <w:pStyle w:val="1196"/>
        <w:ind w:firstLine="420"/>
        <w:rPr>
          <w:rFonts w:ascii="宋体" w:hAnsi="宋体" w:cs="宋体"/>
        </w:rPr>
      </w:pPr>
      <w:r>
        <w:rPr>
          <w:rFonts w:hint="eastAsia" w:ascii="宋体" w:hAnsi="宋体" w:cs="宋体"/>
        </w:rPr>
        <w:t xml:space="preserve">在评审中，对投标报价出现前后不一致的，除招标文件另有规定外，按照下列规定修正：</w:t>
      </w:r>
      <w:r>
        <w:rPr>
          <w:rFonts w:ascii="宋体" w:hAnsi="宋体" w:cs="宋体"/>
        </w:rPr>
      </w:r>
      <w:r/>
    </w:p>
    <w:p>
      <w:pPr>
        <w:pStyle w:val="1196"/>
        <w:ind w:firstLine="420"/>
        <w:rPr>
          <w:rFonts w:ascii="宋体" w:hAnsi="宋体" w:cs="宋体"/>
        </w:rPr>
      </w:pPr>
      <w:r>
        <w:rPr>
          <w:rFonts w:hint="eastAsia" w:ascii="宋体" w:hAnsi="宋体" w:cs="宋体"/>
        </w:rPr>
        <w:t xml:space="preserve">（1）投标文件中磋商响应报价表内容与投标文件中明细表内容不一致的，以磋商响应报价表为准。</w:t>
      </w:r>
      <w:r>
        <w:rPr>
          <w:rFonts w:ascii="宋体" w:hAnsi="宋体" w:cs="宋体"/>
        </w:rPr>
      </w:r>
      <w:r/>
    </w:p>
    <w:p>
      <w:pPr>
        <w:pStyle w:val="1196"/>
        <w:ind w:firstLine="420"/>
        <w:rPr>
          <w:rFonts w:ascii="宋体" w:hAnsi="宋体" w:cs="宋体"/>
        </w:rPr>
      </w:pPr>
      <w:r>
        <w:rPr>
          <w:rFonts w:hint="eastAsia" w:ascii="宋体" w:hAnsi="宋体" w:cs="宋体"/>
        </w:rPr>
        <w:t xml:space="preserve">（2）投标文件的大写金额和小写金额不一致的，以大写金额为准。</w:t>
      </w:r>
      <w:r>
        <w:rPr>
          <w:rFonts w:ascii="宋体" w:hAnsi="宋体" w:cs="宋体"/>
        </w:rPr>
      </w:r>
      <w:r/>
    </w:p>
    <w:p>
      <w:pPr>
        <w:pStyle w:val="1196"/>
        <w:ind w:firstLine="420"/>
        <w:rPr>
          <w:rFonts w:ascii="宋体" w:hAnsi="宋体" w:cs="宋体"/>
        </w:rPr>
      </w:pPr>
      <w:r>
        <w:rPr>
          <w:rFonts w:hint="eastAsia" w:ascii="宋体" w:hAnsi="宋体" w:cs="宋体"/>
        </w:rPr>
        <w:t xml:space="preserve">（3）单价金额小数点或者百分比有明显错位的，以磋商响应报价表的总价为准，并修改单价。</w:t>
      </w:r>
      <w:r>
        <w:rPr>
          <w:rFonts w:ascii="宋体" w:hAnsi="宋体" w:cs="宋体"/>
        </w:rPr>
      </w:r>
      <w:r/>
    </w:p>
    <w:p>
      <w:pPr>
        <w:pStyle w:val="1196"/>
        <w:ind w:firstLine="420"/>
        <w:rPr>
          <w:rFonts w:ascii="宋体" w:hAnsi="宋体" w:cs="宋体"/>
        </w:rPr>
      </w:pPr>
      <w:r>
        <w:rPr>
          <w:rFonts w:hint="eastAsia" w:ascii="宋体" w:hAnsi="宋体" w:cs="宋体"/>
        </w:rPr>
        <w:t xml:space="preserve">（4）总价金额与按单价汇总金额不一致的，以单价金额计算结果为准。</w:t>
      </w:r>
      <w:r>
        <w:rPr>
          <w:rFonts w:ascii="宋体" w:hAnsi="宋体" w:cs="宋体"/>
        </w:rPr>
      </w:r>
      <w:r/>
    </w:p>
    <w:p>
      <w:pPr>
        <w:pStyle w:val="1196"/>
        <w:ind w:firstLine="420"/>
        <w:rPr>
          <w:rFonts w:ascii="宋体" w:hAnsi="宋体" w:cs="宋体"/>
        </w:rPr>
      </w:pPr>
      <w:r>
        <w:rPr>
          <w:rFonts w:hint="eastAsia" w:ascii="宋体" w:hAnsi="宋体" w:cs="宋体"/>
        </w:rPr>
        <w:t xml:space="preserve">同时出现两种以上不一致的，按照前款规定的顺序修正。</w:t>
      </w:r>
      <w:r>
        <w:rPr>
          <w:rFonts w:ascii="宋体" w:hAnsi="宋体" w:cs="宋体"/>
        </w:rPr>
      </w:r>
      <w:r/>
    </w:p>
    <w:p>
      <w:pPr>
        <w:pStyle w:val="1196"/>
        <w:ind w:firstLine="420"/>
        <w:rPr>
          <w:rFonts w:ascii="宋体" w:hAnsi="宋体" w:cs="宋体"/>
        </w:rPr>
      </w:pPr>
      <w:r>
        <w:rPr>
          <w:rFonts w:hint="eastAsia" w:ascii="宋体" w:hAnsi="宋体" w:cs="宋体"/>
        </w:rPr>
        <w:t xml:space="preserve">按上述方法调整后的投标报价经投标人确认后产生约束力，投标人不确认的，其投标无效。</w:t>
      </w:r>
      <w:r>
        <w:rPr>
          <w:rFonts w:ascii="宋体" w:hAnsi="宋体" w:cs="宋体"/>
        </w:rPr>
      </w:r>
      <w:r/>
    </w:p>
    <w:p>
      <w:pPr>
        <w:pStyle w:val="1196"/>
        <w:ind w:firstLine="420"/>
        <w:rPr>
          <w:rFonts w:ascii="宋体" w:hAnsi="宋体" w:cs="宋体"/>
        </w:rPr>
      </w:pPr>
      <w:r>
        <w:rPr>
          <w:rFonts w:hint="eastAsia" w:ascii="宋体" w:hAnsi="宋体" w:cs="宋体"/>
        </w:rPr>
        <w:t xml:space="preserve">4．为深化采购制度改革，促进采购领域公平竞争，持续优化采购营商环境，实现优质优价采购目标，评审过程中出现下列情形之一的，评审委员会应当启动异常低价投标（响应）审查程序：</w:t>
      </w:r>
      <w:r>
        <w:rPr>
          <w:rFonts w:ascii="宋体" w:hAnsi="宋体" w:cs="宋体"/>
        </w:rPr>
      </w:r>
      <w:r/>
    </w:p>
    <w:p>
      <w:pPr>
        <w:pStyle w:val="1196"/>
        <w:ind w:firstLine="420"/>
        <w:rPr>
          <w:rFonts w:ascii="宋体" w:hAnsi="宋体" w:cs="宋体"/>
        </w:rPr>
      </w:pPr>
      <w:r>
        <w:rPr>
          <w:rFonts w:hint="eastAsia" w:ascii="宋体" w:hAnsi="宋体" w:cs="宋体"/>
        </w:rPr>
        <w:t xml:space="preserve">（1）投标（响应）报价低于采购项目预算50%的，即投标（响应）报价&lt;采购项目预算×50%；</w:t>
      </w:r>
      <w:r>
        <w:rPr>
          <w:rFonts w:ascii="宋体" w:hAnsi="宋体" w:cs="宋体"/>
        </w:rPr>
      </w:r>
      <w:r/>
    </w:p>
    <w:p>
      <w:pPr>
        <w:pStyle w:val="1196"/>
        <w:ind w:firstLine="420"/>
        <w:rPr>
          <w:rFonts w:ascii="宋体" w:hAnsi="宋体" w:cs="宋体"/>
        </w:rPr>
      </w:pPr>
      <w:r>
        <w:rPr>
          <w:rFonts w:hint="eastAsia" w:ascii="宋体" w:hAnsi="宋体" w:cs="宋体"/>
        </w:rPr>
        <w:t xml:space="preserve">（2）投标（响应）报价低于采购项目最高限价45%的，即投标（响应）报价&lt;采购项目最高限价×45%；</w:t>
      </w:r>
      <w:r>
        <w:rPr>
          <w:rFonts w:ascii="宋体" w:hAnsi="宋体" w:cs="宋体"/>
        </w:rPr>
      </w:r>
      <w:r/>
    </w:p>
    <w:p>
      <w:pPr>
        <w:pStyle w:val="1196"/>
        <w:ind w:firstLine="420"/>
        <w:rPr>
          <w:rFonts w:ascii="宋体" w:hAnsi="宋体" w:cs="宋体"/>
        </w:rPr>
      </w:pPr>
      <w:r>
        <w:rPr>
          <w:rFonts w:hint="eastAsia" w:ascii="宋体" w:hAnsi="宋体" w:cs="宋体"/>
        </w:rPr>
        <w:t xml:space="preserve">（3）评审委员会认定的供应商报价过低、有可能影响产品质量或者不能诚信履约的其他情形。</w:t>
      </w:r>
      <w:r>
        <w:rPr>
          <w:rFonts w:ascii="宋体" w:hAnsi="宋体" w:cs="宋体"/>
        </w:rPr>
      </w:r>
      <w:r/>
    </w:p>
    <w:p>
      <w:pPr>
        <w:pStyle w:val="1196"/>
        <w:ind w:firstLine="420"/>
        <w:rPr>
          <w:rFonts w:ascii="宋体" w:hAnsi="宋体" w:cs="宋体"/>
        </w:rPr>
      </w:pPr>
      <w:r>
        <w:rPr>
          <w:rFonts w:hint="eastAsia" w:ascii="宋体" w:hAnsi="宋体" w:cs="宋体"/>
        </w:rPr>
        <w:t xml:space="preserve">5．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面说明、证明材料，或者提供的书面说明、证明材料不能证明其报价合理性的，评审委员会应当将其作为无效投标（响应）处理。</w:t>
      </w:r>
      <w:r>
        <w:rPr>
          <w:rFonts w:ascii="宋体" w:hAnsi="宋体" w:cs="宋体"/>
        </w:rPr>
      </w:r>
      <w:r/>
    </w:p>
    <w:p>
      <w:pPr>
        <w:pStyle w:val="1196"/>
        <w:ind w:firstLine="420"/>
        <w:rPr>
          <w:rFonts w:ascii="宋体" w:hAnsi="宋体" w:cs="宋体"/>
        </w:rPr>
      </w:pPr>
      <w:r>
        <w:rPr>
          <w:rFonts w:hint="eastAsia" w:ascii="宋体" w:hAnsi="宋体" w:cs="宋体"/>
        </w:rPr>
        <w:t xml:space="preserve">6．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rPr>
          <w:rFonts w:ascii="宋体" w:hAnsi="宋体" w:cs="宋体"/>
        </w:rPr>
      </w:r>
      <w:r/>
    </w:p>
    <w:p>
      <w:pPr>
        <w:pStyle w:val="1196"/>
        <w:numPr>
          <w:ilvl w:val="0"/>
          <w:numId w:val="9"/>
        </w:numPr>
        <w:rPr>
          <w:rFonts w:ascii="宋体" w:hAnsi="宋体" w:cs="宋体"/>
          <w:b/>
          <w:bCs/>
        </w:rPr>
      </w:pPr>
      <w:r>
        <w:rPr>
          <w:rFonts w:hint="eastAsia" w:ascii="宋体" w:hAnsi="宋体" w:cs="宋体"/>
          <w:b/>
          <w:bCs/>
        </w:rPr>
        <w:t xml:space="preserve">技术及商务评分（90分）</w:t>
      </w:r>
      <w:r>
        <w:rPr>
          <w:rFonts w:ascii="宋体" w:hAnsi="宋体" w:cs="宋体"/>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384"/>
        <w:gridCol w:w="5793"/>
        <w:gridCol w:w="1080"/>
      </w:tblGrid>
      <w:tr>
        <w:trPr>
          <w:trHeight w:val="522"/>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评审项目</w:t>
            </w:r>
            <w:r>
              <w:rPr>
                <w:rFonts w:ascii="宋体" w:hAnsi="宋体" w:cs="宋体"/>
                <w:szCs w:val="21"/>
              </w:rPr>
            </w:r>
            <w:r/>
          </w:p>
        </w:tc>
        <w:tc>
          <w:tcPr>
            <w:tcW w:w="579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评分细则</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单项分数</w:t>
            </w:r>
            <w:r>
              <w:rPr>
                <w:rFonts w:ascii="宋体" w:hAnsi="宋体" w:cs="宋体"/>
                <w:szCs w:val="21"/>
              </w:rPr>
            </w:r>
            <w:r/>
          </w:p>
        </w:tc>
      </w:tr>
      <w:tr>
        <w:trPr>
          <w:trHeight w:val="522"/>
        </w:trPr>
        <w:tc>
          <w:tcPr>
            <w:tcW w:w="923" w:type="dxa"/>
            <w:vAlign w:val="center"/>
            <w:textDirection w:val="lrTb"/>
            <w:noWrap/>
          </w:tcPr>
          <w:p>
            <w:pPr>
              <w:pStyle w:val="842"/>
              <w:jc w:val="center"/>
              <w:rPr>
                <w:rFonts w:ascii="宋体" w:hAnsi="宋体" w:cs="宋体"/>
                <w:b/>
                <w:bCs/>
                <w:szCs w:val="21"/>
              </w:rPr>
            </w:pPr>
            <w:r>
              <w:rPr>
                <w:rFonts w:hint="eastAsia" w:ascii="宋体" w:hAnsi="宋体" w:cs="宋体"/>
                <w:b/>
                <w:bCs/>
                <w:szCs w:val="21"/>
              </w:rPr>
              <w:t xml:space="preserve">一</w:t>
            </w:r>
            <w:r>
              <w:rPr>
                <w:rFonts w:ascii="宋体" w:hAnsi="宋体" w:cs="宋体"/>
                <w:b/>
                <w:bCs/>
                <w:szCs w:val="21"/>
              </w:rPr>
            </w:r>
            <w:r/>
          </w:p>
        </w:tc>
        <w:tc>
          <w:tcPr>
            <w:gridSpan w:val="2"/>
            <w:tcW w:w="7177" w:type="dxa"/>
            <w:vAlign w:val="center"/>
            <w:textDirection w:val="lrTb"/>
            <w:noWrap/>
          </w:tcPr>
          <w:p>
            <w:pPr>
              <w:pStyle w:val="842"/>
              <w:jc w:val="left"/>
              <w:rPr>
                <w:rFonts w:ascii="宋体" w:hAnsi="宋体" w:cs="宋体"/>
                <w:b/>
                <w:bCs/>
                <w:szCs w:val="21"/>
              </w:rPr>
            </w:pPr>
            <w:r>
              <w:rPr>
                <w:rFonts w:hint="eastAsia" w:ascii="宋体" w:hAnsi="宋体" w:cs="宋体"/>
                <w:b/>
                <w:bCs/>
                <w:szCs w:val="21"/>
              </w:rPr>
              <w:t xml:space="preserve">技术评分</w:t>
            </w:r>
            <w:r>
              <w:rPr>
                <w:rFonts w:ascii="宋体" w:hAnsi="宋体" w:cs="宋体"/>
                <w:b/>
                <w:bCs/>
                <w:szCs w:val="21"/>
              </w:rPr>
            </w:r>
            <w:r/>
          </w:p>
        </w:tc>
        <w:tc>
          <w:tcPr>
            <w:tcW w:w="1080" w:type="dxa"/>
            <w:vAlign w:val="center"/>
            <w:textDirection w:val="lrTb"/>
            <w:noWrap/>
          </w:tcPr>
          <w:p>
            <w:pPr>
              <w:pStyle w:val="842"/>
              <w:jc w:val="center"/>
              <w:rPr>
                <w:rFonts w:ascii="宋体" w:hAnsi="宋体" w:cs="宋体"/>
                <w:b/>
                <w:bCs/>
                <w:szCs w:val="21"/>
              </w:rPr>
            </w:pPr>
            <w:r>
              <w:rPr>
                <w:rFonts w:hint="eastAsia" w:ascii="宋体" w:hAnsi="宋体" w:cs="宋体"/>
                <w:b/>
                <w:bCs/>
                <w:szCs w:val="21"/>
              </w:rPr>
              <w:t xml:space="preserve">60分</w:t>
            </w:r>
            <w:r>
              <w:rPr>
                <w:rFonts w:ascii="宋体" w:hAnsi="宋体" w:cs="宋体"/>
                <w:b/>
                <w:bCs/>
                <w:szCs w:val="21"/>
              </w:rPr>
            </w:r>
            <w:r/>
          </w:p>
        </w:tc>
      </w:tr>
      <w:tr>
        <w:trPr>
          <w:trHeight w:val="522"/>
        </w:trPr>
        <w:tc>
          <w:tcPr>
            <w:tcBorders>
              <w:bottom w:val="single" w:color="000000" w:sz="4" w:space="0"/>
            </w:tcBorders>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bottom w:val="single" w:color="000000" w:sz="4" w:space="0"/>
            </w:tcBorders>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项目理解</w:t>
            </w:r>
            <w:r>
              <w:rPr>
                <w:rFonts w:ascii="宋体" w:hAnsi="宋体" w:cs="宋体"/>
                <w:szCs w:val="21"/>
              </w:rPr>
            </w:r>
            <w:r/>
          </w:p>
        </w:tc>
        <w:tc>
          <w:tcPr>
            <w:tcBorders>
              <w:bottom w:val="single" w:color="000000" w:sz="4" w:space="0"/>
            </w:tcBorders>
            <w:tcW w:w="5793" w:type="dxa"/>
            <w:vAlign w:val="center"/>
            <w:textDirection w:val="lrTb"/>
            <w:noWrap/>
          </w:tcPr>
          <w:p>
            <w:pPr>
              <w:pStyle w:val="842"/>
              <w:rPr>
                <w:rFonts w:ascii="宋体" w:hAnsi="宋体" w:cs="宋体"/>
                <w:szCs w:val="21"/>
              </w:rPr>
            </w:pPr>
            <w:r>
              <w:rPr>
                <w:rFonts w:hint="eastAsia" w:ascii="宋体" w:hAnsi="宋体" w:cs="宋体"/>
                <w:szCs w:val="21"/>
              </w:rPr>
              <w:t xml:space="preserve">根据供应商提供的项目理解方案进行评审：包含但不限于：①项目概述与需求分析②项目理解和建议③无纸化服务整体设计思路；上述方案进行综合评议，每项1分，共计3分，每有一项缺项的扣1分，每有一项内容不完整或有缺陷的扣0.5分，扣完为止，未提供不得分。</w:t>
            </w:r>
            <w:r>
              <w:rPr>
                <w:rFonts w:ascii="宋体" w:hAnsi="宋体" w:cs="宋体"/>
                <w:szCs w:val="21"/>
              </w:rPr>
            </w:r>
            <w:r/>
          </w:p>
          <w:p>
            <w:pPr>
              <w:pStyle w:val="842"/>
              <w:rPr>
                <w:rFonts w:ascii="宋体" w:hAnsi="宋体" w:cs="宋体"/>
                <w:szCs w:val="21"/>
              </w:rPr>
            </w:pPr>
            <w:r>
              <w:rPr>
                <w:rFonts w:hint="eastAsia" w:ascii="宋体" w:hAnsi="宋体" w:cs="宋体"/>
                <w:bCs/>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416"/>
        </w:trPr>
        <w:tc>
          <w:tcPr>
            <w:tcBorders>
              <w:top w:val="single" w:color="000000" w:sz="4" w:space="0"/>
            </w:tcBorders>
            <w:tcW w:w="923" w:type="dxa"/>
            <w:vAlign w:val="center"/>
            <w:vMerge w:val="restart"/>
            <w:textDirection w:val="lrTb"/>
            <w:noWrap/>
          </w:tcPr>
          <w:p>
            <w:pPr>
              <w:pStyle w:val="84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tcBorders>
            <w:tcW w:w="1384" w:type="dxa"/>
            <w:vAlign w:val="center"/>
            <w:vMerge w:val="restart"/>
            <w:textDirection w:val="lrTb"/>
            <w:noWrap/>
          </w:tcPr>
          <w:p>
            <w:pPr>
              <w:pStyle w:val="842"/>
              <w:rPr>
                <w:rFonts w:ascii="宋体" w:hAnsi="宋体" w:cs="宋体"/>
                <w:szCs w:val="21"/>
              </w:rPr>
            </w:pPr>
            <w:r>
              <w:rPr>
                <w:rFonts w:hint="eastAsia" w:ascii="宋体" w:hAnsi="宋体" w:cs="宋体"/>
                <w:szCs w:val="21"/>
              </w:rPr>
              <w:t xml:space="preserve">无纸化辅助服务</w:t>
            </w:r>
            <w:r>
              <w:rPr>
                <w:rFonts w:ascii="宋体" w:hAnsi="宋体" w:cs="宋体"/>
                <w:szCs w:val="21"/>
              </w:rPr>
            </w:r>
            <w:r/>
          </w:p>
        </w:tc>
        <w:tc>
          <w:tcPr>
            <w:tcBorders>
              <w:top w:val="single" w:color="000000" w:sz="4" w:space="0"/>
            </w:tcBorders>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1）根据供应商提供的材料收转服务方案进行评审：包含但不限于①两种立案扫描模式下纸质卷宗收转业务流程设计②案件审理过程中纸质卷宗收转业务流程设计③材料登记与质检服务；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1488"/>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rPr>
                <w:rFonts w:ascii="宋体" w:hAnsi="宋体" w:cs="宋体"/>
                <w:szCs w:val="21"/>
              </w:rPr>
            </w:pPr>
            <w:r>
              <w:rPr>
                <w:rFonts w:ascii="宋体" w:hAnsi="宋体" w:cs="宋体"/>
                <w:szCs w:val="21"/>
              </w:rPr>
            </w:r>
            <w:r/>
          </w:p>
        </w:tc>
        <w:tc>
          <w:tcPr>
            <w:tcBorders>
              <w:top w:val="single" w:color="000000" w:sz="4" w:space="0"/>
            </w:tcBorders>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2）根据供应商提供的立案扫描服务方案进行评审：包含但不限于①材料分类及扫描规范②服务流程③服务时效性；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132"/>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3）根据供应商提供的补充材料电子化服务方案进行评审：包含但不限于①材料分类及扫描规范②服务流程③服务时效性；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4）根据供应商提供的卷宗管理服务方案进行评审：包含但不限于①诉讼材料收转发管理设计方案②电子卷质检③中间库管理；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rPr>
                <w:rFonts w:ascii="宋体" w:hAnsi="宋体" w:cs="宋体"/>
                <w:szCs w:val="21"/>
              </w:rPr>
            </w:pPr>
            <w:r>
              <w:rPr>
                <w:rFonts w:hint="eastAsia" w:ascii="宋体" w:hAnsi="宋体" w:cs="宋体"/>
                <w:szCs w:val="21"/>
              </w:rPr>
              <w:t xml:space="preserve">（5）</w:t>
            </w:r>
            <w:r>
              <w:rPr>
                <w:rFonts w:hint="eastAsia"/>
                <w:szCs w:val="21"/>
              </w:rPr>
              <w:t xml:space="preserve">▲</w:t>
            </w:r>
            <w:r>
              <w:rPr>
                <w:rFonts w:hint="eastAsia" w:ascii="宋体" w:hAnsi="宋体" w:cs="宋体"/>
                <w:szCs w:val="21"/>
              </w:rPr>
              <w:t xml:space="preserve">根据供应商提供归档服务方案进行评审：包含但不限于①归档业务流程方案②纸质档案加工方案；上述方案进行综合评议，每项1分，共计2分，每有一项缺项的扣1分，每有一项内容不完整或有缺陷的扣0.5分，扣完为止，未提供不得分。</w:t>
            </w:r>
            <w:r>
              <w:rPr>
                <w:rFonts w:ascii="宋体" w:hAnsi="宋体" w:cs="宋体"/>
                <w:szCs w:val="21"/>
              </w:rPr>
            </w:r>
            <w:r/>
          </w:p>
          <w:p>
            <w:pPr>
              <w:pStyle w:val="842"/>
              <w:rPr>
                <w:rFonts w:ascii="宋体" w:hAnsi="宋体" w:cs="宋体"/>
                <w:b/>
                <w:bCs/>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b/>
                <w:bCs/>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r>
      <w:tr>
        <w:trPr>
          <w:trHeight w:val="27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档案数字化加工服务</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档案数字化加工服务方案进行评审：包含但不限于①档案接收②档案整理③档案扫描④编目著录⑤图文质检⑥数据挂接⑦档案质检⑧档案装订⑨数据备份⑩入库上架；上述方案进行综合评议，每项0.5分，共计5分，每有一项缺项或内容不完整的扣0.5分，扣完为止，未提供不得分。</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restart"/>
            <w:textDirection w:val="lrTb"/>
            <w:noWrap/>
          </w:tcPr>
          <w:p>
            <w:pPr>
              <w:pStyle w:val="84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84" w:type="dxa"/>
            <w:vAlign w:val="center"/>
            <w:vMerge w:val="restart"/>
            <w:textDirection w:val="lrTb"/>
            <w:noWrap/>
          </w:tcPr>
          <w:p>
            <w:pPr>
              <w:pStyle w:val="842"/>
              <w:jc w:val="center"/>
              <w:rPr>
                <w:rFonts w:ascii="宋体" w:hAnsi="宋体" w:cs="宋体"/>
                <w:szCs w:val="21"/>
              </w:rPr>
            </w:pPr>
            <w:r>
              <w:rPr>
                <w:rFonts w:hint="eastAsia" w:ascii="宋体" w:hAnsi="宋体" w:cs="宋体"/>
                <w:szCs w:val="21"/>
              </w:rPr>
              <w:t xml:space="preserve">无纸化办案基础性配套服务</w:t>
            </w:r>
            <w:r>
              <w:rPr>
                <w:rFonts w:ascii="宋体" w:hAnsi="宋体" w:cs="宋体"/>
                <w:szCs w:val="21"/>
              </w:rPr>
            </w:r>
            <w:r/>
          </w:p>
        </w:tc>
        <w:tc>
          <w:tcPr>
            <w:tcW w:w="5793" w:type="dxa"/>
            <w:vAlign w:val="center"/>
            <w:textDirection w:val="lrTb"/>
            <w:noWrap/>
          </w:tcPr>
          <w:p>
            <w:pPr>
              <w:pStyle w:val="842"/>
              <w:rPr>
                <w:rFonts w:ascii="宋体" w:hAnsi="宋体" w:cs="宋体"/>
                <w:szCs w:val="21"/>
              </w:rPr>
            </w:pPr>
            <w:r>
              <w:rPr>
                <w:rFonts w:hint="eastAsia" w:ascii="宋体" w:hAnsi="宋体" w:cs="宋体"/>
                <w:szCs w:val="21"/>
              </w:rPr>
              <w:t xml:space="preserve">（1）</w:t>
            </w:r>
            <w:r>
              <w:rPr>
                <w:rFonts w:hint="eastAsia"/>
                <w:szCs w:val="21"/>
              </w:rPr>
              <w:t xml:space="preserve">▲</w:t>
            </w:r>
            <w:r>
              <w:rPr>
                <w:rFonts w:hint="eastAsia" w:ascii="宋体" w:hAnsi="宋体" w:cs="宋体"/>
                <w:szCs w:val="21"/>
              </w:rPr>
              <w:t xml:space="preserve">根据供应商提供的诉讼材料收转发管理系统进行评分：提供①材料登记②材料加工③材料入库④在库管理⑤卷宗出库⑥卷宗借阅⑦中间库库区维护⑧出库申请⑨卷宗整理⑩上诉管理，每提供一个功能相关截图和业务场景下说明得0.5分，本项最高得5分，未提供不得分。</w:t>
            </w:r>
            <w:r>
              <w:rPr>
                <w:rFonts w:ascii="宋体" w:hAnsi="宋体" w:cs="宋体"/>
                <w:szCs w:val="21"/>
              </w:rPr>
            </w:r>
            <w:r/>
          </w:p>
          <w:p>
            <w:pPr>
              <w:pStyle w:val="842"/>
              <w:jc w:val="left"/>
              <w:rPr>
                <w:rFonts w:ascii="宋体" w:hAnsi="宋体" w:cs="宋体"/>
                <w:szCs w:val="21"/>
              </w:rPr>
            </w:pPr>
            <w:r>
              <w:rPr>
                <w:rFonts w:hint="eastAsia"/>
              </w:rPr>
              <w:t xml:space="preserve">注</w:t>
            </w:r>
            <w:r>
              <w:rPr>
                <w:rFonts w:hint="eastAsia" w:ascii="宋体" w:hAnsi="宋体" w:cs="宋体"/>
                <w:szCs w:val="21"/>
              </w:rPr>
              <w:t xml:space="preserve">：提供相关功能截图及说明作为证明材料，并加盖供应商公章，提供不全不得分。</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（2）</w:t>
            </w:r>
            <w:r>
              <w:rPr>
                <w:rFonts w:hint="eastAsia"/>
                <w:b/>
                <w:szCs w:val="21"/>
              </w:rPr>
              <w:t xml:space="preserve">▲</w:t>
            </w:r>
            <w:r>
              <w:rPr>
                <w:rFonts w:hint="eastAsia" w:ascii="宋体" w:hAnsi="宋体" w:cs="宋体"/>
                <w:szCs w:val="21"/>
              </w:rPr>
              <w:t xml:space="preserve">根据供应商提卷宗加工配套软件功能进行评审：①卷宗加工软件需支持模板配置，提供打印封面，目录，备考表，档案盒等功能；②需支持对接审判和档案等系统自动获取案件结构化数据功能，减少手工录入工作量以及手工录入准确性的问题；③需支持卷宗归档后加册功能，规范归档加册流程；④需支持分卷册自动生成并打印条形码，解决档案分册条形码打印问题；⑤需要支持自动生成卷册信息，无需手工引入；上述功能提供截图，每项1分，共</w:t>
            </w:r>
            <w:bookmarkStart w:id="41" w:name="_GoBack"/>
            <w:r/>
            <w:bookmarkEnd w:id="41"/>
            <w:r>
              <w:rPr>
                <w:rFonts w:hint="eastAsia" w:ascii="宋体" w:hAnsi="宋体" w:cs="宋体"/>
                <w:szCs w:val="21"/>
              </w:rPr>
              <w:t xml:space="preserve">计5分，每有一项缺项的扣1分，扣完为止，未提供不得分。</w:t>
            </w:r>
            <w:r>
              <w:rPr>
                <w:rFonts w:ascii="宋体" w:hAnsi="宋体" w:cs="宋体"/>
                <w:szCs w:val="21"/>
              </w:rPr>
            </w:r>
            <w:r/>
          </w:p>
          <w:p>
            <w:pPr>
              <w:pStyle w:val="842"/>
              <w:rPr>
                <w:rFonts w:ascii="宋体" w:hAnsi="宋体" w:cs="宋体"/>
                <w:szCs w:val="21"/>
              </w:rPr>
            </w:pPr>
            <w:r>
              <w:rPr>
                <w:rFonts w:hint="eastAsia"/>
              </w:rPr>
              <w:t xml:space="preserve">注</w:t>
            </w:r>
            <w:r>
              <w:rPr>
                <w:rFonts w:hint="eastAsia" w:ascii="宋体" w:hAnsi="宋体" w:cs="宋体"/>
                <w:szCs w:val="21"/>
              </w:rPr>
              <w:t xml:space="preserve">：提供相关功能截图作为证明材料，并加盖供应商公章。</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cantSplit/>
          <w:trHeight w:val="38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rPr>
                <w:rFonts w:ascii="宋体" w:hAnsi="宋体" w:cs="宋体"/>
                <w:szCs w:val="21"/>
              </w:rPr>
            </w:pPr>
            <w:r>
              <w:rPr>
                <w:rFonts w:hint="eastAsia" w:ascii="宋体" w:hAnsi="宋体" w:cs="宋体"/>
                <w:szCs w:val="21"/>
              </w:rPr>
              <w:t xml:space="preserve">（3）</w:t>
            </w:r>
            <w:r>
              <w:rPr>
                <w:rFonts w:hint="eastAsia"/>
                <w:b/>
                <w:szCs w:val="21"/>
              </w:rPr>
              <w:t xml:space="preserve">▲</w:t>
            </w:r>
            <w:r>
              <w:rPr>
                <w:rFonts w:hint="eastAsia" w:ascii="宋体" w:hAnsi="宋体" w:cs="宋体"/>
                <w:szCs w:val="21"/>
              </w:rPr>
              <w:t xml:space="preserve">根据供应商提供的司法辅助事务集约化管理系统进行评审：提供事务发起、事务分派、事务管理、事务监督等功能（提供补充材料扫描和无纸化归档2个事务发起及相关业务场景下功能说明），每提供1个事务操作步骤并截图得1分，本项最高得分2分，未提供不得分。</w:t>
            </w:r>
            <w:r>
              <w:rPr>
                <w:rFonts w:ascii="宋体" w:hAnsi="宋体" w:cs="宋体"/>
                <w:szCs w:val="21"/>
              </w:rPr>
            </w:r>
            <w:r/>
          </w:p>
          <w:p>
            <w:pPr>
              <w:pStyle w:val="842"/>
              <w:rPr>
                <w:rFonts w:ascii="宋体" w:hAnsi="宋体" w:cs="宋体"/>
                <w:szCs w:val="21"/>
              </w:rPr>
            </w:pPr>
            <w:r>
              <w:rPr>
                <w:rFonts w:hint="eastAsia"/>
              </w:rPr>
              <w:t xml:space="preserve">注</w:t>
            </w:r>
            <w:r>
              <w:rPr>
                <w:rFonts w:hint="eastAsia" w:ascii="宋体" w:hAnsi="宋体" w:cs="宋体"/>
                <w:szCs w:val="21"/>
              </w:rPr>
              <w:t xml:space="preserve">：提供相关功能截图作为证明材料，并加盖供应商公章。</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r>
      <w:tr>
        <w:trPr>
          <w:cantSplit/>
          <w:trHeight w:val="38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rPr>
                <w:rFonts w:ascii="宋体" w:hAnsi="宋体" w:cs="宋体"/>
                <w:bCs/>
                <w:szCs w:val="21"/>
              </w:rPr>
            </w:pPr>
            <w:r>
              <w:rPr>
                <w:rFonts w:hint="eastAsia" w:ascii="宋体" w:hAnsi="宋体" w:cs="宋体"/>
                <w:bCs/>
                <w:szCs w:val="21"/>
              </w:rPr>
              <w:t xml:space="preserve">（4）</w:t>
            </w:r>
            <w:r>
              <w:rPr>
                <w:rFonts w:hint="eastAsia"/>
                <w:szCs w:val="21"/>
              </w:rPr>
              <w:t xml:space="preserve">▲</w:t>
            </w:r>
            <w:r>
              <w:rPr>
                <w:rFonts w:hint="eastAsia" w:ascii="宋体" w:hAnsi="宋体" w:cs="宋体"/>
                <w:bCs/>
                <w:szCs w:val="21"/>
              </w:rPr>
              <w:t xml:space="preserve">为便捷驻场服务员工工作量数据统计，体现多劳多得，工作合理调配，绩效数据核查，服务采购人数据决策分析，根据供应商提供专业性管理软件功能进行评审：提供立案、编目、审理、中间库、结案、归档六大场景数据可视化功能截图，每提供一个功能截图和相关业务场景下说明得0.5分，本项最高得3分，未提供不得分。</w:t>
            </w:r>
            <w:r>
              <w:rPr>
                <w:rFonts w:ascii="宋体" w:hAnsi="宋体" w:cs="宋体"/>
                <w:bCs/>
                <w:szCs w:val="21"/>
              </w:rPr>
            </w:r>
            <w:r/>
          </w:p>
          <w:p>
            <w:pPr>
              <w:pStyle w:val="842"/>
              <w:jc w:val="left"/>
              <w:rPr>
                <w:rFonts w:ascii="宋体" w:hAnsi="宋体" w:cs="宋体"/>
                <w:bCs/>
                <w:szCs w:val="21"/>
              </w:rPr>
            </w:pPr>
            <w:r>
              <w:rPr>
                <w:rFonts w:hint="eastAsia" w:ascii="宋体" w:hAnsi="宋体" w:cs="宋体"/>
                <w:bCs/>
                <w:szCs w:val="21"/>
              </w:rPr>
              <w:t xml:space="preserve">说明：提供相关功能截图作为证明材料，并加盖供应商公章。</w:t>
            </w:r>
            <w:r>
              <w:rPr>
                <w:rFonts w:ascii="宋体" w:hAnsi="宋体" w:cs="宋体"/>
                <w:bCs/>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restart"/>
            <w:textDirection w:val="lrTb"/>
            <w:noWrap/>
          </w:tcPr>
          <w:p>
            <w:pPr>
              <w:pStyle w:val="84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84" w:type="dxa"/>
            <w:vAlign w:val="center"/>
            <w:vMerge w:val="restart"/>
            <w:textDirection w:val="lrTb"/>
            <w:noWrap/>
          </w:tcPr>
          <w:p>
            <w:pPr>
              <w:pStyle w:val="842"/>
              <w:jc w:val="center"/>
              <w:rPr>
                <w:rFonts w:ascii="宋体" w:hAnsi="宋体" w:cs="宋体"/>
                <w:szCs w:val="21"/>
              </w:rPr>
            </w:pPr>
            <w:r>
              <w:rPr>
                <w:rFonts w:hint="eastAsia" w:ascii="宋体" w:hAnsi="宋体" w:cs="宋体"/>
                <w:szCs w:val="21"/>
              </w:rPr>
              <w:t xml:space="preserve">服务标准和服务质量</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1）根据供应商提供的服务标准方案进行评审：包含但不限于①全流程无纸化服务标准②电子卷宗随案同步生成标准③案件纸质卷宗排序标准；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cantSplit/>
          <w:trHeight w:val="274"/>
        </w:trPr>
        <w:tc>
          <w:tcPr>
            <w:tcW w:w="923"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1384" w:type="dxa"/>
            <w:vAlign w:val="center"/>
            <w:vMerge w:val="continue"/>
            <w:textDirection w:val="lrTb"/>
            <w:noWrap/>
          </w:tcPr>
          <w:p>
            <w:pPr>
              <w:pStyle w:val="842"/>
              <w:jc w:val="center"/>
              <w:rPr>
                <w:rFonts w:ascii="宋体" w:hAnsi="宋体" w:cs="宋体"/>
                <w:szCs w:val="21"/>
              </w:rPr>
            </w:pP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2）根据供应商提供的服务质量方案进行评审：包含但不限于①全流程服务各岗位绩效考核体系②绩效管理办法③全流程服务数据监管、数据统计与上报方案；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416"/>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项目组织</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供的项目组织方案进行评审：包含但不限于①项目进度计划②内部管理架构③管理规章制度；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27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培训方案</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根据供应商提供的培训方案进行评审：包含但不限于①内部培训②法院端培训③</w:t>
            </w:r>
            <w:bookmarkStart w:id="42" w:name="_Toc144292927"/>
            <w:r>
              <w:rPr>
                <w:rFonts w:hint="eastAsia" w:ascii="宋体" w:hAnsi="宋体" w:cs="宋体"/>
                <w:szCs w:val="21"/>
              </w:rPr>
              <w:t xml:space="preserve">员工培训管理制度</w:t>
            </w:r>
            <w:bookmarkEnd w:id="42"/>
            <w:r>
              <w:rPr>
                <w:rFonts w:hint="eastAsia" w:ascii="宋体" w:hAnsi="宋体" w:cs="宋体"/>
                <w:szCs w:val="21"/>
              </w:rPr>
              <w:t xml:space="preserve">；上述方案进行综合评议，每项1分，共计3分，每有一项缺项的扣1分，每有一项内容不完整或有缺陷的扣0.5分，扣完为止，未提供不得分。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75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人力资源保障措施</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供的人力资源保障措施方案进行评审：包含但不限于①员工入离职管理制度②薪酬制度规范③员工晋升机制④员工奖惩制度；上述方案进行综合评议，每项1分，共计4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r>
      <w:tr>
        <w:trPr>
          <w:trHeight w:val="75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应急情况处理</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供的应急情况处理方案进行评审：包含但不限于①应急事项的处理流程②处理方法③日常预防机制；上述方案进行综合评议，每项1分，共计3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27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安全保密方案</w:t>
            </w:r>
            <w:r>
              <w:rPr>
                <w:rFonts w:ascii="宋体" w:hAnsi="宋体" w:cs="宋体"/>
                <w:szCs w:val="21"/>
              </w:rPr>
            </w:r>
            <w:r/>
          </w:p>
        </w:tc>
        <w:tc>
          <w:tcPr>
            <w:tcW w:w="5793" w:type="dxa"/>
            <w:vAlign w:val="center"/>
            <w:textDirection w:val="lrTb"/>
            <w:noWrap/>
          </w:tcPr>
          <w:p>
            <w:pPr>
              <w:pStyle w:val="842"/>
              <w:jc w:val="left"/>
              <w:rPr>
                <w:rFonts w:ascii="宋体" w:hAnsi="宋体" w:cs="宋体"/>
                <w:szCs w:val="21"/>
              </w:rPr>
            </w:pPr>
            <w:r>
              <w:rPr>
                <w:rFonts w:hint="eastAsia" w:ascii="宋体" w:hAnsi="宋体" w:cs="宋体"/>
                <w:szCs w:val="21"/>
              </w:rPr>
              <w:t xml:space="preserve">根据供应商提供的安全保密方案进行评审：包含但不限于①保密安全管理制度②保密安全管理规范③保密安全管理措施④安全保密承诺；上述方案进行综合评议，每项1分，共计4分，每有一项缺项的扣1分，每有一项内容不完整或有缺陷的扣0.5分，扣完为止，未提供不得分。</w:t>
            </w:r>
            <w:r>
              <w:rPr>
                <w:rFonts w:ascii="宋体" w:hAnsi="宋体" w:cs="宋体"/>
                <w:szCs w:val="21"/>
              </w:rPr>
            </w:r>
            <w:r/>
          </w:p>
          <w:p>
            <w:pPr>
              <w:pStyle w:val="842"/>
              <w:jc w:val="left"/>
              <w:rPr>
                <w:rFonts w:ascii="宋体" w:hAnsi="宋体" w:cs="宋体"/>
                <w:szCs w:val="21"/>
              </w:rPr>
            </w:pPr>
            <w:r>
              <w:rPr>
                <w:rFonts w:hint="eastAsia" w:ascii="宋体" w:hAnsi="宋体" w:cs="宋体"/>
                <w:szCs w:val="21"/>
              </w:rPr>
              <w:t xml:space="preserve">注：内容不完整或有缺陷是指：非专门针对本项目或不适用本项目需求的情形、套用其他项目方案、内容前后矛盾、涉及的规范及标准错误等及其他情形。</w:t>
            </w:r>
            <w:r>
              <w:rPr>
                <w:rFonts w:ascii="宋体" w:hAnsi="宋体" w:cs="宋体"/>
                <w:szCs w:val="21"/>
              </w:rPr>
            </w:r>
            <w:r/>
          </w:p>
        </w:tc>
        <w:tc>
          <w:tcPr>
            <w:tcW w:w="108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r>
      <w:tr>
        <w:trPr>
          <w:trHeight w:val="274"/>
        </w:trPr>
        <w:tc>
          <w:tcPr>
            <w:tcW w:w="923" w:type="dxa"/>
            <w:vAlign w:val="center"/>
            <w:textDirection w:val="lrTb"/>
            <w:noWrap/>
          </w:tcPr>
          <w:p>
            <w:pPr>
              <w:pStyle w:val="842"/>
              <w:rPr>
                <w:rFonts w:ascii="宋体" w:hAnsi="宋体" w:cs="宋体"/>
                <w:b/>
                <w:bCs/>
                <w:szCs w:val="21"/>
              </w:rPr>
            </w:pPr>
            <w:r>
              <w:rPr>
                <w:rFonts w:hint="eastAsia" w:ascii="宋体" w:hAnsi="宋体" w:cs="宋体"/>
                <w:b/>
                <w:bCs/>
                <w:szCs w:val="21"/>
              </w:rPr>
              <w:t xml:space="preserve">二</w:t>
            </w:r>
            <w:r>
              <w:rPr>
                <w:rFonts w:ascii="宋体" w:hAnsi="宋体" w:cs="宋体"/>
                <w:b/>
                <w:bCs/>
                <w:szCs w:val="21"/>
              </w:rPr>
            </w:r>
            <w:r/>
          </w:p>
        </w:tc>
        <w:tc>
          <w:tcPr>
            <w:gridSpan w:val="2"/>
            <w:tcW w:w="7177" w:type="dxa"/>
            <w:vAlign w:val="center"/>
            <w:textDirection w:val="lrTb"/>
            <w:noWrap/>
          </w:tcPr>
          <w:p>
            <w:pPr>
              <w:pStyle w:val="842"/>
              <w:rPr>
                <w:rFonts w:ascii="宋体" w:hAnsi="宋体" w:cs="宋体"/>
                <w:b/>
                <w:bCs/>
                <w:szCs w:val="21"/>
              </w:rPr>
            </w:pPr>
            <w:r>
              <w:rPr>
                <w:rFonts w:hint="eastAsia" w:ascii="宋体" w:hAnsi="宋体" w:cs="宋体"/>
                <w:b/>
                <w:bCs/>
                <w:szCs w:val="21"/>
              </w:rPr>
              <w:t xml:space="preserve">商务评分</w:t>
            </w:r>
            <w:r>
              <w:rPr>
                <w:rFonts w:ascii="宋体" w:hAnsi="宋体" w:cs="宋体"/>
                <w:b/>
                <w:bCs/>
                <w:szCs w:val="21"/>
              </w:rPr>
            </w:r>
            <w:r/>
          </w:p>
        </w:tc>
        <w:tc>
          <w:tcPr>
            <w:tcW w:w="1080" w:type="dxa"/>
            <w:vAlign w:val="center"/>
            <w:textDirection w:val="lrTb"/>
            <w:noWrap/>
          </w:tcPr>
          <w:p>
            <w:pPr>
              <w:pStyle w:val="842"/>
              <w:jc w:val="center"/>
              <w:rPr>
                <w:rFonts w:ascii="宋体" w:hAnsi="宋体" w:cs="宋体"/>
                <w:b/>
                <w:bCs/>
                <w:szCs w:val="21"/>
              </w:rPr>
            </w:pPr>
            <w:r>
              <w:rPr>
                <w:rFonts w:hint="eastAsia" w:ascii="宋体" w:hAnsi="宋体" w:cs="宋体"/>
                <w:b/>
                <w:bCs/>
                <w:szCs w:val="21"/>
              </w:rPr>
              <w:t xml:space="preserve">30分</w:t>
            </w:r>
            <w:r>
              <w:rPr>
                <w:rFonts w:ascii="宋体" w:hAnsi="宋体" w:cs="宋体"/>
                <w:b/>
                <w:bCs/>
                <w:szCs w:val="21"/>
              </w:rPr>
            </w:r>
            <w:r/>
          </w:p>
        </w:tc>
      </w:tr>
      <w:tr>
        <w:trPr>
          <w:trHeight w:val="274"/>
        </w:trPr>
        <w:tc>
          <w:tcPr>
            <w:tcW w:w="923" w:type="dxa"/>
            <w:vAlign w:val="center"/>
            <w:textDirection w:val="lrTb"/>
            <w:noWrap/>
          </w:tcPr>
          <w:p>
            <w:pPr>
              <w:pStyle w:val="842"/>
              <w:jc w:val="center"/>
              <w:spacing w:line="240" w:lineRule="auto"/>
              <w:rPr>
                <w:rFonts w:ascii="仿宋" w:hAnsi="仿宋"/>
              </w:rPr>
            </w:pPr>
            <w:r>
              <w:rPr>
                <w:rFonts w:hint="eastAsia" w:ascii="仿宋" w:hAnsi="仿宋"/>
              </w:rPr>
              <w:t xml:space="preserve">1</w:t>
            </w:r>
            <w:r>
              <w:rPr>
                <w:rFonts w:ascii="仿宋" w:hAnsi="仿宋"/>
              </w:rPr>
            </w:r>
            <w:r/>
          </w:p>
        </w:tc>
        <w:tc>
          <w:tcPr>
            <w:tcW w:w="1384" w:type="dxa"/>
            <w:vAlign w:val="center"/>
            <w:textDirection w:val="lrTb"/>
            <w:noWrap/>
          </w:tcPr>
          <w:p>
            <w:pPr>
              <w:pStyle w:val="842"/>
              <w:spacing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类似业绩情况</w:t>
            </w:r>
            <w:r/>
          </w:p>
          <w:p>
            <w:pPr>
              <w:pStyle w:val="842"/>
              <w:jc w:val="center"/>
              <w:spacing w:line="240" w:lineRule="auto"/>
              <w:rPr>
                <w:rFonts w:ascii="仿宋" w:hAnsi="仿宋"/>
              </w:rPr>
            </w:pPr>
            <w:r>
              <w:rPr>
                <w:rFonts w:ascii="仿宋" w:hAnsi="仿宋"/>
              </w:rPr>
            </w:r>
            <w:r/>
          </w:p>
        </w:tc>
        <w:tc>
          <w:tcPr>
            <w:tcW w:w="5793" w:type="dxa"/>
            <w:vAlign w:val="center"/>
            <w:textDirection w:val="lrTb"/>
            <w:noWrap/>
          </w:tcPr>
          <w:p>
            <w:pPr>
              <w:pStyle w:val="842"/>
            </w:pPr>
            <w:r>
              <w:rPr>
                <w:rFonts w:hint="eastAsia"/>
              </w:rPr>
              <w:t xml:space="preserve">根据投标人提供的自</w:t>
            </w:r>
            <w:r>
              <w:rPr>
                <w:rFonts w:hint="eastAsia"/>
                <w:color w:val="ff0000"/>
              </w:rPr>
              <w:t xml:space="preserve">2023年1月1日起</w:t>
            </w:r>
            <w:r>
              <w:rPr>
                <w:rFonts w:hint="eastAsia"/>
              </w:rPr>
              <w:t xml:space="preserve">（以合同签订日期为准）类似项目业绩情况进行评审：</w:t>
            </w:r>
            <w:r/>
          </w:p>
          <w:p>
            <w:pPr>
              <w:pStyle w:val="842"/>
            </w:pPr>
            <w:r>
              <w:rPr>
                <w:rFonts w:hint="eastAsia"/>
              </w:rPr>
              <w:t xml:space="preserve">投标人</w:t>
            </w:r>
            <w:r>
              <w:t xml:space="preserve">具有</w:t>
            </w:r>
            <w:r>
              <w:rPr>
                <w:rFonts w:hint="eastAsia"/>
              </w:rPr>
              <w:t xml:space="preserve">无纸化</w:t>
            </w:r>
            <w:r>
              <w:t xml:space="preserve">服务业绩合同的，每提供一个得</w:t>
            </w:r>
            <w:r>
              <w:rPr>
                <w:rFonts w:hint="eastAsia"/>
              </w:rPr>
              <w:t xml:space="preserve">1</w:t>
            </w:r>
            <w:r>
              <w:t xml:space="preserve">分，本小项最高得</w:t>
            </w:r>
            <w:r>
              <w:rPr>
                <w:rFonts w:hint="eastAsia"/>
              </w:rPr>
              <w:t xml:space="preserve">2</w:t>
            </w:r>
            <w:r>
              <w:t xml:space="preserve">分。（业绩项目名称或项目内容须体现</w:t>
            </w:r>
            <w:r>
              <w:rPr>
                <w:rFonts w:hint="eastAsia"/>
              </w:rPr>
              <w:t xml:space="preserve">无纸化相关</w:t>
            </w:r>
            <w:r>
              <w:t xml:space="preserve">服务，未体现</w:t>
            </w:r>
            <w:r>
              <w:rPr>
                <w:rFonts w:hint="eastAsia"/>
              </w:rPr>
              <w:t xml:space="preserve">相关服务</w:t>
            </w:r>
            <w:r>
              <w:t xml:space="preserve">则不得分。）</w:t>
            </w:r>
            <w:r/>
          </w:p>
          <w:p>
            <w:pPr>
              <w:pStyle w:val="842"/>
            </w:pPr>
            <w:r>
              <w:rPr>
                <w:rFonts w:hint="eastAsia"/>
              </w:rPr>
              <w:t xml:space="preserve">注：</w:t>
            </w:r>
            <w:r/>
          </w:p>
          <w:p>
            <w:pPr>
              <w:pStyle w:val="842"/>
            </w:pPr>
            <w:r>
              <w:rPr>
                <w:rFonts w:hint="eastAsia"/>
              </w:rPr>
              <w:t xml:space="preserve">（1）须提供以上相关业绩的合同复印件并加盖投标人公章；</w:t>
            </w:r>
            <w:r/>
          </w:p>
          <w:p>
            <w:pPr>
              <w:pStyle w:val="842"/>
              <w:jc w:val="left"/>
              <w:rPr>
                <w:rFonts w:ascii="仿宋" w:hAnsi="仿宋"/>
              </w:rPr>
            </w:pPr>
            <w:r>
              <w:rPr>
                <w:rFonts w:hint="eastAsia"/>
              </w:rPr>
              <w:t xml:space="preserve">（</w:t>
            </w:r>
            <w:r>
              <w:t xml:space="preserve">2</w:t>
            </w:r>
            <w:r>
              <w:rPr>
                <w:rFonts w:hint="eastAsia"/>
              </w:rPr>
              <w:t xml:space="preserve">）同一业绩涉及多个服务内容，按一个业绩计算。</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2"/>
              <w:jc w:val="center"/>
              <w:spacing w:line="240" w:lineRule="auto"/>
              <w:rPr>
                <w:rFonts w:ascii="仿宋" w:hAnsi="仿宋"/>
              </w:rPr>
            </w:pPr>
            <w:r>
              <w:rPr>
                <w:rFonts w:hint="eastAsia" w:ascii="仿宋" w:hAnsi="仿宋"/>
              </w:rPr>
              <w:t xml:space="preserve">2</w:t>
            </w:r>
            <w:r>
              <w:rPr>
                <w:rFonts w:ascii="仿宋" w:hAnsi="仿宋"/>
              </w:rPr>
            </w:r>
            <w:r/>
          </w:p>
        </w:tc>
        <w:tc>
          <w:tcPr>
            <w:tcW w:w="1384" w:type="dxa"/>
            <w:vAlign w:val="center"/>
            <w:textDirection w:val="lrTb"/>
            <w:noWrap/>
          </w:tcPr>
          <w:p>
            <w:pPr>
              <w:pStyle w:val="842"/>
              <w:jc w:val="center"/>
              <w:spacing w:line="240" w:lineRule="auto"/>
              <w:rPr>
                <w:rFonts w:ascii="仿宋" w:hAnsi="仿宋" w:cs="宋体"/>
              </w:rPr>
            </w:pPr>
            <w:r>
              <w:rPr>
                <w:rFonts w:hint="eastAsia" w:ascii="仿宋" w:hAnsi="仿宋" w:cs="Arial"/>
              </w:rPr>
              <w:t xml:space="preserve">软件实力</w:t>
            </w:r>
            <w:r>
              <w:rPr>
                <w:rFonts w:ascii="仿宋" w:hAnsi="仿宋" w:cs="宋体"/>
              </w:rPr>
            </w:r>
            <w:r/>
          </w:p>
        </w:tc>
        <w:tc>
          <w:tcPr>
            <w:tcW w:w="5793" w:type="dxa"/>
            <w:vAlign w:val="center"/>
            <w:textDirection w:val="lrTb"/>
            <w:noWrap/>
          </w:tcPr>
          <w:p>
            <w:pPr>
              <w:pStyle w:val="842"/>
              <w:jc w:val="left"/>
              <w:rPr>
                <w:rFonts w:ascii="仿宋" w:hAnsi="仿宋" w:cs="宋体"/>
              </w:rPr>
            </w:pPr>
            <w:r>
              <w:rPr>
                <w:rFonts w:hint="eastAsia" w:ascii="仿宋" w:hAnsi="仿宋" w:cs="宋体"/>
              </w:rPr>
              <w:t xml:space="preserve">根据提供自主知识产权的软件著作权证书情况进行综合评审：诉讼材料收转发管理类似系统，电子卷宗随案生成类似系统、诉讼材料影像质检类似系统软件、卷宗中间库管理类似系统、案件无纸化上诉移送管理类似系统软件、混合单套制档案管理类似系统软件、电子档案数据离线备份管理类似系统、司法辅助事务数据可视化展示平台类似系统；全部提供得8</w:t>
            </w:r>
            <w:r>
              <w:rPr>
                <w:rFonts w:ascii="仿宋" w:hAnsi="仿宋" w:cs="宋体"/>
              </w:rPr>
              <w:t xml:space="preserve">分，每少1类软件著作权证书扣1分，扣完为止</w:t>
            </w:r>
            <w:r>
              <w:rPr>
                <w:rFonts w:hint="eastAsia" w:ascii="仿宋" w:hAnsi="仿宋" w:cs="宋体"/>
              </w:rPr>
              <w:t xml:space="preserve">；</w:t>
            </w:r>
            <w:r>
              <w:rPr>
                <w:rFonts w:ascii="仿宋" w:hAnsi="仿宋" w:cs="宋体"/>
              </w:rPr>
            </w:r>
            <w:r/>
          </w:p>
          <w:p>
            <w:pPr>
              <w:pStyle w:val="842"/>
              <w:jc w:val="left"/>
              <w:rPr>
                <w:rFonts w:ascii="仿宋" w:hAnsi="仿宋" w:cs="宋体"/>
              </w:rPr>
            </w:pPr>
            <w:r>
              <w:rPr>
                <w:rFonts w:hint="eastAsia" w:ascii="仿宋" w:hAnsi="仿宋" w:cs="宋体"/>
              </w:rPr>
              <w:t xml:space="preserve">注：</w:t>
            </w:r>
            <w:r>
              <w:rPr>
                <w:rFonts w:ascii="仿宋" w:hAnsi="仿宋" w:cs="宋体"/>
              </w:rPr>
            </w:r>
            <w:r/>
          </w:p>
          <w:p>
            <w:pPr>
              <w:pStyle w:val="842"/>
              <w:jc w:val="left"/>
              <w:rPr>
                <w:rFonts w:ascii="仿宋" w:hAnsi="仿宋" w:cs="宋体"/>
              </w:rPr>
            </w:pPr>
            <w:r>
              <w:rPr>
                <w:rFonts w:hint="eastAsia" w:ascii="仿宋" w:hAnsi="仿宋" w:cs="宋体"/>
              </w:rPr>
              <w:t xml:space="preserve">（1）属于供应商自有的：需提供①计算机软件著作权登记证书复印件，证书著作权人名称须与投标供应商名称一致； </w:t>
            </w:r>
            <w:r>
              <w:rPr>
                <w:rFonts w:ascii="仿宋" w:hAnsi="仿宋" w:cs="宋体"/>
              </w:rPr>
            </w:r>
            <w:r/>
          </w:p>
          <w:p>
            <w:pPr>
              <w:pStyle w:val="842"/>
              <w:jc w:val="left"/>
              <w:rPr>
                <w:rFonts w:ascii="仿宋" w:hAnsi="仿宋" w:cs="宋体"/>
              </w:rPr>
            </w:pPr>
            <w:r>
              <w:rPr>
                <w:rFonts w:hint="eastAsia" w:ascii="仿宋" w:hAnsi="仿宋" w:cs="宋体"/>
              </w:rPr>
              <w:t xml:space="preserve">（2）属于供应商购买的，需提供①计算机软件著作权登记证书复印件；②购买合同复印件； </w:t>
            </w:r>
            <w:r>
              <w:rPr>
                <w:rFonts w:ascii="仿宋" w:hAnsi="仿宋" w:cs="宋体"/>
              </w:rPr>
            </w:r>
            <w:r/>
          </w:p>
          <w:p>
            <w:pPr>
              <w:pStyle w:val="842"/>
              <w:jc w:val="left"/>
              <w:rPr>
                <w:rFonts w:ascii="仿宋" w:hAnsi="仿宋" w:cs="宋体"/>
              </w:rPr>
            </w:pPr>
            <w:r>
              <w:rPr>
                <w:rFonts w:hint="eastAsia" w:ascii="仿宋" w:hAnsi="仿宋" w:cs="宋体"/>
              </w:rPr>
              <w:t xml:space="preserve">（3）属于供应商取得授权使用许可的，需提供①计算机软件著作权登记证书复印件；②授权许可使用合同复印件；</w:t>
            </w:r>
            <w:r>
              <w:rPr>
                <w:rFonts w:ascii="仿宋" w:hAnsi="仿宋" w:cs="宋体"/>
              </w:rPr>
            </w:r>
            <w:r/>
          </w:p>
          <w:p>
            <w:pPr>
              <w:pStyle w:val="842"/>
              <w:jc w:val="left"/>
              <w:rPr>
                <w:rFonts w:ascii="仿宋" w:hAnsi="仿宋" w:cs="宋体"/>
              </w:rPr>
            </w:pPr>
            <w:r>
              <w:rPr>
                <w:rFonts w:hint="eastAsia" w:ascii="仿宋" w:hAnsi="仿宋" w:cs="宋体"/>
              </w:rPr>
              <w:t xml:space="preserve">（4）提供以上相关证明材料复印件并加盖投标人公章，未按要求提供或提供不齐全不得分。</w:t>
            </w:r>
            <w:r>
              <w:rPr>
                <w:rFonts w:ascii="仿宋" w:hAnsi="仿宋" w:cs="宋体"/>
              </w:rPr>
            </w:r>
            <w:r/>
          </w:p>
          <w:p>
            <w:pPr>
              <w:pStyle w:val="842"/>
              <w:jc w:val="left"/>
              <w:rPr>
                <w:rFonts w:ascii="仿宋" w:hAnsi="仿宋" w:cs="宋体"/>
              </w:rPr>
            </w:pPr>
            <w:r>
              <w:rPr>
                <w:rFonts w:hint="eastAsia" w:ascii="仿宋" w:hAnsi="仿宋" w:cs="宋体"/>
              </w:rPr>
              <w:t xml:space="preserve">（5）多个计算机软件著作权登记证书包含内容重复的，只计算一次分值。</w:t>
            </w:r>
            <w:r>
              <w:rPr>
                <w:rFonts w:ascii="仿宋" w:hAnsi="仿宋" w:cs="宋体"/>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8分</w:t>
            </w:r>
            <w:r>
              <w:rPr>
                <w:rFonts w:ascii="仿宋" w:hAnsi="仿宋"/>
              </w:rPr>
            </w:r>
            <w:r/>
          </w:p>
        </w:tc>
      </w:tr>
      <w:tr>
        <w:trPr>
          <w:trHeight w:val="274"/>
        </w:trPr>
        <w:tc>
          <w:tcPr>
            <w:tcW w:w="923" w:type="dxa"/>
            <w:vAlign w:val="center"/>
            <w:textDirection w:val="lrTb"/>
            <w:noWrap/>
          </w:tcPr>
          <w:p>
            <w:pPr>
              <w:pStyle w:val="842"/>
              <w:jc w:val="center"/>
              <w:spacing w:line="240" w:lineRule="auto"/>
              <w:rPr>
                <w:rFonts w:ascii="仿宋" w:hAnsi="仿宋"/>
              </w:rPr>
            </w:pPr>
            <w:r>
              <w:rPr>
                <w:rFonts w:hint="eastAsia" w:ascii="仿宋" w:hAnsi="仿宋"/>
              </w:rPr>
              <w:t xml:space="preserve">3</w:t>
            </w:r>
            <w:r>
              <w:rPr>
                <w:rFonts w:ascii="仿宋" w:hAnsi="仿宋"/>
              </w:rPr>
            </w:r>
            <w:r/>
          </w:p>
        </w:tc>
        <w:tc>
          <w:tcPr>
            <w:tcW w:w="1384" w:type="dxa"/>
            <w:vAlign w:val="center"/>
            <w:textDirection w:val="lrTb"/>
            <w:noWrap/>
          </w:tcPr>
          <w:p>
            <w:pPr>
              <w:pStyle w:val="842"/>
              <w:jc w:val="center"/>
              <w:spacing w:line="240" w:lineRule="auto"/>
              <w:rPr>
                <w:rFonts w:ascii="仿宋" w:hAnsi="仿宋"/>
              </w:rPr>
            </w:pPr>
            <w:r>
              <w:rPr>
                <w:rFonts w:hint="eastAsia" w:ascii="仿宋" w:hAnsi="仿宋"/>
              </w:rPr>
              <w:t xml:space="preserve">拟派项目经理和现场服务人员能力</w:t>
            </w:r>
            <w:r>
              <w:rPr>
                <w:rFonts w:ascii="仿宋" w:hAnsi="仿宋"/>
              </w:rPr>
            </w:r>
            <w:r/>
          </w:p>
        </w:tc>
        <w:tc>
          <w:tcPr>
            <w:tcW w:w="5793" w:type="dxa"/>
            <w:vAlign w:val="center"/>
            <w:textDirection w:val="lrTb"/>
            <w:noWrap/>
          </w:tcPr>
          <w:p>
            <w:pPr>
              <w:pStyle w:val="842"/>
              <w:jc w:val="left"/>
              <w:rPr>
                <w:rFonts w:ascii="仿宋" w:hAnsi="仿宋"/>
              </w:rPr>
            </w:pPr>
            <w:r>
              <w:rPr>
                <w:rFonts w:hint="eastAsia" w:ascii="仿宋" w:hAnsi="仿宋"/>
              </w:rPr>
              <w:t xml:space="preserve">为满足项目实际需要，拟投入本项目的项目经理（仅限一人）资质要求如下：</w:t>
            </w:r>
            <w:r>
              <w:rPr>
                <w:rFonts w:ascii="仿宋" w:hAnsi="仿宋"/>
              </w:rPr>
            </w:r>
            <w:r/>
          </w:p>
          <w:p>
            <w:pPr>
              <w:pStyle w:val="842"/>
              <w:jc w:val="left"/>
              <w:rPr>
                <w:rFonts w:ascii="仿宋" w:hAnsi="仿宋"/>
              </w:rPr>
            </w:pPr>
            <w:r>
              <w:rPr>
                <w:rFonts w:hint="eastAsia" w:ascii="仿宋" w:hAnsi="仿宋"/>
              </w:rPr>
              <w:t xml:space="preserve">（1）具有项目管理专业人士资格认证证书，得1分；</w:t>
            </w:r>
            <w:r>
              <w:rPr>
                <w:rFonts w:ascii="仿宋" w:hAnsi="仿宋"/>
              </w:rPr>
            </w:r>
            <w:r/>
          </w:p>
          <w:p>
            <w:pPr>
              <w:pStyle w:val="842"/>
              <w:rPr>
                <w:rFonts w:ascii="仿宋" w:hAnsi="仿宋"/>
              </w:rPr>
            </w:pPr>
            <w:r>
              <w:rPr>
                <w:rFonts w:hint="eastAsia" w:ascii="仿宋" w:hAnsi="仿宋"/>
              </w:rPr>
              <w:t xml:space="preserve">（2）</w:t>
            </w:r>
            <w:r>
              <w:rPr>
                <w:rFonts w:ascii="仿宋" w:hAnsi="仿宋"/>
              </w:rPr>
              <w:t xml:space="preserve">具有高级档案管理师证书，得</w:t>
            </w:r>
            <w:r>
              <w:rPr>
                <w:rFonts w:hint="eastAsia" w:ascii="仿宋" w:hAnsi="仿宋"/>
              </w:rPr>
              <w:t xml:space="preserve">2</w:t>
            </w:r>
            <w:r>
              <w:rPr>
                <w:rFonts w:ascii="仿宋" w:hAnsi="仿宋"/>
              </w:rPr>
              <w:t xml:space="preserve">分，具有</w:t>
            </w:r>
            <w:r>
              <w:rPr>
                <w:rFonts w:hint="eastAsia" w:ascii="仿宋" w:hAnsi="仿宋"/>
              </w:rPr>
              <w:t xml:space="preserve">中</w:t>
            </w:r>
            <w:r>
              <w:rPr>
                <w:rFonts w:ascii="仿宋" w:hAnsi="仿宋"/>
              </w:rPr>
              <w:t xml:space="preserve">级档案管理师证书，得</w:t>
            </w:r>
            <w:r>
              <w:rPr>
                <w:rFonts w:hint="eastAsia" w:ascii="仿宋" w:hAnsi="仿宋"/>
              </w:rPr>
              <w:t xml:space="preserve">1</w:t>
            </w:r>
            <w:r>
              <w:rPr>
                <w:rFonts w:ascii="仿宋" w:hAnsi="仿宋"/>
              </w:rPr>
              <w:t xml:space="preserve">分</w:t>
            </w:r>
            <w:r>
              <w:rPr>
                <w:rFonts w:hint="eastAsia" w:ascii="仿宋" w:hAnsi="仿宋"/>
              </w:rPr>
              <w:t xml:space="preserve">，最高2分；</w:t>
            </w:r>
            <w:r>
              <w:rPr>
                <w:rFonts w:ascii="仿宋" w:hAnsi="仿宋"/>
              </w:rPr>
            </w:r>
            <w:r/>
          </w:p>
          <w:p>
            <w:pPr>
              <w:pStyle w:val="842"/>
              <w:jc w:val="left"/>
              <w:rPr>
                <w:rFonts w:ascii="仿宋" w:hAnsi="仿宋"/>
              </w:rPr>
            </w:pPr>
            <w:r>
              <w:rPr>
                <w:rFonts w:hint="eastAsia" w:ascii="仿宋" w:hAnsi="仿宋"/>
              </w:rPr>
              <w:t xml:space="preserve">（3）</w:t>
            </w:r>
            <w:r>
              <w:rPr>
                <w:rFonts w:ascii="仿宋" w:hAnsi="仿宋"/>
              </w:rPr>
              <w:t xml:space="preserve">具有国家信息安全水平</w:t>
            </w:r>
            <w:r>
              <w:rPr>
                <w:rFonts w:hint="eastAsia" w:ascii="仿宋" w:hAnsi="仿宋"/>
              </w:rPr>
              <w:t xml:space="preserve">认证证书，得1分；</w:t>
            </w:r>
            <w:r>
              <w:rPr>
                <w:rFonts w:ascii="仿宋" w:hAnsi="仿宋"/>
              </w:rPr>
            </w:r>
            <w:r/>
          </w:p>
          <w:p>
            <w:pPr>
              <w:pStyle w:val="842"/>
              <w:jc w:val="left"/>
              <w:rPr>
                <w:rFonts w:ascii="仿宋" w:hAnsi="仿宋"/>
              </w:rPr>
            </w:pPr>
            <w:r>
              <w:rPr>
                <w:rFonts w:hint="eastAsia" w:ascii="仿宋" w:hAnsi="仿宋"/>
              </w:rPr>
              <w:t xml:space="preserve">备注：本项最高得4分，</w:t>
            </w:r>
            <w:r>
              <w:rPr>
                <w:rFonts w:ascii="仿宋" w:hAnsi="仿宋"/>
              </w:rPr>
              <w:t xml:space="preserve">提供不全或未提供不得分。</w:t>
            </w:r>
            <w:r>
              <w:rPr>
                <w:rFonts w:hint="eastAsia" w:ascii="仿宋" w:hAnsi="仿宋"/>
              </w:rPr>
              <w:t xml:space="preserve">项目经理需提供相关证件证明材料复印件，并提供投标单位为其缴纳的2026年任意一个月社保缴纳证明，不提供者不得分。</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4分</w:t>
            </w:r>
            <w:r>
              <w:rPr>
                <w:rFonts w:ascii="仿宋" w:hAnsi="仿宋"/>
              </w:rPr>
            </w:r>
            <w:r/>
          </w:p>
        </w:tc>
      </w:tr>
      <w:tr>
        <w:trPr>
          <w:trHeight w:val="27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仿宋" w:hAnsi="仿宋"/>
              </w:rPr>
              <w:t xml:space="preserve">拟派督导人员</w:t>
            </w:r>
            <w:r>
              <w:rPr>
                <w:rFonts w:ascii="宋体" w:hAnsi="宋体" w:cs="宋体"/>
                <w:szCs w:val="21"/>
              </w:rPr>
            </w:r>
            <w:r/>
          </w:p>
        </w:tc>
        <w:tc>
          <w:tcPr>
            <w:tcW w:w="5793" w:type="dxa"/>
            <w:vAlign w:val="center"/>
            <w:textDirection w:val="lrTb"/>
            <w:noWrap/>
          </w:tcPr>
          <w:p>
            <w:pPr>
              <w:pStyle w:val="842"/>
              <w:jc w:val="left"/>
              <w:rPr>
                <w:rFonts w:ascii="仿宋" w:hAnsi="仿宋"/>
              </w:rPr>
            </w:pPr>
            <w:r>
              <w:rPr>
                <w:rFonts w:hint="eastAsia" w:ascii="仿宋" w:hAnsi="仿宋"/>
              </w:rPr>
              <w:t xml:space="preserve">为满足项目实际需要，拟投入本项目的项目</w:t>
            </w:r>
            <w:bookmarkStart w:id="43" w:name="OLE_LINK2"/>
            <w:r>
              <w:rPr>
                <w:rFonts w:hint="eastAsia" w:ascii="仿宋" w:hAnsi="仿宋"/>
              </w:rPr>
              <w:t xml:space="preserve">督导人员</w:t>
            </w:r>
            <w:bookmarkEnd w:id="43"/>
            <w:r>
              <w:rPr>
                <w:rFonts w:hint="eastAsia" w:ascii="仿宋" w:hAnsi="仿宋"/>
              </w:rPr>
              <w:t xml:space="preserve">（仅限一人）资质要求如下：</w:t>
            </w:r>
            <w:r>
              <w:rPr>
                <w:rFonts w:ascii="仿宋" w:hAnsi="仿宋"/>
              </w:rPr>
            </w:r>
            <w:r/>
          </w:p>
          <w:p>
            <w:pPr>
              <w:pStyle w:val="842"/>
              <w:jc w:val="left"/>
              <w:rPr>
                <w:rFonts w:ascii="仿宋" w:hAnsi="仿宋"/>
              </w:rPr>
            </w:pPr>
            <w:r>
              <w:rPr>
                <w:rFonts w:hint="eastAsia" w:ascii="仿宋" w:hAnsi="仿宋"/>
              </w:rPr>
              <w:t xml:space="preserve">（1）具有法学、计算机或人力资源专业背景，取得本科及以上学历得1分，未提供不得分；</w:t>
            </w:r>
            <w:r>
              <w:rPr>
                <w:rFonts w:ascii="仿宋" w:hAnsi="仿宋"/>
              </w:rPr>
            </w:r>
            <w:r/>
          </w:p>
          <w:p>
            <w:pPr>
              <w:pStyle w:val="842"/>
              <w:jc w:val="left"/>
              <w:rPr>
                <w:rFonts w:ascii="仿宋" w:hAnsi="仿宋"/>
              </w:rPr>
            </w:pPr>
            <w:r>
              <w:rPr>
                <w:rFonts w:hint="eastAsia" w:ascii="仿宋" w:hAnsi="仿宋"/>
              </w:rPr>
              <w:t xml:space="preserve">（2）具有法律职业资格证书（A）证</w:t>
            </w:r>
            <w:r>
              <w:rPr>
                <w:rFonts w:ascii="仿宋" w:hAnsi="仿宋"/>
              </w:rPr>
              <w:t xml:space="preserve">的，得</w:t>
            </w:r>
            <w:r>
              <w:rPr>
                <w:rFonts w:hint="eastAsia" w:ascii="仿宋" w:hAnsi="仿宋"/>
              </w:rPr>
              <w:t xml:space="preserve">2</w:t>
            </w:r>
            <w:r>
              <w:rPr>
                <w:rFonts w:ascii="仿宋" w:hAnsi="仿宋"/>
              </w:rPr>
              <w:t xml:space="preserve">分，</w:t>
            </w:r>
            <w:r>
              <w:rPr>
                <w:rFonts w:hint="eastAsia" w:ascii="仿宋" w:hAnsi="仿宋"/>
              </w:rPr>
              <w:t xml:space="preserve">具有法律职业资格证书（B）证</w:t>
            </w:r>
            <w:r>
              <w:rPr>
                <w:rFonts w:ascii="仿宋" w:hAnsi="仿宋"/>
              </w:rPr>
              <w:t xml:space="preserve">的，得</w:t>
            </w:r>
            <w:r>
              <w:rPr>
                <w:rFonts w:hint="eastAsia" w:ascii="仿宋" w:hAnsi="仿宋"/>
              </w:rPr>
              <w:t xml:space="preserve">1</w:t>
            </w:r>
            <w:r>
              <w:rPr>
                <w:rFonts w:ascii="仿宋" w:hAnsi="仿宋"/>
              </w:rPr>
              <w:t xml:space="preserve">分</w:t>
            </w:r>
            <w:r>
              <w:rPr>
                <w:rFonts w:hint="eastAsia" w:ascii="仿宋" w:hAnsi="仿宋"/>
              </w:rPr>
              <w:t xml:space="preserve">，最高2分</w:t>
            </w:r>
            <w:r>
              <w:rPr>
                <w:rFonts w:ascii="仿宋" w:hAnsi="仿宋"/>
              </w:rPr>
              <w:t xml:space="preserve">。</w:t>
            </w:r>
            <w:r>
              <w:rPr>
                <w:rFonts w:hint="eastAsia" w:ascii="仿宋" w:hAnsi="仿宋"/>
              </w:rPr>
              <w:t xml:space="preserve">（提供通过证书编号在司法部政务服务平台</w:t>
            </w:r>
            <w:r>
              <w:fldChar w:fldCharType="begin"/>
            </w:r>
            <w:r>
              <w:instrText xml:space="preserve">HYPERLINK "http://www.moj.gov.cn/"</w:instrText>
            </w:r>
            <w:r>
              <w:fldChar w:fldCharType="separate"/>
            </w:r>
            <w:r>
              <w:rPr>
                <w:rFonts w:ascii="仿宋" w:hAnsi="仿宋"/>
              </w:rPr>
              <w:t xml:space="preserve">http://www.moj.gov.cn/</w:t>
            </w:r>
            <w:r>
              <w:fldChar w:fldCharType="end"/>
            </w:r>
            <w:r>
              <w:rPr>
                <w:rFonts w:hint="eastAsia" w:ascii="仿宋" w:hAnsi="仿宋"/>
              </w:rPr>
              <w:t xml:space="preserve"> 法律职业资格信息查询的截图）。</w:t>
            </w:r>
            <w:r>
              <w:rPr>
                <w:rFonts w:ascii="仿宋" w:hAnsi="仿宋"/>
              </w:rPr>
            </w:r>
            <w:r/>
          </w:p>
          <w:p>
            <w:pPr>
              <w:pStyle w:val="842"/>
              <w:jc w:val="left"/>
              <w:rPr>
                <w:rFonts w:ascii="仿宋" w:hAnsi="仿宋"/>
              </w:rPr>
            </w:pPr>
            <w:r>
              <w:rPr>
                <w:rFonts w:hint="eastAsia" w:ascii="仿宋" w:hAnsi="仿宋"/>
              </w:rPr>
              <w:t xml:space="preserve">（3）具有全国信息化工程师岗位技能证书的，得1分；</w:t>
            </w:r>
            <w:r>
              <w:rPr>
                <w:rFonts w:ascii="仿宋" w:hAnsi="仿宋"/>
              </w:rPr>
            </w:r>
            <w:r/>
          </w:p>
          <w:p>
            <w:pPr>
              <w:pStyle w:val="842"/>
              <w:jc w:val="left"/>
              <w:rPr>
                <w:rFonts w:ascii="仿宋" w:hAnsi="仿宋"/>
              </w:rPr>
            </w:pPr>
            <w:r>
              <w:rPr>
                <w:rFonts w:hint="eastAsia" w:ascii="仿宋" w:hAnsi="仿宋"/>
              </w:rPr>
              <w:t xml:space="preserve">注：项目督导需提供相关证件证明材料复印件，并提供投标单位为其缴纳的2026年任意一个月社保缴纳证明，不提供者不得分。</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4分</w:t>
            </w:r>
            <w:r>
              <w:rPr>
                <w:rFonts w:ascii="仿宋" w:hAnsi="仿宋"/>
              </w:rPr>
            </w:r>
            <w:r/>
          </w:p>
        </w:tc>
      </w:tr>
      <w:tr>
        <w:trPr>
          <w:trHeight w:val="274"/>
        </w:trPr>
        <w:tc>
          <w:tcPr>
            <w:tcW w:w="923"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其他服务人员（不含项目经理及督导人员）</w:t>
            </w:r>
            <w:r>
              <w:rPr>
                <w:rFonts w:ascii="宋体" w:hAnsi="宋体" w:cs="宋体"/>
                <w:szCs w:val="21"/>
              </w:rPr>
            </w:r>
            <w:r/>
          </w:p>
        </w:tc>
        <w:tc>
          <w:tcPr>
            <w:tcW w:w="5793" w:type="dxa"/>
            <w:vAlign w:val="center"/>
            <w:textDirection w:val="lrTb"/>
            <w:noWrap/>
          </w:tcPr>
          <w:p>
            <w:pPr>
              <w:pStyle w:val="842"/>
              <w:jc w:val="left"/>
              <w:rPr>
                <w:rFonts w:ascii="仿宋" w:hAnsi="仿宋"/>
              </w:rPr>
            </w:pPr>
            <w:r>
              <w:rPr>
                <w:rFonts w:hint="eastAsia" w:ascii="仿宋" w:hAnsi="仿宋"/>
              </w:rPr>
              <w:t xml:space="preserve">为满足项目实际需要，拟投入本项目的项目服务人员资质要求如下：</w:t>
            </w:r>
            <w:r>
              <w:rPr>
                <w:rFonts w:ascii="仿宋" w:hAnsi="仿宋"/>
              </w:rPr>
            </w:r>
            <w:r/>
          </w:p>
          <w:p>
            <w:pPr>
              <w:pStyle w:val="842"/>
              <w:jc w:val="left"/>
              <w:rPr>
                <w:rFonts w:ascii="仿宋" w:hAnsi="仿宋"/>
              </w:rPr>
            </w:pPr>
            <w:r>
              <w:rPr>
                <w:rFonts w:hint="eastAsia" w:ascii="仿宋" w:hAnsi="仿宋"/>
              </w:rPr>
              <w:t xml:space="preserve">供应商拟投入本项目的现场服务人员需同时具有市级及以上档案管理部门颁发的档案人员上岗培训证书和国家保密机关颁发的保密教育培训证书，每提供一名同时具备两张证书的人员得1</w:t>
            </w:r>
            <w:r>
              <w:rPr>
                <w:rFonts w:ascii="仿宋" w:hAnsi="仿宋"/>
              </w:rPr>
              <w:t xml:space="preserve">分，最高</w:t>
            </w:r>
            <w:r>
              <w:rPr>
                <w:rFonts w:hint="eastAsia" w:ascii="仿宋" w:hAnsi="仿宋"/>
              </w:rPr>
              <w:t xml:space="preserve">4</w:t>
            </w:r>
            <w:r>
              <w:rPr>
                <w:rFonts w:ascii="仿宋" w:hAnsi="仿宋"/>
              </w:rPr>
              <w:t xml:space="preserve">分</w:t>
            </w:r>
            <w:r>
              <w:rPr>
                <w:rFonts w:hint="eastAsia" w:ascii="仿宋" w:hAnsi="仿宋"/>
              </w:rPr>
              <w:t xml:space="preserve">。</w:t>
            </w:r>
            <w:r>
              <w:rPr>
                <w:rFonts w:ascii="仿宋" w:hAnsi="仿宋"/>
              </w:rPr>
            </w:r>
            <w:r/>
          </w:p>
          <w:p>
            <w:pPr>
              <w:pStyle w:val="842"/>
              <w:jc w:val="left"/>
              <w:rPr>
                <w:rFonts w:ascii="仿宋" w:hAnsi="仿宋"/>
              </w:rPr>
            </w:pPr>
            <w:r>
              <w:rPr>
                <w:rFonts w:hint="eastAsia" w:ascii="仿宋" w:hAnsi="仿宋"/>
              </w:rPr>
              <w:t xml:space="preserve">备注：投标文件中提供相关证件证明材料复印件，并提供投标单位为其缴纳的2026年任意一个月社保缴纳证明，不提供或提供不全者不得分。</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4分</w:t>
            </w:r>
            <w:r>
              <w:rPr>
                <w:rFonts w:ascii="仿宋" w:hAnsi="仿宋"/>
              </w:rPr>
            </w:r>
            <w:r/>
          </w:p>
        </w:tc>
      </w:tr>
      <w:tr>
        <w:trPr>
          <w:cantSplit/>
          <w:trHeight w:val="274"/>
        </w:trPr>
        <w:tc>
          <w:tcPr>
            <w:tcW w:w="923" w:type="dxa"/>
            <w:vAlign w:val="center"/>
            <w:vMerge w:val="restart"/>
            <w:textDirection w:val="lrTb"/>
            <w:noWrap/>
          </w:tcPr>
          <w:p>
            <w:pPr>
              <w:pStyle w:val="842"/>
              <w:jc w:val="center"/>
              <w:spacing w:line="240" w:lineRule="auto"/>
              <w:rPr>
                <w:rFonts w:ascii="仿宋" w:hAnsi="仿宋"/>
              </w:rPr>
            </w:pPr>
            <w:r>
              <w:rPr>
                <w:rFonts w:hint="eastAsia" w:ascii="仿宋" w:hAnsi="仿宋"/>
              </w:rPr>
              <w:t xml:space="preserve">6</w:t>
            </w:r>
            <w:r>
              <w:rPr>
                <w:rFonts w:ascii="仿宋" w:hAnsi="仿宋"/>
              </w:rPr>
            </w:r>
            <w:r/>
          </w:p>
        </w:tc>
        <w:tc>
          <w:tcPr>
            <w:tcW w:w="1384" w:type="dxa"/>
            <w:vAlign w:val="center"/>
            <w:vMerge w:val="restart"/>
            <w:textDirection w:val="lrTb"/>
            <w:noWrap/>
          </w:tcPr>
          <w:p>
            <w:pPr>
              <w:pStyle w:val="842"/>
              <w:jc w:val="center"/>
              <w:spacing w:line="240" w:lineRule="auto"/>
              <w:rPr>
                <w:rFonts w:ascii="仿宋" w:hAnsi="仿宋"/>
              </w:rPr>
            </w:pPr>
            <w:r>
              <w:rPr>
                <w:rFonts w:hint="eastAsia" w:ascii="仿宋" w:hAnsi="仿宋"/>
              </w:rPr>
              <w:t xml:space="preserve">管理体系证书（</w:t>
            </w:r>
            <w:r>
              <w:rPr>
                <w:rFonts w:hint="eastAsia"/>
              </w:rPr>
              <w:t xml:space="preserve">注</w:t>
            </w:r>
            <w:r>
              <w:rPr>
                <w:rFonts w:hint="eastAsia" w:ascii="仿宋" w:hAnsi="仿宋"/>
              </w:rPr>
              <w:t xml:space="preserve">：投标文件中</w:t>
            </w:r>
            <w:r>
              <w:rPr>
                <w:rFonts w:ascii="仿宋" w:hAnsi="仿宋"/>
              </w:rPr>
              <w:t xml:space="preserve">提供认证证书复印件加盖投标人公章，不提供或提供的认证证书不符合本评分项要求的不得分。</w:t>
            </w:r>
            <w:r>
              <w:rPr>
                <w:rFonts w:hint="eastAsia" w:ascii="仿宋" w:hAnsi="仿宋"/>
              </w:rPr>
              <w:t xml:space="preserve">）</w:t>
            </w:r>
            <w:r>
              <w:rPr>
                <w:rFonts w:ascii="仿宋" w:hAnsi="仿宋"/>
              </w:rPr>
            </w:r>
            <w:r/>
          </w:p>
        </w:tc>
        <w:tc>
          <w:tcPr>
            <w:tcW w:w="5793" w:type="dxa"/>
            <w:vAlign w:val="center"/>
            <w:textDirection w:val="lrTb"/>
            <w:noWrap/>
          </w:tcPr>
          <w:p>
            <w:pPr>
              <w:pStyle w:val="842"/>
              <w:jc w:val="left"/>
              <w:rPr>
                <w:rFonts w:ascii="仿宋" w:hAnsi="仿宋"/>
              </w:rPr>
            </w:pPr>
            <w:r>
              <w:rPr>
                <w:rFonts w:ascii="仿宋" w:hAnsi="仿宋"/>
              </w:rPr>
              <w:t xml:space="preserve">投标人具有信息安全管理体系认证证书</w:t>
            </w:r>
            <w:r>
              <w:rPr>
                <w:rFonts w:hint="eastAsia" w:ascii="仿宋" w:hAnsi="仿宋"/>
              </w:rPr>
              <w:t xml:space="preserve">且体系覆盖范围含“档案数字化”或“无纸化”外包服务的，得2分，只提供证书但体系覆盖范围不符的每个证书得1分，未提供不得分。</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2分</w:t>
            </w:r>
            <w:r>
              <w:rPr>
                <w:rFonts w:ascii="仿宋" w:hAnsi="仿宋"/>
              </w:rPr>
            </w:r>
            <w:r/>
          </w:p>
        </w:tc>
      </w:tr>
      <w:tr>
        <w:trPr>
          <w:cantSplit/>
          <w:trHeight w:val="274"/>
        </w:trPr>
        <w:tc>
          <w:tcPr>
            <w:tcW w:w="923" w:type="dxa"/>
            <w:vAlign w:val="center"/>
            <w:vMerge w:val="continue"/>
            <w:textDirection w:val="lrTb"/>
            <w:noWrap/>
          </w:tcPr>
          <w:p>
            <w:pPr>
              <w:pStyle w:val="842"/>
              <w:jc w:val="center"/>
              <w:spacing w:line="240" w:lineRule="auto"/>
              <w:rPr>
                <w:rFonts w:ascii="仿宋" w:hAnsi="仿宋"/>
              </w:rPr>
            </w:pPr>
            <w:r>
              <w:rPr>
                <w:rFonts w:ascii="仿宋" w:hAnsi="仿宋"/>
              </w:rPr>
            </w:r>
            <w:r/>
          </w:p>
        </w:tc>
        <w:tc>
          <w:tcPr>
            <w:tcW w:w="1384" w:type="dxa"/>
            <w:vAlign w:val="center"/>
            <w:vMerge w:val="continue"/>
            <w:textDirection w:val="lrTb"/>
            <w:noWrap/>
          </w:tcPr>
          <w:p>
            <w:pPr>
              <w:pStyle w:val="842"/>
              <w:jc w:val="center"/>
              <w:spacing w:line="240" w:lineRule="auto"/>
              <w:rPr>
                <w:rFonts w:ascii="仿宋" w:hAnsi="仿宋"/>
              </w:rPr>
            </w:pPr>
            <w:r>
              <w:rPr>
                <w:rFonts w:ascii="仿宋" w:hAnsi="仿宋"/>
              </w:rPr>
            </w:r>
            <w:r/>
          </w:p>
        </w:tc>
        <w:tc>
          <w:tcPr>
            <w:tcW w:w="5793" w:type="dxa"/>
            <w:vAlign w:val="center"/>
            <w:textDirection w:val="lrTb"/>
            <w:noWrap/>
          </w:tcPr>
          <w:p>
            <w:pPr>
              <w:pStyle w:val="842"/>
              <w:jc w:val="left"/>
            </w:pPr>
            <w:r>
              <w:rPr>
                <w:rFonts w:ascii="仿宋" w:hAnsi="仿宋"/>
              </w:rPr>
              <w:t xml:space="preserve">投标人具有</w:t>
            </w:r>
            <w:r>
              <w:rPr>
                <w:rFonts w:hint="eastAsia" w:ascii="仿宋" w:hAnsi="仿宋"/>
              </w:rPr>
              <w:t xml:space="preserve">信息技术服务管理体系认证证书且体系覆盖范围含“档案数字化”或“无纸化”外包服务的，得2分，只提供认证证书但体系覆盖范围不符的每个证书得1分，未提供不得分。</w:t>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2"/>
              <w:jc w:val="center"/>
              <w:spacing w:line="240" w:lineRule="auto"/>
              <w:rPr>
                <w:rFonts w:ascii="仿宋" w:hAnsi="仿宋"/>
              </w:rPr>
            </w:pPr>
            <w:r>
              <w:rPr>
                <w:rFonts w:hint="eastAsia" w:ascii="仿宋" w:hAnsi="仿宋"/>
              </w:rPr>
              <w:t xml:space="preserve">7</w:t>
            </w:r>
            <w:r>
              <w:rPr>
                <w:rFonts w:ascii="仿宋" w:hAnsi="仿宋"/>
              </w:rPr>
            </w:r>
            <w:r/>
          </w:p>
        </w:tc>
        <w:tc>
          <w:tcPr>
            <w:tcW w:w="1384" w:type="dxa"/>
            <w:vAlign w:val="center"/>
            <w:textDirection w:val="lrTb"/>
            <w:noWrap/>
          </w:tcPr>
          <w:p>
            <w:pPr>
              <w:pStyle w:val="842"/>
              <w:jc w:val="center"/>
              <w:spacing w:line="240" w:lineRule="auto"/>
              <w:rPr>
                <w:rFonts w:ascii="仿宋" w:hAnsi="仿宋"/>
              </w:rPr>
            </w:pPr>
            <w:r>
              <w:rPr>
                <w:rFonts w:ascii="仿宋" w:hAnsi="仿宋"/>
              </w:rPr>
              <w:t xml:space="preserve">用户履约评价 </w:t>
            </w:r>
            <w:r/>
          </w:p>
        </w:tc>
        <w:tc>
          <w:tcPr>
            <w:tcW w:w="5793" w:type="dxa"/>
            <w:vAlign w:val="top"/>
            <w:textDirection w:val="lrTb"/>
            <w:noWrap/>
          </w:tcPr>
          <w:p>
            <w:pPr>
              <w:pStyle w:val="842"/>
              <w:jc w:val="left"/>
            </w:pPr>
            <w:r/>
            <w:bookmarkStart w:id="44" w:name="OLE_LINK7"/>
            <w:r>
              <w:t xml:space="preserve">投标人</w:t>
            </w:r>
            <w:r>
              <w:rPr>
                <w:color w:val="ff0000"/>
              </w:rPr>
              <w:t xml:space="preserve">202</w:t>
            </w:r>
            <w:r>
              <w:rPr>
                <w:rFonts w:hint="eastAsia"/>
                <w:color w:val="ff0000"/>
              </w:rPr>
              <w:t xml:space="preserve">3</w:t>
            </w:r>
            <w:r>
              <w:rPr>
                <w:color w:val="ff0000"/>
              </w:rPr>
              <w:t xml:space="preserve">年1月1日</w:t>
            </w:r>
            <w:r>
              <w:t xml:space="preserve">至今承接过的</w:t>
            </w:r>
            <w:r>
              <w:rPr>
                <w:rFonts w:hint="eastAsia"/>
              </w:rPr>
              <w:t xml:space="preserve">类似服务项目</w:t>
            </w:r>
            <w:r>
              <w:t xml:space="preserve">用户单位出具的履约正面评价（优秀、优良、良好、满意或相当于类似评价）：每提供一项得</w:t>
            </w:r>
            <w:r>
              <w:rPr>
                <w:rFonts w:hint="eastAsia"/>
              </w:rPr>
              <w:t xml:space="preserve">0.5</w:t>
            </w:r>
            <w:r>
              <w:t xml:space="preserve">分，最高</w:t>
            </w:r>
            <w:r>
              <w:rPr>
                <w:rFonts w:hint="eastAsia"/>
              </w:rPr>
              <w:t xml:space="preserve">2</w:t>
            </w:r>
            <w:r>
              <w:t xml:space="preserve">分；无或其他不得分，同一项目不同年份的评价按一份计算，不重复计算分数。</w:t>
            </w:r>
            <w:r/>
          </w:p>
          <w:p>
            <w:pPr>
              <w:pStyle w:val="842"/>
              <w:jc w:val="left"/>
            </w:pPr>
            <w:r/>
            <w:bookmarkStart w:id="45" w:name="OLE_LINK8"/>
            <w:r>
              <w:rPr>
                <w:rFonts w:hint="eastAsia"/>
              </w:rPr>
              <w:t xml:space="preserve">注</w:t>
            </w:r>
            <w:bookmarkEnd w:id="45"/>
            <w:r>
              <w:rPr>
                <w:rFonts w:hint="eastAsia"/>
              </w:rPr>
              <w:t xml:space="preserve">：投标文件中</w:t>
            </w:r>
            <w:r>
              <w:t xml:space="preserve">提供</w:t>
            </w:r>
            <w:r>
              <w:rPr>
                <w:rFonts w:hint="eastAsia"/>
              </w:rPr>
              <w:t xml:space="preserve">带有用户单位盖章的满意度调查表或表扬信的复印件并</w:t>
            </w:r>
            <w:r>
              <w:t xml:space="preserve">加盖投标人公章，不提供或提供的</w:t>
            </w:r>
            <w:r>
              <w:rPr>
                <w:rFonts w:hint="eastAsia"/>
              </w:rPr>
              <w:t xml:space="preserve">评价表</w:t>
            </w:r>
            <w:r>
              <w:t xml:space="preserve">不符合本评分项要求的不得分。</w:t>
            </w:r>
            <w:bookmarkEnd w:id="44"/>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2分</w:t>
            </w:r>
            <w:r>
              <w:rPr>
                <w:rFonts w:ascii="仿宋" w:hAnsi="仿宋"/>
              </w:rPr>
            </w:r>
            <w:r/>
          </w:p>
        </w:tc>
      </w:tr>
      <w:tr>
        <w:trPr>
          <w:trHeight w:val="274"/>
        </w:trPr>
        <w:tc>
          <w:tcPr>
            <w:tcW w:w="923" w:type="dxa"/>
            <w:vAlign w:val="center"/>
            <w:textDirection w:val="lrTb"/>
            <w:noWrap/>
          </w:tcPr>
          <w:p>
            <w:pPr>
              <w:pStyle w:val="842"/>
              <w:jc w:val="center"/>
              <w:spacing w:line="240" w:lineRule="auto"/>
              <w:rPr>
                <w:rFonts w:ascii="仿宋" w:hAnsi="仿宋"/>
              </w:rPr>
            </w:pPr>
            <w:r>
              <w:rPr>
                <w:rFonts w:hint="eastAsia" w:ascii="仿宋" w:hAnsi="仿宋"/>
              </w:rPr>
              <w:t xml:space="preserve">8</w:t>
            </w:r>
            <w:r>
              <w:rPr>
                <w:rFonts w:ascii="仿宋" w:hAnsi="仿宋"/>
              </w:rPr>
            </w:r>
            <w:r/>
          </w:p>
        </w:tc>
        <w:tc>
          <w:tcPr>
            <w:tcW w:w="1384" w:type="dxa"/>
            <w:vAlign w:val="center"/>
            <w:textDirection w:val="lrTb"/>
            <w:noWrap/>
          </w:tcPr>
          <w:p>
            <w:pPr>
              <w:pStyle w:val="842"/>
              <w:jc w:val="center"/>
              <w:spacing w:line="240" w:lineRule="auto"/>
              <w:rPr>
                <w:rFonts w:ascii="仿宋" w:hAnsi="仿宋"/>
              </w:rPr>
            </w:pPr>
            <w:r>
              <w:rPr>
                <w:rFonts w:hint="eastAsia" w:ascii="仿宋" w:hAnsi="仿宋"/>
              </w:rPr>
              <w:t xml:space="preserve">保密资质</w:t>
            </w:r>
            <w:r>
              <w:rPr>
                <w:rFonts w:ascii="仿宋" w:hAnsi="仿宋"/>
              </w:rPr>
            </w:r>
            <w:r/>
          </w:p>
        </w:tc>
        <w:tc>
          <w:tcPr>
            <w:tcW w:w="5793" w:type="dxa"/>
            <w:vAlign w:val="center"/>
            <w:textDirection w:val="lrTb"/>
            <w:noWrap/>
          </w:tcPr>
          <w:p>
            <w:pPr>
              <w:pStyle w:val="842"/>
              <w:jc w:val="left"/>
              <w:rPr>
                <w:rFonts w:ascii="仿宋" w:hAnsi="仿宋"/>
              </w:rPr>
            </w:pPr>
            <w:r>
              <w:rPr>
                <w:rFonts w:ascii="仿宋" w:hAnsi="仿宋"/>
              </w:rPr>
              <w:t xml:space="preserve">供应商取得</w:t>
            </w:r>
            <w:r>
              <w:rPr>
                <w:rFonts w:hint="eastAsia" w:ascii="仿宋" w:hAnsi="仿宋"/>
              </w:rPr>
              <w:t xml:space="preserve">档案涉密类企业安全等级资质证书（甲级）</w:t>
            </w:r>
            <w:r>
              <w:rPr>
                <w:rFonts w:ascii="仿宋" w:hAnsi="仿宋"/>
              </w:rPr>
              <w:t xml:space="preserve">的得</w:t>
            </w:r>
            <w:r>
              <w:rPr>
                <w:rFonts w:hint="eastAsia" w:ascii="仿宋" w:hAnsi="仿宋"/>
              </w:rPr>
              <w:t xml:space="preserve">2</w:t>
            </w:r>
            <w:r>
              <w:rPr>
                <w:rFonts w:ascii="仿宋" w:hAnsi="仿宋"/>
              </w:rPr>
              <w:t xml:space="preserve">分，取得</w:t>
            </w:r>
            <w:r>
              <w:rPr>
                <w:rFonts w:hint="eastAsia" w:ascii="仿宋" w:hAnsi="仿宋"/>
              </w:rPr>
              <w:t xml:space="preserve">档案涉密类企业安全等级资质证书</w:t>
            </w:r>
            <w:r>
              <w:rPr>
                <w:rFonts w:ascii="仿宋" w:hAnsi="仿宋"/>
              </w:rPr>
              <w:t xml:space="preserve">（乙级）的得</w:t>
            </w:r>
            <w:r>
              <w:rPr>
                <w:rFonts w:hint="eastAsia" w:ascii="仿宋" w:hAnsi="仿宋"/>
              </w:rPr>
              <w:t xml:space="preserve">1分，最高2分，</w:t>
            </w:r>
            <w:r>
              <w:rPr>
                <w:rFonts w:ascii="仿宋" w:hAnsi="仿宋"/>
              </w:rPr>
              <w:t xml:space="preserve">不提供者不得分。</w:t>
            </w:r>
            <w:r/>
          </w:p>
          <w:p>
            <w:pPr>
              <w:pStyle w:val="842"/>
              <w:jc w:val="left"/>
              <w:rPr>
                <w:rFonts w:ascii="仿宋" w:hAnsi="仿宋"/>
              </w:rPr>
            </w:pPr>
            <w:r>
              <w:rPr>
                <w:rFonts w:hint="eastAsia"/>
              </w:rPr>
              <w:t xml:space="preserve">注</w:t>
            </w:r>
            <w:r>
              <w:rPr>
                <w:rFonts w:hint="eastAsia" w:ascii="仿宋" w:hAnsi="仿宋" w:cs="宋体"/>
              </w:rPr>
              <w:t xml:space="preserve">：投标文件中提供相关证书复印件并加盖公章。</w:t>
            </w:r>
            <w:r>
              <w:rPr>
                <w:rFonts w:ascii="仿宋" w:hAnsi="仿宋"/>
              </w:rPr>
            </w:r>
            <w:r/>
          </w:p>
        </w:tc>
        <w:tc>
          <w:tcPr>
            <w:tcW w:w="1080" w:type="dxa"/>
            <w:vAlign w:val="center"/>
            <w:textDirection w:val="lrTb"/>
            <w:noWrap/>
          </w:tcPr>
          <w:p>
            <w:pPr>
              <w:pStyle w:val="842"/>
              <w:jc w:val="center"/>
              <w:spacing w:line="240" w:lineRule="auto"/>
              <w:rPr>
                <w:rFonts w:ascii="仿宋" w:hAnsi="仿宋"/>
              </w:rPr>
            </w:pPr>
            <w:r>
              <w:rPr>
                <w:rFonts w:hint="eastAsia" w:ascii="仿宋" w:hAnsi="仿宋"/>
              </w:rPr>
              <w:t xml:space="preserve">2分</w:t>
            </w:r>
            <w:r>
              <w:rPr>
                <w:rFonts w:ascii="仿宋" w:hAnsi="仿宋"/>
              </w:rPr>
            </w:r>
            <w:r/>
          </w:p>
        </w:tc>
      </w:tr>
    </w:tbl>
    <w:p>
      <w:pPr>
        <w:pStyle w:val="842"/>
        <w:ind w:firstLine="211"/>
        <w:jc w:val="left"/>
        <w:rPr>
          <w:rFonts w:ascii="宋体" w:hAnsi="宋体" w:cs="宋体"/>
          <w:b/>
          <w:bCs/>
          <w:szCs w:val="21"/>
        </w:rPr>
      </w:pPr>
      <w:r>
        <w:rPr>
          <w:rFonts w:hint="eastAsia" w:ascii="宋体" w:hAnsi="宋体" w:cs="宋体"/>
          <w:b/>
          <w:bCs/>
          <w:szCs w:val="21"/>
        </w:rPr>
        <w:t xml:space="preserve">备注：</w:t>
      </w:r>
      <w:bookmarkEnd w:id="39"/>
      <w:r>
        <w:rPr>
          <w:rFonts w:ascii="宋体" w:hAnsi="宋体" w:cs="宋体"/>
          <w:b/>
          <w:bCs/>
          <w:szCs w:val="21"/>
        </w:rPr>
      </w:r>
      <w:r/>
    </w:p>
    <w:p>
      <w:pPr>
        <w:pStyle w:val="842"/>
        <w:ind w:firstLine="210"/>
        <w:rPr>
          <w:rFonts w:ascii="宋体" w:hAnsi="宋体" w:cs="宋体"/>
          <w:bCs/>
          <w:szCs w:val="21"/>
          <w:lang w:val="zh-TW" w:eastAsia="zh-TW"/>
        </w:rPr>
      </w:pPr>
      <w:r/>
      <w:bookmarkStart w:id="46" w:name="_Toc11197"/>
      <w:r>
        <w:rPr>
          <w:rFonts w:hint="eastAsia" w:ascii="宋体" w:hAnsi="宋体" w:cs="宋体"/>
          <w:bCs/>
          <w:szCs w:val="21"/>
          <w:lang w:val="zh-TW" w:eastAsia="zh-TW"/>
        </w:rPr>
        <w:t xml:space="preserve">1、</w:t>
      </w:r>
      <w:r>
        <w:rPr>
          <w:rFonts w:hint="eastAsia" w:ascii="宋体" w:hAnsi="宋体" w:cs="宋体"/>
          <w:bCs/>
          <w:szCs w:val="21"/>
        </w:rPr>
        <w:t xml:space="preserve">响应</w:t>
      </w:r>
      <w:r>
        <w:rPr>
          <w:rFonts w:hint="eastAsia" w:ascii="宋体" w:hAnsi="宋体" w:cs="宋体"/>
          <w:bCs/>
          <w:szCs w:val="21"/>
          <w:lang w:val="zh-TW" w:eastAsia="zh-TW"/>
        </w:rPr>
        <w:t xml:space="preserve">总报价超过采购预算（或最高限价）的将不进入综合评审程序，也不得标。</w:t>
      </w:r>
      <w:bookmarkEnd w:id="46"/>
      <w:r>
        <w:rPr>
          <w:rFonts w:ascii="宋体" w:hAnsi="宋体" w:cs="宋体"/>
          <w:bCs/>
          <w:szCs w:val="21"/>
          <w:lang w:val="zh-TW" w:eastAsia="zh-TW"/>
        </w:rPr>
      </w:r>
      <w:r/>
    </w:p>
    <w:p>
      <w:pPr>
        <w:pStyle w:val="842"/>
        <w:ind w:firstLine="210"/>
        <w:rPr>
          <w:rFonts w:ascii="宋体" w:hAnsi="宋体" w:cs="宋体"/>
          <w:bCs/>
          <w:szCs w:val="21"/>
          <w:lang w:val="zh-TW" w:eastAsia="zh-TW"/>
        </w:rPr>
      </w:pPr>
      <w:r/>
      <w:bookmarkStart w:id="47" w:name="_Toc8909"/>
      <w:r>
        <w:rPr>
          <w:rFonts w:hint="eastAsia" w:ascii="宋体" w:hAnsi="宋体" w:cs="宋体"/>
          <w:bCs/>
          <w:szCs w:val="21"/>
          <w:lang w:val="zh-TW" w:eastAsia="zh-TW"/>
        </w:rPr>
        <w:t xml:space="preserve">2、服务期、付款步骤如有负偏离的不得标。</w:t>
      </w:r>
      <w:bookmarkEnd w:id="47"/>
      <w:r>
        <w:rPr>
          <w:rFonts w:ascii="宋体" w:hAnsi="宋体" w:cs="宋体"/>
          <w:bCs/>
          <w:szCs w:val="21"/>
          <w:lang w:val="zh-TW" w:eastAsia="zh-TW"/>
        </w:rPr>
      </w:r>
      <w:r/>
    </w:p>
    <w:p>
      <w:pPr>
        <w:pStyle w:val="842"/>
        <w:ind w:firstLine="210"/>
        <w:rPr>
          <w:rFonts w:ascii="宋体" w:hAnsi="宋体" w:cs="宋体"/>
          <w:bCs/>
          <w:szCs w:val="21"/>
          <w:lang w:val="zh-TW" w:eastAsia="zh-TW"/>
        </w:rPr>
      </w:pPr>
      <w:r/>
      <w:bookmarkStart w:id="48" w:name="_Toc22215"/>
      <w:r>
        <w:rPr>
          <w:rFonts w:hint="eastAsia" w:ascii="宋体" w:hAnsi="宋体" w:cs="宋体"/>
          <w:bCs/>
          <w:szCs w:val="21"/>
          <w:lang w:val="zh-TW" w:eastAsia="zh-TW"/>
        </w:rPr>
        <w:t xml:space="preserve">3、响应文件中如出现前后不一致时,评委有权请</w:t>
      </w:r>
      <w:r>
        <w:rPr>
          <w:rFonts w:hint="eastAsia" w:ascii="宋体" w:hAnsi="宋体" w:cs="宋体"/>
          <w:bCs/>
          <w:szCs w:val="21"/>
          <w:lang w:val="zh-TW"/>
        </w:rPr>
        <w:t xml:space="preserve">供应商</w:t>
      </w:r>
      <w:r>
        <w:rPr>
          <w:rFonts w:hint="eastAsia" w:ascii="宋体" w:hAnsi="宋体" w:cs="宋体"/>
          <w:bCs/>
          <w:szCs w:val="21"/>
          <w:lang w:val="zh-TW" w:eastAsia="zh-TW"/>
        </w:rPr>
        <w:t xml:space="preserve">澄清说明,澄清说明事项涉及评分时,评委有权酌情扣分。</w:t>
      </w:r>
      <w:bookmarkEnd w:id="48"/>
      <w:r>
        <w:rPr>
          <w:rFonts w:ascii="宋体" w:hAnsi="宋体" w:cs="宋体"/>
          <w:bCs/>
          <w:szCs w:val="21"/>
          <w:lang w:val="zh-TW" w:eastAsia="zh-TW"/>
        </w:rPr>
      </w:r>
      <w:r/>
    </w:p>
    <w:p>
      <w:pPr>
        <w:pStyle w:val="842"/>
        <w:ind w:firstLine="210"/>
        <w:rPr>
          <w:rFonts w:ascii="宋体" w:hAnsi="宋体" w:cs="宋体"/>
          <w:bCs/>
          <w:szCs w:val="21"/>
        </w:rPr>
      </w:pPr>
      <w:r>
        <w:rPr>
          <w:rFonts w:hint="eastAsia" w:ascii="宋体" w:hAnsi="宋体" w:cs="宋体"/>
          <w:bCs/>
          <w:szCs w:val="21"/>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rPr>
          <w:rFonts w:ascii="宋体" w:hAnsi="宋体" w:cs="宋体"/>
          <w:bCs/>
          <w:szCs w:val="21"/>
        </w:rPr>
      </w:r>
      <w:r/>
    </w:p>
    <w:p>
      <w:pPr>
        <w:pStyle w:val="842"/>
        <w:ind w:firstLine="210"/>
        <w:rPr>
          <w:rFonts w:ascii="宋体" w:hAnsi="宋体" w:cs="宋体"/>
          <w:bCs/>
          <w:szCs w:val="21"/>
        </w:rPr>
      </w:pPr>
      <w:r>
        <w:rPr>
          <w:rFonts w:hint="eastAsia" w:ascii="宋体" w:hAnsi="宋体" w:cs="宋体"/>
          <w:bCs/>
          <w:szCs w:val="21"/>
        </w:rPr>
        <w:t xml:space="preserve">5、采购文件中要求加盖响应单位公章的，可用电子签章代替。</w:t>
      </w:r>
      <w:r>
        <w:rPr>
          <w:rFonts w:ascii="宋体" w:hAnsi="宋体" w:cs="宋体"/>
          <w:bCs/>
          <w:szCs w:val="21"/>
        </w:rPr>
      </w:r>
      <w:r/>
    </w:p>
    <w:p>
      <w:pPr>
        <w:pStyle w:val="842"/>
        <w:ind w:firstLine="210"/>
      </w:pPr>
      <w:r>
        <w:rPr>
          <w:rFonts w:hint="eastAsia" w:ascii="宋体" w:hAnsi="宋体" w:cs="宋体"/>
          <w:bCs/>
          <w:szCs w:val="21"/>
        </w:rPr>
        <w:t xml:space="preserve">6、</w:t>
      </w:r>
      <w:r>
        <w:rPr>
          <w:rFonts w:hint="eastAsia"/>
        </w:rPr>
        <w:t xml:space="preserve">投标响应文件中扫描件须清晰可辨，如因扫描件模糊，造成无法辨认，该项不得分。</w:t>
      </w:r>
      <w:r/>
    </w:p>
    <w:p>
      <w:pPr>
        <w:pStyle w:val="842"/>
        <w:rPr>
          <w:rFonts w:ascii="宋体" w:hAnsi="宋体" w:cs="宋体"/>
        </w:rPr>
      </w:pPr>
      <w:r/>
      <w:bookmarkStart w:id="49" w:name="_Toc12103"/>
      <w:r/>
      <w:bookmarkStart w:id="50" w:name="_Toc29409"/>
      <w:r>
        <w:rPr>
          <w:rFonts w:hint="eastAsia" w:ascii="宋体" w:hAnsi="宋体" w:cs="宋体"/>
        </w:rPr>
        <w:br w:type="page" w:clear="all"/>
      </w:r>
      <w:r>
        <w:rPr>
          <w:rFonts w:ascii="宋体" w:hAnsi="宋体" w:cs="宋体"/>
        </w:rPr>
      </w:r>
      <w:r/>
    </w:p>
    <w:p>
      <w:pPr>
        <w:pStyle w:val="880"/>
        <w:rPr>
          <w:rFonts w:ascii="宋体" w:hAnsi="宋体" w:cs="宋体"/>
        </w:rPr>
      </w:pPr>
      <w:r>
        <w:rPr>
          <w:rFonts w:hint="eastAsia" w:ascii="宋体" w:hAnsi="宋体" w:cs="宋体"/>
        </w:rPr>
        <w:t xml:space="preserve">五、合同主要条款</w:t>
      </w:r>
      <w:bookmarkEnd w:id="49"/>
      <w:r/>
      <w:bookmarkEnd w:id="50"/>
      <w:r>
        <w:rPr>
          <w:rFonts w:ascii="宋体" w:hAnsi="宋体" w:cs="宋体"/>
        </w:rPr>
      </w:r>
      <w:r/>
    </w:p>
    <w:p>
      <w:pPr>
        <w:pStyle w:val="842"/>
        <w:ind w:firstLine="422"/>
        <w:rPr>
          <w:rFonts w:ascii="宋体" w:hAnsi="宋体" w:cs="宋体"/>
          <w:b/>
          <w:bCs/>
          <w:szCs w:val="21"/>
        </w:rPr>
      </w:pPr>
      <w:r>
        <w:rPr>
          <w:rFonts w:hint="eastAsia" w:ascii="宋体" w:hAnsi="宋体" w:cs="宋体"/>
          <w:b/>
          <w:bCs/>
          <w:szCs w:val="21"/>
        </w:rPr>
        <w:t xml:space="preserve">甲方（采购单位）： </w:t>
      </w:r>
      <w:r>
        <w:rPr>
          <w:rFonts w:ascii="宋体" w:hAnsi="宋体" w:cs="宋体"/>
          <w:b/>
          <w:bCs/>
          <w:szCs w:val="21"/>
        </w:rPr>
      </w:r>
      <w:r/>
    </w:p>
    <w:p>
      <w:pPr>
        <w:pStyle w:val="842"/>
        <w:ind w:firstLine="422"/>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842"/>
        <w:ind w:firstLine="422"/>
        <w:rPr>
          <w:rFonts w:ascii="宋体" w:hAnsi="宋体" w:cs="宋体"/>
          <w:b/>
          <w:bCs/>
          <w:szCs w:val="21"/>
        </w:rPr>
      </w:pPr>
      <w:r>
        <w:rPr>
          <w:rFonts w:hint="eastAsia" w:ascii="宋体" w:hAnsi="宋体" w:cs="宋体"/>
          <w:b/>
          <w:bCs/>
          <w:szCs w:val="21"/>
        </w:rPr>
        <w:t xml:space="preserve">联系电话：                                </w:t>
      </w:r>
      <w:r>
        <w:rPr>
          <w:rFonts w:ascii="宋体" w:hAnsi="宋体" w:cs="宋体"/>
          <w:b/>
          <w:bCs/>
          <w:szCs w:val="21"/>
        </w:rPr>
      </w:r>
      <w:r/>
    </w:p>
    <w:p>
      <w:pPr>
        <w:pStyle w:val="842"/>
        <w:ind w:firstLine="422"/>
        <w:rPr>
          <w:rFonts w:ascii="宋体" w:hAnsi="宋体" w:cs="宋体"/>
          <w:b/>
          <w:bCs/>
          <w:szCs w:val="21"/>
        </w:rPr>
      </w:pPr>
      <w:r>
        <w:rPr>
          <w:rFonts w:ascii="宋体" w:hAnsi="宋体" w:cs="宋体"/>
          <w:b/>
          <w:bCs/>
          <w:szCs w:val="21"/>
        </w:rPr>
      </w:r>
      <w:r/>
    </w:p>
    <w:p>
      <w:pPr>
        <w:pStyle w:val="842"/>
        <w:ind w:firstLine="422"/>
        <w:rPr>
          <w:rFonts w:ascii="宋体" w:hAnsi="宋体" w:cs="宋体"/>
          <w:b/>
          <w:bCs/>
          <w:szCs w:val="21"/>
        </w:rPr>
      </w:pPr>
      <w:r>
        <w:rPr>
          <w:rFonts w:hint="eastAsia" w:ascii="宋体" w:hAnsi="宋体" w:cs="宋体"/>
          <w:b/>
          <w:bCs/>
          <w:szCs w:val="21"/>
        </w:rPr>
        <w:t xml:space="preserve">乙方（成交单位）：   </w:t>
      </w:r>
      <w:r>
        <w:rPr>
          <w:rFonts w:ascii="宋体" w:hAnsi="宋体" w:cs="宋体"/>
          <w:b/>
          <w:bCs/>
          <w:szCs w:val="21"/>
        </w:rPr>
      </w:r>
      <w:r/>
    </w:p>
    <w:p>
      <w:pPr>
        <w:pStyle w:val="842"/>
        <w:ind w:firstLine="422"/>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842"/>
        <w:ind w:firstLine="422"/>
        <w:rPr>
          <w:rFonts w:ascii="宋体" w:hAnsi="宋体" w:cs="宋体"/>
          <w:b/>
          <w:bCs/>
          <w:szCs w:val="21"/>
        </w:rPr>
      </w:pPr>
      <w:r>
        <w:rPr>
          <w:rFonts w:hint="eastAsia" w:ascii="宋体" w:hAnsi="宋体" w:cs="宋体"/>
          <w:b/>
          <w:bCs/>
          <w:szCs w:val="21"/>
        </w:rPr>
        <w:t xml:space="preserve">联系电话：  </w:t>
      </w:r>
      <w:r>
        <w:rPr>
          <w:rFonts w:ascii="宋体" w:hAnsi="宋体" w:cs="宋体"/>
          <w:b/>
          <w:bCs/>
          <w:szCs w:val="21"/>
        </w:rPr>
      </w:r>
      <w:r/>
    </w:p>
    <w:p>
      <w:pPr>
        <w:pStyle w:val="910"/>
      </w:pPr>
      <w:r/>
      <w:r/>
    </w:p>
    <w:p>
      <w:pPr>
        <w:pStyle w:val="842"/>
        <w:ind w:firstLine="420"/>
        <w:rPr>
          <w:rFonts w:ascii="宋体" w:hAnsi="宋体" w:cs="宋体"/>
          <w:szCs w:val="21"/>
        </w:rPr>
      </w:pPr>
      <w:r/>
      <w:bookmarkStart w:id="51" w:name="_Toc31533"/>
      <w:r>
        <w:rPr>
          <w:rFonts w:hint="eastAsia" w:ascii="宋体" w:hAnsi="宋体" w:cs="宋体"/>
          <w:szCs w:val="21"/>
        </w:rPr>
        <w:t xml:space="preserve">依据甲方委托</w:t>
      </w:r>
      <w:r>
        <w:rPr>
          <w:rFonts w:hint="eastAsia" w:ascii="宋体" w:hAnsi="宋体" w:cs="宋体"/>
          <w:szCs w:val="21"/>
          <w:u w:val="single"/>
        </w:rPr>
        <w:t xml:space="preserve">苏州市吴江区星辰技术咨询服务有限公司</w:t>
      </w:r>
      <w:r>
        <w:rPr>
          <w:rFonts w:hint="eastAsia" w:ascii="宋体" w:hAnsi="宋体" w:cs="宋体"/>
          <w:szCs w:val="21"/>
        </w:rPr>
        <w:t xml:space="preserve">进行</w:t>
      </w:r>
      <w:r>
        <w:rPr>
          <w:rFonts w:hint="eastAsia" w:ascii="宋体" w:hAnsi="宋体" w:cs="宋体"/>
          <w:szCs w:val="21"/>
          <w:u w:val="single"/>
        </w:rPr>
        <w:t xml:space="preserve">吴江法院2026年度无纸化办案及归档扫描服务</w:t>
      </w:r>
      <w:r>
        <w:rPr>
          <w:rFonts w:hint="eastAsia" w:ascii="宋体" w:hAnsi="宋体" w:cs="宋体"/>
          <w:szCs w:val="21"/>
          <w:u w:val="single"/>
        </w:rPr>
        <w:t xml:space="preserve">（采购编号：</w:t>
      </w:r>
      <w:r>
        <w:rPr>
          <w:rFonts w:hint="eastAsia" w:ascii="宋体" w:hAnsi="宋体" w:cs="宋体"/>
          <w:szCs w:val="21"/>
          <w:u w:val="single"/>
        </w:rPr>
        <w:t xml:space="preserve">JSZC-320509-SZXC-C2026-0005</w:t>
      </w:r>
      <w:r>
        <w:rPr>
          <w:rFonts w:hint="eastAsia" w:ascii="宋体" w:hAnsi="宋体" w:cs="宋体"/>
          <w:szCs w:val="21"/>
          <w:u w:val="single"/>
        </w:rPr>
        <w:t xml:space="preserve">）</w:t>
      </w:r>
      <w:r>
        <w:rPr>
          <w:rFonts w:hint="eastAsia" w:ascii="宋体" w:hAnsi="宋体" w:cs="宋体"/>
          <w:szCs w:val="21"/>
        </w:rPr>
        <w:t xml:space="preserve">政府采购的成交结果，确定乙方为本次成交单位，现依照采购文件、乙方的响应文件及相关文件的内容，签订本合同书。</w:t>
      </w:r>
      <w:r>
        <w:rPr>
          <w:rFonts w:ascii="宋体" w:hAnsi="宋体" w:cs="宋体"/>
          <w:szCs w:val="21"/>
        </w:rPr>
      </w:r>
      <w:r/>
    </w:p>
    <w:p>
      <w:pPr>
        <w:pStyle w:val="842"/>
        <w:ind w:firstLine="422"/>
        <w:rPr>
          <w:rFonts w:ascii="宋体" w:hAnsi="宋体" w:cs="宋体"/>
          <w:b/>
          <w:szCs w:val="21"/>
        </w:rPr>
      </w:pPr>
      <w:r>
        <w:rPr>
          <w:rFonts w:hint="eastAsia" w:ascii="宋体" w:hAnsi="宋体" w:cs="宋体"/>
          <w:b/>
          <w:szCs w:val="21"/>
        </w:rPr>
        <w:t xml:space="preserve">一、合同内容</w:t>
      </w:r>
      <w:r>
        <w:rPr>
          <w:rFonts w:ascii="宋体" w:hAnsi="宋体" w:cs="宋体"/>
          <w:b/>
          <w:szCs w:val="21"/>
        </w:rPr>
      </w:r>
      <w:r/>
    </w:p>
    <w:p>
      <w:pPr>
        <w:pStyle w:val="842"/>
        <w:ind w:firstLine="482"/>
        <w:rPr>
          <w:rFonts w:ascii="宋体" w:hAnsi="宋体" w:cs="宋体"/>
          <w:bCs/>
          <w:szCs w:val="21"/>
        </w:rPr>
      </w:pPr>
      <w:r>
        <w:rPr>
          <w:rFonts w:hint="eastAsia" w:ascii="宋体" w:hAnsi="宋体" w:cs="宋体"/>
          <w:bCs/>
          <w:szCs w:val="21"/>
        </w:rPr>
        <w:t xml:space="preserve">乙方负责提供甲方所需的</w:t>
      </w:r>
      <w:r>
        <w:rPr>
          <w:rFonts w:hint="eastAsia" w:ascii="宋体" w:hAnsi="宋体" w:cs="宋体"/>
          <w:szCs w:val="21"/>
          <w:u w:val="single"/>
        </w:rPr>
        <w:t xml:space="preserve">全流程无纸化办案</w:t>
      </w:r>
      <w:r>
        <w:rPr>
          <w:rFonts w:hint="eastAsia" w:ascii="宋体" w:hAnsi="宋体" w:cs="宋体"/>
          <w:bCs/>
          <w:szCs w:val="21"/>
        </w:rPr>
        <w:t xml:space="preserve">服务内容，</w:t>
      </w:r>
      <w:r>
        <w:rPr>
          <w:rFonts w:hint="eastAsia"/>
          <w:szCs w:val="21"/>
        </w:rPr>
        <w:t xml:space="preserve">项目组成员包括现场服务主管等岗位，现场所有项目人员服从法院管理，在年中或者年终案件量高峰期，需承诺免费增派人手配合院方处理积压案件。</w:t>
      </w:r>
      <w:r>
        <w:rPr>
          <w:rFonts w:hint="eastAsia" w:ascii="宋体" w:hAnsi="宋体" w:cs="宋体"/>
          <w:szCs w:val="21"/>
        </w:rPr>
        <w:t xml:space="preserve">服务的数据要挂接并满足最高人民法院一张网业务要求。</w:t>
      </w:r>
      <w:r>
        <w:rPr>
          <w:rFonts w:ascii="宋体" w:hAnsi="宋体" w:cs="宋体"/>
          <w:bCs/>
          <w:szCs w:val="21"/>
        </w:rPr>
      </w:r>
      <w:r/>
    </w:p>
    <w:p>
      <w:pPr>
        <w:pStyle w:val="842"/>
        <w:ind w:firstLine="422"/>
        <w:rPr>
          <w:rFonts w:ascii="宋体" w:hAnsi="宋体" w:cs="宋体"/>
          <w:bCs/>
          <w:szCs w:val="21"/>
        </w:rPr>
      </w:pPr>
      <w:r>
        <w:rPr>
          <w:rFonts w:hint="eastAsia" w:ascii="宋体" w:hAnsi="宋体" w:cs="宋体"/>
          <w:b/>
          <w:szCs w:val="21"/>
        </w:rPr>
        <w:t xml:space="preserve">二、下列文件为本合同不可分割部分：</w:t>
      </w:r>
      <w:r>
        <w:rPr>
          <w:rFonts w:hint="eastAsia" w:ascii="宋体" w:hAnsi="宋体" w:cs="宋体"/>
          <w:bCs/>
          <w:szCs w:val="21"/>
        </w:rPr>
        <w:tab/>
      </w:r>
      <w:r>
        <w:rPr>
          <w:rFonts w:ascii="宋体" w:hAnsi="宋体" w:cs="宋体"/>
          <w:bCs/>
          <w:szCs w:val="21"/>
        </w:rPr>
      </w:r>
      <w:r/>
    </w:p>
    <w:p>
      <w:pPr>
        <w:pStyle w:val="842"/>
        <w:ind w:firstLine="210"/>
        <w:rPr>
          <w:rFonts w:ascii="宋体" w:hAnsi="宋体" w:cs="宋体"/>
          <w:szCs w:val="21"/>
          <w:lang w:val="zh-CN"/>
        </w:rPr>
      </w:pPr>
      <w:r>
        <w:rPr>
          <w:rFonts w:hint="eastAsia" w:ascii="宋体" w:hAnsi="宋体" w:cs="宋体"/>
          <w:szCs w:val="21"/>
          <w:lang w:val="zh-CN"/>
        </w:rPr>
        <w:t xml:space="preserve">（一）磋商采购文件；</w:t>
      </w:r>
      <w:r>
        <w:rPr>
          <w:rFonts w:ascii="宋体" w:hAnsi="宋体" w:cs="宋体"/>
          <w:szCs w:val="21"/>
          <w:lang w:val="zh-CN"/>
        </w:rPr>
      </w:r>
      <w:r/>
    </w:p>
    <w:p>
      <w:pPr>
        <w:pStyle w:val="842"/>
        <w:ind w:firstLine="210"/>
        <w:rPr>
          <w:rFonts w:ascii="宋体" w:hAnsi="宋体" w:cs="宋体"/>
          <w:szCs w:val="21"/>
          <w:lang w:val="zh-CN"/>
        </w:rPr>
      </w:pPr>
      <w:r>
        <w:rPr>
          <w:rFonts w:hint="eastAsia" w:ascii="宋体" w:hAnsi="宋体" w:cs="宋体"/>
          <w:szCs w:val="21"/>
          <w:lang w:val="zh-CN"/>
        </w:rPr>
        <w:t xml:space="preserve">（二）供方成交的磋商响应文件；</w:t>
      </w:r>
      <w:r>
        <w:rPr>
          <w:rFonts w:ascii="宋体" w:hAnsi="宋体" w:cs="宋体"/>
          <w:szCs w:val="21"/>
          <w:lang w:val="zh-CN"/>
        </w:rPr>
      </w:r>
      <w:r/>
    </w:p>
    <w:p>
      <w:pPr>
        <w:pStyle w:val="842"/>
        <w:ind w:firstLine="210"/>
        <w:rPr>
          <w:rFonts w:ascii="宋体" w:hAnsi="宋体" w:cs="宋体"/>
          <w:bCs/>
          <w:szCs w:val="21"/>
        </w:rPr>
      </w:pPr>
      <w:r>
        <w:rPr>
          <w:rFonts w:hint="eastAsia" w:ascii="宋体" w:hAnsi="宋体" w:cs="宋体"/>
          <w:szCs w:val="21"/>
          <w:lang w:val="zh-CN"/>
        </w:rPr>
        <w:t xml:space="preserve">（三）</w:t>
      </w:r>
      <w:r>
        <w:rPr>
          <w:rFonts w:hint="eastAsia" w:ascii="宋体" w:hAnsi="宋体" w:cs="宋体"/>
          <w:bCs/>
          <w:szCs w:val="21"/>
        </w:rPr>
        <w:t xml:space="preserve">乙方在磋商响应过程中所作的其它承诺、声明、书面澄清等（如有）。</w:t>
      </w:r>
      <w:r>
        <w:rPr>
          <w:rFonts w:ascii="宋体" w:hAnsi="宋体" w:cs="宋体"/>
          <w:bCs/>
          <w:szCs w:val="21"/>
        </w:rPr>
      </w:r>
      <w:r/>
    </w:p>
    <w:p>
      <w:pPr>
        <w:pStyle w:val="842"/>
        <w:ind w:firstLine="21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）成交通知书；</w:t>
      </w:r>
      <w:r>
        <w:rPr>
          <w:rFonts w:ascii="宋体" w:hAnsi="宋体" w:cs="宋体"/>
          <w:szCs w:val="21"/>
          <w:lang w:val="zh-CN"/>
        </w:rPr>
      </w:r>
      <w:r/>
    </w:p>
    <w:p>
      <w:pPr>
        <w:pStyle w:val="842"/>
        <w:ind w:firstLine="21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五</w:t>
      </w:r>
      <w:r>
        <w:rPr>
          <w:rFonts w:hint="eastAsia" w:ascii="宋体" w:hAnsi="宋体" w:cs="宋体"/>
          <w:szCs w:val="21"/>
          <w:lang w:val="zh-CN"/>
        </w:rPr>
        <w:t xml:space="preserve">）本合同书。</w:t>
      </w:r>
      <w:r>
        <w:rPr>
          <w:rFonts w:ascii="宋体" w:hAnsi="宋体" w:cs="宋体"/>
          <w:szCs w:val="21"/>
          <w:lang w:val="zh-CN"/>
        </w:rPr>
      </w:r>
      <w:r/>
    </w:p>
    <w:p>
      <w:pPr>
        <w:pStyle w:val="842"/>
        <w:ind w:firstLine="422"/>
        <w:rPr>
          <w:rFonts w:ascii="宋体" w:hAnsi="宋体" w:cs="宋体"/>
          <w:b/>
          <w:szCs w:val="21"/>
        </w:rPr>
      </w:pPr>
      <w:r>
        <w:rPr>
          <w:rFonts w:hint="eastAsia" w:ascii="宋体" w:hAnsi="宋体" w:cs="宋体"/>
          <w:b/>
          <w:szCs w:val="21"/>
        </w:rPr>
        <w:t xml:space="preserve">三、合同价格及费用支付：</w:t>
      </w:r>
      <w:r>
        <w:rPr>
          <w:rFonts w:ascii="宋体" w:hAnsi="宋体" w:cs="宋体"/>
          <w:b/>
          <w:szCs w:val="21"/>
        </w:rPr>
      </w:r>
      <w:r/>
    </w:p>
    <w:p>
      <w:pPr>
        <w:pStyle w:val="842"/>
        <w:ind w:firstLine="420"/>
        <w:rPr>
          <w:rFonts w:ascii="宋体" w:hAnsi="宋体" w:cs="宋体"/>
          <w:bCs/>
          <w:szCs w:val="21"/>
        </w:rPr>
      </w:pPr>
      <w:r>
        <w:rPr>
          <w:rFonts w:hint="eastAsia" w:ascii="宋体" w:hAnsi="宋体" w:cs="宋体"/>
          <w:szCs w:val="21"/>
        </w:rPr>
        <w:t xml:space="preserve">3.1.合同总金额暂定为大写人民币（</w:t>
      </w:r>
      <w:r>
        <w:rPr>
          <w:rFonts w:hint="eastAsia" w:ascii="宋体" w:hAnsi="宋体" w:cs="宋体"/>
          <w:szCs w:val="21"/>
          <w:u w:val="single"/>
        </w:rPr>
        <w:t xml:space="preserve">小写： 元）执行</w:t>
      </w:r>
      <w:r>
        <w:rPr>
          <w:rFonts w:hint="eastAsia" w:ascii="宋体" w:hAnsi="宋体" w:cs="宋体"/>
          <w:b/>
          <w:bCs/>
          <w:szCs w:val="21"/>
        </w:rPr>
        <w:t xml:space="preserve">，</w:t>
      </w:r>
      <w:r>
        <w:rPr>
          <w:rFonts w:hint="eastAsia" w:ascii="宋体" w:hAnsi="宋体" w:cs="宋体"/>
          <w:szCs w:val="21"/>
        </w:rPr>
        <w:t xml:space="preserve">该价格包括但不限于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w:t>
      </w:r>
      <w:r>
        <w:rPr>
          <w:rFonts w:ascii="宋体" w:hAnsi="宋体" w:cs="宋体"/>
          <w:bCs/>
          <w:szCs w:val="21"/>
        </w:rPr>
      </w:r>
      <w:r/>
    </w:p>
    <w:tbl>
      <w:tblPr>
        <w:tblW w:w="9387"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5"/>
        <w:gridCol w:w="2137"/>
        <w:gridCol w:w="1755"/>
        <w:gridCol w:w="1898"/>
        <w:gridCol w:w="2232"/>
      </w:tblGrid>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2"/>
              <w:jc w:val="center"/>
              <w:spacing w:line="300" w:lineRule="auto"/>
              <w:rPr>
                <w:szCs w:val="21"/>
              </w:rPr>
            </w:pPr>
            <w:r>
              <w:rPr>
                <w:rFonts w:hint="eastAsia"/>
                <w:szCs w:val="21"/>
              </w:rPr>
              <w:t xml:space="preserve">项目名称</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2"/>
              <w:jc w:val="center"/>
              <w:spacing w:line="300" w:lineRule="auto"/>
              <w:rPr>
                <w:szCs w:val="21"/>
              </w:rPr>
            </w:pPr>
            <w:r>
              <w:rPr>
                <w:rFonts w:hint="eastAsia"/>
                <w:szCs w:val="21"/>
              </w:rPr>
              <w:t xml:space="preserve">案件类型</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2"/>
              <w:jc w:val="center"/>
              <w:spacing w:line="300" w:lineRule="auto"/>
              <w:rPr>
                <w:szCs w:val="21"/>
              </w:rPr>
            </w:pPr>
            <w:r>
              <w:rPr>
                <w:rFonts w:hint="eastAsia"/>
                <w:szCs w:val="21"/>
              </w:rPr>
              <w:t xml:space="preserve">成交单价（元）</w:t>
            </w: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2"/>
              <w:jc w:val="center"/>
              <w:spacing w:line="300" w:lineRule="auto"/>
              <w:rPr>
                <w:szCs w:val="21"/>
              </w:rPr>
            </w:pPr>
            <w:r>
              <w:rPr>
                <w:rFonts w:hint="eastAsia"/>
                <w:szCs w:val="21"/>
              </w:rPr>
              <w:t xml:space="preserve">预估数量</w:t>
            </w:r>
            <w:r>
              <w:rPr>
                <w:szCs w:val="21"/>
              </w:rPr>
            </w:r>
            <w:r/>
          </w:p>
        </w:tc>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pStyle w:val="842"/>
              <w:jc w:val="center"/>
              <w:spacing w:line="300" w:lineRule="auto"/>
              <w:rPr>
                <w:szCs w:val="21"/>
              </w:rPr>
            </w:pPr>
            <w:r>
              <w:rPr>
                <w:rFonts w:hint="eastAsia"/>
                <w:szCs w:val="21"/>
              </w:rPr>
              <w:t xml:space="preserve">备注</w:t>
            </w:r>
            <w:r>
              <w:rPr>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2"/>
              <w:widowControl/>
              <w:rPr>
                <w:szCs w:val="21"/>
              </w:rPr>
            </w:pPr>
            <w:r>
              <w:rPr>
                <w:rFonts w:hint="eastAsia" w:ascii="宋体" w:hAnsi="宋体" w:cs="宋体"/>
              </w:rPr>
              <w:t xml:space="preserve">无纸化辅助服务</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2"/>
              <w:rPr>
                <w:szCs w:val="21"/>
              </w:rPr>
            </w:pPr>
            <w:r>
              <w:rPr>
                <w:rFonts w:hint="eastAsia" w:ascii="宋体" w:hAnsi="宋体" w:cs="宋体"/>
              </w:rPr>
              <w:t xml:space="preserve">普通审判和执行案件</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2"/>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2"/>
              <w:rPr>
                <w:rFonts w:ascii="宋体" w:hAnsi="宋体" w:cs="宋体"/>
              </w:rPr>
            </w:pPr>
            <w:r>
              <w:rPr>
                <w:rFonts w:hint="eastAsia" w:ascii="宋体" w:hAnsi="宋体" w:cs="宋体"/>
              </w:rPr>
              <w:t xml:space="preserve">47</w:t>
            </w:r>
            <w:r>
              <w:rPr>
                <w:rFonts w:hint="eastAsia" w:ascii="宋体" w:hAnsi="宋体" w:cs="宋体"/>
              </w:rPr>
              <w:t xml:space="preserve">000件（接上一年度工作项目遗留应归未归量起算。）</w:t>
            </w:r>
            <w:r>
              <w:rPr>
                <w:rFonts w:ascii="宋体" w:hAnsi="宋体" w:cs="宋体"/>
              </w:rPr>
            </w:r>
            <w:r/>
          </w:p>
        </w:tc>
        <w:tc>
          <w:tcPr>
            <w:tcBorders>
              <w:top w:val="single" w:color="000000" w:sz="4" w:space="0"/>
              <w:left w:val="single" w:color="000000" w:sz="4" w:space="0"/>
              <w:right w:val="single" w:color="000000" w:sz="4" w:space="0"/>
            </w:tcBorders>
            <w:tcW w:w="2232" w:type="dxa"/>
            <w:vAlign w:val="center"/>
            <w:vMerge w:val="restart"/>
            <w:textDirection w:val="lrTb"/>
            <w:noWrap/>
          </w:tcPr>
          <w:p>
            <w:pPr>
              <w:pStyle w:val="842"/>
              <w:jc w:val="center"/>
              <w:spacing w:line="300" w:lineRule="auto"/>
              <w:rPr>
                <w:szCs w:val="21"/>
              </w:rPr>
            </w:pPr>
            <w:r>
              <w:rPr>
                <w:rFonts w:hint="eastAsia" w:ascii="宋体" w:hAnsi="宋体" w:cs="宋体"/>
              </w:rPr>
              <w:t xml:space="preserve">数量暂定，最终按实结算。乙方提供</w:t>
            </w:r>
            <w:r>
              <w:rPr>
                <w:rFonts w:hint="eastAsia"/>
                <w:szCs w:val="21"/>
              </w:rPr>
              <w:t xml:space="preserve">环节提供所有耗材（例如硒鼓、封皮、胶水、A4纸等）</w:t>
            </w:r>
            <w:r>
              <w:rPr>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842"/>
              <w:widowControl/>
              <w:rPr>
                <w:szCs w:val="21"/>
              </w:rPr>
            </w:pPr>
            <w:r>
              <w:rPr>
                <w:rFonts w:hint="eastAsia" w:ascii="宋体" w:hAnsi="宋体" w:cs="宋体"/>
              </w:rPr>
              <w:t xml:space="preserve">档案数字化加工服务</w:t>
            </w:r>
            <w:r>
              <w:rPr>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842"/>
              <w:widowControl/>
              <w:rPr>
                <w:szCs w:val="21"/>
              </w:rPr>
            </w:pPr>
            <w:r>
              <w:rPr>
                <w:rFonts w:hint="eastAsia" w:ascii="宋体" w:hAnsi="宋体" w:cs="宋体"/>
              </w:rPr>
              <w:t xml:space="preserve">归档扫描</w:t>
            </w:r>
            <w:r>
              <w:rPr>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42"/>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pStyle w:val="842"/>
              <w:jc w:val="center"/>
              <w:widowControl/>
              <w:rPr>
                <w:szCs w:val="21"/>
              </w:rPr>
            </w:pPr>
            <w:r>
              <w:rPr>
                <w:rFonts w:hint="eastAsia" w:ascii="宋体" w:hAnsi="宋体" w:cs="宋体"/>
              </w:rPr>
              <w:t xml:space="preserve">330000页</w:t>
            </w:r>
            <w:r>
              <w:rPr>
                <w:szCs w:val="21"/>
              </w:rPr>
            </w:r>
            <w:r/>
          </w:p>
        </w:tc>
        <w:tc>
          <w:tcPr>
            <w:tcBorders>
              <w:left w:val="single" w:color="000000" w:sz="4" w:space="0"/>
              <w:bottom w:val="single" w:color="000000" w:sz="4" w:space="0"/>
              <w:right w:val="single" w:color="000000" w:sz="4" w:space="0"/>
            </w:tcBorders>
            <w:tcW w:w="2232" w:type="dxa"/>
            <w:vAlign w:val="center"/>
            <w:vMerge w:val="continue"/>
            <w:textDirection w:val="lrTb"/>
            <w:noWrap/>
          </w:tcPr>
          <w:p>
            <w:pPr>
              <w:pStyle w:val="842"/>
              <w:jc w:val="center"/>
              <w:spacing w:line="300" w:lineRule="auto"/>
              <w:rPr>
                <w:szCs w:val="21"/>
              </w:rPr>
            </w:pPr>
            <w:r>
              <w:rPr>
                <w:szCs w:val="21"/>
              </w:rPr>
            </w:r>
            <w:r/>
          </w:p>
        </w:tc>
      </w:tr>
    </w:tbl>
    <w:p>
      <w:pPr>
        <w:pStyle w:val="842"/>
        <w:ind w:firstLine="420"/>
        <w:rPr>
          <w:rFonts w:ascii="宋体" w:hAnsi="宋体" w:cs="宋体"/>
          <w:szCs w:val="21"/>
        </w:rPr>
      </w:pPr>
      <w:r>
        <w:rPr>
          <w:rFonts w:ascii="宋体" w:hAnsi="宋体" w:cs="宋体"/>
          <w:szCs w:val="21"/>
        </w:rPr>
      </w:r>
      <w:r/>
    </w:p>
    <w:p>
      <w:pPr>
        <w:pStyle w:val="842"/>
        <w:ind w:firstLine="420"/>
        <w:rPr>
          <w:rFonts w:hAnsi="宋体" w:cs="宋体"/>
          <w:b/>
          <w:szCs w:val="21"/>
        </w:rPr>
      </w:pPr>
      <w:r>
        <w:rPr>
          <w:rFonts w:hint="eastAsia" w:ascii="宋体" w:hAnsi="宋体" w:cs="宋体"/>
          <w:szCs w:val="21"/>
        </w:rPr>
        <w:t xml:space="preserve">3.2.付款步骤：本项目按实结算，按季度考核并付款（预估总价的25%-考核扣减金额）。最后一个季度结束验收合格后六个月内支付实际服务数量金额的剩余部分（即实际数量结算金额-预估数量结算金额*75%-考核扣减金额）。</w:t>
      </w:r>
      <w:r>
        <w:rPr>
          <w:rFonts w:hAnsi="宋体" w:cs="宋体"/>
          <w:b/>
          <w:szCs w:val="21"/>
        </w:rPr>
      </w:r>
      <w:r/>
    </w:p>
    <w:p>
      <w:pPr>
        <w:pStyle w:val="842"/>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季度考核主要考核乙方能否按期保质、保量完成案件归档服务。</w:t>
      </w:r>
      <w:r>
        <w:rPr>
          <w:rFonts w:ascii="宋体" w:hAnsi="宋体" w:cs="宋体"/>
          <w:szCs w:val="21"/>
        </w:rPr>
      </w:r>
      <w:r/>
    </w:p>
    <w:p>
      <w:pPr>
        <w:pStyle w:val="842"/>
        <w:ind w:firstLine="420"/>
      </w:pPr>
      <w:r>
        <w:rPr>
          <w:rFonts w:hint="eastAsia"/>
        </w:rPr>
        <w:t xml:space="preserve">1、季度考核98分以上全额支付当季扫描归档费用；</w:t>
      </w:r>
      <w:r/>
    </w:p>
    <w:p>
      <w:pPr>
        <w:pStyle w:val="842"/>
        <w:ind w:firstLine="420"/>
      </w:pPr>
      <w:r>
        <w:rPr>
          <w:rFonts w:hint="eastAsia"/>
        </w:rPr>
        <w:t xml:space="preserve">2、季度考核在96分（含96分）——98分（含98分）部分的，扣除当季费用的10%；</w:t>
      </w:r>
      <w:r/>
    </w:p>
    <w:p>
      <w:pPr>
        <w:pStyle w:val="842"/>
        <w:ind w:firstLine="420"/>
      </w:pPr>
      <w:r>
        <w:rPr>
          <w:rFonts w:hint="eastAsia"/>
        </w:rPr>
        <w:t xml:space="preserve">3、季度考核在90分（含90分）——95分（含95分）部分的，扣除当季费用的20%；</w:t>
      </w:r>
      <w:r/>
    </w:p>
    <w:p>
      <w:pPr>
        <w:pStyle w:val="842"/>
        <w:ind w:firstLine="420"/>
      </w:pPr>
      <w:r>
        <w:rPr>
          <w:rFonts w:hint="eastAsia"/>
        </w:rPr>
        <w:t xml:space="preserve">4、季度考核低于90分或发生泄密、丢失卷宗等安全事故的，扣除当季度一切费用，且甲方有权解除合同，并要求乙方偿付合同总价20%的违约金。</w:t>
      </w:r>
      <w:r/>
    </w:p>
    <w:p>
      <w:pPr>
        <w:pStyle w:val="842"/>
        <w:ind w:firstLine="420"/>
        <w:widowControl/>
        <w:tabs>
          <w:tab w:val="left" w:pos="420" w:leader="none"/>
          <w:tab w:val="left" w:pos="540" w:leader="none"/>
        </w:tabs>
        <w:rPr>
          <w:rFonts w:ascii="宋体" w:hAnsi="宋体" w:cs="宋体"/>
          <w:szCs w:val="21"/>
        </w:rPr>
      </w:pPr>
      <w:r>
        <w:rPr>
          <w:rFonts w:hint="eastAsia" w:ascii="宋体" w:hAnsi="宋体" w:cs="宋体"/>
          <w:szCs w:val="21"/>
        </w:rPr>
        <w:t xml:space="preserve">注：（1）在履行合同过程中，追加合同金额不得超过原合同价的10%。</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（2）原合同金额10%以内的追加合同金额，限于原合同内服务内容工作清单调整增加的服务金额，原合同外服务内容不得计入。</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3.3.税费:根据国家有关税务法律、法规和规定，乙方应该交纳的与本合同有关的税费由乙方承担;本合同价格为含税价。乙方提供的服务等所有税费，已全部包含在合同价格内，由乙方承担。</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3.4.付款时需提供以下单据</w:t>
      </w:r>
      <w:r>
        <w:rPr>
          <w:rFonts w:ascii="宋体" w:hAnsi="宋体" w:cs="宋体"/>
          <w:szCs w:val="21"/>
        </w:rPr>
      </w:r>
      <w:r/>
    </w:p>
    <w:p>
      <w:pPr>
        <w:pStyle w:val="842"/>
        <w:ind w:firstLine="420"/>
        <w:tabs>
          <w:tab w:val="left" w:pos="2606" w:leader="none"/>
        </w:tabs>
        <w:rPr>
          <w:rFonts w:ascii="宋体" w:hAnsi="宋体" w:cs="宋体"/>
          <w:szCs w:val="21"/>
        </w:rPr>
      </w:pPr>
      <w:r>
        <w:rPr>
          <w:rFonts w:hint="eastAsia" w:ascii="宋体" w:hAnsi="宋体" w:cs="宋体"/>
          <w:szCs w:val="21"/>
        </w:rPr>
        <w:t xml:space="preserve">A、合格发票。</w:t>
        <w:tab/>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B、由供需双方及招标代理机构签章的《政府采购合同履行验收报告》。</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3.5.付款方式：转帐。</w:t>
      </w:r>
      <w:r>
        <w:rPr>
          <w:rFonts w:ascii="宋体" w:hAnsi="宋体" w:cs="宋体"/>
          <w:szCs w:val="21"/>
        </w:rPr>
      </w:r>
      <w:r/>
    </w:p>
    <w:p>
      <w:pPr>
        <w:pStyle w:val="842"/>
        <w:rPr>
          <w:rFonts w:ascii="宋体" w:hAnsi="宋体" w:cs="宋体"/>
          <w:b/>
          <w:bCs/>
          <w:szCs w:val="21"/>
        </w:rPr>
      </w:pPr>
      <w:r>
        <w:rPr>
          <w:rFonts w:hint="eastAsia" w:ascii="宋体" w:hAnsi="宋体" w:cs="宋体"/>
          <w:b/>
          <w:bCs/>
          <w:szCs w:val="21"/>
        </w:rPr>
        <w:t xml:space="preserve">四、服务要求</w:t>
      </w:r>
      <w:r>
        <w:rPr>
          <w:rFonts w:ascii="宋体" w:hAnsi="宋体" w:cs="宋体"/>
          <w:b/>
          <w:bCs/>
          <w:szCs w:val="21"/>
        </w:rPr>
      </w:r>
      <w:r/>
    </w:p>
    <w:p>
      <w:pPr>
        <w:pStyle w:val="842"/>
        <w:ind w:firstLine="420"/>
        <w:rPr>
          <w:rFonts w:ascii="宋体" w:hAnsi="宋体" w:cs="宋体"/>
          <w:szCs w:val="21"/>
        </w:rPr>
        <w:outlineLvl w:val="0"/>
      </w:pPr>
      <w:r>
        <w:rPr>
          <w:rFonts w:hint="eastAsia" w:ascii="宋体" w:hAnsi="宋体" w:cs="宋体"/>
          <w:szCs w:val="21"/>
        </w:rPr>
        <w:t xml:space="preserve">4.1 服务内容：详见磋商文件要求及乙方承诺。</w:t>
      </w:r>
      <w:r>
        <w:rPr>
          <w:rFonts w:ascii="宋体" w:hAnsi="宋体" w:cs="宋体"/>
          <w:szCs w:val="21"/>
        </w:rPr>
      </w:r>
      <w:r/>
    </w:p>
    <w:p>
      <w:pPr>
        <w:pStyle w:val="842"/>
        <w:ind w:firstLine="420"/>
        <w:rPr>
          <w:rFonts w:ascii="宋体" w:hAnsi="宋体" w:cs="宋体"/>
          <w:bCs/>
          <w:szCs w:val="21"/>
        </w:rPr>
      </w:pPr>
      <w:r>
        <w:rPr>
          <w:rFonts w:hint="eastAsia" w:ascii="宋体" w:hAnsi="宋体" w:cs="宋体"/>
          <w:szCs w:val="21"/>
        </w:rPr>
        <w:t xml:space="preserve">4.2 服务期限：自合同签订之日起1年，完成服务量或服务期限到期，两项任意一项先到先止。</w:t>
      </w:r>
      <w:r>
        <w:rPr>
          <w:rFonts w:ascii="仿宋" w:hAnsi="仿宋" w:cs="Arial"/>
        </w:rPr>
        <w:t xml:space="preserve">如果1年合同到期，</w:t>
      </w:r>
      <w:r>
        <w:rPr>
          <w:rFonts w:hint="eastAsia" w:ascii="仿宋" w:hAnsi="仿宋" w:cs="Arial"/>
        </w:rPr>
        <w:t xml:space="preserve">无纸化</w:t>
      </w:r>
      <w:r>
        <w:rPr>
          <w:rFonts w:ascii="仿宋" w:hAnsi="仿宋" w:cs="Arial"/>
        </w:rPr>
        <w:t xml:space="preserve">辅助服务和档案数字化加工服务</w:t>
      </w:r>
      <w:r>
        <w:rPr>
          <w:rFonts w:hint="eastAsia" w:ascii="仿宋" w:hAnsi="仿宋" w:cs="Arial"/>
        </w:rPr>
        <w:t xml:space="preserve">内</w:t>
      </w:r>
      <w:r>
        <w:rPr>
          <w:rFonts w:ascii="仿宋" w:hAnsi="仿宋" w:cs="Arial"/>
        </w:rPr>
        <w:t xml:space="preserve">一种达到合同要求数量而另一种没有达到合同要求数量，甲方可以在不超过合同总价范围内相互调剂</w:t>
      </w:r>
      <w:r>
        <w:rPr>
          <w:rFonts w:hint="eastAsia" w:ascii="仿宋" w:hAnsi="仿宋" w:cs="Arial"/>
        </w:rPr>
        <w:t xml:space="preserve">各</w:t>
      </w:r>
      <w:r>
        <w:rPr>
          <w:rFonts w:ascii="仿宋" w:hAnsi="仿宋" w:cs="Arial"/>
        </w:rPr>
        <w:t xml:space="preserve">种服务计件数量付费。</w:t>
      </w:r>
      <w:r>
        <w:rPr>
          <w:rFonts w:ascii="宋体" w:hAnsi="宋体" w:cs="宋体"/>
          <w:bCs/>
          <w:szCs w:val="21"/>
        </w:rPr>
      </w:r>
      <w:r/>
    </w:p>
    <w:p>
      <w:pPr>
        <w:pStyle w:val="842"/>
        <w:ind w:firstLine="420"/>
        <w:rPr>
          <w:rFonts w:ascii="宋体" w:hAnsi="宋体" w:cs="宋体"/>
          <w:szCs w:val="21"/>
        </w:rPr>
        <w:outlineLvl w:val="0"/>
      </w:pPr>
      <w:r>
        <w:rPr>
          <w:rFonts w:hint="eastAsia" w:ascii="宋体" w:hAnsi="宋体" w:cs="宋体"/>
          <w:szCs w:val="21"/>
        </w:rPr>
        <w:t xml:space="preserve">4.3服务地点：甲方提供服务地点</w:t>
      </w:r>
      <w:r>
        <w:rPr>
          <w:rFonts w:ascii="宋体" w:hAnsi="宋体" w:cs="宋体"/>
          <w:szCs w:val="21"/>
        </w:rPr>
      </w:r>
      <w:r/>
    </w:p>
    <w:p>
      <w:pPr>
        <w:pStyle w:val="842"/>
        <w:rPr>
          <w:rFonts w:ascii="宋体" w:hAnsi="宋体" w:cs="宋体"/>
          <w:b/>
          <w:bCs/>
          <w:szCs w:val="21"/>
        </w:rPr>
        <w:outlineLvl w:val="0"/>
      </w:pPr>
      <w:r>
        <w:rPr>
          <w:rFonts w:hint="eastAsia" w:ascii="宋体" w:hAnsi="宋体" w:cs="宋体"/>
          <w:b/>
          <w:bCs/>
          <w:szCs w:val="21"/>
        </w:rPr>
        <w:t xml:space="preserve">五、保密条款</w:t>
      </w:r>
      <w:r>
        <w:rPr>
          <w:rFonts w:ascii="宋体" w:hAnsi="宋体" w:cs="宋体"/>
          <w:b/>
          <w:bCs/>
          <w:szCs w:val="21"/>
        </w:rPr>
      </w:r>
      <w:r/>
    </w:p>
    <w:p>
      <w:pPr>
        <w:pStyle w:val="842"/>
        <w:ind w:firstLine="420"/>
        <w:rPr>
          <w:rFonts w:ascii="宋体" w:hAnsi="宋体" w:cs="宋体"/>
          <w:szCs w:val="21"/>
        </w:rPr>
      </w:pPr>
      <w:r>
        <w:rPr>
          <w:rFonts w:hint="eastAsia" w:ascii="宋体" w:hAnsi="宋体" w:cs="宋体"/>
          <w:szCs w:val="21"/>
        </w:rPr>
        <w:t xml:space="preserve">5.1甲乙双方对在本合同签订、履行过程中知悉的对方资料和信息，除该方作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cs="宋体"/>
          <w:szCs w:val="21"/>
        </w:rPr>
      </w:r>
      <w:r/>
    </w:p>
    <w:p>
      <w:pPr>
        <w:pStyle w:val="842"/>
        <w:numPr>
          <w:ilvl w:val="0"/>
          <w:numId w:val="10"/>
        </w:numPr>
        <w:rPr>
          <w:rFonts w:ascii="宋体" w:hAnsi="宋体" w:cs="宋体"/>
          <w:b/>
          <w:szCs w:val="21"/>
        </w:rPr>
      </w:pPr>
      <w:r>
        <w:rPr>
          <w:rFonts w:hint="eastAsia" w:ascii="宋体" w:hAnsi="宋体" w:cs="宋体"/>
          <w:b/>
          <w:szCs w:val="21"/>
        </w:rPr>
        <w:t xml:space="preserve">违约责任：</w:t>
      </w:r>
      <w:r>
        <w:rPr>
          <w:rFonts w:ascii="宋体" w:hAnsi="宋体" w:cs="宋体"/>
          <w:b/>
          <w:szCs w:val="21"/>
        </w:rPr>
      </w:r>
      <w:r/>
    </w:p>
    <w:p>
      <w:pPr>
        <w:pStyle w:val="842"/>
        <w:ind w:firstLine="420"/>
        <w:rPr>
          <w:rFonts w:ascii="宋体" w:hAnsi="宋体" w:cs="宋体"/>
          <w:szCs w:val="21"/>
        </w:rPr>
      </w:pPr>
      <w:r>
        <w:rPr>
          <w:rFonts w:hint="eastAsia" w:ascii="宋体" w:hAnsi="宋体" w:cs="宋体"/>
          <w:szCs w:val="21"/>
        </w:rPr>
        <w:t xml:space="preserve">6.1合同一方不履行合同义务或者履行合同义务不符合约定的，应当承担继续履行、采取补救措施或者赔偿损失等违约责任。</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6.2.甲方违约责任及违约金支付：</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6.2.1在合同生效后，甲方无理由要求解除合同的，应向乙方偿付合同总价款的5%，作为违约金，违约金不足以补偿损失的，乙方有权要求甲方补足。</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6.2.2甲方违反合同规定，无正当理由拒绝接受乙方服务的合格标的物，应承担乙方由此造成的损失。</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6.3.乙方违约责任及违约金支付：</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6.3.1乙方不能按期提供服务，即根据本需求第六条的“服务要求”所约定的各类期限，逾期超过五天，或维护不合格从而影响甲方按期正常使用的（扫描、入卷、归档等质检不合格率达到总工作量2%），应向甲方偿付合同总价5%的违约金，违约金不足以补偿损失的甲方有权要求乙方补足。</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6.3.2乙方不能提供服务，即根据本需求第六条的“服务要求”所约定的各类期限，逾期超过10天，或维护不合格从而影响甲方按期正常使用的（扫描、入卷、归档等质检不合格率达到总工作量5%），构成根本违约，甲方有权要求解除合同，乙方应向甲方偿付合同总价20%的违约金，同时承担甲方因此遭受的损失费用。</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6.3.3每季度末月乙方逾期归档服务数超过5%（含5%）（如截至季度末月未按期完成当期应归档总量超过5%），应按每日/每件20元支付逾期服务违约金，同时承担甲方因此遭受的损失费用。</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6.3.4如乙方在入场后的首季度（以实际入场时间计算三个月）未能按期完成当季度应归档总量的10%（及超过10%），视为不能提供服务，甲方有权要求解除合同，并不再支付首季度的任何服务费用。</w:t>
      </w:r>
      <w:r>
        <w:rPr>
          <w:rFonts w:ascii="宋体" w:hAnsi="宋体" w:cs="宋体"/>
          <w:szCs w:val="21"/>
        </w:rPr>
      </w:r>
      <w:r/>
    </w:p>
    <w:p>
      <w:pPr>
        <w:pStyle w:val="842"/>
        <w:ind w:firstLine="420"/>
        <w:rPr>
          <w:rFonts w:ascii="宋体" w:hAnsi="宋体" w:cs="宋体"/>
          <w:szCs w:val="21"/>
        </w:rPr>
      </w:pPr>
      <w:r>
        <w:rPr>
          <w:rFonts w:hint="eastAsia" w:ascii="宋体" w:hAnsi="宋体" w:cs="宋体"/>
          <w:szCs w:val="21"/>
        </w:rPr>
        <w:t xml:space="preserve">6.3.5第二、三、四季度末月乙方逾期归档服务数超过10%（含10%）（如截至季度末月未按期完成当月应归档总量超过10%），则视为根本违约，甲方有权要求解除合同，乙方应向甲方偿付合同总价20%的违约金，同时承担甲方因此遭受的损失费用。</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6.3.6.其他特殊情况甲乙双方协商解决。</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6.4.不可抗力：</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6.4.1.因不可抗力不能履行合同的，根据不可抗力的影响，部分或者全部免除责任。但合同一方迟延履行后发生不可抗力的，不能免除责任。</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6.4.2.合同一方因不可抗力不能履行合同的，应当及时通知对方，以减轻可能给对方造成的损失，并应当在合理期限内提供证明。</w:t>
      </w:r>
      <w:r>
        <w:rPr>
          <w:rFonts w:ascii="宋体" w:hAnsi="宋体" w:cs="宋体"/>
          <w:szCs w:val="21"/>
        </w:rPr>
      </w:r>
      <w:r/>
    </w:p>
    <w:p>
      <w:pPr>
        <w:pStyle w:val="842"/>
        <w:rPr>
          <w:rFonts w:ascii="宋体" w:hAnsi="宋体" w:cs="宋体"/>
          <w:b/>
          <w:szCs w:val="21"/>
        </w:rPr>
      </w:pPr>
      <w:r>
        <w:rPr>
          <w:rFonts w:hint="eastAsia" w:ascii="宋体" w:hAnsi="宋体" w:cs="宋体"/>
          <w:b/>
          <w:szCs w:val="21"/>
        </w:rPr>
        <w:t xml:space="preserve">七、索赔</w:t>
      </w:r>
      <w:r>
        <w:rPr>
          <w:rFonts w:ascii="宋体" w:hAnsi="宋体" w:cs="宋体"/>
          <w:b/>
          <w:szCs w:val="21"/>
        </w:rPr>
      </w:r>
      <w:r/>
    </w:p>
    <w:p>
      <w:pPr>
        <w:pStyle w:val="842"/>
        <w:rPr>
          <w:rFonts w:ascii="宋体" w:hAnsi="宋体" w:cs="宋体"/>
          <w:szCs w:val="21"/>
        </w:rPr>
      </w:pPr>
      <w:r>
        <w:rPr>
          <w:rFonts w:hint="eastAsia" w:ascii="宋体" w:hAnsi="宋体" w:cs="宋体"/>
          <w:szCs w:val="21"/>
        </w:rPr>
        <w:t xml:space="preserve">    7.1．索赔</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7.1.1.甲方有权根据谈判文件要求向乙方提出索赔。</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7.2.在本合同规定的服务期限及质量保证期内，如果乙方对甲方提出的索赔或差异有责任，则乙方应按甲方同意的下列一中或多种方式解决索赔事宜：</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7.2.1.乙方同意终止服务，并按合同规定的货币将服务款退还给甲方，并承担由此发生的一切损失和费用，包括利息、银行手续费、运费、保险费、检验费、仓储费、装卸费以及为保护退回所需的设备的其他必要费用。</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7.2.2.用符合规格、质量和性能要求的服务来更换有缺陷的部分或修补缺陷部分，乙方应承担一切费用和风险并负担甲方所发生的一切直接费用。同时，乙方应按合同规定，相应延长修补服务的质量保证期。</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7.3.如果在甲方发出索赔通知后七天内，乙方未能答复，上述索赔应视为已被方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r>
        <w:rPr>
          <w:rFonts w:ascii="宋体" w:hAnsi="宋体" w:cs="宋体"/>
          <w:szCs w:val="21"/>
        </w:rPr>
      </w:r>
      <w:r/>
    </w:p>
    <w:p>
      <w:pPr>
        <w:pStyle w:val="842"/>
        <w:rPr>
          <w:rFonts w:ascii="宋体" w:hAnsi="宋体" w:cs="宋体"/>
          <w:szCs w:val="21"/>
        </w:rPr>
      </w:pPr>
      <w:r>
        <w:rPr>
          <w:rFonts w:hint="eastAsia" w:ascii="宋体" w:hAnsi="宋体" w:cs="宋体"/>
          <w:b/>
          <w:szCs w:val="21"/>
        </w:rPr>
        <w:t xml:space="preserve">八、责任：</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凡发生的一切安全事故，按国家规定的手续和程序进行处理，责任由责任方自负。</w:t>
      </w:r>
      <w:r>
        <w:rPr>
          <w:rFonts w:ascii="宋体" w:hAnsi="宋体" w:cs="宋体"/>
          <w:szCs w:val="21"/>
        </w:rPr>
      </w:r>
      <w:r/>
    </w:p>
    <w:p>
      <w:pPr>
        <w:pStyle w:val="842"/>
        <w:rPr>
          <w:rFonts w:ascii="宋体" w:hAnsi="宋体" w:cs="宋体"/>
          <w:b/>
          <w:szCs w:val="21"/>
        </w:rPr>
      </w:pPr>
      <w:r>
        <w:rPr>
          <w:rFonts w:hint="eastAsia" w:ascii="宋体" w:hAnsi="宋体" w:cs="宋体"/>
          <w:b/>
          <w:szCs w:val="21"/>
        </w:rPr>
        <w:t xml:space="preserve">九、合同的解除和转让：</w:t>
      </w:r>
      <w:r>
        <w:rPr>
          <w:rFonts w:ascii="宋体" w:hAnsi="宋体" w:cs="宋体"/>
          <w:b/>
          <w:szCs w:val="21"/>
        </w:rPr>
      </w:r>
      <w:r/>
    </w:p>
    <w:p>
      <w:pPr>
        <w:pStyle w:val="842"/>
        <w:rPr>
          <w:rFonts w:ascii="宋体" w:hAnsi="宋体" w:cs="宋体"/>
          <w:szCs w:val="21"/>
        </w:rPr>
      </w:pPr>
      <w:r>
        <w:rPr>
          <w:rFonts w:hint="eastAsia" w:ascii="宋体" w:hAnsi="宋体" w:cs="宋体"/>
          <w:szCs w:val="21"/>
        </w:rPr>
        <w:t xml:space="preserve">    9.1.合同的解除</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9.1.1.有下列情形之一，合同一方可以解除合同：</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9.1.1.1.因不可抗力致使不能实现合同目的，未受不可抗力影响的一方有权解除合同；</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9.1.1.2.因合同一方违约导致合同不能履行，另一方有权解除合同。</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9.1.1.3.有权解除合同的一方，应当在违约事实或不可抗力发生之后三十天内书面通知对方以主张解除合同，合同在书面通知到达对方时解除。</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9.2.合同的转让</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合同的部分和全部都不得转让。</w:t>
      </w:r>
      <w:r>
        <w:rPr>
          <w:rFonts w:ascii="宋体" w:hAnsi="宋体" w:cs="宋体"/>
          <w:szCs w:val="21"/>
        </w:rPr>
      </w:r>
      <w:r/>
    </w:p>
    <w:p>
      <w:pPr>
        <w:pStyle w:val="842"/>
        <w:rPr>
          <w:rFonts w:ascii="宋体" w:hAnsi="宋体" w:cs="宋体"/>
          <w:b/>
          <w:szCs w:val="21"/>
        </w:rPr>
      </w:pPr>
      <w:r>
        <w:rPr>
          <w:rFonts w:hint="eastAsia" w:ascii="宋体" w:hAnsi="宋体" w:cs="宋体"/>
          <w:b/>
          <w:szCs w:val="21"/>
        </w:rPr>
        <w:t xml:space="preserve">十、合同的生效：</w:t>
      </w:r>
      <w:r>
        <w:rPr>
          <w:rFonts w:ascii="宋体" w:hAnsi="宋体" w:cs="宋体"/>
          <w:b/>
          <w:szCs w:val="21"/>
        </w:rPr>
      </w:r>
      <w:r/>
    </w:p>
    <w:p>
      <w:pPr>
        <w:pStyle w:val="842"/>
        <w:ind w:firstLine="315"/>
        <w:rPr>
          <w:rFonts w:ascii="宋体" w:hAnsi="宋体" w:cs="宋体"/>
          <w:szCs w:val="21"/>
        </w:rPr>
      </w:pPr>
      <w:r>
        <w:rPr>
          <w:rFonts w:hint="eastAsia" w:ascii="宋体" w:hAnsi="宋体" w:cs="宋体"/>
          <w:szCs w:val="21"/>
        </w:rPr>
        <w:t xml:space="preserve">甲、乙双方代表在合同上签字盖章（公章或合同章）后生效。生效后的合同需上传至苏州政府采购网公示。</w:t>
      </w:r>
      <w:r>
        <w:rPr>
          <w:rFonts w:ascii="宋体" w:hAnsi="宋体" w:cs="宋体"/>
          <w:szCs w:val="21"/>
        </w:rPr>
      </w:r>
      <w:r/>
    </w:p>
    <w:p>
      <w:pPr>
        <w:pStyle w:val="842"/>
        <w:rPr>
          <w:rFonts w:ascii="宋体" w:hAnsi="宋体" w:cs="宋体"/>
          <w:b/>
          <w:szCs w:val="21"/>
        </w:rPr>
      </w:pPr>
      <w:r>
        <w:rPr>
          <w:rFonts w:hint="eastAsia" w:ascii="宋体" w:hAnsi="宋体" w:cs="宋体"/>
          <w:b/>
          <w:szCs w:val="21"/>
        </w:rPr>
        <w:t xml:space="preserve">十一、争议解决：</w:t>
      </w:r>
      <w:r>
        <w:rPr>
          <w:rFonts w:ascii="宋体" w:hAnsi="宋体" w:cs="宋体"/>
          <w:b/>
          <w:szCs w:val="21"/>
        </w:rPr>
      </w:r>
      <w:r/>
    </w:p>
    <w:p>
      <w:pPr>
        <w:pStyle w:val="842"/>
        <w:rPr>
          <w:rFonts w:ascii="宋体" w:hAnsi="宋体" w:cs="宋体"/>
          <w:szCs w:val="21"/>
        </w:rPr>
      </w:pPr>
      <w:r>
        <w:rPr>
          <w:rFonts w:hint="eastAsia" w:ascii="宋体" w:hAnsi="宋体" w:cs="宋体"/>
          <w:szCs w:val="21"/>
        </w:rPr>
        <w:t xml:space="preserve">    甲乙双方因合同发生争议，签约双方应友好协商解决。协商不成，任何一方可以向甲方所在地人民法院起诉。</w:t>
      </w:r>
      <w:r>
        <w:rPr>
          <w:rFonts w:ascii="宋体" w:hAnsi="宋体" w:cs="宋体"/>
          <w:szCs w:val="21"/>
        </w:rPr>
      </w:r>
      <w:r/>
    </w:p>
    <w:p>
      <w:pPr>
        <w:pStyle w:val="842"/>
        <w:rPr>
          <w:rFonts w:ascii="宋体" w:hAnsi="宋体" w:cs="宋体"/>
          <w:b/>
          <w:szCs w:val="21"/>
        </w:rPr>
      </w:pPr>
      <w:r>
        <w:rPr>
          <w:rFonts w:hint="eastAsia" w:ascii="宋体" w:hAnsi="宋体" w:cs="宋体"/>
          <w:b/>
          <w:szCs w:val="21"/>
        </w:rPr>
        <w:t xml:space="preserve">十二、其他附则：</w:t>
      </w:r>
      <w:r>
        <w:rPr>
          <w:rFonts w:ascii="宋体" w:hAnsi="宋体" w:cs="宋体"/>
          <w:b/>
          <w:szCs w:val="21"/>
        </w:rPr>
      </w:r>
      <w:r/>
    </w:p>
    <w:p>
      <w:pPr>
        <w:pStyle w:val="842"/>
        <w:ind w:firstLine="420"/>
        <w:rPr>
          <w:rFonts w:ascii="宋体" w:hAnsi="宋体" w:cs="宋体"/>
          <w:szCs w:val="21"/>
          <w:lang w:val="zh-CN"/>
        </w:rPr>
      </w:pPr>
      <w:r>
        <w:rPr>
          <w:rFonts w:hint="eastAsia" w:ascii="宋体" w:hAnsi="宋体" w:cs="宋体"/>
          <w:szCs w:val="21"/>
        </w:rPr>
        <w:t xml:space="preserve">12.1.</w:t>
      </w:r>
      <w:r>
        <w:rPr>
          <w:rFonts w:hint="eastAsia" w:ascii="宋体" w:hAnsi="宋体" w:cs="宋体"/>
          <w:szCs w:val="21"/>
          <w:lang w:val="zh-CN"/>
        </w:rPr>
        <w:t xml:space="preserve">合同份数：本合同一式</w:t>
      </w:r>
      <w:r>
        <w:rPr>
          <w:rFonts w:hint="eastAsia" w:ascii="宋体" w:hAnsi="宋体" w:cs="宋体"/>
          <w:szCs w:val="21"/>
        </w:rPr>
        <w:t xml:space="preserve">陆</w:t>
      </w:r>
      <w:r>
        <w:rPr>
          <w:rFonts w:hint="eastAsia" w:ascii="宋体" w:hAnsi="宋体" w:cs="宋体"/>
          <w:szCs w:val="21"/>
          <w:lang w:val="zh-CN"/>
        </w:rPr>
        <w:t xml:space="preserve">份，甲乙双方各执</w:t>
      </w:r>
      <w:r>
        <w:rPr>
          <w:rFonts w:hint="eastAsia" w:ascii="宋体" w:hAnsi="宋体" w:cs="宋体"/>
          <w:szCs w:val="21"/>
        </w:rPr>
        <w:t xml:space="preserve">贰</w:t>
      </w:r>
      <w:r>
        <w:rPr>
          <w:rFonts w:hint="eastAsia" w:ascii="宋体" w:hAnsi="宋体" w:cs="宋体"/>
          <w:szCs w:val="21"/>
          <w:lang w:val="zh-CN"/>
        </w:rPr>
        <w:t xml:space="preserve">份，招标代理机构</w:t>
      </w:r>
      <w:r>
        <w:rPr>
          <w:rFonts w:hint="eastAsia" w:ascii="宋体" w:hAnsi="宋体" w:cs="宋体"/>
          <w:szCs w:val="21"/>
        </w:rPr>
        <w:t xml:space="preserve">壹</w:t>
      </w:r>
      <w:r>
        <w:rPr>
          <w:rFonts w:hint="eastAsia" w:ascii="宋体" w:hAnsi="宋体" w:cs="宋体"/>
          <w:szCs w:val="21"/>
          <w:lang w:val="zh-CN"/>
        </w:rPr>
        <w:t xml:space="preserve">份，政府采购管理部门</w:t>
      </w:r>
      <w:r>
        <w:rPr>
          <w:rFonts w:hint="eastAsia" w:ascii="宋体" w:hAnsi="宋体" w:cs="宋体"/>
          <w:szCs w:val="21"/>
        </w:rPr>
        <w:t xml:space="preserve">壹</w:t>
      </w:r>
      <w:r>
        <w:rPr>
          <w:rFonts w:hint="eastAsia" w:ascii="宋体" w:hAnsi="宋体" w:cs="宋体"/>
          <w:szCs w:val="21"/>
          <w:lang w:val="zh-CN"/>
        </w:rPr>
        <w:t xml:space="preserve">份。</w:t>
      </w:r>
      <w:r>
        <w:rPr>
          <w:rFonts w:ascii="宋体" w:hAnsi="宋体" w:cs="宋体"/>
          <w:szCs w:val="21"/>
          <w:lang w:val="zh-CN"/>
        </w:rPr>
      </w:r>
      <w:r/>
    </w:p>
    <w:p>
      <w:pPr>
        <w:pStyle w:val="842"/>
        <w:ind w:firstLine="420"/>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rPr>
          <w:rFonts w:ascii="宋体" w:hAnsi="宋体" w:cs="宋体"/>
          <w:szCs w:val="21"/>
          <w:lang w:val="zh-CN"/>
        </w:rPr>
      </w:r>
      <w:r/>
    </w:p>
    <w:p>
      <w:pPr>
        <w:pStyle w:val="842"/>
        <w:ind w:firstLine="420"/>
        <w:rPr>
          <w:rFonts w:ascii="宋体" w:hAnsi="宋体" w:cs="宋体"/>
          <w:szCs w:val="21"/>
          <w:lang w:val="zh-CN"/>
        </w:rPr>
      </w:pPr>
      <w:r>
        <w:rPr>
          <w:rFonts w:hint="eastAsia" w:ascii="宋体" w:hAnsi="宋体" w:cs="宋体"/>
          <w:szCs w:val="21"/>
          <w:lang w:val="zh-CN"/>
        </w:rPr>
        <w:t xml:space="preserve">注：合同条款内容将根据成交单位承诺的实际内容进行调整。</w:t>
      </w:r>
      <w:r>
        <w:rPr>
          <w:rFonts w:ascii="宋体" w:hAnsi="宋体" w:cs="宋体"/>
          <w:szCs w:val="21"/>
          <w:lang w:val="zh-CN"/>
        </w:rPr>
      </w:r>
      <w:r/>
    </w:p>
    <w:p>
      <w:pPr>
        <w:pStyle w:val="909"/>
        <w:rPr>
          <w:rFonts w:hAnsi="宋体" w:cs="宋体"/>
          <w:szCs w:val="21"/>
          <w:lang w:val="zh-CN"/>
        </w:rPr>
      </w:pPr>
      <w:r>
        <w:rPr>
          <w:rFonts w:hAnsi="宋体" w:cs="宋体"/>
          <w:szCs w:val="21"/>
          <w:lang w:val="zh-CN"/>
        </w:rPr>
      </w:r>
      <w:r/>
    </w:p>
    <w:p>
      <w:pPr>
        <w:pStyle w:val="842"/>
        <w:rPr>
          <w:lang w:val="zh-CN"/>
        </w:rPr>
      </w:pPr>
      <w:r>
        <w:rPr>
          <w:lang w:val="zh-CN"/>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7"/>
        <w:gridCol w:w="4459"/>
      </w:tblGrid>
      <w:tr>
        <w:trPr/>
        <w:tc>
          <w:tcPr>
            <w:tcW w:w="4827" w:type="dxa"/>
            <w:vAlign w:val="top"/>
            <w:textDirection w:val="lrTb"/>
            <w:noWrap/>
          </w:tcPr>
          <w:p>
            <w:pPr>
              <w:pStyle w:val="842"/>
              <w:spacing w:line="400" w:lineRule="exact"/>
              <w:tabs>
                <w:tab w:val="left" w:pos="0" w:leader="none"/>
              </w:tabs>
              <w:rPr>
                <w:rFonts w:ascii="宋体" w:hAnsi="宋体" w:cs="宋体"/>
                <w:szCs w:val="21"/>
              </w:rPr>
            </w:pPr>
            <w:r>
              <w:rPr>
                <w:rFonts w:hint="eastAsia" w:ascii="宋体" w:hAnsi="宋体" w:cs="宋体"/>
                <w:szCs w:val="21"/>
              </w:rPr>
              <w:t xml:space="preserve">甲方（签章）：</w:t>
            </w:r>
            <w:r>
              <w:rPr>
                <w:rFonts w:ascii="宋体" w:hAnsi="宋体" w:cs="宋体"/>
                <w:szCs w:val="21"/>
              </w:rPr>
            </w:r>
            <w:r/>
          </w:p>
          <w:p>
            <w:pPr>
              <w:pStyle w:val="909"/>
              <w:rPr>
                <w:rFonts w:hAnsi="宋体" w:cs="宋体"/>
              </w:rPr>
            </w:pPr>
            <w:r>
              <w:rPr>
                <w:rFonts w:hAnsi="宋体" w:cs="宋体"/>
              </w:rPr>
            </w:r>
            <w:r/>
          </w:p>
          <w:p>
            <w:pPr>
              <w:pStyle w:val="842"/>
              <w:rPr>
                <w:rFonts w:ascii="宋体" w:hAnsi="宋体" w:cs="宋体"/>
              </w:rPr>
            </w:pPr>
            <w:r>
              <w:rPr>
                <w:rFonts w:ascii="宋体" w:hAnsi="宋体" w:cs="宋体"/>
              </w:rPr>
            </w:r>
            <w:r/>
          </w:p>
          <w:p>
            <w:pPr>
              <w:pStyle w:val="842"/>
              <w:spacing w:line="400" w:lineRule="exact"/>
              <w:tabs>
                <w:tab w:val="left" w:pos="0" w:leader="none"/>
              </w:tabs>
              <w:rPr>
                <w:rFonts w:ascii="宋体" w:hAnsi="宋体" w:cs="宋体"/>
                <w:szCs w:val="21"/>
              </w:rPr>
            </w:pPr>
            <w:r>
              <w:rPr>
                <w:rFonts w:hint="eastAsia" w:ascii="宋体" w:hAnsi="宋体" w:cs="宋体"/>
                <w:szCs w:val="21"/>
              </w:rPr>
              <w:t xml:space="preserve">法人代表                </w:t>
            </w:r>
            <w:r>
              <w:rPr>
                <w:rFonts w:ascii="宋体" w:hAnsi="宋体" w:cs="宋体"/>
                <w:szCs w:val="21"/>
              </w:rPr>
            </w:r>
            <w:r/>
          </w:p>
          <w:p>
            <w:pPr>
              <w:pStyle w:val="842"/>
              <w:spacing w:line="400" w:lineRule="exact"/>
              <w:tabs>
                <w:tab w:val="left" w:pos="0" w:leader="none"/>
              </w:tabs>
              <w:rPr>
                <w:rFonts w:ascii="宋体" w:hAnsi="宋体" w:cs="宋体"/>
                <w:szCs w:val="21"/>
              </w:rPr>
            </w:pPr>
            <w:r>
              <w:rPr>
                <w:rFonts w:hint="eastAsia" w:ascii="宋体" w:hAnsi="宋体" w:cs="宋体"/>
                <w:szCs w:val="21"/>
              </w:rPr>
              <w:t xml:space="preserve">或其授权代理人（签章）：</w:t>
            </w:r>
            <w:r>
              <w:rPr>
                <w:rFonts w:ascii="宋体" w:hAnsi="宋体" w:cs="宋体"/>
                <w:szCs w:val="21"/>
              </w:rPr>
            </w:r>
            <w:r/>
          </w:p>
          <w:p>
            <w:pPr>
              <w:pStyle w:val="842"/>
              <w:spacing w:line="400" w:lineRule="exact"/>
              <w:tabs>
                <w:tab w:val="left" w:pos="0" w:leader="none"/>
              </w:tabs>
              <w:rPr>
                <w:rFonts w:ascii="宋体" w:hAnsi="宋体" w:cs="宋体"/>
                <w:szCs w:val="21"/>
              </w:rPr>
            </w:pPr>
            <w:r>
              <w:rPr>
                <w:rFonts w:ascii="宋体" w:hAnsi="宋体" w:cs="宋体"/>
                <w:szCs w:val="21"/>
              </w:rPr>
            </w:r>
            <w:r/>
          </w:p>
          <w:p>
            <w:pPr>
              <w:pStyle w:val="842"/>
              <w:spacing w:line="400" w:lineRule="exact"/>
              <w:tabs>
                <w:tab w:val="left" w:pos="0" w:leader="none"/>
              </w:tabs>
              <w:rPr>
                <w:rFonts w:ascii="宋体" w:hAnsi="宋体" w:cs="宋体"/>
                <w:szCs w:val="21"/>
              </w:rPr>
            </w:pPr>
            <w:r>
              <w:rPr>
                <w:rFonts w:ascii="宋体" w:hAnsi="宋体" w:cs="宋体"/>
                <w:szCs w:val="21"/>
              </w:rPr>
            </w:r>
            <w:r/>
          </w:p>
          <w:p>
            <w:pPr>
              <w:pStyle w:val="842"/>
              <w:ind w:firstLine="1890"/>
              <w:spacing w:line="400" w:lineRule="exact"/>
              <w:tabs>
                <w:tab w:val="left" w:pos="0" w:leader="none"/>
              </w:tabs>
              <w:rPr>
                <w:rFonts w:ascii="宋体" w:hAnsi="宋体" w:cs="宋体"/>
                <w:szCs w:val="21"/>
              </w:rPr>
            </w:pPr>
            <w:r>
              <w:rPr>
                <w:rFonts w:hint="eastAsia" w:ascii="宋体" w:hAnsi="宋体" w:cs="宋体"/>
                <w:szCs w:val="21"/>
              </w:rPr>
              <w:t xml:space="preserve">年   月   日    </w:t>
            </w:r>
            <w:r>
              <w:rPr>
                <w:rFonts w:ascii="宋体" w:hAnsi="宋体" w:cs="宋体"/>
                <w:szCs w:val="21"/>
              </w:rPr>
            </w:r>
            <w:r/>
          </w:p>
        </w:tc>
        <w:tc>
          <w:tcPr>
            <w:tcW w:w="4459" w:type="dxa"/>
            <w:vAlign w:val="top"/>
            <w:textDirection w:val="lrTb"/>
            <w:noWrap/>
          </w:tcPr>
          <w:p>
            <w:pPr>
              <w:pStyle w:val="842"/>
              <w:spacing w:line="400" w:lineRule="exact"/>
              <w:tabs>
                <w:tab w:val="left" w:pos="0" w:leader="none"/>
              </w:tabs>
              <w:rPr>
                <w:rFonts w:ascii="宋体" w:hAnsi="宋体" w:cs="宋体"/>
                <w:szCs w:val="21"/>
              </w:rPr>
            </w:pPr>
            <w:r>
              <w:rPr>
                <w:rFonts w:hint="eastAsia" w:ascii="宋体" w:hAnsi="宋体" w:cs="宋体"/>
                <w:szCs w:val="21"/>
              </w:rPr>
              <w:t xml:space="preserve">乙方（签章）：</w:t>
            </w:r>
            <w:r>
              <w:rPr>
                <w:rFonts w:ascii="宋体" w:hAnsi="宋体" w:cs="宋体"/>
                <w:szCs w:val="21"/>
              </w:rPr>
            </w:r>
            <w:r/>
          </w:p>
          <w:p>
            <w:pPr>
              <w:pStyle w:val="909"/>
              <w:rPr>
                <w:rFonts w:hAnsi="宋体" w:cs="宋体"/>
                <w:szCs w:val="21"/>
              </w:rPr>
            </w:pPr>
            <w:r>
              <w:rPr>
                <w:rFonts w:hAnsi="宋体" w:cs="宋体"/>
                <w:szCs w:val="21"/>
              </w:rPr>
            </w:r>
            <w:r/>
          </w:p>
          <w:p>
            <w:pPr>
              <w:pStyle w:val="842"/>
              <w:rPr>
                <w:rFonts w:ascii="宋体" w:hAnsi="宋体" w:cs="宋体"/>
              </w:rPr>
            </w:pPr>
            <w:r>
              <w:rPr>
                <w:rFonts w:ascii="宋体" w:hAnsi="宋体" w:cs="宋体"/>
              </w:rPr>
            </w:r>
            <w:r/>
          </w:p>
          <w:p>
            <w:pPr>
              <w:pStyle w:val="842"/>
              <w:spacing w:line="400" w:lineRule="exact"/>
              <w:tabs>
                <w:tab w:val="left" w:pos="0" w:leader="none"/>
              </w:tabs>
              <w:rPr>
                <w:rFonts w:ascii="宋体" w:hAnsi="宋体" w:cs="宋体"/>
                <w:szCs w:val="21"/>
              </w:rPr>
            </w:pPr>
            <w:r>
              <w:rPr>
                <w:rFonts w:hint="eastAsia" w:ascii="宋体" w:hAnsi="宋体" w:cs="宋体"/>
                <w:szCs w:val="21"/>
              </w:rPr>
              <w:t xml:space="preserve">法人代表</w:t>
            </w:r>
            <w:r>
              <w:rPr>
                <w:rFonts w:ascii="宋体" w:hAnsi="宋体" w:cs="宋体"/>
                <w:szCs w:val="21"/>
              </w:rPr>
            </w:r>
            <w:r/>
          </w:p>
          <w:p>
            <w:pPr>
              <w:pStyle w:val="842"/>
              <w:spacing w:line="400" w:lineRule="exact"/>
              <w:tabs>
                <w:tab w:val="left" w:pos="0" w:leader="none"/>
              </w:tabs>
              <w:rPr>
                <w:rFonts w:ascii="宋体" w:hAnsi="宋体" w:cs="宋体"/>
                <w:szCs w:val="21"/>
              </w:rPr>
            </w:pPr>
            <w:r>
              <w:rPr>
                <w:rFonts w:hint="eastAsia" w:ascii="宋体" w:hAnsi="宋体" w:cs="宋体"/>
                <w:szCs w:val="21"/>
              </w:rPr>
              <w:t xml:space="preserve">或其授权代理人（签章）：</w:t>
            </w:r>
            <w:r>
              <w:rPr>
                <w:rFonts w:ascii="宋体" w:hAnsi="宋体" w:cs="宋体"/>
                <w:szCs w:val="21"/>
              </w:rPr>
            </w:r>
            <w:r/>
          </w:p>
          <w:p>
            <w:pPr>
              <w:pStyle w:val="842"/>
              <w:spacing w:line="400" w:lineRule="exact"/>
              <w:tabs>
                <w:tab w:val="left" w:pos="0" w:leader="none"/>
              </w:tabs>
              <w:rPr>
                <w:rFonts w:ascii="宋体" w:hAnsi="宋体" w:cs="宋体"/>
                <w:szCs w:val="21"/>
              </w:rPr>
            </w:pPr>
            <w:r>
              <w:rPr>
                <w:rFonts w:ascii="宋体" w:hAnsi="宋体" w:cs="宋体"/>
                <w:szCs w:val="21"/>
              </w:rPr>
            </w:r>
            <w:r/>
          </w:p>
          <w:p>
            <w:pPr>
              <w:pStyle w:val="842"/>
              <w:spacing w:line="400" w:lineRule="exact"/>
              <w:tabs>
                <w:tab w:val="left" w:pos="0" w:leader="none"/>
              </w:tabs>
              <w:rPr>
                <w:rFonts w:ascii="宋体" w:hAnsi="宋体" w:cs="宋体"/>
                <w:szCs w:val="21"/>
              </w:rPr>
            </w:pPr>
            <w:r>
              <w:rPr>
                <w:rFonts w:ascii="宋体" w:hAnsi="宋体" w:cs="宋体"/>
                <w:szCs w:val="21"/>
              </w:rPr>
            </w:r>
            <w:r/>
          </w:p>
          <w:p>
            <w:pPr>
              <w:pStyle w:val="842"/>
              <w:ind w:firstLine="1470"/>
              <w:spacing w:line="400" w:lineRule="exact"/>
              <w:tabs>
                <w:tab w:val="left" w:pos="0" w:leader="none"/>
              </w:tabs>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bl>
    <w:p>
      <w:pPr>
        <w:pStyle w:val="842"/>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50"/>
        <w:jc w:val="left"/>
        <w:rPr>
          <w:rFonts w:ascii="宋体" w:hAnsi="宋体" w:cs="宋体"/>
          <w:b/>
          <w:bCs/>
          <w:sz w:val="21"/>
          <w:szCs w:val="21"/>
        </w:rPr>
      </w:pPr>
      <w:r>
        <w:rPr>
          <w:rFonts w:hint="eastAsia" w:ascii="宋体" w:hAnsi="宋体" w:cs="宋体"/>
          <w:b/>
          <w:bCs/>
          <w:sz w:val="21"/>
          <w:szCs w:val="21"/>
        </w:rPr>
        <w:t xml:space="preserve">附件一：</w:t>
      </w:r>
      <w:r>
        <w:rPr>
          <w:rFonts w:ascii="宋体" w:hAnsi="宋体" w:cs="宋体"/>
          <w:b/>
          <w:bCs/>
          <w:sz w:val="21"/>
          <w:szCs w:val="21"/>
        </w:rPr>
      </w:r>
      <w:r/>
    </w:p>
    <w:p>
      <w:pPr>
        <w:pStyle w:val="842"/>
        <w:jc w:val="center"/>
        <w:rPr>
          <w:rFonts w:ascii="宋体" w:hAnsi="宋体" w:cs="宋体"/>
          <w:b/>
          <w:bCs/>
          <w:spacing w:val="20"/>
          <w:sz w:val="28"/>
          <w:szCs w:val="28"/>
        </w:rPr>
      </w:pPr>
      <w:r>
        <w:rPr>
          <w:rFonts w:hint="eastAsia" w:ascii="宋体" w:hAnsi="宋体" w:cs="宋体"/>
          <w:b/>
          <w:bCs/>
          <w:spacing w:val="20"/>
          <w:sz w:val="28"/>
          <w:szCs w:val="28"/>
        </w:rPr>
        <w:t xml:space="preserve">苏州市吴江区人民法院无纸化办案考核细则表</w:t>
      </w:r>
      <w:r>
        <w:rPr>
          <w:rFonts w:ascii="宋体" w:hAnsi="宋体" w:cs="宋体"/>
          <w:b/>
          <w:bCs/>
          <w:spacing w:val="20"/>
          <w:sz w:val="28"/>
          <w:szCs w:val="28"/>
        </w:rPr>
      </w:r>
      <w:r/>
    </w:p>
    <w:tbl>
      <w:tblPr>
        <w:tblpPr w:horzAnchor="margin" w:tblpXSpec="center" w:vertAnchor="text" w:tblpY="314" w:leftFromText="180" w:topFromText="0" w:rightFromText="180" w:bottomFromText="0"/>
        <w:tblW w:w="86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546"/>
        <w:gridCol w:w="3870"/>
        <w:gridCol w:w="618"/>
        <w:gridCol w:w="711"/>
        <w:gridCol w:w="1235"/>
      </w:tblGrid>
      <w:tr>
        <w:trPr>
          <w:trHeight w:val="450"/>
        </w:trPr>
        <w:tc>
          <w:tcPr>
            <w:gridSpan w:val="6"/>
            <w:tcW w:w="8616" w:type="dxa"/>
            <w:vAlign w:val="bottom"/>
            <w:textDirection w:val="lrTb"/>
            <w:noWrap/>
          </w:tcPr>
          <w:p>
            <w:pPr>
              <w:pStyle w:val="842"/>
              <w:ind w:right="480"/>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考核周期（三个月一次）：</w:t>
            </w:r>
            <w:r>
              <w:rPr>
                <w:rFonts w:ascii="宋体" w:hAnsi="宋体" w:cs="宋体"/>
                <w:b/>
                <w:bCs/>
                <w:szCs w:val="21"/>
              </w:rPr>
            </w:r>
            <w:r/>
          </w:p>
        </w:tc>
      </w:tr>
      <w:tr>
        <w:trPr>
          <w:trHeight w:val="450"/>
        </w:trPr>
        <w:tc>
          <w:tcPr>
            <w:tcW w:w="636"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序号</w:t>
            </w:r>
            <w:r>
              <w:rPr>
                <w:rFonts w:ascii="宋体" w:hAnsi="宋体" w:cs="宋体"/>
                <w:b/>
                <w:bCs/>
                <w:szCs w:val="21"/>
              </w:rPr>
            </w:r>
            <w:r/>
          </w:p>
        </w:tc>
        <w:tc>
          <w:tcPr>
            <w:tcW w:w="1546" w:type="dxa"/>
            <w:vAlign w:val="center"/>
            <w:textDirection w:val="lrTb"/>
            <w:noWrap/>
          </w:tcPr>
          <w:p>
            <w:pPr>
              <w:pStyle w:val="842"/>
              <w:ind w:left="251" w:hanging="251"/>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考核内容</w:t>
            </w:r>
            <w:r>
              <w:rPr>
                <w:rFonts w:ascii="宋体" w:hAnsi="宋体" w:cs="宋体"/>
                <w:b/>
                <w:bCs/>
                <w:szCs w:val="21"/>
              </w:rPr>
            </w:r>
            <w:r/>
          </w:p>
        </w:tc>
        <w:tc>
          <w:tcPr>
            <w:tcW w:w="3870"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考核细则</w:t>
            </w:r>
            <w:r>
              <w:rPr>
                <w:rFonts w:ascii="宋体" w:hAnsi="宋体" w:cs="宋体"/>
                <w:b/>
                <w:bCs/>
                <w:szCs w:val="21"/>
              </w:rPr>
            </w:r>
            <w:r/>
          </w:p>
        </w:tc>
        <w:tc>
          <w:tcPr>
            <w:tcW w:w="618"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分值</w:t>
            </w:r>
            <w:r>
              <w:rPr>
                <w:rFonts w:ascii="宋体" w:hAnsi="宋体" w:cs="宋体"/>
                <w:b/>
                <w:bCs/>
                <w:szCs w:val="21"/>
              </w:rPr>
            </w:r>
            <w:r/>
          </w:p>
        </w:tc>
        <w:tc>
          <w:tcPr>
            <w:tcW w:w="711" w:type="dxa"/>
            <w:vAlign w:val="center"/>
            <w:textDirection w:val="lrTb"/>
            <w:noWrap/>
          </w:tcPr>
          <w:p>
            <w:pPr>
              <w:pStyle w:val="842"/>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考核分值</w:t>
            </w:r>
            <w:r>
              <w:rPr>
                <w:rFonts w:ascii="宋体" w:hAnsi="宋体" w:cs="宋体"/>
                <w:b/>
                <w:bCs/>
                <w:szCs w:val="21"/>
              </w:rPr>
            </w:r>
            <w:r/>
          </w:p>
        </w:tc>
        <w:tc>
          <w:tcPr>
            <w:tcW w:w="1235"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备注</w:t>
            </w:r>
            <w:r>
              <w:rPr>
                <w:rFonts w:hint="eastAsia" w:ascii="宋体" w:hAnsi="宋体" w:cs="宋体"/>
                <w:szCs w:val="21"/>
              </w:rPr>
              <w:t xml:space="preserve">(突发事件处理得当可加分）</w:t>
            </w:r>
            <w:r>
              <w:rPr>
                <w:rFonts w:ascii="宋体" w:hAnsi="宋体" w:cs="宋体"/>
                <w:b/>
                <w:bCs/>
                <w:szCs w:val="21"/>
              </w:rPr>
            </w:r>
            <w:r/>
          </w:p>
        </w:tc>
      </w:tr>
      <w:tr>
        <w:trPr>
          <w:cantSplit/>
          <w:trHeight w:val="420"/>
        </w:trPr>
        <w:tc>
          <w:tcPr>
            <w:tcW w:w="636" w:type="dxa"/>
            <w:vAlign w:val="center"/>
            <w:vMerge w:val="restart"/>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(一)</w:t>
            </w:r>
            <w:r>
              <w:rPr>
                <w:rFonts w:ascii="宋体" w:hAnsi="宋体" w:cs="宋体"/>
                <w:szCs w:val="21"/>
              </w:rPr>
            </w:r>
            <w:r/>
          </w:p>
        </w:tc>
        <w:tc>
          <w:tcPr>
            <w:tcW w:w="1546" w:type="dxa"/>
            <w:vAlign w:val="center"/>
            <w:vMerge w:val="restart"/>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内部管理</w:t>
            </w:r>
            <w:r>
              <w:rPr>
                <w:rFonts w:ascii="宋体" w:hAnsi="宋体" w:cs="宋体"/>
                <w:szCs w:val="21"/>
              </w:rPr>
            </w:r>
            <w:r/>
          </w:p>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(25分）</w:t>
            </w: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人员配置到位</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　</w:t>
            </w:r>
            <w:r>
              <w:rPr>
                <w:rFonts w:ascii="宋体" w:hAnsi="宋体" w:cs="宋体"/>
                <w:b/>
                <w:bCs/>
                <w:szCs w:val="21"/>
              </w:rPr>
            </w:r>
            <w:r/>
          </w:p>
        </w:tc>
        <w:tc>
          <w:tcPr>
            <w:tcW w:w="1235" w:type="dxa"/>
            <w:vAlign w:val="center"/>
            <w:textDirection w:val="lrTb"/>
            <w:noWrap/>
          </w:tcPr>
          <w:p>
            <w:pPr>
              <w:pStyle w:val="842"/>
              <w:jc w:val="center"/>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　</w:t>
            </w:r>
            <w:r>
              <w:rPr>
                <w:rFonts w:ascii="宋体" w:hAnsi="宋体" w:cs="宋体"/>
                <w:b/>
                <w:bCs/>
                <w:szCs w:val="21"/>
              </w:rPr>
            </w:r>
            <w:r/>
          </w:p>
        </w:tc>
      </w:tr>
      <w:tr>
        <w:trPr>
          <w:cantSplit/>
          <w:trHeight w:val="724"/>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遵守工作日上下班作息时间</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工作期间不做与工作无关事项</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按请销假制度履行请销假手续</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30"/>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无涉嫌违纪违法违规行为</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7"/>
        </w:trPr>
        <w:tc>
          <w:tcPr>
            <w:tcW w:w="636" w:type="dxa"/>
            <w:vAlign w:val="center"/>
            <w:vMerge w:val="restart"/>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(二)</w:t>
            </w:r>
            <w:r>
              <w:rPr>
                <w:rFonts w:ascii="宋体" w:hAnsi="宋体" w:cs="宋体"/>
                <w:szCs w:val="21"/>
              </w:rPr>
            </w:r>
            <w:r/>
          </w:p>
        </w:tc>
        <w:tc>
          <w:tcPr>
            <w:tcW w:w="1546" w:type="dxa"/>
            <w:vAlign w:val="center"/>
            <w:vMerge w:val="restart"/>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服务质量(75分)</w:t>
            </w: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扫描清晰度符合规范</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5"/>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纸质卷宗整理规范，符合要求</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780"/>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产能进度达标，按期归档</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30</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622"/>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及时反馈工作进展</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5</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702"/>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未因工作失误导致卷宗遗失</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cantSplit/>
          <w:trHeight w:val="850"/>
        </w:trPr>
        <w:tc>
          <w:tcPr>
            <w:tcW w:w="63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1546" w:type="dxa"/>
            <w:vAlign w:val="center"/>
            <w:vMerge w:val="continue"/>
            <w:textDirection w:val="lrTb"/>
            <w:noWrap/>
          </w:tcPr>
          <w:p>
            <w:pPr>
              <w:pStyle w:val="842"/>
              <w:tabs>
                <w:tab w:val="left" w:pos="4298" w:leader="none"/>
              </w:tabs>
              <w:rPr>
                <w:rFonts w:ascii="宋体" w:hAnsi="宋体" w:cs="宋体"/>
                <w:szCs w:val="21"/>
              </w:rPr>
              <w:framePr w:hSpace="180" w:wrap="around" w:vAnchor="text" w:hAnchor="margin" w:xAlign="center" w:y="314"/>
            </w:pPr>
            <w:r>
              <w:rPr>
                <w:rFonts w:ascii="宋体" w:hAnsi="宋体" w:cs="宋体"/>
                <w:szCs w:val="21"/>
              </w:rPr>
            </w:r>
            <w:r/>
          </w:p>
        </w:tc>
        <w:tc>
          <w:tcPr>
            <w:tcW w:w="3870"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未因个人原因造成案件情况泄露</w:t>
            </w:r>
            <w:r>
              <w:rPr>
                <w:rFonts w:ascii="宋体" w:hAnsi="宋体" w:cs="宋体"/>
                <w:szCs w:val="21"/>
              </w:rPr>
            </w:r>
            <w:r/>
          </w:p>
        </w:tc>
        <w:tc>
          <w:tcPr>
            <w:tcW w:w="618"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10</w:t>
            </w:r>
            <w:r>
              <w:rPr>
                <w:rFonts w:ascii="宋体" w:hAnsi="宋体" w:cs="宋体"/>
                <w:szCs w:val="21"/>
              </w:rPr>
            </w:r>
            <w:r/>
          </w:p>
        </w:tc>
        <w:tc>
          <w:tcPr>
            <w:tcW w:w="711" w:type="dxa"/>
            <w:vAlign w:val="center"/>
            <w:textDirection w:val="lrTb"/>
            <w:noWrap/>
          </w:tcPr>
          <w:p>
            <w:pPr>
              <w:pStyle w:val="842"/>
              <w:jc w:val="center"/>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c>
          <w:tcPr>
            <w:tcW w:w="1235" w:type="dxa"/>
            <w:vAlign w:val="center"/>
            <w:textDirection w:val="lrTb"/>
            <w:noWrap/>
          </w:tcPr>
          <w:p>
            <w:pPr>
              <w:pStyle w:val="842"/>
              <w:tabs>
                <w:tab w:val="left" w:pos="4298" w:leader="none"/>
              </w:tabs>
              <w:rPr>
                <w:rFonts w:ascii="宋体" w:hAnsi="宋体" w:cs="宋体"/>
                <w:szCs w:val="21"/>
              </w:rPr>
              <w:framePr w:hSpace="180" w:wrap="around" w:vAnchor="text" w:hAnchor="margin" w:xAlign="center" w:y="314"/>
            </w:pPr>
            <w:r>
              <w:rPr>
                <w:rFonts w:hint="eastAsia" w:ascii="宋体" w:hAnsi="宋体" w:cs="宋体"/>
                <w:szCs w:val="21"/>
              </w:rPr>
              <w:t xml:space="preserve">　</w:t>
            </w:r>
            <w:r>
              <w:rPr>
                <w:rFonts w:ascii="宋体" w:hAnsi="宋体" w:cs="宋体"/>
                <w:szCs w:val="21"/>
              </w:rPr>
            </w:r>
            <w:r/>
          </w:p>
        </w:tc>
      </w:tr>
      <w:tr>
        <w:trPr>
          <w:trHeight w:val="669"/>
        </w:trPr>
        <w:tc>
          <w:tcPr>
            <w:gridSpan w:val="6"/>
            <w:tcW w:w="8616" w:type="dxa"/>
            <w:vAlign w:val="bottom"/>
            <w:textDirection w:val="lrTb"/>
            <w:noWrap/>
          </w:tcPr>
          <w:p>
            <w:pPr>
              <w:pStyle w:val="846"/>
              <w:ind w:left="0"/>
              <w:framePr w:hSpace="180" w:wrap="around" w:vAnchor="text" w:hAnchor="margin" w:xAlign="center" w:y="314"/>
            </w:pPr>
            <w:r>
              <w:rPr>
                <w:rFonts w:hint="eastAsia" w:ascii="宋体" w:hAnsi="宋体" w:cs="宋体"/>
                <w:b/>
                <w:bCs/>
                <w:szCs w:val="21"/>
              </w:rPr>
              <w:t xml:space="preserve">考核</w:t>
            </w:r>
            <w:r>
              <w:rPr>
                <w:rFonts w:ascii="宋体" w:hAnsi="宋体" w:cs="宋体"/>
                <w:b/>
                <w:bCs/>
                <w:szCs w:val="21"/>
              </w:rPr>
              <w:t xml:space="preserve">得分：</w:t>
            </w:r>
            <w:r/>
          </w:p>
        </w:tc>
      </w:tr>
      <w:tr>
        <w:trPr>
          <w:trHeight w:val="285"/>
        </w:trPr>
        <w:tc>
          <w:tcPr>
            <w:gridSpan w:val="6"/>
            <w:tcW w:w="8616" w:type="dxa"/>
            <w:vAlign w:val="bottom"/>
            <w:textDirection w:val="lrTb"/>
            <w:noWrap/>
          </w:tcPr>
          <w:p>
            <w:pPr>
              <w:pStyle w:val="842"/>
              <w:tabs>
                <w:tab w:val="left" w:pos="4298" w:leader="none"/>
              </w:tabs>
              <w:rPr>
                <w:rFonts w:ascii="宋体" w:hAnsi="宋体" w:cs="宋体"/>
                <w:b/>
                <w:bCs/>
                <w:szCs w:val="21"/>
              </w:rPr>
              <w:framePr w:hSpace="180" w:wrap="around" w:vAnchor="text" w:hAnchor="margin" w:xAlign="center" w:y="314"/>
            </w:pPr>
            <w:r>
              <w:rPr>
                <w:rFonts w:ascii="宋体" w:hAnsi="宋体" w:cs="宋体"/>
                <w:b/>
                <w:bCs/>
                <w:szCs w:val="21"/>
              </w:rPr>
            </w:r>
            <w:r/>
          </w:p>
          <w:p>
            <w:pPr>
              <w:pStyle w:val="842"/>
              <w:tabs>
                <w:tab w:val="left" w:pos="4298" w:leader="none"/>
              </w:tabs>
              <w:rPr>
                <w:rFonts w:ascii="宋体" w:hAnsi="宋体" w:cs="宋体"/>
                <w:b/>
                <w:bCs/>
                <w:szCs w:val="21"/>
              </w:rPr>
              <w:framePr w:hSpace="180" w:wrap="around" w:vAnchor="text" w:hAnchor="margin" w:xAlign="center" w:y="314"/>
            </w:pPr>
            <w:r>
              <w:rPr>
                <w:rFonts w:ascii="宋体" w:hAnsi="宋体" w:cs="宋体"/>
                <w:b/>
                <w:bCs/>
                <w:szCs w:val="21"/>
              </w:rPr>
            </w:r>
            <w:r/>
          </w:p>
          <w:p>
            <w:pPr>
              <w:pStyle w:val="842"/>
              <w:tabs>
                <w:tab w:val="left" w:pos="4298" w:leader="none"/>
              </w:tabs>
              <w:rPr>
                <w:rFonts w:ascii="宋体" w:hAnsi="宋体" w:cs="宋体"/>
                <w:b/>
                <w:bCs/>
                <w:szCs w:val="21"/>
              </w:rPr>
              <w:framePr w:hSpace="180" w:wrap="around" w:vAnchor="text" w:hAnchor="margin" w:xAlign="center" w:y="314"/>
            </w:pPr>
            <w:r>
              <w:rPr>
                <w:rFonts w:hint="eastAsia" w:ascii="宋体" w:hAnsi="宋体" w:cs="宋体"/>
                <w:b/>
                <w:bCs/>
                <w:szCs w:val="21"/>
              </w:rPr>
              <w:t xml:space="preserve">考核人：                      被考核人：                   考核日期：</w:t>
            </w:r>
            <w:r>
              <w:rPr>
                <w:rFonts w:ascii="宋体" w:hAnsi="宋体" w:cs="宋体"/>
                <w:b/>
                <w:bCs/>
                <w:szCs w:val="21"/>
              </w:rPr>
            </w:r>
            <w:r/>
          </w:p>
        </w:tc>
      </w:tr>
    </w:tbl>
    <w:p>
      <w:pPr>
        <w:pStyle w:val="850"/>
        <w:spacing w:line="240" w:lineRule="auto"/>
        <w:rPr>
          <w:rStyle w:val="913"/>
          <w:rFonts w:hAnsi="宋体" w:cs="宋体"/>
          <w:sz w:val="21"/>
          <w:szCs w:val="21"/>
        </w:rPr>
      </w:pPr>
      <w:r>
        <w:rPr>
          <w:rStyle w:val="913"/>
          <w:rFonts w:hAnsi="宋体" w:cs="宋体"/>
          <w:sz w:val="21"/>
          <w:szCs w:val="21"/>
        </w:rPr>
      </w:r>
      <w:r/>
    </w:p>
    <w:p>
      <w:pPr>
        <w:pStyle w:val="842"/>
      </w:pPr>
      <w:r/>
      <w:r/>
    </w:p>
    <w:p>
      <w:pPr>
        <w:pStyle w:val="842"/>
      </w:pPr>
      <w:r/>
      <w:r/>
    </w:p>
    <w:p>
      <w:pPr>
        <w:pStyle w:val="846"/>
        <w:ind w:left="520"/>
      </w:pPr>
      <w:r/>
      <w:r/>
    </w:p>
    <w:p>
      <w:pPr>
        <w:pStyle w:val="909"/>
        <w:rPr>
          <w:rFonts w:hAnsi="宋体" w:cs="宋体"/>
          <w:b/>
          <w:bCs/>
          <w:szCs w:val="21"/>
        </w:rPr>
      </w:pPr>
      <w:r>
        <w:rPr>
          <w:rFonts w:hAnsi="宋体" w:cs="宋体"/>
          <w:b/>
          <w:bCs/>
          <w:szCs w:val="21"/>
        </w:rPr>
      </w:r>
      <w:r/>
    </w:p>
    <w:p>
      <w:pPr>
        <w:pStyle w:val="850"/>
        <w:jc w:val="left"/>
        <w:rPr>
          <w:rFonts w:ascii="宋体" w:hAnsi="宋体" w:cs="宋体"/>
          <w:b/>
          <w:bCs/>
          <w:sz w:val="21"/>
          <w:szCs w:val="21"/>
        </w:rPr>
      </w:pPr>
      <w:r>
        <w:rPr>
          <w:rFonts w:hint="eastAsia" w:ascii="宋体" w:hAnsi="宋体" w:cs="宋体"/>
          <w:b/>
          <w:bCs/>
          <w:sz w:val="21"/>
          <w:szCs w:val="21"/>
        </w:rPr>
        <w:t xml:space="preserve">附件2：履约验收方案</w:t>
      </w:r>
      <w:bookmarkStart w:id="52" w:name="_Toc16404"/>
      <w:r>
        <w:rPr>
          <w:rFonts w:ascii="宋体" w:hAnsi="宋体" w:cs="宋体"/>
          <w:b/>
          <w:bCs/>
          <w:sz w:val="21"/>
          <w:szCs w:val="21"/>
        </w:rPr>
      </w:r>
      <w:r/>
    </w:p>
    <w:p>
      <w:pPr>
        <w:pStyle w:val="842"/>
        <w:jc w:val="center"/>
        <w:spacing w:line="48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履约验收方案</w:t>
      </w:r>
      <w:r>
        <w:rPr>
          <w:rFonts w:ascii="宋体" w:hAnsi="宋体" w:cs="宋体"/>
          <w:szCs w:val="21"/>
          <w:shd w:val="clear" w:color="auto" w:fill="ffffff"/>
        </w:rPr>
      </w:r>
      <w:r/>
    </w:p>
    <w:p>
      <w:pPr>
        <w:pStyle w:val="842"/>
        <w:jc w:val="left"/>
        <w:spacing w:line="48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一、 验收单位：</w:t>
      </w:r>
      <w:r>
        <w:rPr>
          <w:rFonts w:ascii="宋体" w:hAnsi="宋体" w:cs="宋体"/>
          <w:b/>
          <w:bCs/>
          <w:szCs w:val="21"/>
          <w:shd w:val="clear" w:color="auto" w:fill="ffffff"/>
        </w:rPr>
      </w:r>
      <w:r/>
    </w:p>
    <w:p>
      <w:pPr>
        <w:pStyle w:val="842"/>
        <w:jc w:val="left"/>
        <w:spacing w:line="48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苏州市吴江区人民法院，具体人员另行安排。</w:t>
      </w:r>
      <w:bookmarkStart w:id="53" w:name="OLE_LINK24"/>
      <w:r>
        <w:rPr>
          <w:rFonts w:ascii="宋体" w:hAnsi="宋体" w:cs="宋体"/>
          <w:szCs w:val="21"/>
          <w:shd w:val="clear" w:color="auto" w:fill="ffffff"/>
        </w:rPr>
      </w:r>
      <w:r/>
    </w:p>
    <w:p>
      <w:pPr>
        <w:pStyle w:val="842"/>
        <w:jc w:val="left"/>
        <w:spacing w:line="480" w:lineRule="auto"/>
        <w:shd w:val="clear" w:color="auto" w:fill="ffffff"/>
        <w:widowControl/>
        <w:rPr>
          <w:rFonts w:ascii="宋体" w:hAnsi="宋体" w:cs="宋体"/>
          <w:szCs w:val="21"/>
          <w:shd w:val="clear" w:color="auto" w:fill="ffffff"/>
        </w:rPr>
      </w:pPr>
      <w:r>
        <w:rPr>
          <w:rFonts w:hint="eastAsia" w:ascii="宋体" w:hAnsi="宋体" w:cs="宋体"/>
          <w:b/>
          <w:bCs/>
          <w:szCs w:val="21"/>
          <w:shd w:val="clear" w:color="auto" w:fill="ffffff"/>
        </w:rPr>
        <w:t xml:space="preserve">二：验收时间：</w:t>
      </w:r>
      <w:r>
        <w:rPr>
          <w:rFonts w:ascii="宋体" w:hAnsi="宋体" w:cs="宋体"/>
          <w:szCs w:val="21"/>
          <w:shd w:val="clear" w:color="auto" w:fill="ffffff"/>
        </w:rPr>
      </w:r>
      <w:r/>
    </w:p>
    <w:p>
      <w:pPr>
        <w:pStyle w:val="842"/>
        <w:jc w:val="left"/>
        <w:spacing w:line="480" w:lineRule="auto"/>
        <w:shd w:val="clear" w:color="auto" w:fill="ffffff"/>
        <w:widowControl/>
        <w:rPr>
          <w:rFonts w:ascii="宋体" w:hAnsi="宋体" w:cs="宋体"/>
          <w:szCs w:val="21"/>
          <w:shd w:val="clear" w:color="auto" w:fill="ffffff"/>
        </w:rPr>
      </w:pPr>
      <w:r>
        <w:rPr>
          <w:rFonts w:hint="eastAsia" w:ascii="宋体" w:hAnsi="宋体" w:cs="宋体"/>
          <w:bCs/>
          <w:szCs w:val="21"/>
        </w:rPr>
        <w:t xml:space="preserve">验收期限为本项目服务工作完成后（30日内），特殊情况需延长的，双方应特别约定。</w:t>
      </w:r>
      <w:bookmarkEnd w:id="53"/>
      <w:r>
        <w:rPr>
          <w:rFonts w:ascii="宋体" w:hAnsi="宋体" w:cs="宋体"/>
          <w:szCs w:val="21"/>
          <w:shd w:val="clear" w:color="auto" w:fill="ffffff"/>
        </w:rPr>
      </w:r>
      <w:r/>
    </w:p>
    <w:p>
      <w:pPr>
        <w:pStyle w:val="842"/>
        <w:jc w:val="left"/>
        <w:spacing w:line="48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三、验收方案</w:t>
      </w:r>
      <w:r>
        <w:rPr>
          <w:rFonts w:ascii="宋体" w:hAnsi="宋体" w:cs="宋体"/>
          <w:b/>
          <w:bCs/>
          <w:szCs w:val="21"/>
          <w:shd w:val="clear" w:color="auto" w:fill="ffffff"/>
        </w:rPr>
      </w:r>
      <w:r/>
    </w:p>
    <w:p>
      <w:pPr>
        <w:pStyle w:val="842"/>
        <w:spacing w:line="480" w:lineRule="auto"/>
        <w:tabs>
          <w:tab w:val="left" w:pos="540" w:leader="none"/>
          <w:tab w:val="left" w:pos="567" w:leader="none"/>
        </w:tabs>
        <w:rPr>
          <w:rFonts w:ascii="宋体" w:hAnsi="宋体" w:cs="宋体"/>
          <w:bCs/>
          <w:szCs w:val="21"/>
        </w:rPr>
      </w:pPr>
      <w:r>
        <w:rPr>
          <w:rFonts w:hint="eastAsia" w:ascii="宋体" w:hAnsi="宋体" w:cs="宋体"/>
          <w:bCs/>
          <w:szCs w:val="21"/>
        </w:rPr>
        <w:t xml:space="preserve">1、验收标准：根据采购文件要求及有国家关规定由采购方验收通过。</w:t>
      </w:r>
      <w:r>
        <w:rPr>
          <w:rFonts w:ascii="宋体" w:hAnsi="宋体" w:cs="宋体"/>
          <w:bCs/>
          <w:szCs w:val="21"/>
        </w:rPr>
      </w:r>
      <w:r/>
    </w:p>
    <w:p>
      <w:pPr>
        <w:pStyle w:val="842"/>
        <w:jc w:val="left"/>
        <w:spacing w:line="480" w:lineRule="auto"/>
        <w:shd w:val="clear" w:color="auto" w:fill="ffffff"/>
        <w:widowControl/>
        <w:rPr>
          <w:rFonts w:ascii="宋体" w:hAnsi="宋体" w:cs="宋体"/>
          <w:bCs/>
          <w:szCs w:val="21"/>
        </w:rPr>
      </w:pPr>
      <w:r>
        <w:rPr>
          <w:rFonts w:hint="eastAsia" w:ascii="宋体" w:hAnsi="宋体" w:cs="宋体"/>
          <w:bCs/>
          <w:szCs w:val="21"/>
        </w:rPr>
        <w:t xml:space="preserve">2、验收程序：甲方应按照磋商采购文件、乙方的磋商响应文件承诺及有关规定的要求组织本项目的验收，也可委托招标代理机构组成的验收小组对每一项技术、服务、安全标准、</w:t>
      </w:r>
      <w:r>
        <w:rPr>
          <w:rFonts w:hint="eastAsia" w:ascii="宋体" w:hAnsi="宋体" w:cs="宋体"/>
          <w:szCs w:val="21"/>
          <w:shd w:val="clear" w:color="auto" w:fill="ffffff"/>
        </w:rPr>
        <w:t xml:space="preserve">应文件中承诺投入的设备及软硬件</w:t>
      </w:r>
      <w:r>
        <w:rPr>
          <w:rFonts w:hint="eastAsia" w:ascii="宋体" w:hAnsi="宋体" w:cs="宋体"/>
          <w:bCs/>
          <w:szCs w:val="21"/>
        </w:rPr>
        <w:t xml:space="preserve">的履约情况进行验收确认。乙方对甲方的验收应予以配合。</w:t>
      </w:r>
      <w:r>
        <w:rPr>
          <w:rFonts w:ascii="宋体" w:hAnsi="宋体" w:cs="宋体"/>
          <w:bCs/>
          <w:szCs w:val="21"/>
        </w:rPr>
      </w:r>
      <w:r/>
    </w:p>
    <w:p>
      <w:pPr>
        <w:pStyle w:val="842"/>
        <w:spacing w:line="480" w:lineRule="auto"/>
        <w:tabs>
          <w:tab w:val="left" w:pos="540" w:leader="none"/>
          <w:tab w:val="left" w:pos="567" w:leader="none"/>
        </w:tabs>
        <w:rPr>
          <w:rFonts w:ascii="宋体" w:hAnsi="宋体" w:cs="宋体"/>
          <w:bCs/>
          <w:szCs w:val="21"/>
        </w:rPr>
      </w:pPr>
      <w:r>
        <w:rPr>
          <w:rFonts w:hint="eastAsia" w:ascii="宋体" w:hAnsi="宋体" w:cs="宋体"/>
          <w:bCs/>
          <w:szCs w:val="21"/>
        </w:rPr>
        <w:t xml:space="preserve">3、验收过程中，本项目服务内容工作标准甲方如发现不符合采购要求的，甲方有权责令乙方返工、整改，乙方应在接到甲方通知后3日内返工、整改直至甲方再次验收合格（验收表需甲乙双方共同签字、确认），因返工、整改等产生的费用由乙方自行承担。甲方责令整改超过二次的，视为乙方违约，给甲方造成损失的，乙方应赔偿一切直接、间接损失，并本项目所涉及到合同的余款甲方不予支付。</w:t>
      </w:r>
      <w:r>
        <w:rPr>
          <w:rFonts w:ascii="宋体" w:hAnsi="宋体" w:cs="宋体"/>
          <w:bCs/>
          <w:szCs w:val="21"/>
        </w:rPr>
      </w:r>
      <w:r/>
    </w:p>
    <w:p>
      <w:pPr>
        <w:pStyle w:val="842"/>
        <w:spacing w:line="480" w:lineRule="auto"/>
        <w:tabs>
          <w:tab w:val="left" w:pos="540" w:leader="none"/>
          <w:tab w:val="left" w:pos="567" w:leader="none"/>
        </w:tabs>
        <w:rPr>
          <w:rFonts w:ascii="宋体" w:hAnsi="宋体" w:cs="宋体"/>
          <w:b/>
          <w:szCs w:val="21"/>
        </w:rPr>
      </w:pPr>
      <w:r>
        <w:rPr>
          <w:rFonts w:hint="eastAsia" w:ascii="宋体" w:hAnsi="宋体" w:cs="宋体"/>
          <w:b/>
          <w:szCs w:val="21"/>
        </w:rPr>
        <w:t xml:space="preserve">四、验收结果不符合采购要求的，采购方有权终止合同，一切损失费用及专家费用（如有）等由成交方承担。</w:t>
      </w:r>
      <w:r>
        <w:rPr>
          <w:rFonts w:ascii="宋体" w:hAnsi="宋体" w:cs="宋体"/>
          <w:b/>
          <w:szCs w:val="21"/>
        </w:rPr>
      </w:r>
      <w:r/>
    </w:p>
    <w:p>
      <w:pPr>
        <w:pStyle w:val="842"/>
        <w:rPr>
          <w:rFonts w:ascii="宋体" w:hAnsi="宋体" w:cs="宋体"/>
          <w:b/>
          <w:bCs/>
          <w:szCs w:val="21"/>
        </w:rPr>
      </w:pPr>
      <w:r>
        <w:rPr>
          <w:rFonts w:hint="eastAsia" w:ascii="宋体" w:hAnsi="宋体" w:cs="宋体"/>
          <w:b/>
          <w:szCs w:val="21"/>
          <w:shd w:val="clear" w:color="auto" w:fill="ffffff"/>
        </w:rPr>
        <w:br w:type="textWrapping" w:clear="all"/>
      </w:r>
      <w:r>
        <w:rPr>
          <w:rFonts w:ascii="宋体" w:hAnsi="宋体" w:cs="宋体"/>
          <w:b/>
          <w:bCs/>
          <w:szCs w:val="21"/>
        </w:rPr>
      </w:r>
      <w:r/>
    </w:p>
    <w:p>
      <w:pPr>
        <w:pStyle w:val="842"/>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50"/>
        <w:jc w:val="left"/>
        <w:rPr>
          <w:rFonts w:ascii="宋体" w:hAnsi="宋体" w:cs="宋体"/>
          <w:b/>
          <w:bCs/>
          <w:sz w:val="21"/>
          <w:szCs w:val="21"/>
        </w:rPr>
      </w:pPr>
      <w:r>
        <w:rPr>
          <w:rFonts w:hint="eastAsia" w:ascii="宋体" w:hAnsi="宋体" w:cs="宋体"/>
          <w:b/>
          <w:bCs/>
          <w:sz w:val="21"/>
          <w:szCs w:val="21"/>
        </w:rPr>
        <w:t xml:space="preserve">附件3：政府采购履约验收通知单</w:t>
      </w:r>
      <w:r>
        <w:rPr>
          <w:rFonts w:ascii="宋体" w:hAnsi="宋体" w:cs="宋体"/>
          <w:b/>
          <w:bCs/>
          <w:sz w:val="21"/>
          <w:szCs w:val="21"/>
        </w:rPr>
      </w:r>
      <w:r/>
    </w:p>
    <w:p>
      <w:pPr>
        <w:pStyle w:val="842"/>
        <w:jc w:val="center"/>
        <w:spacing w:before="263" w:line="223" w:lineRule="auto"/>
        <w:rPr>
          <w:rFonts w:ascii="宋体" w:hAnsi="宋体" w:cs="宋体"/>
          <w:sz w:val="36"/>
          <w:szCs w:val="36"/>
        </w:rPr>
        <w:outlineLvl w:val="0"/>
      </w:pPr>
      <w:r>
        <w:rPr>
          <w:rFonts w:hint="eastAsia" w:ascii="宋体" w:hAnsi="宋体" w:cs="宋体"/>
          <w:spacing w:val="17"/>
          <w:sz w:val="36"/>
          <w:szCs w:val="36"/>
        </w:rPr>
        <w:t xml:space="preserve">政府采购履约验收通知单</w:t>
      </w:r>
      <w:r>
        <w:rPr>
          <w:rFonts w:ascii="宋体" w:hAnsi="宋体" w:cs="宋体"/>
          <w:sz w:val="36"/>
          <w:szCs w:val="36"/>
        </w:rPr>
      </w:r>
      <w:r/>
    </w:p>
    <w:p>
      <w:pPr>
        <w:pStyle w:val="842"/>
        <w:ind w:left="85"/>
        <w:spacing w:before="216" w:line="214" w:lineRule="auto"/>
        <w:rPr>
          <w:rFonts w:ascii="宋体" w:hAnsi="宋体" w:cs="宋体"/>
          <w:sz w:val="23"/>
          <w:szCs w:val="23"/>
        </w:rPr>
      </w:pPr>
      <w:r>
        <w:rPr>
          <w:rFonts w:hint="eastAsia" w:ascii="宋体" w:hAnsi="宋体" w:cs="宋体"/>
          <w:spacing w:val="9"/>
          <w:sz w:val="23"/>
          <w:szCs w:val="23"/>
        </w:rPr>
        <w:t xml:space="preserve">供应商：</w:t>
      </w:r>
      <w:r>
        <w:rPr>
          <w:rFonts w:ascii="宋体" w:hAnsi="宋体" w:cs="宋体"/>
          <w:sz w:val="23"/>
          <w:szCs w:val="23"/>
        </w:rPr>
      </w:r>
      <w:r/>
    </w:p>
    <w:p>
      <w:pPr>
        <w:pStyle w:val="842"/>
        <w:spacing w:line="44" w:lineRule="exact"/>
        <w:rPr>
          <w:rFonts w:ascii="宋体" w:hAnsi="宋体" w:cs="宋体"/>
        </w:rPr>
      </w:pPr>
      <w:r>
        <w:rPr>
          <w:rFonts w:ascii="宋体" w:hAnsi="宋体" w:cs="宋体"/>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tcPr>
          <w:p>
            <w:pPr>
              <w:pStyle w:val="842"/>
              <w:ind w:left="961"/>
              <w:spacing w:before="249" w:line="212" w:lineRule="auto"/>
              <w:rPr>
                <w:rFonts w:ascii="宋体" w:hAnsi="宋体" w:cs="宋体"/>
                <w:sz w:val="23"/>
                <w:szCs w:val="23"/>
              </w:rPr>
            </w:pPr>
            <w:r>
              <w:rPr>
                <w:rFonts w:hint="eastAsia" w:ascii="宋体" w:hAnsi="宋体" w:cs="宋体"/>
                <w:spacing w:val="2"/>
                <w:sz w:val="23"/>
                <w:szCs w:val="23"/>
              </w:rPr>
              <w:t xml:space="preserve">采购人</w:t>
            </w:r>
            <w:r>
              <w:rPr>
                <w:rFonts w:ascii="宋体" w:hAnsi="宋体" w:cs="宋体"/>
                <w:sz w:val="23"/>
                <w:szCs w:val="23"/>
              </w:rPr>
            </w:r>
            <w:r/>
          </w:p>
        </w:tc>
        <w:tc>
          <w:tcPr>
            <w:gridSpan w:val="3"/>
            <w:tcW w:w="67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2"/>
              <w:ind w:left="841"/>
              <w:spacing w:before="249" w:line="211" w:lineRule="auto"/>
              <w:rPr>
                <w:rFonts w:ascii="宋体" w:hAnsi="宋体" w:cs="宋体"/>
                <w:sz w:val="23"/>
                <w:szCs w:val="23"/>
              </w:rPr>
            </w:pPr>
            <w:r>
              <w:rPr>
                <w:rFonts w:hint="eastAsia" w:ascii="宋体" w:hAnsi="宋体" w:cs="宋体"/>
                <w:spacing w:val="2"/>
                <w:sz w:val="23"/>
                <w:szCs w:val="23"/>
              </w:rPr>
              <w:t xml:space="preserve">项目名称</w:t>
            </w:r>
            <w:r>
              <w:rPr>
                <w:rFonts w:ascii="宋体" w:hAnsi="宋体" w:cs="宋体"/>
                <w:sz w:val="23"/>
                <w:szCs w:val="23"/>
              </w:rPr>
            </w:r>
            <w:r/>
          </w:p>
        </w:tc>
        <w:tc>
          <w:tcPr>
            <w:gridSpan w:val="3"/>
            <w:tcW w:w="67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59"/>
        </w:trPr>
        <w:tc>
          <w:tcPr>
            <w:tcW w:w="2610" w:type="dxa"/>
            <w:vAlign w:val="top"/>
            <w:textDirection w:val="lrTb"/>
            <w:noWrap/>
          </w:tcPr>
          <w:p>
            <w:pPr>
              <w:pStyle w:val="842"/>
              <w:ind w:left="841"/>
              <w:spacing w:before="247" w:line="213" w:lineRule="auto"/>
              <w:rPr>
                <w:rFonts w:ascii="宋体" w:hAnsi="宋体" w:cs="宋体"/>
                <w:sz w:val="23"/>
                <w:szCs w:val="23"/>
              </w:rPr>
            </w:pPr>
            <w:r>
              <w:rPr>
                <w:rFonts w:hint="eastAsia" w:ascii="宋体" w:hAnsi="宋体" w:cs="宋体"/>
                <w:spacing w:val="2"/>
                <w:sz w:val="23"/>
                <w:szCs w:val="23"/>
              </w:rPr>
              <w:t xml:space="preserve">合同名称</w:t>
            </w:r>
            <w:r>
              <w:rPr>
                <w:rFonts w:ascii="宋体" w:hAnsi="宋体" w:cs="宋体"/>
                <w:sz w:val="23"/>
                <w:szCs w:val="23"/>
              </w:rPr>
            </w:r>
            <w:r/>
          </w:p>
        </w:tc>
        <w:tc>
          <w:tcPr>
            <w:gridSpan w:val="3"/>
            <w:tcW w:w="67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2"/>
              <w:ind w:left="841"/>
              <w:spacing w:before="247" w:line="212" w:lineRule="auto"/>
              <w:rPr>
                <w:rFonts w:ascii="宋体" w:hAnsi="宋体" w:cs="宋体"/>
                <w:sz w:val="23"/>
                <w:szCs w:val="23"/>
              </w:rPr>
            </w:pPr>
            <w:r>
              <w:rPr>
                <w:rFonts w:hint="eastAsia" w:ascii="宋体" w:hAnsi="宋体" w:cs="宋体"/>
                <w:spacing w:val="2"/>
                <w:sz w:val="23"/>
                <w:szCs w:val="23"/>
              </w:rPr>
              <w:t xml:space="preserve">合同编号</w:t>
            </w:r>
            <w:r>
              <w:rPr>
                <w:rFonts w:ascii="宋体" w:hAnsi="宋体" w:cs="宋体"/>
                <w:sz w:val="23"/>
                <w:szCs w:val="23"/>
              </w:rPr>
            </w:r>
            <w:r/>
          </w:p>
        </w:tc>
        <w:tc>
          <w:tcPr>
            <w:tcW w:w="1961" w:type="dxa"/>
            <w:vAlign w:val="top"/>
            <w:textDirection w:val="lrTb"/>
            <w:noWrap/>
          </w:tcPr>
          <w:p>
            <w:pPr>
              <w:pStyle w:val="1202"/>
              <w:rPr>
                <w:rFonts w:ascii="宋体" w:hAnsi="宋体" w:eastAsia="宋体" w:cs="宋体"/>
              </w:rPr>
            </w:pPr>
            <w:r>
              <w:rPr>
                <w:rFonts w:ascii="宋体" w:hAnsi="宋体" w:eastAsia="宋体" w:cs="宋体"/>
              </w:rPr>
            </w:r>
            <w:r/>
          </w:p>
        </w:tc>
        <w:tc>
          <w:tcPr>
            <w:tcW w:w="2139" w:type="dxa"/>
            <w:vAlign w:val="top"/>
            <w:textDirection w:val="lrTb"/>
            <w:noWrap/>
          </w:tcPr>
          <w:p>
            <w:pPr>
              <w:pStyle w:val="842"/>
              <w:ind w:left="607"/>
              <w:spacing w:before="247" w:line="213" w:lineRule="auto"/>
              <w:rPr>
                <w:rFonts w:ascii="宋体" w:hAnsi="宋体" w:cs="宋体"/>
                <w:sz w:val="23"/>
                <w:szCs w:val="23"/>
              </w:rPr>
            </w:pPr>
            <w:r>
              <w:rPr>
                <w:rFonts w:hint="eastAsia" w:ascii="宋体" w:hAnsi="宋体" w:cs="宋体"/>
                <w:spacing w:val="2"/>
                <w:sz w:val="23"/>
                <w:szCs w:val="23"/>
              </w:rPr>
              <w:t xml:space="preserve">合同金额</w:t>
            </w:r>
            <w:r>
              <w:rPr>
                <w:rFonts w:ascii="宋体" w:hAnsi="宋体" w:cs="宋体"/>
                <w:sz w:val="23"/>
                <w:szCs w:val="23"/>
              </w:rPr>
            </w:r>
            <w:r/>
          </w:p>
        </w:tc>
        <w:tc>
          <w:tcPr>
            <w:tcW w:w="26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59"/>
        </w:trPr>
        <w:tc>
          <w:tcPr>
            <w:tcW w:w="2610" w:type="dxa"/>
            <w:vAlign w:val="top"/>
            <w:textDirection w:val="lrTb"/>
            <w:noWrap/>
          </w:tcPr>
          <w:p>
            <w:pPr>
              <w:pStyle w:val="842"/>
              <w:ind w:left="841"/>
              <w:spacing w:before="248" w:line="212" w:lineRule="auto"/>
              <w:rPr>
                <w:rFonts w:ascii="宋体" w:hAnsi="宋体" w:cs="宋体"/>
                <w:sz w:val="23"/>
                <w:szCs w:val="23"/>
              </w:rPr>
            </w:pPr>
            <w:r>
              <w:rPr>
                <w:rFonts w:hint="eastAsia" w:ascii="宋体" w:hAnsi="宋体" w:cs="宋体"/>
                <w:spacing w:val="4"/>
                <w:sz w:val="23"/>
                <w:szCs w:val="23"/>
              </w:rPr>
              <w:t xml:space="preserve">验收时间</w:t>
            </w:r>
            <w:r>
              <w:rPr>
                <w:rFonts w:ascii="宋体" w:hAnsi="宋体" w:cs="宋体"/>
                <w:sz w:val="23"/>
                <w:szCs w:val="23"/>
              </w:rPr>
            </w:r>
            <w:r/>
          </w:p>
        </w:tc>
        <w:tc>
          <w:tcPr>
            <w:tcW w:w="1961" w:type="dxa"/>
            <w:vAlign w:val="top"/>
            <w:textDirection w:val="lrTb"/>
            <w:noWrap/>
          </w:tcPr>
          <w:p>
            <w:pPr>
              <w:pStyle w:val="1202"/>
              <w:rPr>
                <w:rFonts w:ascii="宋体" w:hAnsi="宋体" w:eastAsia="宋体" w:cs="宋体"/>
              </w:rPr>
            </w:pPr>
            <w:r>
              <w:rPr>
                <w:rFonts w:ascii="宋体" w:hAnsi="宋体" w:eastAsia="宋体" w:cs="宋体"/>
              </w:rPr>
            </w:r>
            <w:r/>
          </w:p>
        </w:tc>
        <w:tc>
          <w:tcPr>
            <w:tcW w:w="2139" w:type="dxa"/>
            <w:vAlign w:val="top"/>
            <w:textDirection w:val="lrTb"/>
            <w:noWrap/>
          </w:tcPr>
          <w:p>
            <w:pPr>
              <w:pStyle w:val="842"/>
              <w:ind w:left="607"/>
              <w:spacing w:before="248" w:line="213" w:lineRule="auto"/>
              <w:rPr>
                <w:rFonts w:ascii="宋体" w:hAnsi="宋体" w:cs="宋体"/>
                <w:sz w:val="23"/>
                <w:szCs w:val="23"/>
              </w:rPr>
            </w:pPr>
            <w:r>
              <w:rPr>
                <w:rFonts w:hint="eastAsia" w:ascii="宋体" w:hAnsi="宋体" w:cs="宋体"/>
                <w:spacing w:val="4"/>
                <w:sz w:val="23"/>
                <w:szCs w:val="23"/>
              </w:rPr>
              <w:t xml:space="preserve">验收地点</w:t>
            </w:r>
            <w:r>
              <w:rPr>
                <w:rFonts w:ascii="宋体" w:hAnsi="宋体" w:cs="宋体"/>
                <w:sz w:val="23"/>
                <w:szCs w:val="23"/>
              </w:rPr>
            </w:r>
            <w:r/>
          </w:p>
        </w:tc>
        <w:tc>
          <w:tcPr>
            <w:tcW w:w="26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60"/>
        </w:trPr>
        <w:tc>
          <w:tcPr>
            <w:tcW w:w="2610" w:type="dxa"/>
            <w:vAlign w:val="top"/>
            <w:textDirection w:val="lrTb"/>
            <w:noWrap/>
          </w:tcPr>
          <w:p>
            <w:pPr>
              <w:pStyle w:val="842"/>
              <w:ind w:left="960"/>
              <w:spacing w:before="248" w:line="213" w:lineRule="auto"/>
              <w:rPr>
                <w:rFonts w:ascii="宋体" w:hAnsi="宋体" w:cs="宋体"/>
                <w:sz w:val="23"/>
                <w:szCs w:val="23"/>
              </w:rPr>
            </w:pPr>
            <w:r>
              <w:rPr>
                <w:rFonts w:hint="eastAsia" w:ascii="宋体" w:hAnsi="宋体" w:cs="宋体"/>
                <w:spacing w:val="1"/>
                <w:sz w:val="23"/>
                <w:szCs w:val="23"/>
              </w:rPr>
              <w:t xml:space="preserve">联系人</w:t>
            </w:r>
            <w:r>
              <w:rPr>
                <w:rFonts w:ascii="宋体" w:hAnsi="宋体" w:cs="宋体"/>
                <w:sz w:val="23"/>
                <w:szCs w:val="23"/>
              </w:rPr>
            </w:r>
            <w:r/>
          </w:p>
        </w:tc>
        <w:tc>
          <w:tcPr>
            <w:tcW w:w="1961" w:type="dxa"/>
            <w:vAlign w:val="top"/>
            <w:textDirection w:val="lrTb"/>
            <w:noWrap/>
          </w:tcPr>
          <w:p>
            <w:pPr>
              <w:pStyle w:val="1202"/>
              <w:rPr>
                <w:rFonts w:ascii="宋体" w:hAnsi="宋体" w:eastAsia="宋体" w:cs="宋体"/>
              </w:rPr>
            </w:pPr>
            <w:r>
              <w:rPr>
                <w:rFonts w:ascii="宋体" w:hAnsi="宋体" w:eastAsia="宋体" w:cs="宋体"/>
              </w:rPr>
            </w:r>
            <w:r/>
          </w:p>
        </w:tc>
        <w:tc>
          <w:tcPr>
            <w:tcW w:w="2139" w:type="dxa"/>
            <w:vAlign w:val="top"/>
            <w:textDirection w:val="lrTb"/>
            <w:noWrap/>
          </w:tcPr>
          <w:p>
            <w:pPr>
              <w:pStyle w:val="842"/>
              <w:ind w:left="605"/>
              <w:spacing w:before="248" w:line="213" w:lineRule="auto"/>
              <w:rPr>
                <w:rFonts w:ascii="宋体" w:hAnsi="宋体" w:cs="宋体"/>
                <w:sz w:val="23"/>
                <w:szCs w:val="23"/>
              </w:rPr>
            </w:pPr>
            <w:r>
              <w:rPr>
                <w:rFonts w:hint="eastAsia" w:ascii="宋体" w:hAnsi="宋体" w:cs="宋体"/>
                <w:spacing w:val="3"/>
                <w:sz w:val="23"/>
                <w:szCs w:val="23"/>
              </w:rPr>
              <w:t xml:space="preserve">联系电话</w:t>
            </w:r>
            <w:r>
              <w:rPr>
                <w:rFonts w:ascii="宋体" w:hAnsi="宋体" w:cs="宋体"/>
                <w:sz w:val="23"/>
                <w:szCs w:val="23"/>
              </w:rPr>
            </w:r>
            <w:r/>
          </w:p>
        </w:tc>
        <w:tc>
          <w:tcPr>
            <w:tcW w:w="2608" w:type="dxa"/>
            <w:vAlign w:val="top"/>
            <w:textDirection w:val="lrTb"/>
            <w:noWrap/>
          </w:tcPr>
          <w:p>
            <w:pPr>
              <w:pStyle w:val="1202"/>
              <w:rPr>
                <w:rFonts w:ascii="宋体" w:hAnsi="宋体" w:eastAsia="宋体" w:cs="宋体"/>
              </w:rPr>
            </w:pPr>
            <w:r>
              <w:rPr>
                <w:rFonts w:ascii="宋体" w:hAnsi="宋体" w:eastAsia="宋体" w:cs="宋体"/>
              </w:rPr>
            </w:r>
            <w:r/>
          </w:p>
        </w:tc>
      </w:tr>
      <w:tr>
        <w:trPr>
          <w:trHeight w:val="560"/>
        </w:trPr>
        <w:tc>
          <w:tcPr>
            <w:gridSpan w:val="4"/>
            <w:tcW w:w="9318" w:type="dxa"/>
            <w:vAlign w:val="top"/>
            <w:textDirection w:val="lrTb"/>
            <w:noWrap/>
          </w:tcPr>
          <w:p>
            <w:pPr>
              <w:pStyle w:val="842"/>
              <w:ind w:left="3353"/>
              <w:spacing w:before="250" w:line="212" w:lineRule="auto"/>
              <w:rPr>
                <w:rFonts w:ascii="宋体" w:hAnsi="宋体" w:cs="宋体"/>
                <w:sz w:val="23"/>
                <w:szCs w:val="23"/>
              </w:rPr>
            </w:pPr>
            <w:r>
              <w:rPr>
                <w:rFonts w:hint="eastAsia" w:ascii="宋体" w:hAnsi="宋体" w:cs="宋体"/>
                <w:spacing w:val="7"/>
                <w:sz w:val="23"/>
                <w:szCs w:val="23"/>
              </w:rPr>
              <w:t xml:space="preserve">履约验收方案及工作要求</w:t>
            </w:r>
            <w:r>
              <w:rPr>
                <w:rFonts w:ascii="宋体" w:hAnsi="宋体" w:cs="宋体"/>
                <w:sz w:val="23"/>
                <w:szCs w:val="23"/>
              </w:rPr>
            </w:r>
            <w:r/>
          </w:p>
        </w:tc>
      </w:tr>
      <w:tr>
        <w:trPr>
          <w:trHeight w:val="7569"/>
        </w:trPr>
        <w:tc>
          <w:tcPr>
            <w:gridSpan w:val="4"/>
            <w:tcW w:w="9318" w:type="dxa"/>
            <w:vAlign w:val="top"/>
            <w:textDirection w:val="lrTb"/>
            <w:noWrap/>
          </w:tcPr>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1" w:lineRule="auto"/>
              <w:rPr>
                <w:rFonts w:ascii="宋体" w:hAnsi="宋体" w:eastAsia="宋体" w:cs="宋体"/>
                <w:lang w:eastAsia="zh-CN"/>
              </w:rPr>
            </w:pPr>
            <w:r>
              <w:rPr>
                <w:rFonts w:ascii="宋体" w:hAnsi="宋体" w:eastAsia="宋体" w:cs="宋体"/>
                <w:lang w:eastAsia="zh-CN"/>
              </w:rPr>
            </w:r>
            <w:r/>
          </w:p>
          <w:p>
            <w:pPr>
              <w:pStyle w:val="1202"/>
              <w:spacing w:line="242" w:lineRule="auto"/>
              <w:rPr>
                <w:rFonts w:ascii="宋体" w:hAnsi="宋体" w:eastAsia="宋体" w:cs="宋体"/>
                <w:lang w:eastAsia="zh-CN"/>
              </w:rPr>
            </w:pPr>
            <w:r>
              <w:rPr>
                <w:rFonts w:ascii="宋体" w:hAnsi="宋体" w:eastAsia="宋体" w:cs="宋体"/>
                <w:lang w:eastAsia="zh-CN"/>
              </w:rPr>
            </w:r>
            <w:r/>
          </w:p>
          <w:p>
            <w:pPr>
              <w:pStyle w:val="1202"/>
              <w:spacing w:line="242" w:lineRule="auto"/>
              <w:rPr>
                <w:rFonts w:ascii="宋体" w:hAnsi="宋体" w:eastAsia="宋体" w:cs="宋体"/>
                <w:lang w:eastAsia="zh-CN"/>
              </w:rPr>
            </w:pPr>
            <w:r>
              <w:rPr>
                <w:rFonts w:ascii="宋体" w:hAnsi="宋体" w:eastAsia="宋体" w:cs="宋体"/>
                <w:lang w:eastAsia="zh-CN"/>
              </w:rPr>
            </w:r>
            <w:r/>
          </w:p>
          <w:p>
            <w:pPr>
              <w:pStyle w:val="842"/>
              <w:ind w:left="5128" w:right="2893" w:firstLine="183"/>
              <w:spacing w:before="75" w:line="507" w:lineRule="auto"/>
              <w:rPr>
                <w:rFonts w:ascii="宋体" w:hAnsi="宋体" w:cs="宋体"/>
                <w:sz w:val="23"/>
                <w:szCs w:val="23"/>
              </w:rPr>
            </w:pPr>
            <w:r>
              <w:rPr>
                <w:rFonts w:hint="eastAsia" w:ascii="宋体" w:hAnsi="宋体" w:cs="宋体"/>
                <w:spacing w:val="3"/>
                <w:sz w:val="23"/>
                <w:szCs w:val="23"/>
              </w:rPr>
              <w:t xml:space="preserve">单位公章</w:t>
            </w:r>
            <w:r>
              <w:rPr>
                <w:rFonts w:hint="eastAsia" w:ascii="宋体" w:hAnsi="宋体" w:cs="宋体"/>
                <w:spacing w:val="-16"/>
                <w:sz w:val="23"/>
                <w:szCs w:val="23"/>
              </w:rPr>
              <w:t xml:space="preserve">年月日</w:t>
            </w:r>
            <w:r>
              <w:rPr>
                <w:rFonts w:ascii="宋体" w:hAnsi="宋体" w:cs="宋体"/>
                <w:sz w:val="23"/>
                <w:szCs w:val="23"/>
              </w:rPr>
            </w:r>
            <w:r/>
          </w:p>
        </w:tc>
      </w:tr>
    </w:tbl>
    <w:p>
      <w:pPr>
        <w:pStyle w:val="850"/>
        <w:ind w:left="513"/>
        <w:spacing w:before="284" w:line="219" w:lineRule="auto"/>
        <w:rPr>
          <w:rFonts w:ascii="宋体" w:hAnsi="宋体" w:cs="宋体"/>
          <w:b/>
          <w:bCs/>
          <w:spacing w:val="-5"/>
          <w:sz w:val="21"/>
          <w:szCs w:val="21"/>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720" w:equalWidth="1"/>
          <w:docGrid w:linePitch="360"/>
        </w:sectPr>
        <w:outlineLvl w:val="0"/>
      </w:pPr>
      <w:r>
        <w:rPr>
          <w:rFonts w:ascii="宋体" w:hAnsi="宋体" w:cs="宋体"/>
          <w:b/>
          <w:bCs/>
          <w:spacing w:val="-5"/>
          <w:sz w:val="21"/>
          <w:szCs w:val="21"/>
        </w:rPr>
      </w:r>
      <w:r/>
    </w:p>
    <w:p>
      <w:pPr>
        <w:pStyle w:val="850"/>
        <w:jc w:val="left"/>
        <w:rPr>
          <w:rFonts w:ascii="宋体" w:hAnsi="宋体" w:cs="宋体"/>
          <w:b/>
          <w:bCs/>
          <w:sz w:val="21"/>
          <w:szCs w:val="21"/>
        </w:rPr>
      </w:pPr>
      <w:r>
        <w:rPr>
          <w:rFonts w:hint="eastAsia" w:ascii="宋体" w:hAnsi="宋体" w:cs="宋体"/>
          <w:b/>
          <w:bCs/>
          <w:sz w:val="21"/>
          <w:szCs w:val="21"/>
        </w:rPr>
        <w:t xml:space="preserve">附件4：政府采购履约验收书</w:t>
      </w:r>
      <w:r>
        <w:rPr>
          <w:rFonts w:ascii="宋体" w:hAnsi="宋体" w:cs="宋体"/>
          <w:b/>
          <w:bCs/>
          <w:sz w:val="21"/>
          <w:szCs w:val="21"/>
        </w:rPr>
      </w:r>
      <w:r/>
    </w:p>
    <w:p>
      <w:pPr>
        <w:pStyle w:val="842"/>
        <w:ind w:left="3812"/>
        <w:spacing w:before="104" w:line="185" w:lineRule="auto"/>
        <w:rPr>
          <w:rFonts w:ascii="宋体" w:hAnsi="宋体" w:cs="宋体"/>
          <w:sz w:val="36"/>
          <w:szCs w:val="36"/>
        </w:rPr>
      </w:pPr>
      <w:r>
        <w:rPr>
          <w:rFonts w:hint="eastAsia" w:ascii="宋体" w:hAnsi="宋体" w:cs="宋体"/>
          <w:spacing w:val="19"/>
          <w:sz w:val="36"/>
          <w:szCs w:val="36"/>
        </w:rPr>
        <w:t xml:space="preserve">政府采购履约验收书(服务类)</w:t>
      </w:r>
      <w:r>
        <w:rPr>
          <w:rFonts w:ascii="宋体" w:hAnsi="宋体" w:cs="宋体"/>
          <w:sz w:val="36"/>
          <w:szCs w:val="36"/>
        </w:rPr>
      </w:r>
      <w:r/>
    </w:p>
    <w:tbl>
      <w:tblPr>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tcPr>
          <w:p>
            <w:pPr>
              <w:pStyle w:val="842"/>
              <w:ind w:left="543"/>
              <w:spacing w:before="298" w:line="207" w:lineRule="auto"/>
              <w:rPr>
                <w:rFonts w:ascii="宋体" w:hAnsi="宋体" w:cs="宋体"/>
                <w:sz w:val="18"/>
                <w:szCs w:val="18"/>
              </w:rPr>
            </w:pPr>
            <w:r>
              <w:rPr>
                <w:rFonts w:hint="eastAsia" w:ascii="宋体" w:hAnsi="宋体" w:cs="宋体"/>
                <w:spacing w:val="-3"/>
                <w:sz w:val="18"/>
                <w:szCs w:val="18"/>
              </w:rPr>
              <w:t xml:space="preserve">采购人</w:t>
            </w:r>
            <w:r>
              <w:rPr>
                <w:rFonts w:ascii="宋体" w:hAnsi="宋体" w:cs="宋体"/>
                <w:sz w:val="18"/>
                <w:szCs w:val="18"/>
              </w:rPr>
            </w:r>
            <w:r/>
          </w:p>
        </w:tc>
        <w:tc>
          <w:tcPr>
            <w:tcW w:w="1714" w:type="dxa"/>
            <w:vAlign w:val="top"/>
            <w:textDirection w:val="lrTb"/>
            <w:noWrap/>
          </w:tcPr>
          <w:p>
            <w:pPr>
              <w:pStyle w:val="1202"/>
              <w:rPr>
                <w:rFonts w:ascii="宋体" w:hAnsi="宋体" w:eastAsia="宋体" w:cs="宋体"/>
              </w:rPr>
            </w:pPr>
            <w:r>
              <w:rPr>
                <w:rFonts w:ascii="宋体" w:hAnsi="宋体" w:eastAsia="宋体" w:cs="宋体"/>
              </w:rPr>
            </w:r>
            <w:r/>
          </w:p>
        </w:tc>
        <w:tc>
          <w:tcPr>
            <w:tcW w:w="1816" w:type="dxa"/>
            <w:vAlign w:val="top"/>
            <w:textDirection w:val="lrTb"/>
            <w:noWrap/>
          </w:tcPr>
          <w:p>
            <w:pPr>
              <w:pStyle w:val="842"/>
              <w:ind w:left="553"/>
              <w:spacing w:before="298" w:line="208" w:lineRule="auto"/>
              <w:rPr>
                <w:rFonts w:ascii="宋体" w:hAnsi="宋体" w:cs="宋体"/>
                <w:sz w:val="18"/>
                <w:szCs w:val="18"/>
              </w:rPr>
            </w:pPr>
            <w:r>
              <w:rPr>
                <w:rFonts w:hint="eastAsia" w:ascii="宋体" w:hAnsi="宋体" w:cs="宋体"/>
                <w:spacing w:val="-3"/>
                <w:sz w:val="18"/>
                <w:szCs w:val="18"/>
              </w:rPr>
              <w:t xml:space="preserve">项目名称</w:t>
            </w:r>
            <w:r>
              <w:rPr>
                <w:rFonts w:ascii="宋体" w:hAnsi="宋体" w:cs="宋体"/>
                <w:sz w:val="18"/>
                <w:szCs w:val="18"/>
              </w:rPr>
            </w:r>
            <w:r/>
          </w:p>
        </w:tc>
        <w:tc>
          <w:tcPr>
            <w:tcW w:w="2476" w:type="dxa"/>
            <w:vAlign w:val="top"/>
            <w:textDirection w:val="lrTb"/>
            <w:noWrap/>
          </w:tcPr>
          <w:p>
            <w:pPr>
              <w:pStyle w:val="1202"/>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842"/>
              <w:ind w:left="1640"/>
              <w:spacing w:before="298" w:line="207" w:lineRule="auto"/>
              <w:rPr>
                <w:rFonts w:ascii="宋体" w:hAnsi="宋体" w:cs="宋体"/>
                <w:sz w:val="18"/>
                <w:szCs w:val="18"/>
              </w:rPr>
            </w:pPr>
            <w:r>
              <w:rPr>
                <w:rFonts w:hint="eastAsia" w:ascii="宋体" w:hAnsi="宋体" w:cs="宋体"/>
                <w:spacing w:val="-2"/>
                <w:sz w:val="18"/>
                <w:szCs w:val="18"/>
              </w:rPr>
              <w:t xml:space="preserve">合同名称</w:t>
            </w:r>
            <w:r>
              <w:rPr>
                <w:rFonts w:ascii="宋体" w:hAnsi="宋体" w:cs="宋体"/>
                <w:sz w:val="18"/>
                <w:szCs w:val="18"/>
              </w:rPr>
            </w:r>
            <w:r/>
          </w:p>
        </w:tc>
        <w:tc>
          <w:tcPr>
            <w:tcW w:w="2556" w:type="dxa"/>
            <w:vAlign w:val="top"/>
            <w:textDirection w:val="lrTb"/>
            <w:noWrap/>
          </w:tcPr>
          <w:p>
            <w:pPr>
              <w:pStyle w:val="1202"/>
              <w:rPr>
                <w:rFonts w:ascii="宋体" w:hAnsi="宋体" w:eastAsia="宋体" w:cs="宋体"/>
              </w:rPr>
            </w:pPr>
            <w:r>
              <w:rPr>
                <w:rFonts w:ascii="宋体" w:hAnsi="宋体" w:eastAsia="宋体" w:cs="宋体"/>
              </w:rPr>
            </w:r>
            <w:r/>
          </w:p>
        </w:tc>
      </w:tr>
      <w:tr>
        <w:trPr>
          <w:trHeight w:val="564"/>
        </w:trPr>
        <w:tc>
          <w:tcPr>
            <w:tcW w:w="1625" w:type="dxa"/>
            <w:vAlign w:val="top"/>
            <w:textDirection w:val="lrTb"/>
            <w:noWrap/>
          </w:tcPr>
          <w:p>
            <w:pPr>
              <w:pStyle w:val="842"/>
              <w:ind w:left="544"/>
              <w:spacing w:before="298" w:line="207" w:lineRule="auto"/>
              <w:rPr>
                <w:rFonts w:ascii="宋体" w:hAnsi="宋体" w:cs="宋体"/>
                <w:sz w:val="18"/>
                <w:szCs w:val="18"/>
              </w:rPr>
            </w:pPr>
            <w:r>
              <w:rPr>
                <w:rFonts w:hint="eastAsia" w:ascii="宋体" w:hAnsi="宋体" w:cs="宋体"/>
                <w:spacing w:val="-3"/>
                <w:sz w:val="18"/>
                <w:szCs w:val="18"/>
              </w:rPr>
              <w:t xml:space="preserve">供应商</w:t>
            </w:r>
            <w:r>
              <w:rPr>
                <w:rFonts w:ascii="宋体" w:hAnsi="宋体" w:cs="宋体"/>
                <w:sz w:val="18"/>
                <w:szCs w:val="18"/>
              </w:rPr>
            </w:r>
            <w:r/>
          </w:p>
        </w:tc>
        <w:tc>
          <w:tcPr>
            <w:tcW w:w="1714" w:type="dxa"/>
            <w:vAlign w:val="top"/>
            <w:textDirection w:val="lrTb"/>
            <w:noWrap/>
          </w:tcPr>
          <w:p>
            <w:pPr>
              <w:pStyle w:val="1202"/>
              <w:rPr>
                <w:rFonts w:ascii="宋体" w:hAnsi="宋体" w:eastAsia="宋体" w:cs="宋体"/>
              </w:rPr>
            </w:pPr>
            <w:r>
              <w:rPr>
                <w:rFonts w:ascii="宋体" w:hAnsi="宋体" w:eastAsia="宋体" w:cs="宋体"/>
              </w:rPr>
            </w:r>
            <w:r/>
          </w:p>
        </w:tc>
        <w:tc>
          <w:tcPr>
            <w:tcW w:w="1816" w:type="dxa"/>
            <w:vAlign w:val="top"/>
            <w:textDirection w:val="lrTb"/>
            <w:noWrap/>
          </w:tcPr>
          <w:p>
            <w:pPr>
              <w:pStyle w:val="842"/>
              <w:ind w:left="285"/>
              <w:spacing w:before="298" w:line="207" w:lineRule="auto"/>
              <w:rPr>
                <w:rFonts w:ascii="宋体" w:hAnsi="宋体" w:cs="宋体"/>
                <w:sz w:val="18"/>
                <w:szCs w:val="18"/>
              </w:rPr>
            </w:pPr>
            <w:r>
              <w:rPr>
                <w:rFonts w:hint="eastAsia" w:ascii="宋体" w:hAnsi="宋体" w:cs="宋体"/>
                <w:spacing w:val="-2"/>
                <w:sz w:val="18"/>
                <w:szCs w:val="18"/>
              </w:rPr>
              <w:t xml:space="preserve">项目及合同编号</w:t>
            </w:r>
            <w:r>
              <w:rPr>
                <w:rFonts w:ascii="宋体" w:hAnsi="宋体" w:cs="宋体"/>
                <w:sz w:val="18"/>
                <w:szCs w:val="18"/>
              </w:rPr>
            </w:r>
            <w:r/>
          </w:p>
        </w:tc>
        <w:tc>
          <w:tcPr>
            <w:tcW w:w="2476" w:type="dxa"/>
            <w:vAlign w:val="top"/>
            <w:textDirection w:val="lrTb"/>
            <w:noWrap/>
          </w:tcPr>
          <w:p>
            <w:pPr>
              <w:pStyle w:val="1202"/>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842"/>
              <w:ind w:left="1640"/>
              <w:spacing w:before="298" w:line="208" w:lineRule="auto"/>
              <w:rPr>
                <w:rFonts w:ascii="宋体" w:hAnsi="宋体" w:cs="宋体"/>
                <w:sz w:val="18"/>
                <w:szCs w:val="18"/>
              </w:rPr>
            </w:pPr>
            <w:r>
              <w:rPr>
                <w:rFonts w:hint="eastAsia" w:ascii="宋体" w:hAnsi="宋体" w:cs="宋体"/>
                <w:spacing w:val="-2"/>
                <w:sz w:val="18"/>
                <w:szCs w:val="18"/>
              </w:rPr>
              <w:t xml:space="preserve">合同金额</w:t>
            </w:r>
            <w:r>
              <w:rPr>
                <w:rFonts w:ascii="宋体" w:hAnsi="宋体" w:cs="宋体"/>
                <w:sz w:val="18"/>
                <w:szCs w:val="18"/>
              </w:rPr>
            </w:r>
            <w:r/>
          </w:p>
        </w:tc>
        <w:tc>
          <w:tcPr>
            <w:tcW w:w="2556" w:type="dxa"/>
            <w:vAlign w:val="top"/>
            <w:textDirection w:val="lrTb"/>
            <w:noWrap/>
          </w:tcPr>
          <w:p>
            <w:pPr>
              <w:pStyle w:val="1202"/>
              <w:rPr>
                <w:rFonts w:ascii="宋体" w:hAnsi="宋体" w:eastAsia="宋体" w:cs="宋体"/>
              </w:rPr>
            </w:pPr>
            <w:r>
              <w:rPr>
                <w:rFonts w:ascii="宋体" w:hAnsi="宋体" w:eastAsia="宋体" w:cs="宋体"/>
              </w:rPr>
            </w:r>
            <w:r/>
          </w:p>
        </w:tc>
      </w:tr>
      <w:tr>
        <w:trPr>
          <w:trHeight w:val="559"/>
        </w:trPr>
        <w:tc>
          <w:tcPr>
            <w:tcW w:w="1625" w:type="dxa"/>
            <w:vAlign w:val="top"/>
            <w:textDirection w:val="lrTb"/>
            <w:noWrap/>
          </w:tcPr>
          <w:p>
            <w:pPr>
              <w:pStyle w:val="842"/>
              <w:ind w:left="186"/>
              <w:spacing w:before="267" w:line="240" w:lineRule="exact"/>
              <w:rPr>
                <w:rFonts w:ascii="宋体" w:hAnsi="宋体" w:cs="宋体"/>
                <w:sz w:val="18"/>
                <w:szCs w:val="18"/>
              </w:rPr>
            </w:pPr>
            <w:r>
              <w:rPr>
                <w:rFonts w:hint="eastAsia" w:ascii="宋体" w:hAnsi="宋体" w:cs="宋体"/>
                <w:spacing w:val="-2"/>
                <w:position w:val="1"/>
                <w:sz w:val="18"/>
                <w:szCs w:val="18"/>
              </w:rPr>
              <w:t xml:space="preserve">分期（段）验收</w:t>
            </w:r>
            <w:r>
              <w:rPr>
                <w:rFonts w:ascii="宋体" w:hAnsi="宋体" w:cs="宋体"/>
                <w:sz w:val="18"/>
                <w:szCs w:val="18"/>
              </w:rPr>
            </w:r>
            <w:r/>
          </w:p>
        </w:tc>
        <w:tc>
          <w:tcPr>
            <w:tcW w:w="1714" w:type="dxa"/>
            <w:vAlign w:val="top"/>
            <w:textDirection w:val="lrTb"/>
            <w:noWrap/>
          </w:tcPr>
          <w:p>
            <w:pPr>
              <w:pStyle w:val="842"/>
              <w:ind w:left="367"/>
              <w:spacing w:before="267" w:line="240" w:lineRule="exact"/>
              <w:rPr>
                <w:rFonts w:ascii="宋体" w:hAnsi="宋体" w:cs="宋体"/>
                <w:sz w:val="18"/>
                <w:szCs w:val="18"/>
              </w:rPr>
            </w:pPr>
            <w:r>
              <w:rPr>
                <w:rFonts w:hint="eastAsia" w:ascii="宋体" w:hAnsi="宋体" w:cs="宋体"/>
                <w:spacing w:val="-6"/>
                <w:position w:val="1"/>
                <w:sz w:val="18"/>
                <w:szCs w:val="18"/>
              </w:rPr>
              <w:t xml:space="preserve">是□否□</w:t>
            </w:r>
            <w:r>
              <w:rPr>
                <w:rFonts w:ascii="宋体" w:hAnsi="宋体" w:cs="宋体"/>
                <w:sz w:val="18"/>
                <w:szCs w:val="18"/>
              </w:rPr>
            </w:r>
            <w:r/>
          </w:p>
        </w:tc>
        <w:tc>
          <w:tcPr>
            <w:tcW w:w="1816" w:type="dxa"/>
            <w:vAlign w:val="top"/>
            <w:textDirection w:val="lrTb"/>
            <w:noWrap/>
          </w:tcPr>
          <w:p>
            <w:pPr>
              <w:pStyle w:val="842"/>
              <w:ind w:left="284"/>
              <w:spacing w:before="267" w:line="240" w:lineRule="exact"/>
              <w:rPr>
                <w:rFonts w:ascii="宋体" w:hAnsi="宋体" w:cs="宋体"/>
                <w:sz w:val="18"/>
                <w:szCs w:val="18"/>
              </w:rPr>
            </w:pPr>
            <w:r>
              <w:rPr>
                <w:rFonts w:hint="eastAsia" w:ascii="宋体" w:hAnsi="宋体" w:cs="宋体"/>
                <w:spacing w:val="-2"/>
                <w:position w:val="1"/>
                <w:sz w:val="18"/>
                <w:szCs w:val="18"/>
              </w:rPr>
              <w:t xml:space="preserve">分期（段）情况</w:t>
            </w:r>
            <w:r>
              <w:rPr>
                <w:rFonts w:ascii="宋体" w:hAnsi="宋体" w:cs="宋体"/>
                <w:sz w:val="18"/>
                <w:szCs w:val="18"/>
              </w:rPr>
            </w:r>
            <w:r/>
          </w:p>
        </w:tc>
        <w:tc>
          <w:tcPr>
            <w:gridSpan w:val="4"/>
            <w:tcW w:w="9019" w:type="dxa"/>
            <w:vAlign w:val="top"/>
            <w:textDirection w:val="lrTb"/>
            <w:noWrap/>
          </w:tcPr>
          <w:p>
            <w:pPr>
              <w:pStyle w:val="842"/>
              <w:ind w:left="2804"/>
              <w:spacing w:before="267" w:line="240" w:lineRule="exact"/>
              <w:rPr>
                <w:rFonts w:ascii="宋体" w:hAnsi="宋体" w:cs="宋体"/>
                <w:sz w:val="18"/>
                <w:szCs w:val="18"/>
              </w:rPr>
            </w:pPr>
            <w:r>
              <w:rPr>
                <w:rFonts w:hint="eastAsia" w:ascii="宋体" w:hAnsi="宋体" w:cs="宋体"/>
                <w:spacing w:val="-1"/>
                <w:position w:val="1"/>
                <w:sz w:val="18"/>
                <w:szCs w:val="18"/>
              </w:rPr>
              <w:t xml:space="preserve">共分   期（段</w:t>
            </w:r>
            <w:r>
              <w:rPr>
                <w:rFonts w:hint="eastAsia" w:ascii="宋体" w:hAnsi="宋体" w:cs="宋体"/>
                <w:spacing w:val="6"/>
                <w:position w:val="1"/>
                <w:sz w:val="18"/>
                <w:szCs w:val="18"/>
              </w:rPr>
              <w:t xml:space="preserve">），</w:t>
            </w:r>
            <w:r>
              <w:rPr>
                <w:rFonts w:hint="eastAsia" w:ascii="宋体" w:hAnsi="宋体" w:cs="宋体"/>
                <w:spacing w:val="-1"/>
                <w:position w:val="1"/>
                <w:sz w:val="18"/>
                <w:szCs w:val="18"/>
              </w:rPr>
              <w:t xml:space="preserve">此为第   期（段）验收</w:t>
            </w:r>
            <w:r>
              <w:rPr>
                <w:rFonts w:ascii="宋体" w:hAnsi="宋体" w:cs="宋体"/>
                <w:sz w:val="18"/>
                <w:szCs w:val="18"/>
              </w:rPr>
            </w:r>
            <w:r/>
          </w:p>
        </w:tc>
      </w:tr>
      <w:tr>
        <w:trPr>
          <w:trHeight w:val="1679"/>
        </w:trPr>
        <w:tc>
          <w:tcPr>
            <w:tcW w:w="1625" w:type="dxa"/>
            <w:vAlign w:val="top"/>
            <w:textDirection w:val="lrTb"/>
            <w:noWrap/>
          </w:tcPr>
          <w:p>
            <w:pPr>
              <w:pStyle w:val="1202"/>
              <w:spacing w:line="264" w:lineRule="auto"/>
              <w:rPr>
                <w:rFonts w:ascii="宋体" w:hAnsi="宋体" w:eastAsia="宋体" w:cs="宋体"/>
                <w:lang w:eastAsia="zh-CN"/>
              </w:rPr>
            </w:pPr>
            <w:r>
              <w:rPr>
                <w:rFonts w:ascii="宋体" w:hAnsi="宋体" w:eastAsia="宋体" w:cs="宋体"/>
                <w:lang w:eastAsia="zh-CN"/>
              </w:rPr>
            </w:r>
            <w:r/>
          </w:p>
          <w:p>
            <w:pPr>
              <w:pStyle w:val="1202"/>
              <w:spacing w:line="264" w:lineRule="auto"/>
              <w:rPr>
                <w:rFonts w:ascii="宋体" w:hAnsi="宋体" w:eastAsia="宋体" w:cs="宋体"/>
                <w:lang w:eastAsia="zh-CN"/>
              </w:rPr>
            </w:pPr>
            <w:r>
              <w:rPr>
                <w:rFonts w:ascii="宋体" w:hAnsi="宋体" w:eastAsia="宋体" w:cs="宋体"/>
                <w:lang w:eastAsia="zh-CN"/>
              </w:rPr>
            </w:r>
            <w:r/>
          </w:p>
          <w:p>
            <w:pPr>
              <w:pStyle w:val="1202"/>
              <w:spacing w:line="265" w:lineRule="auto"/>
              <w:rPr>
                <w:rFonts w:ascii="宋体" w:hAnsi="宋体" w:eastAsia="宋体" w:cs="宋体"/>
                <w:lang w:eastAsia="zh-CN"/>
              </w:rPr>
            </w:pPr>
            <w:r>
              <w:rPr>
                <w:rFonts w:ascii="宋体" w:hAnsi="宋体" w:eastAsia="宋体" w:cs="宋体"/>
                <w:lang w:eastAsia="zh-CN"/>
              </w:rPr>
            </w:r>
            <w:r/>
          </w:p>
          <w:p>
            <w:pPr>
              <w:pStyle w:val="842"/>
              <w:ind w:left="454"/>
              <w:spacing w:before="58" w:line="208" w:lineRule="auto"/>
              <w:rPr>
                <w:rFonts w:ascii="宋体" w:hAnsi="宋体" w:cs="宋体"/>
                <w:sz w:val="18"/>
                <w:szCs w:val="18"/>
              </w:rPr>
            </w:pPr>
            <w:r>
              <w:rPr>
                <w:rFonts w:hint="eastAsia" w:ascii="宋体" w:hAnsi="宋体" w:cs="宋体"/>
                <w:spacing w:val="-2"/>
                <w:sz w:val="18"/>
                <w:szCs w:val="18"/>
              </w:rPr>
              <w:t xml:space="preserve">验收时间</w:t>
            </w:r>
            <w:r>
              <w:rPr>
                <w:rFonts w:ascii="宋体" w:hAnsi="宋体" w:cs="宋体"/>
                <w:sz w:val="18"/>
                <w:szCs w:val="18"/>
              </w:rPr>
            </w:r>
            <w:r/>
          </w:p>
        </w:tc>
        <w:tc>
          <w:tcPr>
            <w:tcW w:w="1714" w:type="dxa"/>
            <w:vAlign w:val="top"/>
            <w:textDirection w:val="lrTb"/>
            <w:noWrap/>
          </w:tcPr>
          <w:p>
            <w:pPr>
              <w:pStyle w:val="1202"/>
              <w:rPr>
                <w:rFonts w:ascii="宋体" w:hAnsi="宋体" w:eastAsia="宋体" w:cs="宋体"/>
              </w:rPr>
            </w:pPr>
            <w:r>
              <w:rPr>
                <w:rFonts w:ascii="宋体" w:hAnsi="宋体" w:eastAsia="宋体" w:cs="宋体"/>
              </w:rPr>
            </w:r>
            <w:r/>
          </w:p>
        </w:tc>
        <w:tc>
          <w:tcPr>
            <w:tcW w:w="1816" w:type="dxa"/>
            <w:vAlign w:val="top"/>
            <w:textDirection w:val="lrTb"/>
            <w:noWrap/>
          </w:tcPr>
          <w:p>
            <w:pPr>
              <w:pStyle w:val="1202"/>
              <w:spacing w:line="264" w:lineRule="auto"/>
              <w:rPr>
                <w:rFonts w:ascii="宋体" w:hAnsi="宋体" w:eastAsia="宋体" w:cs="宋体"/>
              </w:rPr>
            </w:pPr>
            <w:r>
              <w:rPr>
                <w:rFonts w:ascii="宋体" w:hAnsi="宋体" w:eastAsia="宋体" w:cs="宋体"/>
              </w:rPr>
            </w:r>
            <w:r/>
          </w:p>
          <w:p>
            <w:pPr>
              <w:pStyle w:val="1202"/>
              <w:spacing w:line="264" w:lineRule="auto"/>
              <w:rPr>
                <w:rFonts w:ascii="宋体" w:hAnsi="宋体" w:eastAsia="宋体" w:cs="宋体"/>
              </w:rPr>
            </w:pPr>
            <w:r>
              <w:rPr>
                <w:rFonts w:ascii="宋体" w:hAnsi="宋体" w:eastAsia="宋体" w:cs="宋体"/>
              </w:rPr>
            </w:r>
            <w:r/>
          </w:p>
          <w:p>
            <w:pPr>
              <w:pStyle w:val="1202"/>
              <w:spacing w:line="265" w:lineRule="auto"/>
              <w:rPr>
                <w:rFonts w:ascii="宋体" w:hAnsi="宋体" w:eastAsia="宋体" w:cs="宋体"/>
              </w:rPr>
            </w:pPr>
            <w:r>
              <w:rPr>
                <w:rFonts w:ascii="宋体" w:hAnsi="宋体" w:eastAsia="宋体" w:cs="宋体"/>
              </w:rPr>
            </w:r>
            <w:r/>
          </w:p>
          <w:p>
            <w:pPr>
              <w:pStyle w:val="842"/>
              <w:ind w:left="550"/>
              <w:spacing w:before="58" w:line="208" w:lineRule="auto"/>
              <w:rPr>
                <w:rFonts w:ascii="宋体" w:hAnsi="宋体" w:cs="宋体"/>
                <w:sz w:val="18"/>
                <w:szCs w:val="18"/>
              </w:rPr>
            </w:pPr>
            <w:r>
              <w:rPr>
                <w:rFonts w:hint="eastAsia" w:ascii="宋体" w:hAnsi="宋体" w:cs="宋体"/>
                <w:spacing w:val="-2"/>
                <w:sz w:val="18"/>
                <w:szCs w:val="18"/>
              </w:rPr>
              <w:t xml:space="preserve">验收地点</w:t>
            </w:r>
            <w:r>
              <w:rPr>
                <w:rFonts w:ascii="宋体" w:hAnsi="宋体" w:cs="宋体"/>
                <w:sz w:val="18"/>
                <w:szCs w:val="18"/>
              </w:rPr>
            </w:r>
            <w:r/>
          </w:p>
        </w:tc>
        <w:tc>
          <w:tcPr>
            <w:tcW w:w="2476" w:type="dxa"/>
            <w:vAlign w:val="top"/>
            <w:textDirection w:val="lrTb"/>
            <w:noWrap/>
          </w:tcPr>
          <w:p>
            <w:pPr>
              <w:pStyle w:val="1202"/>
              <w:rPr>
                <w:rFonts w:ascii="宋体" w:hAnsi="宋体" w:eastAsia="宋体" w:cs="宋体"/>
              </w:rPr>
            </w:pPr>
            <w:r>
              <w:rPr>
                <w:rFonts w:ascii="宋体" w:hAnsi="宋体" w:eastAsia="宋体" w:cs="宋体"/>
              </w:rPr>
            </w:r>
            <w:r/>
          </w:p>
        </w:tc>
        <w:tc>
          <w:tcPr>
            <w:gridSpan w:val="2"/>
            <w:tcW w:w="3987" w:type="dxa"/>
            <w:vAlign w:val="top"/>
            <w:textDirection w:val="lrTb"/>
            <w:noWrap/>
          </w:tcPr>
          <w:p>
            <w:pPr>
              <w:pStyle w:val="1202"/>
              <w:spacing w:line="264" w:lineRule="auto"/>
              <w:rPr>
                <w:rFonts w:ascii="宋体" w:hAnsi="宋体" w:eastAsia="宋体" w:cs="宋体"/>
              </w:rPr>
            </w:pPr>
            <w:r>
              <w:rPr>
                <w:rFonts w:ascii="宋体" w:hAnsi="宋体" w:eastAsia="宋体" w:cs="宋体"/>
              </w:rPr>
            </w:r>
            <w:r/>
          </w:p>
          <w:p>
            <w:pPr>
              <w:pStyle w:val="1202"/>
              <w:spacing w:line="264" w:lineRule="auto"/>
              <w:rPr>
                <w:rFonts w:ascii="宋体" w:hAnsi="宋体" w:eastAsia="宋体" w:cs="宋体"/>
              </w:rPr>
            </w:pPr>
            <w:r>
              <w:rPr>
                <w:rFonts w:ascii="宋体" w:hAnsi="宋体" w:eastAsia="宋体" w:cs="宋体"/>
              </w:rPr>
            </w:r>
            <w:r/>
          </w:p>
          <w:p>
            <w:pPr>
              <w:pStyle w:val="1202"/>
              <w:spacing w:line="265" w:lineRule="auto"/>
              <w:rPr>
                <w:rFonts w:ascii="宋体" w:hAnsi="宋体" w:eastAsia="宋体" w:cs="宋体"/>
              </w:rPr>
            </w:pPr>
            <w:r>
              <w:rPr>
                <w:rFonts w:ascii="宋体" w:hAnsi="宋体" w:eastAsia="宋体" w:cs="宋体"/>
              </w:rPr>
            </w:r>
            <w:r/>
          </w:p>
          <w:p>
            <w:pPr>
              <w:pStyle w:val="842"/>
              <w:ind w:left="1459"/>
              <w:spacing w:before="59" w:line="208" w:lineRule="auto"/>
              <w:rPr>
                <w:rFonts w:ascii="宋体" w:hAnsi="宋体" w:cs="宋体"/>
                <w:sz w:val="18"/>
                <w:szCs w:val="18"/>
              </w:rPr>
            </w:pPr>
            <w:r>
              <w:rPr>
                <w:rFonts w:hint="eastAsia" w:ascii="宋体" w:hAnsi="宋体" w:cs="宋体"/>
                <w:spacing w:val="-2"/>
                <w:sz w:val="18"/>
                <w:szCs w:val="18"/>
              </w:rPr>
              <w:t xml:space="preserve">验收组织形式</w:t>
            </w:r>
            <w:r>
              <w:rPr>
                <w:rFonts w:ascii="宋体" w:hAnsi="宋体" w:cs="宋体"/>
                <w:sz w:val="18"/>
                <w:szCs w:val="18"/>
              </w:rPr>
            </w:r>
            <w:r/>
          </w:p>
        </w:tc>
        <w:tc>
          <w:tcPr>
            <w:tcW w:w="2556" w:type="dxa"/>
            <w:vAlign w:val="top"/>
            <w:textDirection w:val="lrTb"/>
            <w:noWrap/>
          </w:tcPr>
          <w:p>
            <w:pPr>
              <w:pStyle w:val="842"/>
              <w:ind w:left="673"/>
              <w:spacing w:before="267" w:line="239" w:lineRule="exact"/>
              <w:rPr>
                <w:rFonts w:ascii="宋体" w:hAnsi="宋体" w:cs="宋体"/>
                <w:sz w:val="18"/>
                <w:szCs w:val="18"/>
              </w:rPr>
            </w:pPr>
            <w:r>
              <w:rPr>
                <w:rFonts w:hint="eastAsia" w:ascii="宋体" w:hAnsi="宋体" w:cs="宋体"/>
                <w:spacing w:val="-4"/>
                <w:position w:val="1"/>
                <w:sz w:val="18"/>
                <w:szCs w:val="18"/>
              </w:rPr>
              <w:t xml:space="preserve">□自行简易验收</w:t>
            </w:r>
            <w:r>
              <w:rPr>
                <w:rFonts w:ascii="宋体" w:hAnsi="宋体" w:cs="宋体"/>
                <w:sz w:val="18"/>
                <w:szCs w:val="18"/>
              </w:rPr>
            </w:r>
            <w:r/>
          </w:p>
          <w:p>
            <w:pPr>
              <w:pStyle w:val="1202"/>
              <w:spacing w:line="260" w:lineRule="auto"/>
              <w:rPr>
                <w:rFonts w:ascii="宋体" w:hAnsi="宋体" w:eastAsia="宋体" w:cs="宋体"/>
                <w:lang w:eastAsia="zh-CN"/>
              </w:rPr>
            </w:pPr>
            <w:r>
              <w:rPr>
                <w:rFonts w:ascii="宋体" w:hAnsi="宋体" w:eastAsia="宋体" w:cs="宋体"/>
                <w:lang w:eastAsia="zh-CN"/>
              </w:rPr>
            </w:r>
            <w:r/>
          </w:p>
          <w:p>
            <w:pPr>
              <w:pStyle w:val="842"/>
              <w:ind w:left="673"/>
              <w:spacing w:before="58" w:line="240" w:lineRule="exact"/>
              <w:rPr>
                <w:rFonts w:ascii="宋体" w:hAnsi="宋体" w:cs="宋体"/>
                <w:sz w:val="18"/>
                <w:szCs w:val="18"/>
              </w:rPr>
            </w:pPr>
            <w:r>
              <w:rPr>
                <w:rFonts w:hint="eastAsia" w:ascii="宋体" w:hAnsi="宋体" w:cs="宋体"/>
                <w:spacing w:val="-4"/>
                <w:position w:val="1"/>
                <w:sz w:val="18"/>
                <w:szCs w:val="18"/>
              </w:rPr>
              <w:t xml:space="preserve">□验收小组验收</w:t>
            </w:r>
            <w:r>
              <w:rPr>
                <w:rFonts w:ascii="宋体" w:hAnsi="宋体" w:cs="宋体"/>
                <w:sz w:val="18"/>
                <w:szCs w:val="18"/>
              </w:rPr>
            </w:r>
            <w:r/>
          </w:p>
          <w:p>
            <w:pPr>
              <w:pStyle w:val="1202"/>
              <w:spacing w:line="262" w:lineRule="auto"/>
              <w:rPr>
                <w:rFonts w:ascii="宋体" w:hAnsi="宋体" w:eastAsia="宋体" w:cs="宋体"/>
                <w:lang w:eastAsia="zh-CN"/>
              </w:rPr>
            </w:pPr>
            <w:r>
              <w:rPr>
                <w:rFonts w:ascii="宋体" w:hAnsi="宋体" w:eastAsia="宋体" w:cs="宋体"/>
                <w:lang w:eastAsia="zh-CN"/>
              </w:rPr>
            </w:r>
            <w:r/>
          </w:p>
          <w:p>
            <w:pPr>
              <w:pStyle w:val="842"/>
              <w:ind w:left="582"/>
              <w:spacing w:before="58" w:line="239" w:lineRule="exact"/>
              <w:rPr>
                <w:rFonts w:ascii="宋体" w:hAnsi="宋体" w:cs="宋体"/>
                <w:sz w:val="18"/>
                <w:szCs w:val="18"/>
              </w:rPr>
            </w:pPr>
            <w:r>
              <w:rPr>
                <w:rFonts w:hint="eastAsia" w:ascii="宋体" w:hAnsi="宋体" w:cs="宋体"/>
                <w:spacing w:val="-3"/>
                <w:position w:val="1"/>
                <w:sz w:val="18"/>
                <w:szCs w:val="18"/>
              </w:rPr>
              <w:t xml:space="preserve">□采购代理机构验收</w:t>
            </w:r>
            <w:r>
              <w:rPr>
                <w:rFonts w:ascii="宋体" w:hAnsi="宋体" w:cs="宋体"/>
                <w:sz w:val="18"/>
                <w:szCs w:val="18"/>
              </w:rPr>
            </w:r>
            <w:r/>
          </w:p>
        </w:tc>
      </w:tr>
      <w:tr>
        <w:trPr>
          <w:cantSplit/>
          <w:trHeight w:val="560"/>
        </w:trPr>
        <w:tc>
          <w:tcPr>
            <w:tcW w:w="1625" w:type="dxa"/>
            <w:vAlign w:val="top"/>
            <w:vMerge w:val="restart"/>
            <w:textDirection w:val="lrTb"/>
            <w:noWrap/>
          </w:tcPr>
          <w:p>
            <w:pPr>
              <w:pStyle w:val="1202"/>
              <w:spacing w:line="265" w:lineRule="auto"/>
              <w:rPr>
                <w:rFonts w:ascii="宋体" w:hAnsi="宋体" w:eastAsia="宋体" w:cs="宋体"/>
              </w:rPr>
            </w:pPr>
            <w:r>
              <w:rPr>
                <w:rFonts w:ascii="宋体" w:hAnsi="宋体" w:eastAsia="宋体" w:cs="宋体"/>
              </w:rPr>
            </w:r>
            <w:r/>
          </w:p>
          <w:p>
            <w:pPr>
              <w:pStyle w:val="1202"/>
              <w:spacing w:line="265" w:lineRule="auto"/>
              <w:rPr>
                <w:rFonts w:ascii="宋体" w:hAnsi="宋体" w:eastAsia="宋体" w:cs="宋体"/>
              </w:rPr>
            </w:pPr>
            <w:r>
              <w:rPr>
                <w:rFonts w:ascii="宋体" w:hAnsi="宋体" w:eastAsia="宋体" w:cs="宋体"/>
              </w:rPr>
            </w:r>
            <w:r/>
          </w:p>
          <w:p>
            <w:pPr>
              <w:pStyle w:val="1202"/>
              <w:spacing w:line="266" w:lineRule="auto"/>
              <w:rPr>
                <w:rFonts w:ascii="宋体" w:hAnsi="宋体" w:eastAsia="宋体" w:cs="宋体"/>
              </w:rPr>
            </w:pPr>
            <w:r>
              <w:rPr>
                <w:rFonts w:ascii="宋体" w:hAnsi="宋体" w:eastAsia="宋体" w:cs="宋体"/>
              </w:rPr>
            </w:r>
            <w:r/>
          </w:p>
          <w:p>
            <w:pPr>
              <w:pStyle w:val="842"/>
              <w:ind w:left="454"/>
              <w:spacing w:before="58" w:line="208" w:lineRule="auto"/>
              <w:rPr>
                <w:rFonts w:ascii="宋体" w:hAnsi="宋体" w:cs="宋体"/>
                <w:sz w:val="18"/>
                <w:szCs w:val="18"/>
              </w:rPr>
            </w:pPr>
            <w:r>
              <w:rPr>
                <w:rFonts w:hint="eastAsia" w:ascii="宋体" w:hAnsi="宋体" w:cs="宋体"/>
                <w:spacing w:val="-2"/>
                <w:sz w:val="18"/>
                <w:szCs w:val="18"/>
              </w:rPr>
              <w:t xml:space="preserve">验收内容</w:t>
            </w:r>
            <w:r>
              <w:rPr>
                <w:rFonts w:ascii="宋体" w:hAnsi="宋体" w:cs="宋体"/>
                <w:sz w:val="18"/>
                <w:szCs w:val="18"/>
              </w:rPr>
            </w:r>
            <w:r/>
          </w:p>
        </w:tc>
        <w:tc>
          <w:tcPr>
            <w:tcW w:w="1714" w:type="dxa"/>
            <w:vAlign w:val="top"/>
            <w:textDirection w:val="lrTb"/>
            <w:noWrap/>
          </w:tcPr>
          <w:p>
            <w:pPr>
              <w:pStyle w:val="842"/>
              <w:ind w:left="498"/>
              <w:spacing w:before="298" w:line="208" w:lineRule="auto"/>
              <w:rPr>
                <w:rFonts w:ascii="宋体" w:hAnsi="宋体" w:cs="宋体"/>
                <w:sz w:val="18"/>
                <w:szCs w:val="18"/>
              </w:rPr>
            </w:pPr>
            <w:r>
              <w:rPr>
                <w:rFonts w:hint="eastAsia" w:ascii="宋体" w:hAnsi="宋体" w:cs="宋体"/>
                <w:spacing w:val="-2"/>
                <w:sz w:val="18"/>
                <w:szCs w:val="18"/>
              </w:rPr>
              <w:t xml:space="preserve">服务质量</w:t>
            </w:r>
            <w:r>
              <w:rPr>
                <w:rFonts w:ascii="宋体" w:hAnsi="宋体" w:cs="宋体"/>
                <w:sz w:val="18"/>
                <w:szCs w:val="18"/>
              </w:rPr>
            </w:r>
            <w:r/>
          </w:p>
        </w:tc>
        <w:tc>
          <w:tcPr>
            <w:tcW w:w="1816" w:type="dxa"/>
            <w:vAlign w:val="top"/>
            <w:textDirection w:val="lrTb"/>
            <w:noWrap/>
          </w:tcPr>
          <w:p>
            <w:pPr>
              <w:pStyle w:val="842"/>
              <w:ind w:left="551"/>
              <w:spacing w:before="298" w:line="208" w:lineRule="auto"/>
              <w:rPr>
                <w:rFonts w:ascii="宋体" w:hAnsi="宋体" w:cs="宋体"/>
                <w:sz w:val="18"/>
                <w:szCs w:val="18"/>
              </w:rPr>
            </w:pPr>
            <w:r>
              <w:rPr>
                <w:rFonts w:hint="eastAsia" w:ascii="宋体" w:hAnsi="宋体" w:cs="宋体"/>
                <w:spacing w:val="-2"/>
                <w:sz w:val="18"/>
                <w:szCs w:val="18"/>
              </w:rPr>
              <w:t xml:space="preserve">服务进度</w:t>
            </w:r>
            <w:r>
              <w:rPr>
                <w:rFonts w:ascii="宋体" w:hAnsi="宋体" w:cs="宋体"/>
                <w:sz w:val="18"/>
                <w:szCs w:val="18"/>
              </w:rPr>
            </w:r>
            <w:r/>
          </w:p>
        </w:tc>
        <w:tc>
          <w:tcPr>
            <w:tcW w:w="2476" w:type="dxa"/>
            <w:vAlign w:val="top"/>
            <w:textDirection w:val="lrTb"/>
            <w:noWrap/>
          </w:tcPr>
          <w:p>
            <w:pPr>
              <w:pStyle w:val="842"/>
              <w:ind w:left="387"/>
              <w:spacing w:before="298" w:line="207" w:lineRule="auto"/>
              <w:rPr>
                <w:rFonts w:ascii="宋体" w:hAnsi="宋体" w:cs="宋体"/>
                <w:sz w:val="18"/>
                <w:szCs w:val="18"/>
              </w:rPr>
            </w:pPr>
            <w:r>
              <w:rPr>
                <w:rFonts w:hint="eastAsia" w:ascii="宋体" w:hAnsi="宋体" w:cs="宋体"/>
                <w:spacing w:val="-1"/>
                <w:sz w:val="18"/>
                <w:szCs w:val="18"/>
              </w:rPr>
              <w:t xml:space="preserve">人员、设备 配备情况</w:t>
            </w:r>
            <w:r>
              <w:rPr>
                <w:rFonts w:ascii="宋体" w:hAnsi="宋体" w:cs="宋体"/>
                <w:sz w:val="18"/>
                <w:szCs w:val="18"/>
              </w:rPr>
            </w:r>
            <w:r/>
          </w:p>
        </w:tc>
        <w:tc>
          <w:tcPr>
            <w:tcW w:w="1705" w:type="dxa"/>
            <w:vAlign w:val="top"/>
            <w:textDirection w:val="lrTb"/>
            <w:noWrap/>
          </w:tcPr>
          <w:p>
            <w:pPr>
              <w:pStyle w:val="842"/>
              <w:ind w:left="231"/>
              <w:spacing w:before="297" w:line="209" w:lineRule="auto"/>
              <w:rPr>
                <w:rFonts w:ascii="宋体" w:hAnsi="宋体" w:cs="宋体"/>
                <w:sz w:val="18"/>
                <w:szCs w:val="18"/>
              </w:rPr>
            </w:pPr>
            <w:r>
              <w:rPr>
                <w:rFonts w:hint="eastAsia" w:ascii="宋体" w:hAnsi="宋体" w:cs="宋体"/>
                <w:spacing w:val="-2"/>
                <w:sz w:val="18"/>
                <w:szCs w:val="18"/>
              </w:rPr>
              <w:t xml:space="preserve">行业、安全标准</w:t>
            </w:r>
            <w:r>
              <w:rPr>
                <w:rFonts w:ascii="宋体" w:hAnsi="宋体" w:cs="宋体"/>
                <w:sz w:val="18"/>
                <w:szCs w:val="18"/>
              </w:rPr>
            </w:r>
            <w:r/>
          </w:p>
        </w:tc>
        <w:tc>
          <w:tcPr>
            <w:tcW w:w="2282" w:type="dxa"/>
            <w:vAlign w:val="top"/>
            <w:textDirection w:val="lrTb"/>
            <w:noWrap/>
          </w:tcPr>
          <w:p>
            <w:pPr>
              <w:pStyle w:val="842"/>
              <w:ind w:left="340"/>
              <w:spacing w:before="298" w:line="208" w:lineRule="auto"/>
              <w:rPr>
                <w:rFonts w:ascii="宋体" w:hAnsi="宋体" w:cs="宋体"/>
                <w:sz w:val="18"/>
                <w:szCs w:val="18"/>
              </w:rPr>
            </w:pPr>
            <w:r>
              <w:rPr>
                <w:rFonts w:hint="eastAsia" w:ascii="宋体" w:hAnsi="宋体" w:cs="宋体"/>
                <w:spacing w:val="-2"/>
                <w:sz w:val="18"/>
                <w:szCs w:val="18"/>
              </w:rPr>
              <w:t xml:space="preserve">项目需求、服务承诺</w:t>
            </w:r>
            <w:r>
              <w:rPr>
                <w:rFonts w:ascii="宋体" w:hAnsi="宋体" w:cs="宋体"/>
                <w:sz w:val="18"/>
                <w:szCs w:val="18"/>
              </w:rPr>
            </w:r>
            <w:r/>
          </w:p>
        </w:tc>
        <w:tc>
          <w:tcPr>
            <w:tcW w:w="2556" w:type="dxa"/>
            <w:vAlign w:val="top"/>
            <w:textDirection w:val="lrTb"/>
            <w:noWrap/>
          </w:tcPr>
          <w:p>
            <w:pPr>
              <w:pStyle w:val="842"/>
              <w:ind w:left="159"/>
              <w:spacing w:before="299" w:line="208" w:lineRule="auto"/>
              <w:rPr>
                <w:rFonts w:ascii="宋体" w:hAnsi="宋体" w:cs="宋体"/>
                <w:sz w:val="18"/>
                <w:szCs w:val="18"/>
              </w:rPr>
            </w:pPr>
            <w:r>
              <w:rPr>
                <w:rFonts w:hint="eastAsia" w:ascii="宋体" w:hAnsi="宋体" w:cs="宋体"/>
                <w:spacing w:val="-1"/>
                <w:sz w:val="18"/>
                <w:szCs w:val="18"/>
              </w:rPr>
              <w:t xml:space="preserve">合同履约时间、 地点、方式</w:t>
            </w:r>
            <w:r>
              <w:rPr>
                <w:rFonts w:ascii="宋体" w:hAnsi="宋体" w:cs="宋体"/>
                <w:sz w:val="18"/>
                <w:szCs w:val="18"/>
              </w:rPr>
            </w:r>
            <w:r/>
          </w:p>
        </w:tc>
      </w:tr>
      <w:tr>
        <w:trPr>
          <w:cantSplit/>
          <w:trHeight w:val="1119"/>
        </w:trPr>
        <w:tc>
          <w:tcPr>
            <w:tcW w:w="1625" w:type="dxa"/>
            <w:vAlign w:val="top"/>
            <w:vMerge w:val="continue"/>
            <w:textDirection w:val="lrTb"/>
            <w:noWrap/>
          </w:tcPr>
          <w:p>
            <w:pPr>
              <w:pStyle w:val="1202"/>
              <w:rPr>
                <w:rFonts w:ascii="宋体" w:hAnsi="宋体" w:eastAsia="宋体" w:cs="宋体"/>
                <w:lang w:eastAsia="zh-CN"/>
              </w:rPr>
            </w:pPr>
            <w:r>
              <w:rPr>
                <w:rFonts w:ascii="宋体" w:hAnsi="宋体" w:eastAsia="宋体" w:cs="宋体"/>
                <w:lang w:eastAsia="zh-CN"/>
              </w:rPr>
            </w:r>
            <w:r/>
          </w:p>
        </w:tc>
        <w:tc>
          <w:tcPr>
            <w:tcW w:w="1714" w:type="dxa"/>
            <w:vAlign w:val="top"/>
            <w:textDirection w:val="lrTb"/>
            <w:noWrap/>
          </w:tcPr>
          <w:p>
            <w:pPr>
              <w:pStyle w:val="842"/>
              <w:ind w:left="501" w:right="497"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1816" w:type="dxa"/>
            <w:vAlign w:val="top"/>
            <w:textDirection w:val="lrTb"/>
            <w:noWrap/>
          </w:tcPr>
          <w:p>
            <w:pPr>
              <w:pStyle w:val="842"/>
              <w:ind w:left="553" w:right="547" w:hanging="1"/>
              <w:spacing w:before="270" w:line="430" w:lineRule="auto"/>
              <w:rPr>
                <w:rFonts w:ascii="宋体" w:hAnsi="宋体" w:cs="宋体"/>
                <w:sz w:val="18"/>
                <w:szCs w:val="18"/>
              </w:rPr>
            </w:pPr>
            <w:r>
              <w:rPr>
                <w:rFonts w:hint="eastAsia" w:ascii="宋体" w:hAnsi="宋体" w:cs="宋体"/>
                <w:spacing w:val="-8"/>
                <w:sz w:val="18"/>
                <w:szCs w:val="18"/>
              </w:rPr>
              <w:t xml:space="preserve">按时□</w:t>
            </w:r>
            <w:r>
              <w:rPr>
                <w:rFonts w:hint="eastAsia" w:ascii="宋体" w:hAnsi="宋体" w:cs="宋体"/>
                <w:spacing w:val="-3"/>
                <w:sz w:val="18"/>
                <w:szCs w:val="18"/>
              </w:rPr>
              <w:t xml:space="preserve">不按时□</w:t>
            </w:r>
            <w:r>
              <w:rPr>
                <w:rFonts w:ascii="宋体" w:hAnsi="宋体" w:cs="宋体"/>
                <w:sz w:val="18"/>
                <w:szCs w:val="18"/>
              </w:rPr>
            </w:r>
            <w:r/>
          </w:p>
        </w:tc>
        <w:tc>
          <w:tcPr>
            <w:tcW w:w="2476" w:type="dxa"/>
            <w:vAlign w:val="top"/>
            <w:textDirection w:val="lrTb"/>
            <w:noWrap/>
          </w:tcPr>
          <w:p>
            <w:pPr>
              <w:pStyle w:val="842"/>
              <w:ind w:left="885" w:right="875"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1705" w:type="dxa"/>
            <w:vAlign w:val="top"/>
            <w:textDirection w:val="lrTb"/>
            <w:noWrap/>
          </w:tcPr>
          <w:p>
            <w:pPr>
              <w:pStyle w:val="842"/>
              <w:ind w:left="500" w:right="489"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2282" w:type="dxa"/>
            <w:vAlign w:val="top"/>
            <w:textDirection w:val="lrTb"/>
            <w:noWrap/>
          </w:tcPr>
          <w:p>
            <w:pPr>
              <w:pStyle w:val="842"/>
              <w:ind w:left="789" w:right="777"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c>
          <w:tcPr>
            <w:tcW w:w="2556" w:type="dxa"/>
            <w:vAlign w:val="top"/>
            <w:textDirection w:val="lrTb"/>
            <w:noWrap/>
          </w:tcPr>
          <w:p>
            <w:pPr>
              <w:pStyle w:val="842"/>
              <w:ind w:left="926" w:right="914" w:hanging="2"/>
              <w:spacing w:before="270" w:line="430" w:lineRule="auto"/>
              <w:rPr>
                <w:rFonts w:ascii="宋体" w:hAnsi="宋体" w:cs="宋体"/>
                <w:sz w:val="18"/>
                <w:szCs w:val="18"/>
              </w:rPr>
            </w:pPr>
            <w:r>
              <w:rPr>
                <w:rFonts w:hint="eastAsia" w:ascii="宋体" w:hAnsi="宋体" w:cs="宋体"/>
                <w:spacing w:val="-5"/>
                <w:sz w:val="18"/>
                <w:szCs w:val="18"/>
              </w:rPr>
              <w:t xml:space="preserve">合格□</w:t>
            </w:r>
            <w:r>
              <w:rPr>
                <w:rFonts w:hint="eastAsia" w:ascii="宋体" w:hAnsi="宋体" w:cs="宋体"/>
                <w:spacing w:val="-3"/>
                <w:sz w:val="18"/>
                <w:szCs w:val="18"/>
              </w:rPr>
              <w:t xml:space="preserve">不合格□</w:t>
            </w:r>
            <w:r>
              <w:rPr>
                <w:rFonts w:ascii="宋体" w:hAnsi="宋体" w:cs="宋体"/>
                <w:sz w:val="18"/>
                <w:szCs w:val="18"/>
              </w:rPr>
            </w:r>
            <w:r/>
          </w:p>
        </w:tc>
      </w:tr>
      <w:tr>
        <w:trPr>
          <w:trHeight w:val="1119"/>
        </w:trPr>
        <w:tc>
          <w:tcPr>
            <w:tcW w:w="1625" w:type="dxa"/>
            <w:vAlign w:val="top"/>
            <w:textDirection w:val="lrTb"/>
            <w:noWrap/>
          </w:tcPr>
          <w:p>
            <w:pPr>
              <w:pStyle w:val="842"/>
              <w:ind w:left="185"/>
              <w:spacing w:before="299" w:line="208" w:lineRule="auto"/>
              <w:rPr>
                <w:rFonts w:ascii="宋体" w:hAnsi="宋体" w:cs="宋体"/>
                <w:sz w:val="18"/>
                <w:szCs w:val="18"/>
              </w:rPr>
            </w:pPr>
            <w:r>
              <w:rPr>
                <w:rFonts w:hint="eastAsia" w:ascii="宋体" w:hAnsi="宋体" w:cs="宋体"/>
                <w:spacing w:val="-2"/>
                <w:sz w:val="18"/>
                <w:szCs w:val="18"/>
              </w:rPr>
              <w:t xml:space="preserve">专业检测机构情</w:t>
            </w:r>
            <w:r>
              <w:rPr>
                <w:rFonts w:ascii="宋体" w:hAnsi="宋体" w:cs="宋体"/>
                <w:sz w:val="18"/>
                <w:szCs w:val="18"/>
              </w:rPr>
            </w:r>
            <w:r/>
          </w:p>
          <w:p>
            <w:pPr>
              <w:pStyle w:val="1202"/>
              <w:spacing w:line="298" w:lineRule="auto"/>
              <w:rPr>
                <w:rFonts w:ascii="宋体" w:hAnsi="宋体" w:eastAsia="宋体" w:cs="宋体"/>
                <w:lang w:eastAsia="zh-CN"/>
              </w:rPr>
            </w:pPr>
            <w:r>
              <w:rPr>
                <w:rFonts w:ascii="宋体" w:hAnsi="宋体" w:eastAsia="宋体" w:cs="宋体"/>
                <w:lang w:eastAsia="zh-CN"/>
              </w:rPr>
            </w:r>
            <w:r/>
          </w:p>
          <w:p>
            <w:pPr>
              <w:pStyle w:val="842"/>
              <w:ind w:left="545"/>
              <w:spacing w:before="59" w:line="207" w:lineRule="auto"/>
              <w:rPr>
                <w:rFonts w:ascii="宋体" w:hAnsi="宋体" w:cs="宋体"/>
                <w:sz w:val="18"/>
                <w:szCs w:val="18"/>
              </w:rPr>
            </w:pPr>
            <w:r>
              <w:rPr>
                <w:rFonts w:hint="eastAsia" w:ascii="宋体" w:hAnsi="宋体" w:cs="宋体"/>
                <w:spacing w:val="-3"/>
                <w:sz w:val="18"/>
                <w:szCs w:val="18"/>
              </w:rPr>
              <w:t xml:space="preserve">况说明</w:t>
            </w:r>
            <w:r>
              <w:rPr>
                <w:rFonts w:ascii="宋体" w:hAnsi="宋体" w:cs="宋体"/>
                <w:sz w:val="18"/>
                <w:szCs w:val="18"/>
              </w:rPr>
            </w:r>
            <w:r/>
          </w:p>
        </w:tc>
        <w:tc>
          <w:tcPr>
            <w:gridSpan w:val="6"/>
            <w:tcW w:w="12549" w:type="dxa"/>
            <w:vAlign w:val="top"/>
            <w:textDirection w:val="lrTb"/>
            <w:noWrap/>
          </w:tcPr>
          <w:p>
            <w:pPr>
              <w:pStyle w:val="1202"/>
              <w:rPr>
                <w:rFonts w:ascii="宋体" w:hAnsi="宋体" w:eastAsia="宋体" w:cs="宋体"/>
                <w:lang w:eastAsia="zh-CN"/>
              </w:rPr>
            </w:pPr>
            <w:r>
              <w:rPr>
                <w:rFonts w:ascii="宋体" w:hAnsi="宋体" w:eastAsia="宋体" w:cs="宋体"/>
                <w:lang w:eastAsia="zh-CN"/>
              </w:rPr>
            </w:r>
            <w:r/>
          </w:p>
        </w:tc>
      </w:tr>
      <w:tr>
        <w:trPr>
          <w:trHeight w:val="1120"/>
        </w:trPr>
        <w:tc>
          <w:tcPr>
            <w:tcW w:w="1625" w:type="dxa"/>
            <w:vAlign w:val="top"/>
            <w:textDirection w:val="lrTb"/>
            <w:noWrap/>
          </w:tcPr>
          <w:p>
            <w:pPr>
              <w:pStyle w:val="1202"/>
              <w:spacing w:line="241" w:lineRule="auto"/>
              <w:rPr>
                <w:rFonts w:ascii="宋体" w:hAnsi="宋体" w:eastAsia="宋体" w:cs="宋体"/>
                <w:lang w:eastAsia="zh-CN"/>
              </w:rPr>
            </w:pPr>
            <w:r>
              <w:rPr>
                <w:rFonts w:ascii="宋体" w:hAnsi="宋体" w:eastAsia="宋体" w:cs="宋体"/>
                <w:lang w:eastAsia="zh-CN"/>
              </w:rPr>
            </w:r>
            <w:r/>
          </w:p>
          <w:p>
            <w:pPr>
              <w:pStyle w:val="842"/>
              <w:ind w:left="454"/>
              <w:spacing w:before="58" w:line="207" w:lineRule="auto"/>
              <w:rPr>
                <w:rFonts w:ascii="宋体" w:hAnsi="宋体" w:cs="宋体"/>
                <w:sz w:val="18"/>
                <w:szCs w:val="18"/>
              </w:rPr>
            </w:pPr>
            <w:r>
              <w:rPr>
                <w:rFonts w:hint="eastAsia" w:ascii="宋体" w:hAnsi="宋体" w:cs="宋体"/>
                <w:spacing w:val="-2"/>
                <w:sz w:val="18"/>
                <w:szCs w:val="18"/>
              </w:rPr>
              <w:t xml:space="preserve">存在问题</w:t>
            </w:r>
            <w:r>
              <w:rPr>
                <w:rFonts w:ascii="宋体" w:hAnsi="宋体" w:cs="宋体"/>
                <w:sz w:val="18"/>
                <w:szCs w:val="18"/>
              </w:rPr>
            </w:r>
            <w:r/>
          </w:p>
          <w:p>
            <w:pPr>
              <w:pStyle w:val="1202"/>
              <w:spacing w:line="297" w:lineRule="auto"/>
              <w:rPr>
                <w:rFonts w:ascii="宋体" w:hAnsi="宋体" w:eastAsia="宋体" w:cs="宋体"/>
              </w:rPr>
            </w:pPr>
            <w:r>
              <w:rPr>
                <w:rFonts w:ascii="宋体" w:hAnsi="宋体" w:eastAsia="宋体" w:cs="宋体"/>
              </w:rPr>
            </w:r>
            <w:r/>
          </w:p>
          <w:p>
            <w:pPr>
              <w:pStyle w:val="842"/>
              <w:ind w:left="365"/>
              <w:spacing w:before="58" w:line="207" w:lineRule="auto"/>
              <w:rPr>
                <w:rFonts w:ascii="宋体" w:hAnsi="宋体" w:cs="宋体"/>
                <w:sz w:val="18"/>
                <w:szCs w:val="18"/>
              </w:rPr>
            </w:pPr>
            <w:r>
              <w:rPr>
                <w:rFonts w:hint="eastAsia" w:ascii="宋体" w:hAnsi="宋体" w:cs="宋体"/>
                <w:spacing w:val="-2"/>
                <w:sz w:val="18"/>
                <w:szCs w:val="18"/>
              </w:rPr>
              <w:t xml:space="preserve">和改进意见</w:t>
            </w:r>
            <w:r>
              <w:rPr>
                <w:rFonts w:ascii="宋体" w:hAnsi="宋体" w:cs="宋体"/>
                <w:sz w:val="18"/>
                <w:szCs w:val="18"/>
              </w:rPr>
            </w:r>
            <w:r/>
          </w:p>
        </w:tc>
        <w:tc>
          <w:tcPr>
            <w:gridSpan w:val="6"/>
            <w:tcW w:w="12549" w:type="dxa"/>
            <w:vAlign w:val="top"/>
            <w:textDirection w:val="lrTb"/>
            <w:noWrap/>
          </w:tcPr>
          <w:p>
            <w:pPr>
              <w:pStyle w:val="1202"/>
              <w:rPr>
                <w:rFonts w:ascii="宋体" w:hAnsi="宋体" w:eastAsia="宋体" w:cs="宋体"/>
              </w:rPr>
            </w:pPr>
            <w:r>
              <w:rPr>
                <w:rFonts w:ascii="宋体" w:hAnsi="宋体" w:eastAsia="宋体" w:cs="宋体"/>
              </w:rPr>
            </w:r>
            <w:r/>
          </w:p>
        </w:tc>
      </w:tr>
    </w:tbl>
    <w:p>
      <w:pPr>
        <w:pStyle w:val="842"/>
        <w:rPr>
          <w:rFonts w:ascii="宋体" w:hAnsi="宋体" w:cs="宋体"/>
        </w:rPr>
      </w:pPr>
      <w:r>
        <w:rPr>
          <w:rFonts w:ascii="宋体" w:hAnsi="宋体" w:cs="宋体"/>
        </w:rPr>
      </w:r>
      <w:r/>
    </w:p>
    <w:p>
      <w:pPr>
        <w:pStyle w:val="842"/>
        <w:rPr>
          <w:rFonts w:ascii="宋体" w:hAnsi="宋体" w:cs="宋体"/>
          <w:szCs w:val="21"/>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szCs w:val="21"/>
        </w:rPr>
      </w:r>
      <w:r/>
    </w:p>
    <w:p>
      <w:pPr>
        <w:pStyle w:val="842"/>
        <w:spacing w:before="164"/>
        <w:rPr>
          <w:rFonts w:ascii="宋体" w:hAnsi="宋体" w:cs="宋体"/>
        </w:rPr>
      </w:pPr>
      <w:r>
        <w:rPr>
          <w:rFonts w:ascii="宋体" w:hAnsi="宋体" w:cs="宋体"/>
        </w:rPr>
      </w:r>
      <w:r/>
    </w:p>
    <w:tbl>
      <w:tblPr>
        <w:tblW w:w="14174"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tcPr>
          <w:p>
            <w:pPr>
              <w:pStyle w:val="1202"/>
              <w:spacing w:line="301" w:lineRule="auto"/>
              <w:rPr>
                <w:rFonts w:ascii="宋体" w:hAnsi="宋体" w:eastAsia="宋体" w:cs="宋体"/>
              </w:rPr>
            </w:pPr>
            <w:r>
              <w:rPr>
                <w:rFonts w:ascii="宋体" w:hAnsi="宋体" w:eastAsia="宋体" w:cs="宋体"/>
              </w:rPr>
            </w:r>
            <w:r/>
          </w:p>
          <w:p>
            <w:pPr>
              <w:pStyle w:val="842"/>
              <w:ind w:left="457"/>
              <w:spacing w:before="58" w:line="207" w:lineRule="auto"/>
              <w:rPr>
                <w:rFonts w:ascii="宋体" w:hAnsi="宋体" w:cs="宋体"/>
                <w:sz w:val="18"/>
                <w:szCs w:val="18"/>
              </w:rPr>
            </w:pPr>
            <w:r>
              <w:rPr>
                <w:rFonts w:hint="eastAsia" w:ascii="宋体" w:hAnsi="宋体" w:cs="宋体"/>
                <w:spacing w:val="-3"/>
                <w:sz w:val="18"/>
                <w:szCs w:val="18"/>
              </w:rPr>
              <w:t xml:space="preserve">最终结论</w:t>
            </w:r>
            <w:r>
              <w:rPr>
                <w:rFonts w:ascii="宋体" w:hAnsi="宋体" w:cs="宋体"/>
                <w:sz w:val="18"/>
                <w:szCs w:val="18"/>
              </w:rPr>
            </w:r>
            <w:r/>
          </w:p>
        </w:tc>
        <w:tc>
          <w:tcPr>
            <w:gridSpan w:val="2"/>
            <w:tcW w:w="12550" w:type="dxa"/>
            <w:vAlign w:val="top"/>
            <w:textDirection w:val="lrTb"/>
            <w:noWrap/>
          </w:tcPr>
          <w:p>
            <w:pPr>
              <w:pStyle w:val="1202"/>
              <w:spacing w:line="271" w:lineRule="auto"/>
              <w:rPr>
                <w:rFonts w:ascii="宋体" w:hAnsi="宋体" w:eastAsia="宋体" w:cs="宋体"/>
              </w:rPr>
            </w:pPr>
            <w:r>
              <w:rPr>
                <w:rFonts w:ascii="宋体" w:hAnsi="宋体" w:eastAsia="宋体" w:cs="宋体"/>
              </w:rPr>
            </w:r>
            <w:r/>
          </w:p>
          <w:p>
            <w:pPr>
              <w:pStyle w:val="842"/>
              <w:ind w:left="4210"/>
              <w:spacing w:before="58" w:line="240" w:lineRule="exact"/>
              <w:rPr>
                <w:rFonts w:ascii="宋体" w:hAnsi="宋体" w:cs="宋体"/>
                <w:sz w:val="18"/>
                <w:szCs w:val="18"/>
              </w:rPr>
            </w:pPr>
            <w:r>
              <w:rPr>
                <w:rFonts w:hint="eastAsia" w:ascii="宋体" w:hAnsi="宋体" w:cs="宋体"/>
                <w:spacing w:val="-2"/>
                <w:position w:val="1"/>
                <w:sz w:val="18"/>
                <w:szCs w:val="18"/>
              </w:rPr>
              <w:t xml:space="preserve">合  格□不合格□</w:t>
            </w:r>
            <w:r>
              <w:rPr>
                <w:rFonts w:ascii="宋体" w:hAnsi="宋体" w:cs="宋体"/>
                <w:sz w:val="18"/>
                <w:szCs w:val="18"/>
              </w:rPr>
            </w:r>
            <w:r/>
          </w:p>
        </w:tc>
      </w:tr>
      <w:tr>
        <w:trPr>
          <w:trHeight w:val="1119"/>
        </w:trPr>
        <w:tc>
          <w:tcPr>
            <w:tcW w:w="1624" w:type="dxa"/>
            <w:vAlign w:val="top"/>
            <w:textDirection w:val="lrTb"/>
            <w:noWrap/>
          </w:tcPr>
          <w:p>
            <w:pPr>
              <w:pStyle w:val="842"/>
              <w:ind w:left="274"/>
              <w:spacing w:before="295" w:line="208" w:lineRule="auto"/>
              <w:rPr>
                <w:rFonts w:ascii="宋体" w:hAnsi="宋体" w:cs="宋体"/>
                <w:sz w:val="18"/>
                <w:szCs w:val="18"/>
              </w:rPr>
            </w:pPr>
            <w:r>
              <w:rPr>
                <w:rFonts w:hint="eastAsia" w:ascii="宋体" w:hAnsi="宋体" w:cs="宋体"/>
                <w:spacing w:val="-2"/>
                <w:sz w:val="18"/>
                <w:szCs w:val="18"/>
              </w:rPr>
              <w:t xml:space="preserve">验收小组成员</w:t>
            </w:r>
            <w:r>
              <w:rPr>
                <w:rFonts w:ascii="宋体" w:hAnsi="宋体" w:cs="宋体"/>
                <w:sz w:val="18"/>
                <w:szCs w:val="18"/>
              </w:rPr>
            </w:r>
            <w:r/>
          </w:p>
          <w:p>
            <w:pPr>
              <w:pStyle w:val="1202"/>
              <w:spacing w:line="298" w:lineRule="auto"/>
              <w:rPr>
                <w:rFonts w:ascii="宋体" w:hAnsi="宋体" w:eastAsia="宋体" w:cs="宋体"/>
              </w:rPr>
            </w:pPr>
            <w:r>
              <w:rPr>
                <w:rFonts w:ascii="宋体" w:hAnsi="宋体" w:eastAsia="宋体" w:cs="宋体"/>
              </w:rPr>
            </w:r>
            <w:r/>
          </w:p>
          <w:p>
            <w:pPr>
              <w:pStyle w:val="842"/>
              <w:ind w:left="635"/>
              <w:spacing w:before="58" w:line="208" w:lineRule="auto"/>
              <w:rPr>
                <w:rFonts w:ascii="宋体" w:hAnsi="宋体" w:cs="宋体"/>
                <w:sz w:val="18"/>
                <w:szCs w:val="18"/>
              </w:rPr>
            </w:pPr>
            <w:r>
              <w:rPr>
                <w:rFonts w:hint="eastAsia" w:ascii="宋体" w:hAnsi="宋体" w:cs="宋体"/>
                <w:spacing w:val="-4"/>
                <w:sz w:val="18"/>
                <w:szCs w:val="18"/>
              </w:rPr>
              <w:t xml:space="preserve">签字</w:t>
            </w:r>
            <w:r>
              <w:rPr>
                <w:rFonts w:ascii="宋体" w:hAnsi="宋体" w:cs="宋体"/>
                <w:sz w:val="18"/>
                <w:szCs w:val="18"/>
              </w:rPr>
            </w:r>
            <w:r/>
          </w:p>
        </w:tc>
        <w:tc>
          <w:tcPr>
            <w:gridSpan w:val="2"/>
            <w:tcW w:w="12550" w:type="dxa"/>
            <w:vAlign w:val="top"/>
            <w:textDirection w:val="lrTb"/>
            <w:noWrap/>
          </w:tcPr>
          <w:p>
            <w:pPr>
              <w:pStyle w:val="1202"/>
              <w:rPr>
                <w:rFonts w:ascii="宋体" w:hAnsi="宋体" w:eastAsia="宋体" w:cs="宋体"/>
              </w:rPr>
            </w:pPr>
            <w:r>
              <w:rPr>
                <w:rFonts w:ascii="宋体" w:hAnsi="宋体" w:eastAsia="宋体" w:cs="宋体"/>
              </w:rPr>
            </w:r>
            <w:r/>
          </w:p>
        </w:tc>
      </w:tr>
      <w:tr>
        <w:trPr>
          <w:trHeight w:val="559"/>
        </w:trPr>
        <w:tc>
          <w:tcPr>
            <w:gridSpan w:val="2"/>
            <w:tcW w:w="7059" w:type="dxa"/>
            <w:vAlign w:val="top"/>
            <w:textDirection w:val="lrTb"/>
            <w:noWrap/>
          </w:tcPr>
          <w:p>
            <w:pPr>
              <w:pStyle w:val="842"/>
              <w:ind w:left="2814"/>
              <w:spacing w:before="297" w:line="208" w:lineRule="auto"/>
              <w:rPr>
                <w:rFonts w:ascii="宋体" w:hAnsi="宋体" w:cs="宋体"/>
                <w:sz w:val="18"/>
                <w:szCs w:val="18"/>
              </w:rPr>
            </w:pPr>
            <w:r>
              <w:rPr>
                <w:rFonts w:hint="eastAsia" w:ascii="宋体" w:hAnsi="宋体" w:cs="宋体"/>
                <w:spacing w:val="-1"/>
                <w:sz w:val="18"/>
                <w:szCs w:val="18"/>
              </w:rPr>
              <w:t xml:space="preserve">采购代理机构意见</w:t>
            </w:r>
            <w:r>
              <w:rPr>
                <w:rFonts w:ascii="宋体" w:hAnsi="宋体" w:cs="宋体"/>
                <w:sz w:val="18"/>
                <w:szCs w:val="18"/>
              </w:rPr>
            </w:r>
            <w:r/>
          </w:p>
        </w:tc>
        <w:tc>
          <w:tcPr>
            <w:tcW w:w="7115" w:type="dxa"/>
            <w:vAlign w:val="top"/>
            <w:textDirection w:val="lrTb"/>
            <w:noWrap/>
          </w:tcPr>
          <w:p>
            <w:pPr>
              <w:pStyle w:val="842"/>
              <w:ind w:left="3111"/>
              <w:spacing w:before="297" w:line="207" w:lineRule="auto"/>
              <w:rPr>
                <w:rFonts w:ascii="宋体" w:hAnsi="宋体" w:cs="宋体"/>
                <w:sz w:val="18"/>
                <w:szCs w:val="18"/>
              </w:rPr>
            </w:pPr>
            <w:r>
              <w:rPr>
                <w:rFonts w:hint="eastAsia" w:ascii="宋体" w:hAnsi="宋体" w:cs="宋体"/>
                <w:spacing w:val="-2"/>
                <w:sz w:val="18"/>
                <w:szCs w:val="18"/>
              </w:rPr>
              <w:t xml:space="preserve">采购人意见</w:t>
            </w:r>
            <w:r>
              <w:rPr>
                <w:rFonts w:ascii="宋体" w:hAnsi="宋体" w:cs="宋体"/>
                <w:sz w:val="18"/>
                <w:szCs w:val="18"/>
              </w:rPr>
            </w:r>
            <w:r/>
          </w:p>
        </w:tc>
      </w:tr>
      <w:tr>
        <w:trPr>
          <w:trHeight w:val="1119"/>
        </w:trPr>
        <w:tc>
          <w:tcPr>
            <w:gridSpan w:val="2"/>
            <w:tcW w:w="7059" w:type="dxa"/>
            <w:vAlign w:val="top"/>
            <w:textDirection w:val="lrTb"/>
            <w:noWrap/>
          </w:tcPr>
          <w:p>
            <w:pPr>
              <w:pStyle w:val="1202"/>
              <w:spacing w:line="255" w:lineRule="auto"/>
              <w:rPr>
                <w:rFonts w:ascii="宋体" w:hAnsi="宋体" w:eastAsia="宋体" w:cs="宋体"/>
                <w:lang w:eastAsia="zh-CN"/>
              </w:rPr>
            </w:pPr>
            <w:r>
              <w:rPr>
                <w:rFonts w:ascii="宋体" w:hAnsi="宋体" w:eastAsia="宋体" w:cs="宋体"/>
                <w:lang w:eastAsia="zh-CN"/>
              </w:rPr>
            </w:r>
            <w:r/>
          </w:p>
          <w:p>
            <w:pPr>
              <w:pStyle w:val="1202"/>
              <w:spacing w:line="255" w:lineRule="auto"/>
              <w:rPr>
                <w:rFonts w:ascii="宋体" w:hAnsi="宋体" w:eastAsia="宋体" w:cs="宋体"/>
                <w:lang w:eastAsia="zh-CN"/>
              </w:rPr>
            </w:pPr>
            <w:r>
              <w:rPr>
                <w:rFonts w:ascii="宋体" w:hAnsi="宋体" w:eastAsia="宋体" w:cs="宋体"/>
                <w:lang w:eastAsia="zh-CN"/>
              </w:rPr>
            </w:r>
            <w:r/>
          </w:p>
          <w:p>
            <w:pPr>
              <w:pStyle w:val="1202"/>
              <w:spacing w:line="255" w:lineRule="auto"/>
              <w:rPr>
                <w:rFonts w:ascii="宋体" w:hAnsi="宋体" w:eastAsia="宋体" w:cs="宋体"/>
                <w:lang w:eastAsia="zh-CN"/>
              </w:rPr>
            </w:pPr>
            <w:r>
              <w:rPr>
                <w:rFonts w:ascii="宋体" w:hAnsi="宋体" w:eastAsia="宋体" w:cs="宋体"/>
                <w:lang w:eastAsia="zh-CN"/>
              </w:rPr>
            </w:r>
            <w:r/>
          </w:p>
          <w:p>
            <w:pPr>
              <w:pStyle w:val="842"/>
              <w:ind w:left="113"/>
              <w:spacing w:before="59" w:line="238" w:lineRule="exact"/>
              <w:rPr>
                <w:rFonts w:ascii="宋体" w:hAnsi="宋体" w:cs="宋体"/>
                <w:sz w:val="18"/>
                <w:szCs w:val="18"/>
              </w:rPr>
            </w:pPr>
            <w:r>
              <w:rPr>
                <w:rFonts w:hint="eastAsia" w:ascii="宋体" w:hAnsi="宋体" w:cs="宋体"/>
                <w:spacing w:val="1"/>
                <w:position w:val="1"/>
                <w:sz w:val="18"/>
                <w:szCs w:val="18"/>
              </w:rPr>
              <w:t xml:space="preserve">经办人：         负责人</w:t>
            </w:r>
            <w:r>
              <w:rPr>
                <w:rFonts w:hint="eastAsia" w:ascii="宋体" w:hAnsi="宋体" w:cs="宋体"/>
                <w:spacing w:val="-18"/>
                <w:position w:val="1"/>
                <w:sz w:val="18"/>
                <w:szCs w:val="18"/>
              </w:rPr>
              <w:t xml:space="preserve">：（</w:t>
            </w:r>
            <w:r>
              <w:rPr>
                <w:rFonts w:hint="eastAsia" w:ascii="宋体" w:hAnsi="宋体" w:cs="宋体"/>
                <w:spacing w:val="1"/>
                <w:position w:val="1"/>
                <w:sz w:val="18"/>
                <w:szCs w:val="18"/>
              </w:rPr>
              <w:t xml:space="preserve">采购代理机构公章）</w:t>
            </w:r>
            <w:r>
              <w:rPr>
                <w:rFonts w:ascii="宋体" w:hAnsi="宋体" w:cs="宋体"/>
                <w:sz w:val="18"/>
                <w:szCs w:val="18"/>
              </w:rPr>
            </w:r>
            <w:r/>
          </w:p>
        </w:tc>
        <w:tc>
          <w:tcPr>
            <w:tcW w:w="7115" w:type="dxa"/>
            <w:vAlign w:val="top"/>
            <w:textDirection w:val="lrTb"/>
            <w:noWrap/>
          </w:tcPr>
          <w:p>
            <w:pPr>
              <w:pStyle w:val="1202"/>
              <w:spacing w:line="255" w:lineRule="auto"/>
              <w:rPr>
                <w:rFonts w:ascii="宋体" w:hAnsi="宋体" w:eastAsia="宋体" w:cs="宋体"/>
                <w:lang w:eastAsia="zh-CN"/>
              </w:rPr>
            </w:pPr>
            <w:r>
              <w:rPr>
                <w:rFonts w:ascii="宋体" w:hAnsi="宋体" w:eastAsia="宋体" w:cs="宋体"/>
                <w:lang w:eastAsia="zh-CN"/>
              </w:rPr>
            </w:r>
            <w:r/>
          </w:p>
          <w:p>
            <w:pPr>
              <w:pStyle w:val="1202"/>
              <w:spacing w:line="255" w:lineRule="auto"/>
              <w:rPr>
                <w:rFonts w:ascii="宋体" w:hAnsi="宋体" w:eastAsia="宋体" w:cs="宋体"/>
                <w:lang w:eastAsia="zh-CN"/>
              </w:rPr>
            </w:pPr>
            <w:r>
              <w:rPr>
                <w:rFonts w:ascii="宋体" w:hAnsi="宋体" w:eastAsia="宋体" w:cs="宋体"/>
                <w:lang w:eastAsia="zh-CN"/>
              </w:rPr>
            </w:r>
            <w:r/>
          </w:p>
          <w:p>
            <w:pPr>
              <w:pStyle w:val="1202"/>
              <w:spacing w:line="255" w:lineRule="auto"/>
              <w:rPr>
                <w:rFonts w:ascii="宋体" w:hAnsi="宋体" w:eastAsia="宋体" w:cs="宋体"/>
                <w:lang w:eastAsia="zh-CN"/>
              </w:rPr>
            </w:pPr>
            <w:r>
              <w:rPr>
                <w:rFonts w:ascii="宋体" w:hAnsi="宋体" w:eastAsia="宋体" w:cs="宋体"/>
                <w:lang w:eastAsia="zh-CN"/>
              </w:rPr>
            </w:r>
            <w:r/>
          </w:p>
          <w:p>
            <w:pPr>
              <w:pStyle w:val="842"/>
              <w:ind w:left="115"/>
              <w:spacing w:before="59" w:line="238" w:lineRule="exact"/>
              <w:rPr>
                <w:rFonts w:ascii="宋体" w:hAnsi="宋体" w:cs="宋体"/>
                <w:sz w:val="18"/>
                <w:szCs w:val="18"/>
              </w:rPr>
            </w:pPr>
            <w:r>
              <w:rPr>
                <w:rFonts w:hint="eastAsia" w:ascii="宋体" w:hAnsi="宋体" w:cs="宋体"/>
                <w:spacing w:val="1"/>
                <w:position w:val="1"/>
                <w:sz w:val="18"/>
                <w:szCs w:val="18"/>
              </w:rPr>
              <w:t xml:space="preserve">经办人：         负责人</w:t>
            </w:r>
            <w:r>
              <w:rPr>
                <w:rFonts w:hint="eastAsia" w:ascii="宋体" w:hAnsi="宋体" w:cs="宋体"/>
                <w:spacing w:val="-17"/>
                <w:position w:val="1"/>
                <w:sz w:val="18"/>
                <w:szCs w:val="18"/>
              </w:rPr>
              <w:t xml:space="preserve">：（</w:t>
            </w:r>
            <w:r>
              <w:rPr>
                <w:rFonts w:hint="eastAsia" w:ascii="宋体" w:hAnsi="宋体" w:cs="宋体"/>
                <w:spacing w:val="1"/>
                <w:position w:val="1"/>
                <w:sz w:val="18"/>
                <w:szCs w:val="18"/>
              </w:rPr>
              <w:t xml:space="preserve">采购人公章）</w:t>
            </w:r>
            <w:r>
              <w:rPr>
                <w:rFonts w:ascii="宋体" w:hAnsi="宋体" w:cs="宋体"/>
                <w:sz w:val="18"/>
                <w:szCs w:val="18"/>
              </w:rPr>
            </w:r>
            <w:r/>
          </w:p>
        </w:tc>
      </w:tr>
      <w:tr>
        <w:trPr>
          <w:trHeight w:val="1681"/>
        </w:trPr>
        <w:tc>
          <w:tcPr>
            <w:gridSpan w:val="3"/>
            <w:tcW w:w="14174" w:type="dxa"/>
            <w:vAlign w:val="top"/>
            <w:textDirection w:val="lrTb"/>
            <w:noWrap/>
          </w:tcPr>
          <w:p>
            <w:pPr>
              <w:pStyle w:val="842"/>
              <w:ind w:left="112"/>
              <w:spacing w:before="299" w:line="207" w:lineRule="auto"/>
              <w:rPr>
                <w:rFonts w:ascii="宋体" w:hAnsi="宋体" w:cs="宋体"/>
                <w:sz w:val="18"/>
                <w:szCs w:val="18"/>
              </w:rPr>
            </w:pPr>
            <w:r>
              <w:rPr>
                <w:rFonts w:hint="eastAsia" w:ascii="宋体" w:hAnsi="宋体" w:cs="宋体"/>
                <w:spacing w:val="-2"/>
                <w:sz w:val="18"/>
                <w:szCs w:val="18"/>
              </w:rPr>
              <w:t xml:space="preserve">供应商确认：</w:t>
            </w:r>
            <w:r>
              <w:rPr>
                <w:rFonts w:ascii="宋体" w:hAnsi="宋体" w:cs="宋体"/>
                <w:sz w:val="18"/>
                <w:szCs w:val="18"/>
              </w:rPr>
            </w:r>
            <w:r/>
          </w:p>
          <w:p>
            <w:pPr>
              <w:pStyle w:val="1202"/>
              <w:spacing w:line="275" w:lineRule="auto"/>
              <w:rPr>
                <w:rFonts w:ascii="宋体" w:hAnsi="宋体" w:eastAsia="宋体" w:cs="宋体"/>
                <w:lang w:eastAsia="zh-CN"/>
              </w:rPr>
            </w:pPr>
            <w:r>
              <w:rPr>
                <w:rFonts w:ascii="宋体" w:hAnsi="宋体" w:eastAsia="宋体" w:cs="宋体"/>
                <w:lang w:eastAsia="zh-CN"/>
              </w:rPr>
            </w:r>
            <w:r/>
          </w:p>
          <w:p>
            <w:pPr>
              <w:pStyle w:val="1202"/>
              <w:spacing w:line="275" w:lineRule="auto"/>
              <w:rPr>
                <w:rFonts w:ascii="宋体" w:hAnsi="宋体" w:eastAsia="宋体" w:cs="宋体"/>
                <w:lang w:eastAsia="zh-CN"/>
              </w:rPr>
            </w:pPr>
            <w:r>
              <w:rPr>
                <w:rFonts w:ascii="宋体" w:hAnsi="宋体" w:eastAsia="宋体" w:cs="宋体"/>
                <w:lang w:eastAsia="zh-CN"/>
              </w:rPr>
            </w:r>
            <w:r/>
          </w:p>
          <w:p>
            <w:pPr>
              <w:pStyle w:val="1202"/>
              <w:spacing w:line="275" w:lineRule="auto"/>
              <w:rPr>
                <w:rFonts w:ascii="宋体" w:hAnsi="宋体" w:eastAsia="宋体" w:cs="宋体"/>
                <w:lang w:eastAsia="zh-CN"/>
              </w:rPr>
            </w:pPr>
            <w:r>
              <w:rPr>
                <w:rFonts w:ascii="宋体" w:hAnsi="宋体" w:eastAsia="宋体" w:cs="宋体"/>
                <w:lang w:eastAsia="zh-CN"/>
              </w:rPr>
            </w:r>
            <w:r/>
          </w:p>
          <w:p>
            <w:pPr>
              <w:pStyle w:val="842"/>
              <w:ind w:left="117"/>
              <w:spacing w:before="58" w:line="239" w:lineRule="exact"/>
              <w:rPr>
                <w:rFonts w:ascii="宋体" w:hAnsi="宋体" w:cs="宋体"/>
                <w:sz w:val="18"/>
                <w:szCs w:val="18"/>
              </w:rPr>
            </w:pPr>
            <w:r>
              <w:rPr>
                <w:rFonts w:hint="eastAsia" w:ascii="宋体" w:hAnsi="宋体" w:cs="宋体"/>
                <w:spacing w:val="-1"/>
                <w:position w:val="1"/>
                <w:sz w:val="18"/>
                <w:szCs w:val="18"/>
              </w:rPr>
              <w:t xml:space="preserve">（单位公章或授权代表签字）</w:t>
            </w:r>
            <w:r>
              <w:rPr>
                <w:rFonts w:ascii="宋体" w:hAnsi="宋体" w:cs="宋体"/>
                <w:sz w:val="18"/>
                <w:szCs w:val="18"/>
              </w:rPr>
            </w:r>
            <w:r/>
          </w:p>
        </w:tc>
      </w:tr>
    </w:tbl>
    <w:p>
      <w:pPr>
        <w:pStyle w:val="842"/>
        <w:ind w:left="85"/>
        <w:spacing w:before="296" w:line="211" w:lineRule="auto"/>
        <w:rPr>
          <w:rFonts w:ascii="宋体" w:hAnsi="宋体" w:cs="宋体"/>
          <w:sz w:val="18"/>
          <w:szCs w:val="18"/>
        </w:rPr>
      </w:pPr>
      <w:r>
        <w:rPr>
          <w:rFonts w:hint="eastAsia" w:ascii="宋体" w:hAnsi="宋体" w:cs="宋体"/>
          <w:sz w:val="18"/>
          <w:szCs w:val="18"/>
        </w:rPr>
        <w:t xml:space="preserve">说明：1.该表为服务类项目履约验收的参考样表，采购人或采购代理机构可以</w:t>
      </w:r>
      <w:r>
        <w:rPr>
          <w:rFonts w:hint="eastAsia" w:ascii="宋体" w:hAnsi="宋体" w:cs="宋体"/>
          <w:spacing w:val="-1"/>
          <w:sz w:val="18"/>
          <w:szCs w:val="18"/>
        </w:rPr>
        <w:t xml:space="preserve">根据工作实际进行调整。</w:t>
      </w:r>
      <w:r>
        <w:rPr>
          <w:rFonts w:ascii="宋体" w:hAnsi="宋体" w:cs="宋体"/>
          <w:sz w:val="18"/>
          <w:szCs w:val="18"/>
        </w:rPr>
      </w:r>
      <w:r/>
    </w:p>
    <w:p>
      <w:pPr>
        <w:pStyle w:val="842"/>
        <w:spacing w:line="295" w:lineRule="auto"/>
        <w:rPr>
          <w:rFonts w:ascii="宋体" w:hAnsi="宋体" w:cs="宋体"/>
        </w:rPr>
      </w:pPr>
      <w:r>
        <w:rPr>
          <w:rFonts w:ascii="宋体" w:hAnsi="宋体" w:cs="宋体"/>
        </w:rPr>
      </w:r>
      <w:r/>
    </w:p>
    <w:p>
      <w:pPr>
        <w:pStyle w:val="842"/>
        <w:ind w:left="625"/>
        <w:spacing w:before="59" w:line="211" w:lineRule="auto"/>
        <w:rPr>
          <w:rFonts w:ascii="宋体" w:hAnsi="宋体" w:cs="宋体"/>
          <w:sz w:val="18"/>
          <w:szCs w:val="18"/>
        </w:rPr>
      </w:pPr>
      <w:r>
        <w:rPr>
          <w:rFonts w:hint="eastAsia" w:ascii="宋体" w:hAnsi="宋体" w:cs="宋体"/>
          <w:sz w:val="18"/>
          <w:szCs w:val="18"/>
        </w:rPr>
        <w:t xml:space="preserve">2.未委托采购代理机构开展履约验收工作的，无需填写“</w:t>
      </w:r>
      <w:r>
        <w:rPr>
          <w:rFonts w:hint="eastAsia" w:ascii="宋体" w:hAnsi="宋体" w:cs="宋体"/>
          <w:spacing w:val="-1"/>
          <w:sz w:val="18"/>
          <w:szCs w:val="18"/>
        </w:rPr>
        <w:t xml:space="preserve">采购代理机构意见”。</w:t>
      </w:r>
      <w:r>
        <w:rPr>
          <w:rFonts w:ascii="宋体" w:hAnsi="宋体" w:cs="宋体"/>
          <w:sz w:val="18"/>
          <w:szCs w:val="18"/>
        </w:rPr>
      </w:r>
      <w:r/>
    </w:p>
    <w:p>
      <w:pPr>
        <w:pStyle w:val="842"/>
        <w:rPr>
          <w:rFonts w:ascii="宋体" w:hAnsi="宋体" w:cs="宋体"/>
        </w:rPr>
        <w:sectPr>
          <w:footerReference w:type="default" r:id="rId16"/>
          <w:footnotePr/>
          <w:endnotePr/>
          <w:type w:val="nextPage"/>
          <w:pgSz w:w="16838" w:h="11906" w:orient="landscape"/>
          <w:pgMar w:top="1417" w:right="1440" w:bottom="1417" w:left="1134" w:header="851" w:footer="850" w:gutter="0"/>
          <w:cols w:num="1" w:sep="0" w:space="720" w:equalWidth="1"/>
          <w:docGrid w:linePitch="360"/>
        </w:sectPr>
      </w:pPr>
      <w:r>
        <w:rPr>
          <w:rFonts w:ascii="宋体" w:hAnsi="宋体" w:cs="宋体"/>
        </w:rPr>
      </w:r>
      <w:r/>
    </w:p>
    <w:p>
      <w:pPr>
        <w:pStyle w:val="880"/>
        <w:rPr>
          <w:rFonts w:ascii="宋体" w:hAnsi="宋体" w:cs="宋体"/>
        </w:rPr>
      </w:pPr>
      <w:r>
        <w:rPr>
          <w:rFonts w:hint="eastAsia" w:ascii="宋体" w:hAnsi="宋体" w:cs="宋体"/>
        </w:rPr>
        <w:t xml:space="preserve">六、响应文件格式</w:t>
      </w:r>
      <w:bookmarkEnd w:id="51"/>
      <w:r/>
      <w:bookmarkEnd w:id="52"/>
      <w:r>
        <w:rPr>
          <w:rFonts w:ascii="宋体" w:hAnsi="宋体" w:cs="宋体"/>
        </w:rPr>
      </w:r>
      <w:r/>
    </w:p>
    <w:p>
      <w:pPr>
        <w:pStyle w:val="916"/>
        <w:ind w:firstLine="0"/>
        <w:rPr>
          <w:rFonts w:ascii="宋体" w:hAnsi="宋体" w:eastAsia="宋体" w:cs="宋体"/>
          <w:b/>
          <w:sz w:val="21"/>
          <w:szCs w:val="21"/>
        </w:rPr>
      </w:pPr>
      <w:r>
        <w:rPr>
          <w:rFonts w:hint="eastAsia" w:ascii="宋体" w:hAnsi="宋体" w:eastAsia="宋体" w:cs="宋体"/>
          <w:b/>
          <w:sz w:val="21"/>
          <w:szCs w:val="21"/>
        </w:rPr>
        <w:t xml:space="preserve">说明：</w:t>
      </w:r>
      <w:r>
        <w:rPr>
          <w:rFonts w:ascii="宋体" w:hAnsi="宋体" w:eastAsia="宋体" w:cs="宋体"/>
          <w:b/>
          <w:sz w:val="21"/>
          <w:szCs w:val="21"/>
        </w:rPr>
      </w:r>
      <w:r/>
    </w:p>
    <w:p>
      <w:pPr>
        <w:pStyle w:val="916"/>
        <w:rPr>
          <w:rFonts w:ascii="宋体" w:hAnsi="宋体" w:eastAsia="宋体" w:cs="宋体"/>
          <w:b/>
          <w:sz w:val="21"/>
          <w:szCs w:val="21"/>
        </w:rPr>
      </w:pPr>
      <w:r>
        <w:rPr>
          <w:rFonts w:hint="eastAsia" w:ascii="宋体" w:hAnsi="宋体" w:eastAsia="宋体" w:cs="宋体"/>
          <w:b/>
          <w:sz w:val="21"/>
          <w:szCs w:val="21"/>
        </w:rPr>
        <w:t xml:space="preserve">对本章所有的格式 ，供应商可根据自身情况进行补充和修改，但补充和修改不得造成与本格式内容有实质性的违背。</w:t>
      </w:r>
      <w:r>
        <w:rPr>
          <w:rFonts w:ascii="宋体" w:hAnsi="宋体" w:eastAsia="宋体" w:cs="宋体"/>
          <w:b/>
          <w:sz w:val="21"/>
          <w:szCs w:val="21"/>
        </w:rPr>
      </w:r>
      <w:r/>
    </w:p>
    <w:p>
      <w:pPr>
        <w:pStyle w:val="842"/>
        <w:rPr>
          <w:rFonts w:ascii="宋体" w:hAnsi="宋体" w:cs="宋体"/>
        </w:rPr>
      </w:pPr>
      <w:r>
        <w:rPr>
          <w:rFonts w:ascii="宋体" w:hAnsi="宋体" w:cs="宋体"/>
        </w:rPr>
      </w:r>
      <w:r/>
    </w:p>
    <w:p>
      <w:pPr>
        <w:pStyle w:val="842"/>
        <w:jc w:val="center"/>
        <w:rPr>
          <w:rFonts w:ascii="宋体" w:hAnsi="宋体" w:cs="宋体"/>
          <w:b/>
          <w:sz w:val="32"/>
          <w:szCs w:val="32"/>
        </w:rPr>
      </w:pPr>
      <w:r>
        <w:rPr>
          <w:rFonts w:ascii="宋体" w:hAnsi="宋体" w:cs="宋体"/>
          <w:b/>
          <w:sz w:val="32"/>
          <w:szCs w:val="32"/>
        </w:rPr>
      </w:r>
      <w:r/>
    </w:p>
    <w:p>
      <w:pPr>
        <w:pStyle w:val="842"/>
        <w:rPr>
          <w:rFonts w:ascii="宋体" w:hAnsi="宋体" w:cs="宋体"/>
          <w:b/>
          <w:szCs w:val="21"/>
        </w:rPr>
      </w:pPr>
      <w:r/>
      <w:bookmarkStart w:id="54" w:name="_Toc20200"/>
      <w:r/>
      <w:bookmarkStart w:id="55" w:name="_Toc21635"/>
      <w:r/>
      <w:bookmarkStart w:id="56" w:name="_Toc29544"/>
      <w:r/>
      <w:bookmarkStart w:id="57" w:name="_Toc20788"/>
      <w:r/>
      <w:bookmarkStart w:id="58" w:name="_Toc1865"/>
      <w:r>
        <w:rPr>
          <w:rFonts w:hint="eastAsia" w:ascii="宋体" w:hAnsi="宋体" w:cs="宋体"/>
          <w:b/>
          <w:sz w:val="32"/>
          <w:szCs w:val="32"/>
        </w:rPr>
        <w:br w:type="page" w:clear="all"/>
      </w:r>
      <w:r>
        <w:rPr>
          <w:rFonts w:hint="eastAsia" w:ascii="宋体" w:hAnsi="宋体" w:cs="宋体"/>
          <w:b/>
          <w:szCs w:val="21"/>
        </w:rPr>
        <w:t xml:space="preserve">附件1：磋商响应函</w:t>
      </w:r>
      <w:r>
        <w:rPr>
          <w:rFonts w:ascii="宋体" w:hAnsi="宋体" w:cs="宋体"/>
          <w:b/>
          <w:szCs w:val="21"/>
        </w:rPr>
      </w:r>
      <w:r/>
    </w:p>
    <w:p>
      <w:pPr>
        <w:pStyle w:val="1178"/>
        <w:jc w:val="center"/>
        <w:spacing w:after="100" w:line="400" w:lineRule="exact"/>
        <w:rPr>
          <w:rFonts w:hAnsi="宋体" w:cs="宋体"/>
          <w:szCs w:val="21"/>
        </w:rPr>
      </w:pPr>
      <w:r>
        <w:rPr>
          <w:rFonts w:hint="eastAsia" w:hAnsi="宋体" w:cs="宋体"/>
          <w:b/>
          <w:szCs w:val="21"/>
        </w:rPr>
        <w:t xml:space="preserve">磋商响应函</w:t>
      </w:r>
      <w:r>
        <w:rPr>
          <w:rFonts w:hAnsi="宋体" w:cs="宋体"/>
          <w:szCs w:val="21"/>
        </w:rPr>
      </w:r>
      <w:r/>
    </w:p>
    <w:p>
      <w:pPr>
        <w:pStyle w:val="1178"/>
        <w:spacing w:after="100" w:line="400" w:lineRule="exact"/>
        <w:rPr>
          <w:rFonts w:hAnsi="宋体" w:cs="宋体"/>
          <w:szCs w:val="21"/>
        </w:rPr>
      </w:pPr>
      <w:r>
        <w:rPr>
          <w:rFonts w:hint="eastAsia" w:hAnsi="宋体" w:cs="宋体"/>
          <w:szCs w:val="21"/>
          <w:u w:val="single"/>
        </w:rPr>
        <w:t xml:space="preserve">苏州市吴江区星辰技术咨询服务有限公司</w:t>
      </w:r>
      <w:r>
        <w:rPr>
          <w:rFonts w:hint="eastAsia" w:hAnsi="宋体" w:cs="宋体"/>
          <w:szCs w:val="21"/>
        </w:rPr>
        <w:t xml:space="preserve">： </w:t>
      </w:r>
      <w:r>
        <w:rPr>
          <w:rFonts w:hAnsi="宋体" w:cs="宋体"/>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我们收到贵公司</w:t>
      </w:r>
      <w:r>
        <w:rPr>
          <w:rFonts w:hint="eastAsia" w:hAnsi="宋体" w:eastAsia="宋体" w:cs="宋体"/>
          <w:sz w:val="21"/>
          <w:szCs w:val="21"/>
          <w:u w:val="single"/>
        </w:rPr>
        <w:t xml:space="preserve">JSZC-320509-SZXC-C2026-0005</w:t>
      </w:r>
      <w:r>
        <w:rPr>
          <w:rFonts w:hint="eastAsia" w:hAnsi="宋体" w:eastAsia="宋体" w:cs="宋体"/>
          <w:sz w:val="21"/>
          <w:szCs w:val="21"/>
        </w:rPr>
        <w:t xml:space="preserve">号磋商采购文件，经仔细阅读和研究，我们决定参加磋商活动。</w:t>
      </w:r>
      <w:r>
        <w:rPr>
          <w:rFonts w:hAnsi="宋体" w:eastAsia="宋体" w:cs="宋体"/>
          <w:sz w:val="21"/>
          <w:szCs w:val="21"/>
        </w:rPr>
      </w:r>
      <w:r/>
    </w:p>
    <w:p>
      <w:pPr>
        <w:pStyle w:val="928"/>
        <w:ind w:firstLine="420"/>
        <w:spacing w:after="100" w:line="400" w:lineRule="exact"/>
        <w:rPr>
          <w:rFonts w:hAnsi="宋体" w:eastAsia="宋体" w:cs="宋体"/>
          <w:b/>
          <w:sz w:val="21"/>
          <w:szCs w:val="21"/>
        </w:rPr>
      </w:pPr>
      <w:r>
        <w:rPr>
          <w:rFonts w:hint="eastAsia" w:hAnsi="宋体" w:eastAsia="宋体" w:cs="宋体"/>
          <w:sz w:val="21"/>
          <w:szCs w:val="21"/>
        </w:rPr>
        <w:t xml:space="preserve">1、我们愿意按照磋商采购文件的一切要求，完成该项目的全部内容。</w:t>
      </w:r>
      <w:r>
        <w:rPr>
          <w:rFonts w:hAnsi="宋体" w:eastAsia="宋体" w:cs="宋体"/>
          <w:b/>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2、如果我们的磋商响应文件被接受，我们将严格履行磋商采购文件中规定的每一项要求，按期、按质、按量履行合同的义务。</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3、我们已详细阅读全部磋商采购文件，包括更正公告(如有)，对磋商采购文件及更正公告(如有)无任何异议。我们完全理解并同意放弃对这方面有不明及误解的权利。</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4、我们同意按磋商采购文件中的规定，本响应文件的有效期限自提交响应文件截止时间之日起天。</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5、我们愿意提供采购单位在磋商采购文件中要求的所有资料。</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6、我们愿意遵守磋商采购文件中所列的收费标准。</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7、我们承诺该响应文件在磋商开始后的全过程中保持有效，不作任何更改和变动。</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8、我们承诺我公司符合磋商采购文件供应商须知中“合格供应商资格条件”的要求，若与真实情况不符，本公司愿意承担由此而产生的一切后果。</w:t>
      </w:r>
      <w:r>
        <w:rPr>
          <w:rFonts w:hAnsi="宋体" w:eastAsia="宋体" w:cs="宋体"/>
          <w:sz w:val="21"/>
          <w:szCs w:val="21"/>
        </w:rPr>
      </w:r>
      <w:r/>
    </w:p>
    <w:p>
      <w:pPr>
        <w:pStyle w:val="928"/>
        <w:ind w:firstLine="420"/>
        <w:spacing w:after="100" w:line="400" w:lineRule="exact"/>
        <w:rPr>
          <w:rFonts w:hAnsi="宋体" w:eastAsia="宋体" w:cs="宋体"/>
          <w:sz w:val="21"/>
          <w:szCs w:val="21"/>
        </w:rPr>
      </w:pPr>
      <w:r>
        <w:rPr>
          <w:rFonts w:hint="eastAsia" w:hAnsi="宋体" w:eastAsia="宋体" w:cs="宋体"/>
          <w:sz w:val="21"/>
          <w:szCs w:val="21"/>
        </w:rPr>
        <w:t xml:space="preserve">所有有关磋商采购文件的函电，请按下列地址联系：</w:t>
      </w: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单位：                             联系人：</w:t>
      </w: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地址：                             邮政编码：</w:t>
      </w: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联系电话：                         传真：</w:t>
      </w: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磋商响应单位：（公章）</w:t>
      </w: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法定代表人或代理人：（签字或盖章）</w:t>
      </w:r>
      <w:r>
        <w:rPr>
          <w:rFonts w:hAnsi="宋体" w:eastAsia="宋体" w:cs="宋体"/>
          <w:sz w:val="21"/>
          <w:szCs w:val="21"/>
        </w:rPr>
      </w:r>
      <w:r/>
    </w:p>
    <w:p>
      <w:pPr>
        <w:pStyle w:val="928"/>
        <w:spacing w:line="440" w:lineRule="exact"/>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1189"/>
        <w:ind w:firstLine="0"/>
        <w:rPr>
          <w:rFonts w:ascii="宋体" w:hAnsi="宋体" w:cs="宋体"/>
          <w:b/>
          <w:sz w:val="21"/>
          <w:szCs w:val="21"/>
        </w:rPr>
      </w:pPr>
      <w:r>
        <w:rPr>
          <w:rFonts w:ascii="宋体" w:hAnsi="宋体" w:cs="宋体"/>
          <w:b/>
          <w:sz w:val="21"/>
          <w:szCs w:val="21"/>
        </w:rPr>
      </w:r>
      <w:r/>
    </w:p>
    <w:p>
      <w:pPr>
        <w:pStyle w:val="1189"/>
        <w:ind w:firstLine="0"/>
        <w:rPr>
          <w:rFonts w:ascii="宋体" w:hAnsi="宋体" w:cs="宋体"/>
          <w:b/>
          <w:sz w:val="21"/>
          <w:szCs w:val="21"/>
        </w:rPr>
      </w:pPr>
      <w:r>
        <w:rPr>
          <w:rFonts w:ascii="宋体" w:hAnsi="宋体" w:cs="宋体"/>
          <w:b/>
          <w:sz w:val="21"/>
          <w:szCs w:val="21"/>
        </w:rPr>
      </w:r>
      <w:r/>
    </w:p>
    <w:p>
      <w:pPr>
        <w:pStyle w:val="1189"/>
        <w:ind w:firstLine="0"/>
        <w:rPr>
          <w:rFonts w:ascii="宋体" w:hAnsi="宋体" w:cs="宋体"/>
          <w:b/>
          <w:sz w:val="21"/>
          <w:szCs w:val="21"/>
        </w:rPr>
      </w:pPr>
      <w:r>
        <w:rPr>
          <w:rFonts w:ascii="宋体" w:hAnsi="宋体" w:cs="宋体"/>
          <w:b/>
          <w:sz w:val="21"/>
          <w:szCs w:val="21"/>
        </w:rPr>
      </w:r>
      <w:r/>
    </w:p>
    <w:p>
      <w:pPr>
        <w:pStyle w:val="1189"/>
        <w:ind w:firstLine="0"/>
        <w:pageBreakBefore/>
        <w:rPr>
          <w:rFonts w:ascii="宋体" w:hAnsi="宋体" w:cs="宋体"/>
          <w:b/>
          <w:bCs/>
          <w:sz w:val="21"/>
          <w:szCs w:val="21"/>
        </w:rPr>
      </w:pPr>
      <w:r>
        <w:rPr>
          <w:rFonts w:hint="eastAsia" w:ascii="宋体" w:hAnsi="宋体" w:cs="宋体"/>
          <w:b/>
          <w:bCs/>
          <w:sz w:val="21"/>
          <w:szCs w:val="21"/>
        </w:rPr>
        <w:t xml:space="preserve">附件2：（磋商响应单位）法定代表人授权委托书</w:t>
      </w:r>
      <w:r>
        <w:rPr>
          <w:rFonts w:ascii="宋体" w:hAnsi="宋体" w:cs="宋体"/>
          <w:b/>
          <w:bCs/>
          <w:sz w:val="21"/>
          <w:szCs w:val="21"/>
        </w:rPr>
      </w:r>
      <w:r/>
    </w:p>
    <w:p>
      <w:pPr>
        <w:pStyle w:val="1189"/>
        <w:jc w:val="center"/>
        <w:rPr>
          <w:rFonts w:ascii="宋体" w:hAnsi="宋体" w:cs="宋体"/>
          <w:b/>
          <w:bCs/>
          <w:sz w:val="21"/>
          <w:szCs w:val="21"/>
        </w:rPr>
      </w:pPr>
      <w:r>
        <w:rPr>
          <w:rFonts w:ascii="宋体" w:hAnsi="宋体" w:cs="宋体"/>
          <w:b/>
          <w:bCs/>
          <w:sz w:val="21"/>
          <w:szCs w:val="21"/>
        </w:rPr>
      </w:r>
      <w:r/>
    </w:p>
    <w:p>
      <w:pPr>
        <w:pStyle w:val="1189"/>
        <w:jc w:val="center"/>
        <w:rPr>
          <w:rFonts w:ascii="宋体" w:hAnsi="宋体" w:cs="宋体"/>
          <w:b/>
          <w:bCs/>
          <w:sz w:val="21"/>
          <w:szCs w:val="21"/>
        </w:rPr>
      </w:pPr>
      <w:r>
        <w:rPr>
          <w:rFonts w:hint="eastAsia" w:ascii="宋体" w:hAnsi="宋体" w:cs="宋体"/>
          <w:b/>
          <w:bCs/>
          <w:sz w:val="21"/>
          <w:szCs w:val="21"/>
        </w:rPr>
        <w:t xml:space="preserve">法定代表人授权委托书</w:t>
      </w:r>
      <w:r>
        <w:rPr>
          <w:rFonts w:ascii="宋体" w:hAnsi="宋体" w:cs="宋体"/>
          <w:b/>
          <w:bCs/>
          <w:sz w:val="21"/>
          <w:szCs w:val="21"/>
        </w:rPr>
      </w:r>
      <w:r/>
    </w:p>
    <w:p>
      <w:pPr>
        <w:pStyle w:val="1189"/>
        <w:rPr>
          <w:rFonts w:ascii="宋体" w:hAnsi="宋体" w:cs="宋体"/>
          <w:sz w:val="21"/>
          <w:szCs w:val="21"/>
        </w:rPr>
      </w:pPr>
      <w:r>
        <w:rPr>
          <w:rFonts w:ascii="宋体" w:hAnsi="宋体" w:cs="宋体"/>
          <w:sz w:val="21"/>
          <w:szCs w:val="21"/>
        </w:rPr>
      </w:r>
      <w:r/>
    </w:p>
    <w:p>
      <w:pPr>
        <w:pStyle w:val="1189"/>
        <w:rPr>
          <w:rFonts w:ascii="宋体" w:hAnsi="宋体" w:cs="宋体"/>
          <w:sz w:val="21"/>
          <w:szCs w:val="21"/>
        </w:rPr>
      </w:pPr>
      <w:r>
        <w:rPr>
          <w:rFonts w:ascii="宋体" w:hAnsi="宋体" w:cs="宋体"/>
          <w:sz w:val="21"/>
          <w:szCs w:val="21"/>
        </w:rPr>
      </w:r>
      <w:r/>
    </w:p>
    <w:p>
      <w:pPr>
        <w:pStyle w:val="1189"/>
        <w:rPr>
          <w:rFonts w:ascii="宋体" w:hAnsi="宋体" w:cs="宋体"/>
          <w:sz w:val="21"/>
          <w:szCs w:val="21"/>
        </w:rPr>
      </w:pPr>
      <w:r>
        <w:rPr>
          <w:rFonts w:hint="eastAsia" w:ascii="宋体" w:hAnsi="宋体" w:cs="宋体"/>
          <w:sz w:val="21"/>
          <w:szCs w:val="21"/>
        </w:rPr>
        <w:t xml:space="preserve">本授权委托书声明：  我 （姓名）系（磋商响应单位名称）的法定代表人，现授权委托（姓名）为我公司委托代理人，以本公司的名义参加苏州市吴江区星辰技术咨询服务有限公司组织实施的编号为号的磋商采购活动。委托代理人在报名、制作磋商响应文件、磋商、评标、合同磋商过程中所签署的一切文件和处理与这有关的一切事务，我均予以承认。</w:t>
      </w:r>
      <w:r>
        <w:rPr>
          <w:rFonts w:ascii="宋体" w:hAnsi="宋体" w:cs="宋体"/>
          <w:sz w:val="21"/>
          <w:szCs w:val="21"/>
        </w:rPr>
      </w:r>
      <w:r/>
    </w:p>
    <w:p>
      <w:pPr>
        <w:pStyle w:val="1189"/>
        <w:rPr>
          <w:rFonts w:ascii="宋体" w:hAnsi="宋体" w:cs="宋体"/>
          <w:sz w:val="21"/>
          <w:szCs w:val="21"/>
        </w:rPr>
      </w:pPr>
      <w:r>
        <w:rPr>
          <w:rFonts w:hint="eastAsia" w:ascii="宋体" w:hAnsi="宋体" w:cs="宋体"/>
          <w:sz w:val="21"/>
          <w:szCs w:val="21"/>
        </w:rPr>
        <w:t xml:space="preserve">委托代理人在授权委托书有效期内签署的所有文件不因授权委托的撤销而失效，除非有撤销授权委托的书面通知，本授权委托书自签署之时起至合同履行完毕止。</w:t>
      </w:r>
      <w:r>
        <w:rPr>
          <w:rFonts w:ascii="宋体" w:hAnsi="宋体" w:cs="宋体"/>
          <w:sz w:val="21"/>
          <w:szCs w:val="21"/>
        </w:rPr>
      </w:r>
      <w:r/>
    </w:p>
    <w:p>
      <w:pPr>
        <w:pStyle w:val="1189"/>
        <w:ind w:firstLine="510"/>
        <w:rPr>
          <w:rFonts w:ascii="宋体" w:hAnsi="宋体" w:cs="宋体"/>
          <w:sz w:val="21"/>
          <w:szCs w:val="21"/>
        </w:rPr>
      </w:pPr>
      <w:r>
        <w:rPr>
          <w:rFonts w:hint="eastAsia" w:ascii="宋体" w:hAnsi="宋体" w:cs="宋体"/>
          <w:sz w:val="21"/>
          <w:szCs w:val="21"/>
        </w:rPr>
        <w:t xml:space="preserve">委托代理人无转委托权。特此委托。</w:t>
      </w:r>
      <w:r>
        <w:rPr>
          <w:rFonts w:ascii="宋体" w:hAnsi="宋体" w:cs="宋体"/>
          <w:sz w:val="21"/>
          <w:szCs w:val="21"/>
        </w:rPr>
      </w:r>
      <w:r/>
    </w:p>
    <w:p>
      <w:pPr>
        <w:pStyle w:val="1189"/>
        <w:ind w:firstLine="200"/>
        <w:rPr>
          <w:rFonts w:ascii="宋体" w:hAnsi="宋体" w:cs="宋体"/>
          <w:sz w:val="21"/>
          <w:szCs w:val="21"/>
        </w:rPr>
      </w:pPr>
      <w:r>
        <w:rPr>
          <w:rFonts w:ascii="宋体" w:hAnsi="宋体" w:cs="宋体"/>
          <w:sz w:val="21"/>
          <w:szCs w:val="21"/>
        </w:rPr>
      </w:r>
      <w:r/>
    </w:p>
    <w:p>
      <w:pPr>
        <w:pStyle w:val="1189"/>
        <w:ind w:firstLine="200"/>
        <w:rPr>
          <w:rFonts w:ascii="宋体" w:hAnsi="宋体" w:cs="宋体"/>
          <w:sz w:val="21"/>
          <w:szCs w:val="21"/>
        </w:rPr>
      </w:pPr>
      <w:r>
        <w:rPr>
          <w:rFonts w:hint="eastAsia" w:ascii="宋体" w:hAnsi="宋体" w:cs="宋体"/>
          <w:sz w:val="21"/>
          <w:szCs w:val="21"/>
        </w:rPr>
        <w:t xml:space="preserve">磋商响应单位：（公章）</w:t>
      </w:r>
      <w:r>
        <w:rPr>
          <w:rFonts w:ascii="宋体" w:hAnsi="宋体" w:cs="宋体"/>
          <w:sz w:val="21"/>
          <w:szCs w:val="21"/>
        </w:rPr>
      </w:r>
      <w:r/>
    </w:p>
    <w:p>
      <w:pPr>
        <w:pStyle w:val="1189"/>
        <w:ind w:firstLine="200"/>
        <w:rPr>
          <w:rFonts w:ascii="宋体" w:hAnsi="宋体" w:cs="宋体"/>
          <w:sz w:val="21"/>
          <w:szCs w:val="21"/>
        </w:rPr>
      </w:pPr>
      <w:r>
        <w:rPr>
          <w:rFonts w:hint="eastAsia" w:ascii="宋体" w:hAnsi="宋体" w:cs="宋体"/>
          <w:sz w:val="21"/>
          <w:szCs w:val="21"/>
        </w:rPr>
        <w:t xml:space="preserve">法定代表人：（签字或盖章）</w:t>
      </w:r>
      <w:r>
        <w:rPr>
          <w:rFonts w:ascii="宋体" w:hAnsi="宋体" w:cs="宋体"/>
          <w:sz w:val="21"/>
          <w:szCs w:val="21"/>
        </w:rPr>
      </w:r>
      <w:r/>
    </w:p>
    <w:p>
      <w:pPr>
        <w:pStyle w:val="1189"/>
        <w:ind w:firstLine="200"/>
        <w:rPr>
          <w:rFonts w:ascii="宋体" w:hAnsi="宋体" w:cs="宋体"/>
          <w:sz w:val="21"/>
          <w:szCs w:val="21"/>
        </w:rPr>
      </w:pPr>
      <w:r>
        <w:rPr>
          <w:rFonts w:hint="eastAsia" w:ascii="宋体" w:hAnsi="宋体" w:cs="宋体"/>
          <w:sz w:val="21"/>
          <w:szCs w:val="21"/>
        </w:rPr>
        <w:t xml:space="preserve">委托代理人：（签字或盖章）</w:t>
      </w:r>
      <w:r>
        <w:rPr>
          <w:rFonts w:ascii="宋体" w:hAnsi="宋体" w:cs="宋体"/>
          <w:sz w:val="21"/>
          <w:szCs w:val="21"/>
        </w:rPr>
      </w:r>
      <w:r/>
    </w:p>
    <w:p>
      <w:pPr>
        <w:pStyle w:val="1189"/>
        <w:ind w:firstLine="200"/>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842"/>
        <w:ind w:right="480"/>
        <w:rPr>
          <w:rFonts w:ascii="宋体" w:hAnsi="宋体" w:cs="宋体"/>
        </w:rPr>
      </w:pPr>
      <w:r>
        <w:rPr>
          <w:rFonts w:ascii="宋体" w:hAnsi="宋体" w:cs="宋体"/>
        </w:rPr>
      </w:r>
      <w:r/>
    </w:p>
    <w:p>
      <w:pPr>
        <w:pStyle w:val="842"/>
        <w:jc w:val="left"/>
        <w:rPr>
          <w:rFonts w:ascii="宋体" w:hAnsi="宋体" w:cs="宋体"/>
          <w:b/>
          <w:bCs/>
          <w:sz w:val="24"/>
        </w:rPr>
      </w:pPr>
      <w:r>
        <w:rPr>
          <w:rFonts w:ascii="宋体" w:hAnsi="宋体" w:cs="宋体"/>
          <w:b/>
          <w:bCs/>
          <w:sz w:val="24"/>
        </w:rPr>
      </w:r>
      <w:r/>
    </w:p>
    <w:p>
      <w:pPr>
        <w:pStyle w:val="1189"/>
        <w:ind w:firstLine="0"/>
        <w:rPr>
          <w:rFonts w:ascii="宋体" w:hAnsi="宋体" w:cs="宋体"/>
          <w:b/>
          <w:bCs/>
        </w:rPr>
      </w:pPr>
      <w:r>
        <w:rPr>
          <w:rFonts w:hint="eastAsia" w:ascii="宋体" w:hAnsi="宋体" w:cs="宋体"/>
          <w:b/>
          <w:bCs/>
          <w:sz w:val="21"/>
          <w:szCs w:val="21"/>
        </w:rPr>
        <w:t xml:space="preserve">注：须单位签章、法定代表人签字或盖章、代理人签字或盖章三者齐全，否则该授权委托书无效。</w:t>
      </w:r>
      <w:r>
        <w:rPr>
          <w:rFonts w:ascii="宋体" w:hAnsi="宋体" w:cs="宋体"/>
          <w:b/>
          <w:bCs/>
        </w:rPr>
      </w:r>
      <w:r/>
    </w:p>
    <w:p>
      <w:pPr>
        <w:pStyle w:val="1189"/>
        <w:ind w:firstLine="0"/>
        <w:pageBreakBefore/>
        <w:rPr>
          <w:rFonts w:ascii="宋体" w:hAnsi="宋体" w:cs="宋体"/>
          <w:b/>
          <w:bCs/>
          <w:sz w:val="21"/>
          <w:szCs w:val="21"/>
        </w:rPr>
      </w:pPr>
      <w:r>
        <w:rPr>
          <w:rFonts w:hint="eastAsia" w:ascii="宋体" w:hAnsi="宋体" w:cs="宋体"/>
          <w:b/>
          <w:bCs/>
          <w:sz w:val="21"/>
          <w:szCs w:val="21"/>
        </w:rPr>
        <w:t xml:space="preserve">附件3：磋商响应报价表</w:t>
      </w:r>
      <w:r>
        <w:rPr>
          <w:rFonts w:ascii="宋体" w:hAnsi="宋体" w:cs="宋体"/>
          <w:b/>
          <w:bCs/>
          <w:sz w:val="21"/>
          <w:szCs w:val="21"/>
        </w:rPr>
      </w:r>
      <w:r/>
    </w:p>
    <w:p>
      <w:pPr>
        <w:pStyle w:val="1178"/>
        <w:spacing w:line="380" w:lineRule="exact"/>
        <w:rPr>
          <w:rFonts w:hAnsi="宋体" w:cs="宋体"/>
          <w:b/>
          <w:szCs w:val="21"/>
        </w:rPr>
      </w:pPr>
      <w:r>
        <w:rPr>
          <w:rFonts w:hAnsi="宋体" w:cs="宋体"/>
          <w:b/>
          <w:szCs w:val="21"/>
        </w:rPr>
      </w:r>
      <w:r/>
    </w:p>
    <w:p>
      <w:pPr>
        <w:pStyle w:val="928"/>
        <w:jc w:val="center"/>
        <w:spacing w:after="100" w:line="400" w:lineRule="exact"/>
        <w:rPr>
          <w:rFonts w:hAnsi="宋体" w:eastAsia="宋体" w:cs="宋体"/>
          <w:sz w:val="21"/>
          <w:szCs w:val="21"/>
        </w:rPr>
      </w:pPr>
      <w:r>
        <w:rPr>
          <w:rFonts w:hint="eastAsia" w:hAnsi="宋体" w:eastAsia="宋体" w:cs="宋体"/>
          <w:b/>
          <w:sz w:val="21"/>
          <w:szCs w:val="21"/>
        </w:rPr>
        <w:t xml:space="preserve">磋商响应报价表</w:t>
      </w:r>
      <w:r>
        <w:rPr>
          <w:rStyle w:val="1190"/>
          <w:rFonts w:hint="eastAsia" w:ascii="宋体" w:hAnsi="宋体" w:cs="宋体"/>
          <w:b/>
        </w:rPr>
        <w:t xml:space="preserve">（第一次报价）</w:t>
      </w:r>
      <w:r>
        <w:rPr>
          <w:rFonts w:hAnsi="宋体" w:eastAsia="宋体" w:cs="宋体"/>
          <w:sz w:val="21"/>
          <w:szCs w:val="21"/>
        </w:rPr>
      </w:r>
      <w:r/>
    </w:p>
    <w:p>
      <w:pPr>
        <w:pStyle w:val="928"/>
        <w:spacing w:after="100" w:line="400" w:lineRule="exact"/>
        <w:rPr>
          <w:rFonts w:hAnsi="宋体" w:eastAsia="宋体" w:cs="宋体"/>
          <w:sz w:val="21"/>
          <w:szCs w:val="21"/>
        </w:rPr>
      </w:pPr>
      <w:r>
        <w:rPr>
          <w:rFonts w:hAnsi="宋体" w:eastAsia="宋体" w:cs="宋体"/>
          <w:sz w:val="21"/>
          <w:szCs w:val="21"/>
        </w:rPr>
      </w:r>
      <w:r/>
    </w:p>
    <w:p>
      <w:pPr>
        <w:pStyle w:val="928"/>
        <w:spacing w:after="100" w:line="400" w:lineRule="exact"/>
        <w:rPr>
          <w:rFonts w:hAnsi="宋体" w:eastAsia="宋体" w:cs="宋体"/>
          <w:sz w:val="21"/>
          <w:szCs w:val="21"/>
        </w:rPr>
      </w:pPr>
      <w:r>
        <w:rPr>
          <w:rFonts w:hint="eastAsia" w:hAnsi="宋体" w:eastAsia="宋体" w:cs="宋体"/>
          <w:sz w:val="21"/>
          <w:szCs w:val="21"/>
        </w:rPr>
        <w:t xml:space="preserve">项目编号：                                                 </w:t>
      </w:r>
      <w:r>
        <w:rPr>
          <w:rFonts w:hAnsi="宋体" w:eastAsia="宋体" w:cs="宋体"/>
          <w:sz w:val="21"/>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508"/>
        <w:gridCol w:w="2409"/>
        <w:gridCol w:w="2552"/>
        <w:gridCol w:w="992"/>
      </w:tblGrid>
      <w:tr>
        <w:trPr>
          <w:trHeight w:val="647"/>
        </w:trPr>
        <w:tc>
          <w:tcPr>
            <w:tcW w:w="861"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序号</w:t>
            </w:r>
            <w:r>
              <w:rPr>
                <w:rFonts w:hAnsi="宋体" w:eastAsia="宋体" w:cs="宋体"/>
                <w:sz w:val="21"/>
                <w:szCs w:val="21"/>
                <w:lang w:val="en-US" w:eastAsia="zh-CN"/>
              </w:rPr>
            </w:r>
            <w:r/>
          </w:p>
        </w:tc>
        <w:tc>
          <w:tcPr>
            <w:tcW w:w="2508"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项   目</w:t>
            </w:r>
            <w:r>
              <w:rPr>
                <w:rFonts w:hAnsi="宋体" w:eastAsia="宋体" w:cs="宋体"/>
                <w:sz w:val="21"/>
                <w:szCs w:val="21"/>
                <w:lang w:val="en-US" w:eastAsia="zh-CN"/>
              </w:rPr>
            </w:r>
            <w:r/>
          </w:p>
        </w:tc>
        <w:tc>
          <w:tcPr>
            <w:tcW w:w="2409"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投标报价（元）</w:t>
            </w:r>
            <w:r>
              <w:rPr>
                <w:rFonts w:hAnsi="宋体" w:eastAsia="宋体" w:cs="宋体"/>
                <w:sz w:val="21"/>
                <w:szCs w:val="21"/>
                <w:lang w:val="en-US" w:eastAsia="zh-CN"/>
              </w:rPr>
            </w:r>
            <w:r/>
          </w:p>
        </w:tc>
        <w:tc>
          <w:tcPr>
            <w:tcW w:w="2552"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服务期限</w:t>
            </w:r>
            <w:r>
              <w:rPr>
                <w:rFonts w:hAnsi="宋体" w:eastAsia="宋体" w:cs="宋体"/>
                <w:sz w:val="21"/>
                <w:szCs w:val="21"/>
                <w:lang w:val="en-US" w:eastAsia="zh-CN"/>
              </w:rPr>
            </w:r>
            <w:r/>
          </w:p>
        </w:tc>
        <w:tc>
          <w:tcPr>
            <w:tcW w:w="992"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备注</w:t>
            </w:r>
            <w:r>
              <w:rPr>
                <w:rFonts w:hAnsi="宋体" w:eastAsia="宋体" w:cs="宋体"/>
                <w:sz w:val="21"/>
                <w:szCs w:val="21"/>
                <w:lang w:val="en-US" w:eastAsia="zh-CN"/>
              </w:rPr>
            </w:r>
            <w:r/>
          </w:p>
        </w:tc>
      </w:tr>
      <w:tr>
        <w:trPr>
          <w:trHeight w:val="591"/>
        </w:trPr>
        <w:tc>
          <w:tcPr>
            <w:tcW w:w="861" w:type="dxa"/>
            <w:vAlign w:val="center"/>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1</w:t>
            </w:r>
            <w:r>
              <w:rPr>
                <w:rFonts w:hAnsi="宋体" w:eastAsia="宋体" w:cs="宋体"/>
                <w:sz w:val="21"/>
                <w:szCs w:val="21"/>
                <w:lang w:val="en-US" w:eastAsia="zh-CN"/>
              </w:rPr>
            </w:r>
            <w:r/>
          </w:p>
        </w:tc>
        <w:tc>
          <w:tcPr>
            <w:tcW w:w="2508" w:type="dxa"/>
            <w:vAlign w:val="top"/>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吴江法院2026年度无纸化办案及归档扫描服务</w:t>
            </w:r>
            <w:r>
              <w:rPr>
                <w:rFonts w:hAnsi="宋体" w:eastAsia="宋体" w:cs="宋体"/>
                <w:sz w:val="21"/>
                <w:szCs w:val="21"/>
                <w:lang w:val="en-US" w:eastAsia="zh-CN"/>
              </w:rPr>
            </w:r>
            <w:r/>
          </w:p>
        </w:tc>
        <w:tc>
          <w:tcPr>
            <w:tcW w:w="2409" w:type="dxa"/>
            <w:vAlign w:val="center"/>
            <w:textDirection w:val="lrTb"/>
            <w:noWrap/>
          </w:tcPr>
          <w:p>
            <w:pPr>
              <w:pStyle w:val="928"/>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c>
          <w:tcPr>
            <w:tcW w:w="2552" w:type="dxa"/>
            <w:vAlign w:val="center"/>
            <w:textDirection w:val="lrTb"/>
            <w:noWrap/>
          </w:tcPr>
          <w:p>
            <w:pPr>
              <w:pStyle w:val="928"/>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c>
          <w:tcPr>
            <w:tcW w:w="992" w:type="dxa"/>
            <w:vAlign w:val="center"/>
            <w:textDirection w:val="lrTb"/>
            <w:noWrap/>
          </w:tcPr>
          <w:p>
            <w:pPr>
              <w:pStyle w:val="928"/>
              <w:jc w:val="center"/>
              <w:spacing w:after="100" w:line="400" w:lineRule="exact"/>
              <w:rPr>
                <w:rFonts w:hAnsi="宋体" w:eastAsia="宋体" w:cs="宋体"/>
                <w:sz w:val="21"/>
                <w:szCs w:val="21"/>
                <w:lang w:val="en-US" w:eastAsia="zh-CN"/>
              </w:rPr>
            </w:pPr>
            <w:r>
              <w:rPr>
                <w:rFonts w:hAnsi="宋体" w:eastAsia="宋体" w:cs="宋体"/>
                <w:sz w:val="21"/>
                <w:szCs w:val="21"/>
                <w:lang w:val="en-US" w:eastAsia="zh-CN"/>
              </w:rPr>
            </w:r>
            <w:r/>
          </w:p>
        </w:tc>
      </w:tr>
      <w:tr>
        <w:trPr>
          <w:trHeight w:val="737"/>
        </w:trPr>
        <w:tc>
          <w:tcPr>
            <w:gridSpan w:val="5"/>
            <w:tcW w:w="9322" w:type="dxa"/>
            <w:vAlign w:val="center"/>
            <w:textDirection w:val="lrTb"/>
            <w:noWrap/>
          </w:tcPr>
          <w:p>
            <w:pPr>
              <w:pStyle w:val="928"/>
              <w:jc w:val="center"/>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合计（人民币）大写金额：                       小写金额：（</w:t>
            </w:r>
            <w:r>
              <w:rPr>
                <w:rFonts w:hint="eastAsia" w:hAnsi="宋体" w:eastAsia="宋体" w:cs="宋体"/>
                <w:spacing w:val="20"/>
                <w:sz w:val="21"/>
                <w:szCs w:val="21"/>
                <w:lang w:val="en-US" w:eastAsia="zh-CN"/>
              </w:rPr>
              <w:t xml:space="preserve">￥：    ）</w:t>
            </w:r>
            <w:r>
              <w:rPr>
                <w:rFonts w:hAnsi="宋体" w:eastAsia="宋体" w:cs="宋体"/>
                <w:sz w:val="21"/>
                <w:szCs w:val="21"/>
                <w:lang w:val="en-US" w:eastAsia="zh-CN"/>
              </w:rPr>
            </w:r>
            <w:r/>
          </w:p>
        </w:tc>
      </w:tr>
      <w:tr>
        <w:trPr>
          <w:trHeight w:val="737"/>
        </w:trPr>
        <w:tc>
          <w:tcPr>
            <w:gridSpan w:val="5"/>
            <w:tcW w:w="9322" w:type="dxa"/>
            <w:vAlign w:val="center"/>
            <w:textDirection w:val="lrTb"/>
            <w:noWrap/>
          </w:tcPr>
          <w:p>
            <w:pPr>
              <w:pStyle w:val="842"/>
              <w:widowControl/>
              <w:rPr>
                <w:rFonts w:ascii="宋体" w:hAnsi="宋体" w:cs="宋体"/>
                <w:szCs w:val="21"/>
              </w:rPr>
            </w:pPr>
            <w:r>
              <w:rPr>
                <w:rFonts w:hint="eastAsia" w:ascii="宋体" w:hAnsi="宋体" w:cs="宋体"/>
                <w:szCs w:val="21"/>
              </w:rPr>
              <w:t xml:space="preserve">是否小微企业  : □小型      □微型     □否</w:t>
            </w:r>
            <w:r>
              <w:rPr>
                <w:rFonts w:ascii="宋体" w:hAnsi="宋体" w:cs="宋体"/>
                <w:szCs w:val="21"/>
              </w:rPr>
            </w:r>
            <w:r/>
          </w:p>
          <w:p>
            <w:pPr>
              <w:pStyle w:val="928"/>
              <w:spacing w:after="100"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是否残疾人或监狱企业：□小型     □微型     □否</w:t>
            </w:r>
            <w:r>
              <w:rPr>
                <w:rFonts w:hAnsi="宋体" w:eastAsia="宋体" w:cs="宋体"/>
                <w:sz w:val="21"/>
                <w:szCs w:val="21"/>
                <w:lang w:val="en-US" w:eastAsia="zh-CN"/>
              </w:rPr>
            </w:r>
            <w:r/>
          </w:p>
        </w:tc>
      </w:tr>
    </w:tbl>
    <w:p>
      <w:pPr>
        <w:pStyle w:val="928"/>
        <w:spacing w:after="100" w:line="400" w:lineRule="exact"/>
        <w:rPr>
          <w:rFonts w:hAnsi="宋体" w:eastAsia="宋体" w:cs="宋体"/>
          <w:sz w:val="21"/>
          <w:szCs w:val="21"/>
        </w:rPr>
      </w:pPr>
      <w:r>
        <w:rPr>
          <w:rFonts w:hAnsi="宋体" w:eastAsia="宋体" w:cs="宋体"/>
          <w:sz w:val="21"/>
          <w:szCs w:val="21"/>
        </w:rPr>
      </w:r>
      <w:r/>
    </w:p>
    <w:p>
      <w:pPr>
        <w:pStyle w:val="928"/>
        <w:ind w:firstLine="210"/>
        <w:spacing w:after="100" w:line="400" w:lineRule="exact"/>
        <w:rPr>
          <w:rFonts w:hAnsi="宋体" w:eastAsia="宋体" w:cs="宋体"/>
          <w:sz w:val="21"/>
          <w:szCs w:val="21"/>
        </w:rPr>
      </w:pPr>
      <w:r>
        <w:rPr>
          <w:rFonts w:hint="eastAsia" w:hAnsi="宋体" w:eastAsia="宋体" w:cs="宋体"/>
          <w:sz w:val="21"/>
          <w:szCs w:val="21"/>
        </w:rPr>
        <w:t xml:space="preserve">磋商响应单位：（公章）</w:t>
      </w:r>
      <w:r>
        <w:rPr>
          <w:rFonts w:hAnsi="宋体" w:eastAsia="宋体" w:cs="宋体"/>
          <w:sz w:val="21"/>
          <w:szCs w:val="21"/>
        </w:rPr>
      </w:r>
      <w:r/>
    </w:p>
    <w:p>
      <w:pPr>
        <w:pStyle w:val="928"/>
        <w:ind w:firstLine="210"/>
        <w:spacing w:after="100" w:line="400" w:lineRule="exact"/>
        <w:rPr>
          <w:rFonts w:hAnsi="宋体" w:eastAsia="宋体" w:cs="宋体"/>
          <w:sz w:val="21"/>
          <w:szCs w:val="21"/>
        </w:rPr>
      </w:pPr>
      <w:r>
        <w:rPr>
          <w:rFonts w:hint="eastAsia" w:hAnsi="宋体" w:eastAsia="宋体" w:cs="宋体"/>
          <w:sz w:val="21"/>
          <w:szCs w:val="21"/>
        </w:rPr>
        <w:t xml:space="preserve">法定代表人或代理人：（签字或盖章）</w:t>
      </w:r>
      <w:r>
        <w:rPr>
          <w:rFonts w:hAnsi="宋体" w:eastAsia="宋体" w:cs="宋体"/>
          <w:sz w:val="21"/>
          <w:szCs w:val="21"/>
        </w:rPr>
      </w:r>
      <w:r/>
    </w:p>
    <w:p>
      <w:pPr>
        <w:pStyle w:val="928"/>
        <w:ind w:firstLine="210"/>
        <w:spacing w:after="100" w:line="400" w:lineRule="exact"/>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928"/>
        <w:ind w:firstLine="210"/>
        <w:spacing w:after="100" w:line="400" w:lineRule="exact"/>
        <w:rPr>
          <w:rFonts w:hAnsi="宋体" w:eastAsia="宋体" w:cs="宋体"/>
          <w:sz w:val="21"/>
          <w:szCs w:val="21"/>
        </w:rPr>
      </w:pPr>
      <w:r>
        <w:rPr>
          <w:rFonts w:hAnsi="宋体" w:eastAsia="宋体" w:cs="宋体"/>
          <w:sz w:val="21"/>
          <w:szCs w:val="21"/>
        </w:rPr>
      </w:r>
      <w:r/>
    </w:p>
    <w:p>
      <w:pPr>
        <w:pStyle w:val="842"/>
        <w:ind w:firstLine="420"/>
        <w:spacing w:after="100" w:line="400" w:lineRule="exact"/>
        <w:rPr>
          <w:rFonts w:ascii="宋体" w:hAnsi="宋体" w:cs="宋体"/>
          <w:szCs w:val="21"/>
        </w:rPr>
      </w:pPr>
      <w:r>
        <w:rPr>
          <w:rFonts w:hint="eastAsia" w:ascii="宋体" w:hAnsi="宋体" w:cs="宋体"/>
          <w:szCs w:val="21"/>
        </w:rPr>
        <w:t xml:space="preserve">注：本表中的报价为综合报价，包括完成该项目全部服务所需的费用，包括各项管理服务、劳务、档案扫描、破损档案裱糊、剪裁、去边、去污、整理装订、电子档案排序、机械设备、服装、通讯、利润、税金、保险、检测验收、技术支持与培训、专利、售后服务与维保、政策性文件规定及合同包含的所有风险、责任等服务期间一切费用。采购人不再支付其他任何费用。  </w:t>
      </w:r>
      <w:r>
        <w:rPr>
          <w:rFonts w:ascii="宋体" w:hAnsi="宋体" w:cs="宋体"/>
          <w:szCs w:val="21"/>
        </w:rPr>
      </w:r>
      <w:r/>
    </w:p>
    <w:p>
      <w:pPr>
        <w:pStyle w:val="842"/>
        <w:ind w:firstLine="420"/>
        <w:spacing w:after="100" w:line="400" w:lineRule="exact"/>
        <w:rPr>
          <w:rFonts w:ascii="宋体" w:hAnsi="宋体" w:cs="宋体"/>
          <w:szCs w:val="21"/>
        </w:rPr>
      </w:pPr>
      <w:r>
        <w:rPr>
          <w:rFonts w:ascii="宋体" w:hAnsi="宋体" w:cs="宋体"/>
          <w:szCs w:val="21"/>
        </w:rPr>
      </w:r>
      <w:r/>
    </w:p>
    <w:p>
      <w:pPr>
        <w:pStyle w:val="1189"/>
        <w:ind w:firstLine="0"/>
        <w:pageBreakBefore/>
        <w:rPr>
          <w:rFonts w:ascii="宋体" w:hAnsi="宋体" w:cs="宋体"/>
          <w:b/>
          <w:bCs/>
          <w:sz w:val="21"/>
          <w:szCs w:val="21"/>
        </w:rPr>
      </w:pPr>
      <w:r>
        <w:rPr>
          <w:rFonts w:hint="eastAsia" w:ascii="宋体" w:hAnsi="宋体" w:cs="宋体"/>
          <w:b/>
          <w:bCs/>
          <w:sz w:val="21"/>
          <w:szCs w:val="21"/>
        </w:rPr>
        <w:t xml:space="preserve">附件4：磋商响应报价分项报价表</w:t>
      </w:r>
      <w:r>
        <w:rPr>
          <w:rFonts w:ascii="宋体" w:hAnsi="宋体" w:cs="宋体"/>
          <w:b/>
          <w:bCs/>
          <w:sz w:val="21"/>
          <w:szCs w:val="21"/>
        </w:rPr>
      </w:r>
      <w:r/>
    </w:p>
    <w:p>
      <w:pPr>
        <w:pStyle w:val="928"/>
        <w:jc w:val="center"/>
        <w:spacing w:after="100" w:line="400" w:lineRule="exact"/>
        <w:rPr>
          <w:rFonts w:hAnsi="宋体" w:eastAsia="宋体" w:cs="宋体"/>
          <w:b/>
          <w:sz w:val="21"/>
          <w:szCs w:val="21"/>
        </w:rPr>
      </w:pPr>
      <w:r>
        <w:rPr>
          <w:rFonts w:hAnsi="宋体" w:eastAsia="宋体" w:cs="宋体"/>
          <w:b/>
          <w:sz w:val="21"/>
          <w:szCs w:val="21"/>
        </w:rPr>
      </w:r>
      <w:r/>
    </w:p>
    <w:p>
      <w:pPr>
        <w:pStyle w:val="928"/>
        <w:jc w:val="center"/>
        <w:spacing w:after="100" w:line="400" w:lineRule="exact"/>
        <w:rPr>
          <w:rFonts w:hAnsi="宋体" w:eastAsia="宋体" w:cs="宋体"/>
          <w:sz w:val="21"/>
          <w:szCs w:val="21"/>
        </w:rPr>
      </w:pPr>
      <w:r>
        <w:rPr>
          <w:rFonts w:hint="eastAsia" w:hAnsi="宋体" w:eastAsia="宋体" w:cs="宋体"/>
          <w:b/>
          <w:sz w:val="21"/>
          <w:szCs w:val="21"/>
        </w:rPr>
        <w:t xml:space="preserve">磋商报价分析表</w:t>
      </w:r>
      <w:r>
        <w:rPr>
          <w:rFonts w:hAnsi="宋体" w:eastAsia="宋体" w:cs="宋体"/>
          <w:sz w:val="21"/>
          <w:szCs w:val="21"/>
        </w:rPr>
      </w:r>
      <w:r/>
    </w:p>
    <w:p>
      <w:pPr>
        <w:pStyle w:val="928"/>
        <w:ind w:firstLine="210"/>
        <w:rPr>
          <w:rFonts w:hAnsi="宋体" w:eastAsia="宋体" w:cs="宋体"/>
          <w:sz w:val="21"/>
          <w:szCs w:val="21"/>
        </w:rPr>
      </w:pPr>
      <w:r>
        <w:rPr>
          <w:rFonts w:hint="eastAsia" w:hAnsi="宋体" w:eastAsia="宋体" w:cs="宋体"/>
          <w:sz w:val="21"/>
          <w:szCs w:val="21"/>
        </w:rPr>
        <w:t xml:space="preserve">项目编号：                                      项目名称：</w:t>
      </w:r>
      <w:r>
        <w:rPr>
          <w:rFonts w:hAnsi="宋体" w:eastAsia="宋体" w:cs="宋体"/>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10"/>
        <w:gridCol w:w="2126"/>
        <w:gridCol w:w="1811"/>
        <w:gridCol w:w="1875"/>
        <w:gridCol w:w="1006"/>
      </w:tblGrid>
      <w:tr>
        <w:trPr>
          <w:cantSplit/>
          <w:trHeight w:val="78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2"/>
              <w:jc w:val="center"/>
              <w:spacing w:line="300" w:lineRule="auto"/>
              <w:rPr>
                <w:szCs w:val="21"/>
              </w:rPr>
            </w:pPr>
            <w:r>
              <w:rPr>
                <w:rFonts w:hint="eastAsia"/>
                <w:szCs w:val="21"/>
              </w:rPr>
              <w:t xml:space="preserve">项目名称</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2"/>
              <w:jc w:val="center"/>
              <w:spacing w:line="300" w:lineRule="auto"/>
              <w:rPr>
                <w:szCs w:val="21"/>
              </w:rPr>
            </w:pPr>
            <w:r>
              <w:rPr>
                <w:rFonts w:hint="eastAsia"/>
                <w:szCs w:val="21"/>
              </w:rPr>
              <w:t xml:space="preserve">单价（元）</w:t>
            </w: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2"/>
              <w:jc w:val="center"/>
              <w:spacing w:line="300" w:lineRule="auto"/>
              <w:rPr>
                <w:szCs w:val="21"/>
              </w:rPr>
            </w:pPr>
            <w:r>
              <w:rPr>
                <w:rFonts w:hint="eastAsia"/>
                <w:szCs w:val="21"/>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2"/>
              <w:jc w:val="center"/>
              <w:spacing w:line="300" w:lineRule="auto"/>
              <w:rPr>
                <w:szCs w:val="21"/>
              </w:rPr>
            </w:pPr>
            <w:r>
              <w:rPr>
                <w:rFonts w:hint="eastAsia"/>
                <w:szCs w:val="21"/>
              </w:rPr>
              <w:t xml:space="preserve">总价（元）</w:t>
            </w:r>
            <w:r>
              <w:rPr>
                <w:szCs w:val="21"/>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842"/>
              <w:jc w:val="center"/>
              <w:spacing w:line="300" w:lineRule="auto"/>
              <w:rPr>
                <w:szCs w:val="21"/>
              </w:rPr>
            </w:pPr>
            <w:r>
              <w:rPr>
                <w:rFonts w:hint="eastAsia"/>
                <w:szCs w:val="21"/>
              </w:rPr>
              <w:t xml:space="preserve">备注</w:t>
            </w:r>
            <w:r>
              <w:rPr>
                <w:szCs w:val="21"/>
              </w:rPr>
            </w:r>
            <w:r/>
          </w:p>
        </w:tc>
      </w:tr>
      <w:tr>
        <w:trPr>
          <w:cantSplit/>
          <w:trHeight w:val="67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2"/>
              <w:widowControl/>
              <w:rPr>
                <w:szCs w:val="21"/>
              </w:rPr>
            </w:pPr>
            <w:r>
              <w:rPr>
                <w:rFonts w:hint="eastAsia" w:ascii="宋体" w:hAnsi="宋体" w:cs="宋体"/>
              </w:rPr>
              <w:t xml:space="preserve">无纸化辅助服务</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2"/>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2"/>
              <w:jc w:val="center"/>
              <w:rPr>
                <w:szCs w:val="21"/>
              </w:rPr>
            </w:pPr>
            <w:r>
              <w:rPr>
                <w:rFonts w:hint="eastAsia" w:ascii="宋体" w:hAnsi="宋体" w:cs="宋体"/>
              </w:rPr>
              <w:t xml:space="preserve">47</w:t>
            </w:r>
            <w:r>
              <w:rPr>
                <w:rFonts w:hint="eastAsia" w:ascii="宋体" w:hAnsi="宋体" w:cs="宋体"/>
              </w:rPr>
              <w:t xml:space="preserve">000件（接上一年度工作项目遗留应归未归量起算。）</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2"/>
              <w:jc w:val="center"/>
              <w:spacing w:line="300" w:lineRule="auto"/>
              <w:rPr>
                <w:szCs w:val="21"/>
              </w:rPr>
            </w:pPr>
            <w:r>
              <w:rPr>
                <w:szCs w:val="21"/>
              </w:rPr>
            </w:r>
            <w:r/>
          </w:p>
        </w:tc>
        <w:tc>
          <w:tcPr>
            <w:tcBorders>
              <w:top w:val="single" w:color="000000" w:sz="4" w:space="0"/>
              <w:left w:val="single" w:color="000000" w:sz="4" w:space="0"/>
              <w:right w:val="single" w:color="000000" w:sz="4" w:space="0"/>
            </w:tcBorders>
            <w:tcW w:w="1006" w:type="dxa"/>
            <w:vAlign w:val="center"/>
            <w:vMerge w:val="restart"/>
            <w:textDirection w:val="lrTb"/>
            <w:noWrap/>
          </w:tcPr>
          <w:p>
            <w:pPr>
              <w:pStyle w:val="842"/>
              <w:jc w:val="center"/>
              <w:spacing w:line="300" w:lineRule="auto"/>
              <w:rPr>
                <w:szCs w:val="21"/>
              </w:rPr>
            </w:pPr>
            <w:r>
              <w:rPr>
                <w:rFonts w:hint="eastAsia" w:ascii="宋体" w:hAnsi="宋体" w:cs="宋体"/>
              </w:rPr>
              <w:t xml:space="preserve">数量暂定，最终按实结算。</w:t>
            </w:r>
            <w:r>
              <w:rPr>
                <w:szCs w:val="21"/>
              </w:rPr>
            </w:r>
            <w:r/>
          </w:p>
        </w:tc>
      </w:tr>
      <w:tr>
        <w:trPr>
          <w:cantSplit/>
          <w:trHeight w:val="679"/>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42"/>
              <w:widowControl/>
              <w:rPr>
                <w:szCs w:val="21"/>
              </w:rPr>
            </w:pPr>
            <w:r>
              <w:rPr>
                <w:rFonts w:hint="eastAsia" w:ascii="宋体" w:hAnsi="宋体" w:cs="宋体"/>
              </w:rPr>
              <w:t xml:space="preserve">档案数字化加工服务</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42"/>
              <w:jc w:val="center"/>
              <w:spacing w:line="30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42"/>
              <w:jc w:val="center"/>
              <w:widowControl/>
              <w:rPr>
                <w:szCs w:val="21"/>
              </w:rPr>
            </w:pPr>
            <w:r>
              <w:rPr>
                <w:rFonts w:hint="eastAsia" w:ascii="宋体" w:hAnsi="宋体" w:cs="宋体"/>
              </w:rPr>
              <w:t xml:space="preserve">330000页</w:t>
            </w:r>
            <w:r>
              <w:rPr>
                <w:szCs w:val="21"/>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pStyle w:val="842"/>
              <w:jc w:val="center"/>
              <w:spacing w:line="300" w:lineRule="auto"/>
              <w:rPr>
                <w:szCs w:val="21"/>
              </w:rPr>
            </w:pPr>
            <w:r>
              <w:rPr>
                <w:szCs w:val="21"/>
              </w:rPr>
            </w:r>
            <w:r/>
          </w:p>
        </w:tc>
        <w:tc>
          <w:tcPr>
            <w:tcBorders>
              <w:left w:val="single" w:color="000000" w:sz="4" w:space="0"/>
              <w:bottom w:val="single" w:color="000000" w:sz="4" w:space="0"/>
              <w:right w:val="single" w:color="000000" w:sz="4" w:space="0"/>
            </w:tcBorders>
            <w:tcW w:w="1006" w:type="dxa"/>
            <w:vAlign w:val="center"/>
            <w:vMerge w:val="continue"/>
            <w:textDirection w:val="lrTb"/>
            <w:noWrap/>
          </w:tcPr>
          <w:p>
            <w:pPr>
              <w:pStyle w:val="842"/>
              <w:jc w:val="center"/>
              <w:spacing w:line="300" w:lineRule="auto"/>
              <w:rPr>
                <w:szCs w:val="21"/>
              </w:rPr>
            </w:pPr>
            <w:r>
              <w:rPr>
                <w:szCs w:val="21"/>
              </w:rPr>
            </w:r>
            <w:r/>
          </w:p>
        </w:tc>
      </w:tr>
      <w:tr>
        <w:trPr>
          <w:cantSplit/>
          <w:trHeight w:val="679"/>
        </w:trPr>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tcPr>
          <w:p>
            <w:pPr>
              <w:pStyle w:val="842"/>
              <w:jc w:val="center"/>
              <w:spacing w:line="300" w:lineRule="auto"/>
              <w:rPr>
                <w:szCs w:val="21"/>
              </w:rPr>
            </w:pPr>
            <w:r>
              <w:rPr>
                <w:rFonts w:ascii="宋体" w:hAnsi="宋体" w:cs="宋体"/>
                <w:szCs w:val="21"/>
              </w:rPr>
              <w:t xml:space="preserve">合计</w:t>
            </w:r>
            <w:r>
              <w:rPr>
                <w:szCs w:val="21"/>
              </w:rPr>
            </w:r>
            <w:r/>
          </w:p>
        </w:tc>
        <w:tc>
          <w:tcPr>
            <w:gridSpan w:val="3"/>
            <w:tcBorders>
              <w:top w:val="single" w:color="000000" w:sz="4" w:space="0"/>
              <w:left w:val="single" w:color="000000" w:sz="4" w:space="0"/>
              <w:bottom w:val="single" w:color="000000" w:sz="4" w:space="0"/>
              <w:right w:val="single" w:color="000000" w:sz="4" w:space="0"/>
            </w:tcBorders>
            <w:tcW w:w="4692" w:type="dxa"/>
            <w:vAlign w:val="center"/>
            <w:textDirection w:val="lrTb"/>
            <w:noWrap/>
          </w:tcPr>
          <w:p>
            <w:pPr>
              <w:pStyle w:val="842"/>
              <w:jc w:val="center"/>
              <w:spacing w:line="300" w:lineRule="auto"/>
              <w:rPr>
                <w:szCs w:val="21"/>
              </w:rPr>
            </w:pPr>
            <w:r>
              <w:rPr>
                <w:rFonts w:ascii="宋体" w:hAnsi="宋体" w:cs="宋体"/>
                <w:szCs w:val="21"/>
              </w:rPr>
              <w:t xml:space="preserve">  元(大写：   )</w:t>
            </w:r>
            <w:r>
              <w:rPr>
                <w:szCs w:val="21"/>
              </w:rPr>
            </w:r>
            <w:r/>
          </w:p>
        </w:tc>
      </w:tr>
    </w:tbl>
    <w:p>
      <w:pPr>
        <w:pStyle w:val="842"/>
        <w:ind w:firstLine="210"/>
        <w:spacing w:after="100" w:line="400" w:lineRule="exact"/>
        <w:rPr>
          <w:rFonts w:ascii="宋体" w:hAnsi="宋体" w:cs="宋体"/>
          <w:szCs w:val="21"/>
        </w:rPr>
      </w:pPr>
      <w:r>
        <w:rPr>
          <w:rFonts w:ascii="宋体" w:hAnsi="宋体" w:cs="宋体"/>
          <w:szCs w:val="21"/>
        </w:rPr>
      </w:r>
      <w:r/>
    </w:p>
    <w:p>
      <w:pPr>
        <w:pStyle w:val="842"/>
        <w:ind w:firstLine="210"/>
        <w:spacing w:after="100" w:line="400" w:lineRule="exact"/>
        <w:rPr>
          <w:rFonts w:ascii="宋体" w:hAnsi="宋体" w:cs="宋体"/>
          <w:szCs w:val="21"/>
        </w:rPr>
      </w:pPr>
      <w:r>
        <w:rPr>
          <w:rFonts w:hint="eastAsia" w:ascii="宋体" w:hAnsi="宋体" w:cs="宋体"/>
          <w:szCs w:val="21"/>
        </w:rPr>
        <w:t xml:space="preserve">磋商响应单位：（公章）</w:t>
      </w:r>
      <w:r>
        <w:rPr>
          <w:rFonts w:ascii="宋体" w:hAnsi="宋体" w:cs="宋体"/>
          <w:szCs w:val="21"/>
        </w:rPr>
      </w:r>
      <w:r/>
    </w:p>
    <w:p>
      <w:pPr>
        <w:pStyle w:val="842"/>
        <w:ind w:firstLine="210"/>
        <w:spacing w:after="100" w:line="400" w:lineRule="exact"/>
        <w:rPr>
          <w:rFonts w:ascii="宋体" w:hAnsi="宋体" w:cs="宋体"/>
          <w:szCs w:val="21"/>
        </w:rPr>
      </w:pPr>
      <w:r>
        <w:rPr>
          <w:rFonts w:hint="eastAsia" w:ascii="宋体" w:hAnsi="宋体" w:cs="宋体"/>
          <w:szCs w:val="21"/>
        </w:rPr>
        <w:t xml:space="preserve">法定代表人或授权代表：（签字或盖章）                 </w:t>
      </w:r>
      <w:r>
        <w:rPr>
          <w:rFonts w:ascii="宋体" w:hAnsi="宋体" w:cs="宋体"/>
          <w:szCs w:val="21"/>
        </w:rPr>
      </w:r>
      <w:r/>
    </w:p>
    <w:p>
      <w:pPr>
        <w:pStyle w:val="842"/>
        <w:ind w:firstLine="210"/>
        <w:spacing w:after="100" w:line="400" w:lineRule="exact"/>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2"/>
        <w:rPr>
          <w:rFonts w:ascii="宋体" w:hAnsi="宋体" w:cs="宋体"/>
          <w:szCs w:val="21"/>
        </w:rPr>
      </w:pPr>
      <w:r>
        <w:rPr>
          <w:rFonts w:ascii="宋体" w:hAnsi="宋体" w:cs="宋体"/>
          <w:szCs w:val="21"/>
        </w:rPr>
      </w:r>
      <w:r/>
    </w:p>
    <w:p>
      <w:pPr>
        <w:pStyle w:val="1141"/>
        <w:rPr>
          <w:rFonts w:hAnsi="宋体" w:eastAsia="宋体" w:cs="宋体"/>
          <w:sz w:val="21"/>
          <w:szCs w:val="21"/>
          <w:lang w:val="zh-CN"/>
        </w:rPr>
      </w:pPr>
      <w:r>
        <w:rPr>
          <w:rFonts w:hint="eastAsia" w:hAnsi="宋体" w:eastAsia="宋体" w:cs="宋体"/>
          <w:sz w:val="21"/>
          <w:szCs w:val="21"/>
          <w:lang w:val="zh-CN"/>
        </w:rPr>
        <w:t xml:space="preserve">注：</w:t>
      </w:r>
      <w:r>
        <w:rPr>
          <w:rFonts w:hAnsi="宋体" w:eastAsia="宋体" w:cs="宋体"/>
          <w:sz w:val="21"/>
          <w:szCs w:val="21"/>
          <w:lang w:val="zh-CN"/>
        </w:rPr>
      </w:r>
      <w:r/>
    </w:p>
    <w:p>
      <w:pPr>
        <w:pStyle w:val="1141"/>
        <w:rPr>
          <w:rFonts w:hAnsi="宋体" w:eastAsia="宋体" w:cs="宋体"/>
          <w:sz w:val="21"/>
          <w:szCs w:val="21"/>
          <w:lang w:val="zh-CN"/>
        </w:rPr>
      </w:pPr>
      <w:r>
        <w:rPr>
          <w:rFonts w:hint="eastAsia" w:hAnsi="宋体" w:eastAsia="宋体" w:cs="宋体"/>
          <w:sz w:val="21"/>
          <w:szCs w:val="21"/>
          <w:lang w:val="zh-CN"/>
        </w:rPr>
        <w:t xml:space="preserve">1.本表合计金额应与磋商响应报价表</w:t>
      </w:r>
      <w:r>
        <w:rPr>
          <w:rFonts w:hint="eastAsia" w:hAnsi="宋体" w:eastAsia="宋体" w:cs="宋体"/>
          <w:sz w:val="21"/>
          <w:szCs w:val="21"/>
        </w:rPr>
        <w:t xml:space="preserve">中磋商总价</w:t>
      </w:r>
      <w:r>
        <w:rPr>
          <w:rFonts w:hint="eastAsia" w:hAnsi="宋体" w:eastAsia="宋体" w:cs="宋体"/>
          <w:sz w:val="21"/>
          <w:szCs w:val="21"/>
          <w:lang w:val="zh-CN"/>
        </w:rPr>
        <w:t xml:space="preserve">一致，否则磋商总报价将以磋商响应报价表为准。</w:t>
      </w:r>
      <w:r>
        <w:rPr>
          <w:rFonts w:hAnsi="宋体" w:eastAsia="宋体" w:cs="宋体"/>
          <w:sz w:val="21"/>
          <w:szCs w:val="21"/>
          <w:lang w:val="zh-CN"/>
        </w:rPr>
      </w:r>
      <w:r/>
    </w:p>
    <w:p>
      <w:pPr>
        <w:pStyle w:val="842"/>
        <w:ind w:firstLine="420"/>
        <w:rPr>
          <w:rFonts w:ascii="宋体" w:hAnsi="宋体" w:cs="宋体"/>
          <w:b/>
          <w:bCs/>
          <w:szCs w:val="21"/>
          <w:lang w:val="zh-CN"/>
        </w:rPr>
      </w:pPr>
      <w:r>
        <w:rPr>
          <w:rFonts w:hint="eastAsia" w:ascii="宋体" w:hAnsi="宋体" w:cs="宋体"/>
          <w:szCs w:val="21"/>
        </w:rPr>
        <w:br w:type="page" w:clear="all"/>
      </w:r>
      <w:r>
        <w:rPr>
          <w:rFonts w:hint="eastAsia" w:ascii="宋体" w:hAnsi="宋体" w:cs="宋体"/>
          <w:b/>
          <w:bCs/>
          <w:szCs w:val="21"/>
          <w:lang w:val="zh-CN"/>
        </w:rPr>
        <w:t xml:space="preserve">附件</w:t>
      </w:r>
      <w:r>
        <w:rPr>
          <w:rFonts w:hint="eastAsia" w:ascii="宋体" w:hAnsi="宋体" w:cs="宋体"/>
          <w:b/>
          <w:bCs/>
          <w:szCs w:val="21"/>
        </w:rPr>
        <w:t xml:space="preserve">5</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rPr>
          <w:rFonts w:ascii="宋体" w:hAnsi="宋体" w:cs="宋体"/>
          <w:b/>
          <w:bCs/>
          <w:szCs w:val="21"/>
          <w:lang w:val="zh-CN"/>
        </w:rPr>
      </w:r>
      <w:r/>
    </w:p>
    <w:p>
      <w:pPr>
        <w:pStyle w:val="842"/>
        <w:jc w:val="left"/>
        <w:rPr>
          <w:rFonts w:ascii="宋体" w:hAnsi="宋体" w:cs="宋体"/>
          <w:b/>
          <w:bCs/>
          <w:szCs w:val="21"/>
          <w:lang w:val="zh-CN"/>
        </w:rPr>
      </w:pPr>
      <w:r>
        <w:rPr>
          <w:rFonts w:ascii="宋体" w:hAnsi="宋体" w:cs="宋体"/>
          <w:b/>
          <w:bCs/>
          <w:szCs w:val="21"/>
          <w:lang w:val="zh-CN"/>
        </w:rPr>
      </w:r>
      <w:r/>
    </w:p>
    <w:p>
      <w:pPr>
        <w:pStyle w:val="842"/>
        <w:jc w:val="left"/>
        <w:rPr>
          <w:rFonts w:ascii="宋体" w:hAnsi="宋体" w:cs="宋体"/>
          <w:b/>
          <w:bCs/>
          <w:szCs w:val="21"/>
          <w:lang w:val="zh-CN"/>
        </w:rPr>
      </w:pPr>
      <w:r>
        <w:rPr>
          <w:rFonts w:hint="eastAsia" w:ascii="宋体" w:hAnsi="宋体" w:cs="宋体"/>
          <w:b/>
          <w:bCs/>
          <w:szCs w:val="21"/>
        </w:rPr>
        <w:t xml:space="preserve">5.1</w:t>
      </w:r>
      <w:r>
        <w:rPr>
          <w:rFonts w:hint="eastAsia" w:ascii="宋体" w:hAnsi="宋体" w:cs="宋体"/>
          <w:b/>
          <w:bCs/>
          <w:szCs w:val="21"/>
          <w:lang w:val="zh-CN"/>
        </w:rPr>
        <w:t xml:space="preserve">关于资格文件的声明函</w:t>
      </w:r>
      <w:r>
        <w:rPr>
          <w:rFonts w:ascii="宋体" w:hAnsi="宋体" w:cs="宋体"/>
          <w:b/>
          <w:bCs/>
          <w:szCs w:val="21"/>
          <w:lang w:val="zh-CN"/>
        </w:rPr>
      </w:r>
      <w:r/>
    </w:p>
    <w:p>
      <w:pPr>
        <w:pStyle w:val="842"/>
        <w:ind w:firstLine="420"/>
        <w:jc w:val="center"/>
        <w:rPr>
          <w:rFonts w:ascii="宋体" w:hAnsi="宋体" w:cs="宋体"/>
          <w:szCs w:val="21"/>
          <w:lang w:val="zh-CN"/>
        </w:rPr>
      </w:pPr>
      <w:r>
        <w:rPr>
          <w:rFonts w:ascii="宋体" w:hAnsi="宋体" w:cs="宋体"/>
          <w:szCs w:val="21"/>
          <w:lang w:val="zh-CN"/>
        </w:rPr>
      </w:r>
      <w:r/>
    </w:p>
    <w:p>
      <w:pPr>
        <w:pStyle w:val="842"/>
        <w:ind w:firstLine="420"/>
        <w:jc w:val="center"/>
        <w:rPr>
          <w:rFonts w:ascii="宋体" w:hAnsi="宋体" w:cs="宋体"/>
          <w:szCs w:val="21"/>
          <w:lang w:val="zh-CN"/>
        </w:rPr>
      </w:pPr>
      <w:r>
        <w:rPr>
          <w:rFonts w:hint="eastAsia" w:ascii="宋体" w:hAnsi="宋体" w:cs="宋体"/>
          <w:szCs w:val="21"/>
          <w:lang w:val="zh-CN"/>
        </w:rPr>
        <w:t xml:space="preserve">关于资格文件的声明函</w:t>
      </w:r>
      <w:r>
        <w:rPr>
          <w:rFonts w:ascii="宋体" w:hAnsi="宋体" w:cs="宋体"/>
          <w:szCs w:val="21"/>
          <w:lang w:val="zh-CN"/>
        </w:rPr>
      </w:r>
      <w:r/>
    </w:p>
    <w:p>
      <w:pPr>
        <w:pStyle w:val="842"/>
        <w:ind w:firstLine="420"/>
        <w:jc w:val="center"/>
        <w:rPr>
          <w:rFonts w:ascii="宋体" w:hAnsi="宋体" w:cs="宋体"/>
          <w:szCs w:val="21"/>
          <w:lang w:val="zh-CN"/>
        </w:rPr>
      </w:pPr>
      <w:r>
        <w:rPr>
          <w:rFonts w:ascii="宋体" w:hAnsi="宋体" w:cs="宋体"/>
          <w:szCs w:val="21"/>
          <w:lang w:val="zh-CN"/>
        </w:rPr>
      </w:r>
      <w:r/>
    </w:p>
    <w:p>
      <w:pPr>
        <w:pStyle w:val="842"/>
        <w:jc w:val="left"/>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r>
      <w:r/>
    </w:p>
    <w:p>
      <w:pPr>
        <w:pStyle w:val="1189"/>
        <w:ind w:firstLine="660"/>
        <w:rPr>
          <w:rFonts w:ascii="宋体" w:hAnsi="宋体" w:cs="宋体"/>
          <w:sz w:val="21"/>
          <w:szCs w:val="21"/>
        </w:rPr>
      </w:pPr>
      <w:r>
        <w:rPr>
          <w:rFonts w:hint="eastAsia" w:ascii="宋体" w:hAnsi="宋体" w:cs="宋体"/>
          <w:sz w:val="21"/>
          <w:szCs w:val="21"/>
        </w:rPr>
        <w:t xml:space="preserve">本公司愿就由贵公司组织实施的编号为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ascii="宋体" w:hAnsi="宋体" w:cs="宋体"/>
          <w:sz w:val="21"/>
          <w:szCs w:val="21"/>
        </w:rPr>
      </w:r>
      <w:r/>
    </w:p>
    <w:p>
      <w:pPr>
        <w:pStyle w:val="1189"/>
        <w:tabs>
          <w:tab w:val="left" w:pos="3240" w:leader="none"/>
        </w:tabs>
        <w:rPr>
          <w:rFonts w:ascii="宋体" w:hAnsi="宋体" w:cs="宋体"/>
          <w:sz w:val="21"/>
          <w:szCs w:val="21"/>
        </w:rPr>
      </w:pPr>
      <w:r>
        <w:rPr>
          <w:rFonts w:ascii="宋体" w:hAnsi="宋体" w:cs="宋体"/>
          <w:sz w:val="21"/>
          <w:szCs w:val="21"/>
        </w:rPr>
      </w:r>
      <w:r/>
    </w:p>
    <w:p>
      <w:pPr>
        <w:pStyle w:val="1189"/>
        <w:rPr>
          <w:rFonts w:ascii="宋体" w:hAnsi="宋体" w:cs="宋体"/>
          <w:sz w:val="21"/>
          <w:szCs w:val="21"/>
        </w:rPr>
      </w:pPr>
      <w:r>
        <w:rPr>
          <w:rFonts w:hint="eastAsia" w:ascii="宋体" w:hAnsi="宋体" w:cs="宋体"/>
          <w:sz w:val="21"/>
          <w:szCs w:val="21"/>
        </w:rPr>
        <w:tab/>
        <w:tab/>
        <w:tab/>
        <w:tab/>
        <w:t xml:space="preserve">        响应单位法定代表人或委托代理人：（签字或盖章）</w:t>
      </w:r>
      <w:r>
        <w:rPr>
          <w:rFonts w:ascii="宋体" w:hAnsi="宋体" w:cs="宋体"/>
          <w:sz w:val="21"/>
          <w:szCs w:val="21"/>
        </w:rPr>
      </w:r>
      <w:r/>
    </w:p>
    <w:p>
      <w:pPr>
        <w:pStyle w:val="1189"/>
        <w:ind w:left="1700" w:firstLine="425"/>
        <w:rPr>
          <w:rFonts w:ascii="宋体" w:hAnsi="宋体" w:cs="宋体"/>
          <w:sz w:val="21"/>
          <w:szCs w:val="21"/>
        </w:rPr>
      </w:pPr>
      <w:r>
        <w:rPr>
          <w:rFonts w:hint="eastAsia" w:ascii="宋体" w:hAnsi="宋体" w:cs="宋体"/>
          <w:sz w:val="21"/>
          <w:szCs w:val="21"/>
        </w:rPr>
        <w:t xml:space="preserve">        磋商响应单位：（公章）</w:t>
      </w:r>
      <w:r>
        <w:rPr>
          <w:rFonts w:ascii="宋体" w:hAnsi="宋体" w:cs="宋体"/>
          <w:sz w:val="21"/>
          <w:szCs w:val="21"/>
        </w:rPr>
      </w:r>
      <w:r/>
    </w:p>
    <w:p>
      <w:pPr>
        <w:pStyle w:val="1189"/>
        <w:ind w:left="4675" w:firstLine="425"/>
        <w:rPr>
          <w:rFonts w:ascii="宋体" w:hAnsi="宋体" w:cs="宋体"/>
          <w:sz w:val="21"/>
          <w:szCs w:val="21"/>
        </w:rPr>
      </w:pPr>
      <w:r>
        <w:rPr>
          <w:rFonts w:ascii="宋体" w:hAnsi="宋体" w:cs="宋体"/>
          <w:sz w:val="21"/>
          <w:szCs w:val="21"/>
        </w:rPr>
      </w:r>
      <w:r/>
    </w:p>
    <w:p>
      <w:pPr>
        <w:pStyle w:val="1189"/>
        <w:ind w:left="2940" w:firstLine="0"/>
        <w:rPr>
          <w:rFonts w:ascii="宋体" w:hAnsi="宋体" w:cs="宋体"/>
          <w:sz w:val="21"/>
          <w:szCs w:val="21"/>
        </w:rPr>
      </w:pPr>
      <w:r>
        <w:rPr>
          <w:rFonts w:hint="eastAsia" w:ascii="宋体" w:hAnsi="宋体" w:cs="宋体"/>
          <w:sz w:val="21"/>
          <w:szCs w:val="21"/>
        </w:rPr>
        <w:t xml:space="preserve">日期：      年</w:t>
        <w:tab/>
        <w:t xml:space="preserve"> 月 </w:t>
        <w:tab/>
        <w:t xml:space="preserve"> 日</w:t>
      </w:r>
      <w:r>
        <w:rPr>
          <w:rFonts w:ascii="宋体" w:hAnsi="宋体" w:cs="宋体"/>
          <w:sz w:val="21"/>
          <w:szCs w:val="21"/>
        </w:rPr>
      </w:r>
      <w:r/>
    </w:p>
    <w:p>
      <w:pPr>
        <w:pStyle w:val="842"/>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5.2具备履行合同所必需的设备和专业技术能力的书面声明</w:t>
      </w:r>
      <w:r>
        <w:rPr>
          <w:rFonts w:ascii="宋体" w:hAnsi="宋体" w:cs="宋体"/>
          <w:b/>
          <w:bCs/>
          <w:szCs w:val="21"/>
        </w:rPr>
      </w:r>
      <w:r/>
    </w:p>
    <w:p>
      <w:pPr>
        <w:pStyle w:val="842"/>
        <w:jc w:val="center"/>
        <w:spacing w:line="440" w:lineRule="exact"/>
        <w:rPr>
          <w:rFonts w:ascii="宋体" w:hAnsi="宋体" w:cs="宋体"/>
          <w:b/>
          <w:bCs/>
          <w:szCs w:val="21"/>
          <w:lang w:val="zh-CN"/>
        </w:rPr>
      </w:pPr>
      <w:r>
        <w:rPr>
          <w:rFonts w:ascii="宋体" w:hAnsi="宋体" w:cs="宋体"/>
          <w:b/>
          <w:bCs/>
          <w:szCs w:val="21"/>
          <w:lang w:val="zh-CN"/>
        </w:rPr>
      </w:r>
      <w:r/>
    </w:p>
    <w:p>
      <w:pPr>
        <w:pStyle w:val="842"/>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rPr>
          <w:rFonts w:ascii="宋体" w:hAnsi="宋体" w:cs="宋体"/>
          <w:b/>
          <w:bCs/>
          <w:szCs w:val="21"/>
          <w:lang w:val="zh-CN"/>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20"/>
        <w:jc w:val="left"/>
        <w:spacing w:line="440" w:lineRule="exact"/>
        <w:rPr>
          <w:rFonts w:ascii="宋体" w:hAnsi="宋体" w:cs="宋体"/>
          <w:szCs w:val="21"/>
        </w:rPr>
      </w:pPr>
      <w:r>
        <w:rPr>
          <w:rFonts w:hint="eastAsia" w:ascii="宋体" w:hAnsi="宋体" w:cs="宋体"/>
          <w:szCs w:val="21"/>
        </w:rPr>
        <w:t xml:space="preserve">我单位郑重声明：</w:t>
      </w:r>
      <w:r>
        <w:rPr>
          <w:rFonts w:ascii="宋体" w:hAnsi="宋体" w:cs="宋体"/>
          <w:szCs w:val="21"/>
        </w:rPr>
      </w:r>
      <w:r/>
    </w:p>
    <w:p>
      <w:pPr>
        <w:pStyle w:val="842"/>
        <w:ind w:firstLine="440"/>
        <w:jc w:val="left"/>
        <w:spacing w:line="440" w:lineRule="exact"/>
        <w:rPr>
          <w:rFonts w:ascii="宋体" w:hAnsi="宋体" w:cs="宋体"/>
          <w:szCs w:val="21"/>
        </w:rPr>
      </w:pPr>
      <w:r>
        <w:rPr>
          <w:rFonts w:hint="eastAsia" w:ascii="宋体" w:hAnsi="宋体" w:cs="宋体"/>
          <w:szCs w:val="21"/>
        </w:rPr>
        <w:t xml:space="preserve">我单位具备履行本项采购合同所必需的设备和专业技术能力。</w:t>
      </w: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hint="eastAsia" w:ascii="宋体" w:hAnsi="宋体" w:cs="宋体"/>
          <w:szCs w:val="21"/>
        </w:rPr>
        <w:t xml:space="preserve">                              磋商响应单位（加盖公章）：</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                                    年  月  日</w:t>
      </w:r>
      <w:r>
        <w:rPr>
          <w:rFonts w:ascii="宋体" w:hAnsi="宋体" w:cs="宋体"/>
          <w:szCs w:val="21"/>
        </w:rPr>
      </w:r>
      <w:r/>
    </w:p>
    <w:p>
      <w:pPr>
        <w:pStyle w:val="1189"/>
        <w:ind w:left="2940" w:firstLine="0"/>
        <w:rPr>
          <w:rFonts w:ascii="宋体" w:hAnsi="宋体" w:cs="宋体"/>
          <w:sz w:val="21"/>
          <w:szCs w:val="21"/>
        </w:rPr>
      </w:pPr>
      <w:r>
        <w:rPr>
          <w:rFonts w:ascii="宋体" w:hAnsi="宋体" w:cs="宋体"/>
          <w:sz w:val="21"/>
          <w:szCs w:val="21"/>
        </w:rPr>
      </w:r>
      <w:r/>
    </w:p>
    <w:p>
      <w:pPr>
        <w:pStyle w:val="842"/>
        <w:spacing w:line="440" w:lineRule="exact"/>
        <w:rPr>
          <w:rFonts w:ascii="宋体" w:hAnsi="宋体" w:cs="宋体"/>
          <w:b/>
          <w:bCs/>
          <w:szCs w:val="21"/>
        </w:rPr>
      </w:pPr>
      <w:r>
        <w:rPr>
          <w:rFonts w:hint="eastAsia" w:ascii="宋体" w:hAnsi="宋体" w:cs="宋体"/>
          <w:szCs w:val="21"/>
          <w:lang w:val="zh-CN"/>
        </w:rPr>
        <w:br w:type="page" w:clear="all"/>
      </w:r>
      <w:r>
        <w:rPr>
          <w:rFonts w:hint="eastAsia" w:ascii="宋体" w:hAnsi="宋体" w:cs="宋体"/>
          <w:b/>
          <w:bCs/>
          <w:szCs w:val="21"/>
        </w:rPr>
        <w:t xml:space="preserve">5.3参</w:t>
      </w:r>
      <w:r>
        <w:rPr>
          <w:rFonts w:hint="eastAsia" w:ascii="宋体" w:hAnsi="宋体" w:cs="宋体"/>
          <w:b/>
          <w:szCs w:val="21"/>
        </w:rPr>
        <w:t xml:space="preserve">加采购活动前3年内在经营活动中没有重大违法记录的书面声明</w:t>
      </w:r>
      <w:r>
        <w:rPr>
          <w:rFonts w:ascii="宋体" w:hAnsi="宋体" w:cs="宋体"/>
          <w:b/>
          <w:bCs/>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jc w:val="center"/>
        <w:spacing w:line="440" w:lineRule="exact"/>
        <w:rPr>
          <w:rFonts w:ascii="宋体" w:hAnsi="宋体" w:cs="宋体"/>
          <w:b/>
          <w:bCs/>
          <w:szCs w:val="21"/>
        </w:rPr>
      </w:pPr>
      <w:r>
        <w:rPr>
          <w:rFonts w:hint="eastAsia" w:ascii="宋体" w:hAnsi="宋体" w:cs="宋体"/>
          <w:b/>
          <w:bCs/>
          <w:szCs w:val="21"/>
        </w:rPr>
        <w:t xml:space="preserve">声    明</w:t>
      </w:r>
      <w:r>
        <w:rPr>
          <w:rFonts w:ascii="宋体" w:hAnsi="宋体" w:cs="宋体"/>
          <w:b/>
          <w:bCs/>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hint="eastAsia" w:ascii="宋体" w:hAnsi="宋体" w:cs="宋体"/>
          <w:szCs w:val="21"/>
        </w:rPr>
        <w:t xml:space="preserve">我单位郑重声明：参加本次采购活动前3年内，我单位在经营活动中没有因违法经营受到刑事处罚或者责令停产停业、吊销许可证或者执照、较大数额罚款等行政处罚。</w:t>
      </w: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ascii="宋体" w:hAnsi="宋体" w:cs="宋体"/>
          <w:szCs w:val="21"/>
        </w:rPr>
      </w:r>
      <w:r/>
    </w:p>
    <w:p>
      <w:pPr>
        <w:pStyle w:val="842"/>
        <w:ind w:firstLine="440"/>
        <w:jc w:val="left"/>
        <w:spacing w:line="440" w:lineRule="exact"/>
        <w:rPr>
          <w:rFonts w:ascii="宋体" w:hAnsi="宋体" w:cs="宋体"/>
          <w:szCs w:val="21"/>
        </w:rPr>
      </w:pPr>
      <w:r>
        <w:rPr>
          <w:rFonts w:hint="eastAsia" w:ascii="宋体" w:hAnsi="宋体" w:cs="宋体"/>
          <w:szCs w:val="21"/>
        </w:rPr>
        <w:t xml:space="preserve">                                磋商响应单位（加盖公章）：</w:t>
      </w:r>
      <w:r>
        <w:rPr>
          <w:rFonts w:ascii="宋体" w:hAnsi="宋体" w:cs="宋体"/>
          <w:szCs w:val="21"/>
        </w:rPr>
      </w:r>
      <w:r/>
    </w:p>
    <w:p>
      <w:pPr>
        <w:pStyle w:val="1189"/>
        <w:ind w:left="2940" w:firstLine="0"/>
        <w:rPr>
          <w:rFonts w:ascii="宋体" w:hAnsi="宋体" w:cs="宋体"/>
          <w:sz w:val="21"/>
          <w:szCs w:val="21"/>
        </w:rPr>
      </w:pPr>
      <w:r>
        <w:rPr>
          <w:rFonts w:hint="eastAsia" w:ascii="宋体" w:hAnsi="宋体" w:cs="宋体"/>
          <w:sz w:val="21"/>
          <w:szCs w:val="21"/>
        </w:rPr>
        <w:t xml:space="preserve">                                      年  月  日</w:t>
      </w:r>
      <w:r>
        <w:rPr>
          <w:rFonts w:ascii="宋体" w:hAnsi="宋体" w:cs="宋体"/>
          <w:sz w:val="21"/>
          <w:szCs w:val="21"/>
        </w:rPr>
      </w:r>
      <w:r/>
    </w:p>
    <w:p>
      <w:pPr>
        <w:pStyle w:val="842"/>
        <w:rPr>
          <w:rFonts w:ascii="宋体" w:hAnsi="宋体" w:cs="宋体"/>
          <w:szCs w:val="21"/>
          <w:lang w:val="zh-CN"/>
        </w:rPr>
      </w:pPr>
      <w:r>
        <w:rPr>
          <w:rFonts w:ascii="宋体" w:hAnsi="宋体" w:cs="宋体"/>
          <w:szCs w:val="21"/>
          <w:lang w:val="zh-CN"/>
        </w:rPr>
      </w:r>
      <w:r/>
    </w:p>
    <w:p>
      <w:pPr>
        <w:pStyle w:val="842"/>
        <w:rPr>
          <w:rFonts w:ascii="宋体" w:hAnsi="宋体" w:cs="宋体"/>
          <w:b/>
          <w:bCs/>
          <w:szCs w:val="21"/>
          <w:lang w:val="zh-CN"/>
        </w:rPr>
      </w:pPr>
      <w:r>
        <w:rPr>
          <w:rFonts w:ascii="宋体" w:hAnsi="宋体" w:cs="宋体"/>
          <w:b/>
          <w:bCs/>
          <w:szCs w:val="21"/>
          <w:lang w:val="zh-CN"/>
        </w:rPr>
      </w:r>
      <w:r/>
    </w:p>
    <w:p>
      <w:pPr>
        <w:pStyle w:val="842"/>
        <w:jc w:val="left"/>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5.4</w:t>
      </w:r>
      <w:r>
        <w:rPr>
          <w:rFonts w:hint="eastAsia" w:ascii="宋体" w:hAnsi="宋体" w:cs="宋体"/>
          <w:b/>
          <w:bCs/>
          <w:szCs w:val="21"/>
          <w:lang w:val="zh-CN"/>
        </w:rPr>
        <w:t xml:space="preserve">响应单位情况表</w:t>
      </w:r>
      <w:r>
        <w:rPr>
          <w:rFonts w:ascii="宋体" w:hAnsi="宋体" w:cs="宋体"/>
          <w:b/>
          <w:bCs/>
          <w:szCs w:val="21"/>
          <w:lang w:val="zh-CN"/>
        </w:rPr>
      </w:r>
      <w:r/>
    </w:p>
    <w:p>
      <w:pPr>
        <w:pStyle w:val="842"/>
        <w:jc w:val="center"/>
        <w:rPr>
          <w:rFonts w:ascii="宋体" w:hAnsi="宋体" w:cs="宋体"/>
          <w:b/>
          <w:bCs/>
          <w:szCs w:val="21"/>
          <w:lang w:val="zh-CN"/>
        </w:rPr>
      </w:pPr>
      <w:r>
        <w:rPr>
          <w:rFonts w:hint="eastAsia" w:ascii="宋体" w:hAnsi="宋体" w:cs="宋体"/>
          <w:b/>
          <w:bCs/>
          <w:szCs w:val="21"/>
          <w:lang w:val="zh-CN"/>
        </w:rPr>
        <w:t xml:space="preserve">响应单位基本情况表</w:t>
      </w:r>
      <w:r>
        <w:rPr>
          <w:rFonts w:ascii="宋体" w:hAnsi="宋体" w:cs="宋体"/>
          <w:b/>
          <w:bCs/>
          <w:szCs w:val="21"/>
          <w:lang w:val="zh-CN"/>
        </w:rPr>
      </w:r>
      <w:r/>
    </w:p>
    <w:p>
      <w:pPr>
        <w:pStyle w:val="842"/>
        <w:rPr>
          <w:rFonts w:ascii="宋体" w:hAnsi="宋体" w:cs="宋体"/>
          <w:szCs w:val="21"/>
          <w:lang w:val="zh-CN"/>
        </w:rPr>
      </w:pPr>
      <w:r>
        <w:rPr>
          <w:rFonts w:hint="eastAsia" w:ascii="宋体" w:hAnsi="宋体" w:cs="宋体"/>
          <w:szCs w:val="21"/>
          <w:lang w:val="zh-CN"/>
        </w:rPr>
        <w:t xml:space="preserve">磋商响应单位：（公章）</w:t>
      </w:r>
      <w:r>
        <w:rPr>
          <w:rFonts w:ascii="宋体" w:hAnsi="宋体" w:cs="宋体"/>
          <w:szCs w:val="21"/>
          <w:lang w:val="zh-CN"/>
        </w:rPr>
      </w:r>
      <w:r/>
    </w:p>
    <w:tbl>
      <w:tblPr>
        <w:tblW w:w="499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法定代表人/负责人</w:t>
            </w:r>
            <w:r>
              <w:rPr>
                <w:rFonts w:ascii="宋体" w:hAnsi="宋体" w:cs="宋体"/>
                <w:szCs w:val="21"/>
              </w:rPr>
            </w:r>
            <w:r/>
          </w:p>
        </w:tc>
        <w:tc>
          <w:tcPr>
            <w:tcW w:w="1995"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成立日期</w:t>
            </w:r>
            <w:r>
              <w:rPr>
                <w:rFonts w:ascii="宋体" w:hAnsi="宋体" w:cs="宋体"/>
                <w:szCs w:val="21"/>
              </w:rPr>
            </w:r>
            <w:r/>
          </w:p>
        </w:tc>
        <w:tc>
          <w:tcPr>
            <w:tcW w:w="233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企业地址</w:t>
            </w:r>
            <w:r>
              <w:rPr>
                <w:rFonts w:ascii="宋体" w:hAnsi="宋体" w:cs="宋体"/>
                <w:szCs w:val="21"/>
              </w:rPr>
            </w:r>
            <w:r/>
          </w:p>
        </w:tc>
        <w:tc>
          <w:tcPr>
            <w:tcW w:w="1995"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注册资本</w:t>
            </w:r>
            <w:r>
              <w:rPr>
                <w:rFonts w:ascii="宋体" w:hAnsi="宋体" w:cs="宋体"/>
                <w:szCs w:val="21"/>
              </w:rPr>
            </w:r>
            <w:r/>
          </w:p>
        </w:tc>
        <w:tc>
          <w:tcPr>
            <w:tcW w:w="2336"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万元</w:t>
            </w: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生产范围</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职工人数</w:t>
            </w:r>
            <w:r>
              <w:rPr>
                <w:rFonts w:ascii="宋体" w:hAnsi="宋体" w:cs="宋体"/>
                <w:szCs w:val="21"/>
              </w:rPr>
            </w:r>
            <w:r/>
          </w:p>
        </w:tc>
        <w:tc>
          <w:tcPr>
            <w:tcW w:w="1995" w:type="dxa"/>
            <w:vAlign w:val="center"/>
            <w:textDirection w:val="lrTb"/>
            <w:noWrap/>
          </w:tcPr>
          <w:p>
            <w:pPr>
              <w:pStyle w:val="842"/>
              <w:jc w:val="left"/>
              <w:spacing w:line="440" w:lineRule="exact"/>
              <w:rPr>
                <w:rFonts w:ascii="宋体" w:hAnsi="宋体" w:cs="宋体"/>
                <w:szCs w:val="21"/>
              </w:rPr>
            </w:pPr>
            <w:r>
              <w:rPr>
                <w:rFonts w:ascii="宋体" w:hAnsi="宋体" w:cs="宋体"/>
                <w:szCs w:val="21"/>
              </w:rPr>
            </w:r>
            <w:r/>
          </w:p>
        </w:tc>
        <w:tc>
          <w:tcPr>
            <w:tcW w:w="214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其中：有中高级以上职称的人数</w:t>
            </w:r>
            <w:r>
              <w:rPr>
                <w:rFonts w:ascii="宋体" w:hAnsi="宋体" w:cs="宋体"/>
                <w:szCs w:val="21"/>
              </w:rPr>
            </w:r>
            <w:r/>
          </w:p>
        </w:tc>
        <w:tc>
          <w:tcPr>
            <w:tcW w:w="233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资产总计</w:t>
            </w:r>
            <w:r>
              <w:rPr>
                <w:rFonts w:ascii="宋体" w:hAnsi="宋体" w:cs="宋体"/>
                <w:szCs w:val="21"/>
              </w:rPr>
            </w:r>
            <w:r/>
          </w:p>
        </w:tc>
        <w:tc>
          <w:tcPr>
            <w:tcW w:w="1995" w:type="dxa"/>
            <w:vAlign w:val="center"/>
            <w:textDirection w:val="lrTb"/>
            <w:noWrap/>
          </w:tcPr>
          <w:p>
            <w:pPr>
              <w:pStyle w:val="842"/>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c>
          <w:tcPr>
            <w:tcW w:w="2145" w:type="dxa"/>
            <w:vAlign w:val="center"/>
            <w:textDirection w:val="lrTb"/>
            <w:noWrap/>
          </w:tcPr>
          <w:p>
            <w:pPr>
              <w:pStyle w:val="842"/>
              <w:spacing w:line="440" w:lineRule="exact"/>
              <w:rPr>
                <w:rFonts w:ascii="宋体" w:hAnsi="宋体" w:cs="宋体"/>
                <w:szCs w:val="21"/>
              </w:rPr>
            </w:pPr>
            <w:r>
              <w:rPr>
                <w:rFonts w:hint="eastAsia" w:ascii="宋体" w:hAnsi="宋体" w:cs="宋体"/>
                <w:szCs w:val="21"/>
              </w:rPr>
              <w:t xml:space="preserve">净资产</w:t>
            </w:r>
            <w:r>
              <w:rPr>
                <w:rFonts w:ascii="宋体" w:hAnsi="宋体" w:cs="宋体"/>
                <w:szCs w:val="21"/>
              </w:rPr>
            </w:r>
            <w:r/>
          </w:p>
        </w:tc>
        <w:tc>
          <w:tcPr>
            <w:tcW w:w="2336" w:type="dxa"/>
            <w:vAlign w:val="center"/>
            <w:textDirection w:val="lrTb"/>
            <w:noWrap/>
          </w:tcPr>
          <w:p>
            <w:pPr>
              <w:pStyle w:val="842"/>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股东权益</w:t>
            </w:r>
            <w:r>
              <w:rPr>
                <w:rFonts w:ascii="宋体" w:hAnsi="宋体" w:cs="宋体"/>
                <w:szCs w:val="21"/>
              </w:rPr>
            </w:r>
            <w:r/>
          </w:p>
        </w:tc>
        <w:tc>
          <w:tcPr>
            <w:tcW w:w="1995" w:type="dxa"/>
            <w:vAlign w:val="center"/>
            <w:textDirection w:val="lrTb"/>
            <w:noWrap/>
          </w:tcPr>
          <w:p>
            <w:pPr>
              <w:pStyle w:val="842"/>
              <w:jc w:val="center"/>
              <w:spacing w:line="440" w:lineRule="exact"/>
              <w:rPr>
                <w:rFonts w:ascii="宋体" w:hAnsi="宋体" w:cs="宋体"/>
                <w:szCs w:val="21"/>
              </w:rPr>
            </w:pPr>
            <w:r>
              <w:rPr>
                <w:rFonts w:hint="eastAsia" w:ascii="宋体" w:hAnsi="宋体" w:cs="宋体"/>
                <w:szCs w:val="21"/>
              </w:rPr>
              <w:t xml:space="preserve">         万元</w:t>
            </w:r>
            <w:r>
              <w:rPr>
                <w:rFonts w:ascii="宋体" w:hAnsi="宋体" w:cs="宋体"/>
                <w:szCs w:val="21"/>
              </w:rPr>
            </w:r>
            <w:r/>
          </w:p>
        </w:tc>
        <w:tc>
          <w:tcPr>
            <w:tcW w:w="2145" w:type="dxa"/>
            <w:vAlign w:val="center"/>
            <w:textDirection w:val="lrTb"/>
            <w:noWrap/>
          </w:tcPr>
          <w:p>
            <w:pPr>
              <w:pStyle w:val="842"/>
              <w:spacing w:line="440" w:lineRule="exact"/>
              <w:rPr>
                <w:rFonts w:ascii="宋体" w:hAnsi="宋体" w:cs="宋体"/>
                <w:szCs w:val="21"/>
              </w:rPr>
            </w:pPr>
            <w:r>
              <w:rPr>
                <w:rFonts w:hint="eastAsia" w:ascii="宋体" w:hAnsi="宋体" w:cs="宋体"/>
                <w:szCs w:val="21"/>
              </w:rPr>
              <w:t xml:space="preserve">销售收入</w:t>
            </w:r>
            <w:r>
              <w:rPr>
                <w:rFonts w:ascii="宋体" w:hAnsi="宋体" w:cs="宋体"/>
                <w:szCs w:val="21"/>
              </w:rPr>
            </w:r>
            <w:r/>
          </w:p>
        </w:tc>
        <w:tc>
          <w:tcPr>
            <w:tcW w:w="2336" w:type="dxa"/>
            <w:vAlign w:val="center"/>
            <w:textDirection w:val="lrTb"/>
            <w:noWrap/>
          </w:tcPr>
          <w:p>
            <w:pPr>
              <w:pStyle w:val="842"/>
              <w:ind w:firstLine="420"/>
              <w:spacing w:line="440" w:lineRule="exact"/>
              <w:rPr>
                <w:rFonts w:ascii="宋体" w:hAnsi="宋体" w:cs="宋体"/>
                <w:szCs w:val="21"/>
              </w:rPr>
            </w:pPr>
            <w:r>
              <w:rPr>
                <w:rFonts w:hint="eastAsia" w:ascii="宋体" w:hAnsi="宋体" w:cs="宋体"/>
                <w:szCs w:val="21"/>
              </w:rPr>
              <w:t xml:space="preserve">年      万元</w:t>
            </w: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实现利润</w:t>
            </w:r>
            <w:r>
              <w:rPr>
                <w:rFonts w:ascii="宋体" w:hAnsi="宋体" w:cs="宋体"/>
                <w:szCs w:val="21"/>
              </w:rPr>
            </w:r>
            <w:r/>
          </w:p>
        </w:tc>
        <w:tc>
          <w:tcPr>
            <w:tcW w:w="199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   年    万元</w:t>
            </w:r>
            <w:r>
              <w:rPr>
                <w:rFonts w:ascii="宋体" w:hAnsi="宋体" w:cs="宋体"/>
                <w:szCs w:val="21"/>
              </w:rPr>
            </w:r>
            <w:r/>
          </w:p>
        </w:tc>
        <w:tc>
          <w:tcPr>
            <w:tcW w:w="2145"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c>
          <w:tcPr>
            <w:tcW w:w="233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营业面积</w:t>
            </w:r>
            <w:r>
              <w:rPr>
                <w:rFonts w:ascii="宋体" w:hAnsi="宋体" w:cs="宋体"/>
                <w:szCs w:val="21"/>
              </w:rPr>
            </w:r>
            <w:r/>
          </w:p>
        </w:tc>
        <w:tc>
          <w:tcPr>
            <w:tcW w:w="1995" w:type="dxa"/>
            <w:vAlign w:val="center"/>
            <w:textDirection w:val="lrTb"/>
            <w:noWrap/>
          </w:tcPr>
          <w:p>
            <w:pPr>
              <w:pStyle w:val="842"/>
              <w:spacing w:line="440" w:lineRule="exact"/>
              <w:rPr>
                <w:rFonts w:ascii="宋体" w:hAnsi="宋体" w:cs="宋体"/>
                <w:szCs w:val="21"/>
              </w:rPr>
            </w:pPr>
            <w:r>
              <w:rPr>
                <w:rFonts w:hint="eastAsia" w:ascii="宋体" w:hAnsi="宋体" w:cs="宋体"/>
                <w:szCs w:val="21"/>
              </w:rPr>
              <w:t xml:space="preserve">       平方米</w:t>
            </w:r>
            <w:r>
              <w:rPr>
                <w:rFonts w:ascii="宋体" w:hAnsi="宋体" w:cs="宋体"/>
                <w:szCs w:val="21"/>
              </w:rPr>
            </w:r>
            <w:r/>
          </w:p>
        </w:tc>
        <w:tc>
          <w:tcPr>
            <w:tcW w:w="2145" w:type="dxa"/>
            <w:vAlign w:val="center"/>
            <w:textDirection w:val="lrTb"/>
            <w:noWrap/>
          </w:tcPr>
          <w:p>
            <w:pPr>
              <w:pStyle w:val="842"/>
              <w:spacing w:line="440" w:lineRule="exact"/>
              <w:rPr>
                <w:rFonts w:ascii="宋体" w:hAnsi="宋体" w:cs="宋体"/>
                <w:szCs w:val="21"/>
              </w:rPr>
            </w:pPr>
            <w:r>
              <w:rPr>
                <w:rFonts w:hint="eastAsia" w:ascii="宋体" w:hAnsi="宋体" w:cs="宋体"/>
                <w:szCs w:val="21"/>
              </w:rPr>
              <w:t xml:space="preserve">其中：</w:t>
            </w:r>
            <w:r>
              <w:rPr>
                <w:rFonts w:ascii="宋体" w:hAnsi="宋体" w:cs="宋体"/>
                <w:szCs w:val="21"/>
              </w:rPr>
            </w:r>
            <w:r/>
          </w:p>
        </w:tc>
        <w:tc>
          <w:tcPr>
            <w:tcW w:w="2336"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自有面积     平方米</w:t>
            </w:r>
            <w:r>
              <w:rPr>
                <w:rFonts w:ascii="宋体" w:hAnsi="宋体" w:cs="宋体"/>
                <w:szCs w:val="21"/>
              </w:rPr>
            </w:r>
            <w:r/>
          </w:p>
          <w:p>
            <w:pPr>
              <w:pStyle w:val="842"/>
              <w:jc w:val="left"/>
              <w:spacing w:line="440" w:lineRule="exact"/>
              <w:rPr>
                <w:rFonts w:ascii="宋体" w:hAnsi="宋体" w:cs="宋体"/>
                <w:szCs w:val="21"/>
              </w:rPr>
            </w:pPr>
            <w:r>
              <w:rPr>
                <w:rFonts w:hint="eastAsia" w:ascii="宋体" w:hAnsi="宋体" w:cs="宋体"/>
                <w:szCs w:val="21"/>
              </w:rPr>
              <w:t xml:space="preserve">承租面积     平方米</w:t>
            </w:r>
            <w:r>
              <w:rPr>
                <w:rFonts w:ascii="宋体" w:hAnsi="宋体" w:cs="宋体"/>
                <w:szCs w:val="21"/>
              </w:rPr>
            </w:r>
            <w:r/>
          </w:p>
        </w:tc>
      </w:tr>
      <w:tr>
        <w:trPr>
          <w:cantSplit/>
          <w:trHeight w:val="356"/>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单位简历及内设机构情况</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Height w:val="431"/>
        </w:trPr>
        <w:tc>
          <w:tcPr>
            <w:tcW w:w="2805" w:type="dxa"/>
            <w:vAlign w:val="center"/>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单位优势及特长</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Height w:val="760"/>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近两年来完成或正在履行的重大合同情况</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最近2年内在经营过程中受到何种奖励或处分</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（包括财政、工商、税务、物价、技监部门稽查情况和结果）</w:t>
            </w:r>
            <w:r>
              <w:rPr>
                <w:rFonts w:ascii="宋体" w:hAnsi="宋体" w:cs="宋体"/>
                <w:szCs w:val="21"/>
              </w:rPr>
            </w:r>
            <w:r/>
          </w:p>
        </w:tc>
      </w:tr>
      <w:tr>
        <w:trPr>
          <w:cantSplit/>
          <w:trHeight w:val="1245"/>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（包括解决方式和结果）</w:t>
            </w:r>
            <w:r>
              <w:rPr>
                <w:rFonts w:ascii="宋体" w:hAnsi="宋体" w:cs="宋体"/>
                <w:szCs w:val="21"/>
              </w:rPr>
            </w:r>
            <w:r/>
          </w:p>
        </w:tc>
      </w:tr>
      <w:tr>
        <w:trPr>
          <w:cantSplit/>
          <w:trHeight w:val="1161"/>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最近3年内主要负责人有无因经济犯罪被司法机关追究的情况及说明</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获得技术认证的工程师及简介</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r>
        <w:trPr>
          <w:cantSplit/>
          <w:trHeight w:val="618"/>
        </w:trPr>
        <w:tc>
          <w:tcPr>
            <w:tcW w:w="2805" w:type="dxa"/>
            <w:vAlign w:val="top"/>
            <w:textDirection w:val="lrTb"/>
            <w:noWrap/>
          </w:tcPr>
          <w:p>
            <w:pPr>
              <w:pStyle w:val="842"/>
              <w:jc w:val="left"/>
              <w:spacing w:line="440" w:lineRule="exact"/>
              <w:rPr>
                <w:rFonts w:ascii="宋体" w:hAnsi="宋体" w:cs="宋体"/>
                <w:szCs w:val="21"/>
              </w:rPr>
            </w:pPr>
            <w:r>
              <w:rPr>
                <w:rFonts w:hint="eastAsia" w:ascii="宋体" w:hAnsi="宋体" w:cs="宋体"/>
                <w:szCs w:val="21"/>
              </w:rPr>
              <w:t xml:space="preserve">其他需要说明的情况</w:t>
            </w:r>
            <w:r>
              <w:rPr>
                <w:rFonts w:ascii="宋体" w:hAnsi="宋体" w:cs="宋体"/>
                <w:szCs w:val="21"/>
              </w:rPr>
            </w:r>
            <w:r/>
          </w:p>
        </w:tc>
        <w:tc>
          <w:tcPr>
            <w:gridSpan w:val="3"/>
            <w:tcW w:w="6476" w:type="dxa"/>
            <w:vAlign w:val="top"/>
            <w:textDirection w:val="lrTb"/>
            <w:noWrap/>
          </w:tcPr>
          <w:p>
            <w:pPr>
              <w:pStyle w:val="842"/>
              <w:jc w:val="left"/>
              <w:spacing w:line="440" w:lineRule="exact"/>
              <w:rPr>
                <w:rFonts w:ascii="宋体" w:hAnsi="宋体" w:cs="宋体"/>
                <w:szCs w:val="21"/>
              </w:rPr>
            </w:pPr>
            <w:r>
              <w:rPr>
                <w:rFonts w:ascii="宋体" w:hAnsi="宋体" w:cs="宋体"/>
                <w:szCs w:val="21"/>
              </w:rPr>
            </w:r>
            <w:r/>
          </w:p>
        </w:tc>
      </w:tr>
    </w:tbl>
    <w:p>
      <w:pPr>
        <w:pStyle w:val="842"/>
        <w:rPr>
          <w:rFonts w:ascii="宋体" w:hAnsi="宋体" w:cs="宋体"/>
          <w:szCs w:val="21"/>
          <w:lang w:val="zh-CN"/>
        </w:rPr>
      </w:pPr>
      <w:r>
        <w:rPr>
          <w:rFonts w:ascii="宋体" w:hAnsi="宋体" w:cs="宋体"/>
          <w:szCs w:val="21"/>
          <w:lang w:val="zh-CN"/>
        </w:rPr>
      </w:r>
      <w:r/>
    </w:p>
    <w:p>
      <w:pPr>
        <w:pStyle w:val="842"/>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842"/>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r>
      <w:r/>
    </w:p>
    <w:p>
      <w:pPr>
        <w:pStyle w:val="842"/>
        <w:rPr>
          <w:rFonts w:ascii="宋体" w:hAnsi="宋体" w:cs="宋体"/>
          <w:b/>
          <w:bCs/>
          <w:szCs w:val="21"/>
        </w:rPr>
      </w:pPr>
      <w:r>
        <w:rPr>
          <w:rFonts w:ascii="宋体" w:hAnsi="宋体" w:cs="宋体"/>
          <w:b/>
          <w:bCs/>
          <w:szCs w:val="21"/>
        </w:rPr>
      </w:r>
      <w:r/>
    </w:p>
    <w:p>
      <w:pPr>
        <w:pStyle w:val="842"/>
        <w:rPr>
          <w:rFonts w:ascii="宋体" w:hAnsi="宋体" w:cs="宋体"/>
          <w:b/>
          <w:szCs w:val="21"/>
          <w:lang w:val="zh-CN"/>
        </w:rPr>
      </w:pP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5</w:t>
      </w:r>
      <w:r>
        <w:rPr>
          <w:rFonts w:hint="eastAsia" w:ascii="宋体" w:hAnsi="宋体" w:cs="宋体"/>
          <w:b/>
          <w:szCs w:val="21"/>
          <w:lang w:val="zh-CN"/>
        </w:rPr>
        <w:t xml:space="preserve">响应单位资格承诺书</w:t>
      </w:r>
      <w:r>
        <w:rPr>
          <w:rFonts w:ascii="宋体" w:hAnsi="宋体" w:cs="宋体"/>
          <w:b/>
          <w:szCs w:val="21"/>
          <w:lang w:val="zh-CN"/>
        </w:rPr>
      </w:r>
      <w:r/>
    </w:p>
    <w:p>
      <w:pPr>
        <w:pStyle w:val="842"/>
        <w:jc w:val="center"/>
        <w:rPr>
          <w:rFonts w:ascii="宋体" w:hAnsi="宋体" w:cs="宋体"/>
          <w:szCs w:val="21"/>
          <w:lang w:val="zh-CN"/>
        </w:rPr>
      </w:pPr>
      <w:r>
        <w:rPr>
          <w:rFonts w:hint="eastAsia" w:ascii="宋体" w:hAnsi="宋体" w:cs="宋体"/>
          <w:szCs w:val="21"/>
          <w:lang w:val="zh-CN"/>
        </w:rPr>
        <w:t xml:space="preserve">响应单位资格承诺书</w:t>
      </w:r>
      <w:r>
        <w:rPr>
          <w:rFonts w:ascii="宋体" w:hAnsi="宋体" w:cs="宋体"/>
          <w:szCs w:val="21"/>
          <w:lang w:val="zh-CN"/>
        </w:rPr>
      </w:r>
      <w:r/>
    </w:p>
    <w:p>
      <w:pPr>
        <w:pStyle w:val="842"/>
        <w:ind w:firstLine="315"/>
        <w:rPr>
          <w:rFonts w:ascii="宋体" w:hAnsi="宋体" w:cs="宋体"/>
          <w:szCs w:val="21"/>
          <w:lang w:val="zh-CN"/>
        </w:rPr>
      </w:pPr>
      <w:r>
        <w:rPr>
          <w:rFonts w:hint="eastAsia" w:ascii="宋体" w:hAnsi="宋体" w:cs="宋体"/>
          <w:szCs w:val="21"/>
        </w:rPr>
        <w:t xml:space="preserve">响应单位：（公章）                             采购编号：             号</w:t>
      </w:r>
      <w:r>
        <w:rPr>
          <w:rFonts w:ascii="宋体" w:hAnsi="宋体" w:cs="宋体"/>
          <w:szCs w:val="21"/>
          <w:lang w:val="zh-CN"/>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959" w:type="dxa"/>
            <w:vAlign w:val="center"/>
            <w:textDirection w:val="lrTb"/>
            <w:noWrap/>
          </w:tcPr>
          <w:p>
            <w:pPr>
              <w:pStyle w:val="842"/>
              <w:jc w:val="center"/>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13" w:type="dxa"/>
            <w:vAlign w:val="center"/>
            <w:textDirection w:val="lrTb"/>
            <w:noWrap/>
          </w:tcPr>
          <w:p>
            <w:pPr>
              <w:pStyle w:val="842"/>
              <w:jc w:val="center"/>
              <w:rPr>
                <w:rFonts w:ascii="宋体" w:hAnsi="宋体" w:cs="宋体"/>
                <w:szCs w:val="21"/>
                <w:lang w:val="zh-CN"/>
              </w:rPr>
            </w:pPr>
            <w:r>
              <w:rPr>
                <w:rFonts w:hint="eastAsia" w:ascii="宋体" w:hAnsi="宋体" w:cs="宋体"/>
                <w:szCs w:val="21"/>
                <w:lang w:val="zh-CN"/>
              </w:rPr>
              <w:t xml:space="preserve">响应单位部分资格要求</w:t>
            </w:r>
            <w:r>
              <w:rPr>
                <w:rFonts w:ascii="宋体" w:hAnsi="宋体" w:cs="宋体"/>
                <w:szCs w:val="21"/>
                <w:lang w:val="zh-CN"/>
              </w:rPr>
            </w:r>
            <w:r/>
          </w:p>
        </w:tc>
        <w:tc>
          <w:tcPr>
            <w:tcW w:w="1756" w:type="dxa"/>
            <w:vAlign w:val="center"/>
            <w:textDirection w:val="lrTb"/>
            <w:noWrap/>
          </w:tcPr>
          <w:p>
            <w:pPr>
              <w:pStyle w:val="842"/>
              <w:jc w:val="center"/>
              <w:rPr>
                <w:rFonts w:ascii="宋体" w:hAnsi="宋体" w:cs="宋体"/>
                <w:szCs w:val="21"/>
                <w:lang w:val="zh-CN"/>
              </w:rPr>
            </w:pPr>
            <w:r>
              <w:rPr>
                <w:rFonts w:hint="eastAsia" w:ascii="宋体" w:hAnsi="宋体" w:cs="宋体"/>
                <w:szCs w:val="21"/>
                <w:lang w:val="zh-CN"/>
              </w:rPr>
              <w:t xml:space="preserve">是否完全满足</w:t>
            </w:r>
            <w:r>
              <w:rPr>
                <w:rFonts w:ascii="宋体" w:hAnsi="宋体" w:cs="宋体"/>
                <w:szCs w:val="21"/>
                <w:lang w:val="zh-CN"/>
              </w:rPr>
            </w:r>
            <w:r/>
          </w:p>
        </w:tc>
        <w:tc>
          <w:tcPr>
            <w:tcW w:w="3556" w:type="dxa"/>
            <w:vAlign w:val="center"/>
            <w:textDirection w:val="lrTb"/>
            <w:noWrap/>
          </w:tcPr>
          <w:p>
            <w:pPr>
              <w:pStyle w:val="842"/>
              <w:jc w:val="center"/>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660"/>
        </w:trPr>
        <w:tc>
          <w:tcPr>
            <w:tcW w:w="95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具有独立承担民事责任的能力；</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提供包括法人或者其他组织的营业执照等证明文件，自然人的身份证明</w:t>
            </w:r>
            <w:r>
              <w:rPr>
                <w:rFonts w:ascii="宋体" w:hAnsi="宋体" w:cs="宋体"/>
                <w:szCs w:val="21"/>
              </w:rPr>
            </w:r>
            <w:r/>
          </w:p>
        </w:tc>
      </w:tr>
      <w:tr>
        <w:trPr>
          <w:trHeight w:val="660"/>
        </w:trPr>
        <w:tc>
          <w:tcPr>
            <w:tcW w:w="95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具有良好的商业信誉和健全的财务会计制度；</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提供包括但不限于最近一期经审计的财务报告或最近一期财务报表，其他组织、自然人及成立未满一年的法人应提供银行出具的资信证明</w:t>
            </w:r>
            <w:r>
              <w:rPr>
                <w:rFonts w:ascii="宋体" w:hAnsi="宋体" w:cs="宋体"/>
                <w:szCs w:val="21"/>
              </w:rPr>
            </w:r>
            <w:r/>
          </w:p>
        </w:tc>
      </w:tr>
      <w:tr>
        <w:trPr>
          <w:trHeight w:val="660"/>
        </w:trPr>
        <w:tc>
          <w:tcPr>
            <w:tcW w:w="95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具有履行合同所必需的设备和专业技术能力；</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提供承诺或相关证明材料</w:t>
            </w:r>
            <w:r>
              <w:rPr>
                <w:rFonts w:ascii="宋体" w:hAnsi="宋体" w:cs="宋体"/>
                <w:szCs w:val="21"/>
              </w:rPr>
            </w:r>
            <w:r/>
          </w:p>
        </w:tc>
      </w:tr>
      <w:tr>
        <w:trPr>
          <w:trHeight w:val="660"/>
        </w:trPr>
        <w:tc>
          <w:tcPr>
            <w:tcW w:w="95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有依法缴纳税收和社会保障资金的良好记录；</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cs="宋体"/>
                <w:szCs w:val="21"/>
              </w:rPr>
            </w:r>
            <w:r/>
          </w:p>
        </w:tc>
      </w:tr>
      <w:tr>
        <w:trPr>
          <w:trHeight w:val="660"/>
        </w:trPr>
        <w:tc>
          <w:tcPr>
            <w:tcW w:w="959"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参加政府采购活动前三年内，在经营活动中没有重大违法记录。</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提供书面声明函</w:t>
            </w:r>
            <w:r>
              <w:rPr>
                <w:rFonts w:ascii="宋体" w:hAnsi="宋体" w:cs="宋体"/>
                <w:szCs w:val="21"/>
              </w:rPr>
            </w:r>
            <w:r/>
          </w:p>
        </w:tc>
      </w:tr>
      <w:tr>
        <w:trPr>
          <w:trHeight w:val="660"/>
        </w:trPr>
        <w:tc>
          <w:tcPr>
            <w:tcW w:w="959" w:type="dxa"/>
            <w:vAlign w:val="center"/>
            <w:textDirection w:val="lrTb"/>
            <w:noWrap/>
          </w:tcPr>
          <w:p>
            <w:pPr>
              <w:pStyle w:val="842"/>
              <w:ind w:firstLine="210"/>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013" w:type="dxa"/>
            <w:vAlign w:val="center"/>
            <w:textDirection w:val="lrTb"/>
            <w:noWrap/>
          </w:tcPr>
          <w:p>
            <w:pPr>
              <w:pStyle w:val="842"/>
              <w:rPr>
                <w:rFonts w:ascii="宋体" w:hAnsi="宋体" w:cs="宋体"/>
                <w:szCs w:val="21"/>
              </w:rPr>
            </w:pPr>
            <w:r>
              <w:rPr>
                <w:rFonts w:hint="eastAsia" w:ascii="宋体" w:hAnsi="宋体" w:cs="宋体"/>
                <w:szCs w:val="21"/>
              </w:rPr>
              <w:t xml:space="preserve">法律、行政法规规定的其他条件；</w:t>
            </w:r>
            <w:r>
              <w:rPr>
                <w:rFonts w:ascii="宋体" w:hAnsi="宋体" w:cs="宋体"/>
                <w:szCs w:val="21"/>
              </w:rPr>
            </w:r>
            <w:r/>
          </w:p>
        </w:tc>
        <w:tc>
          <w:tcPr>
            <w:tcW w:w="1756" w:type="dxa"/>
            <w:vAlign w:val="center"/>
            <w:textDirection w:val="lrTb"/>
            <w:noWrap/>
          </w:tcPr>
          <w:p>
            <w:pPr>
              <w:pStyle w:val="842"/>
              <w:jc w:val="center"/>
              <w:rPr>
                <w:rFonts w:ascii="宋体" w:hAnsi="宋体" w:cs="宋体"/>
                <w:szCs w:val="21"/>
              </w:rPr>
            </w:pPr>
            <w:r>
              <w:rPr>
                <w:rFonts w:ascii="宋体" w:hAnsi="宋体" w:cs="宋体"/>
                <w:szCs w:val="21"/>
              </w:rPr>
            </w:r>
            <w:r/>
          </w:p>
        </w:tc>
        <w:tc>
          <w:tcPr>
            <w:tcW w:w="3556" w:type="dxa"/>
            <w:vAlign w:val="center"/>
            <w:textDirection w:val="lrTb"/>
            <w:noWrap/>
          </w:tcPr>
          <w:p>
            <w:pPr>
              <w:pStyle w:val="842"/>
              <w:rPr>
                <w:rFonts w:ascii="宋体" w:hAnsi="宋体" w:cs="宋体"/>
                <w:szCs w:val="21"/>
              </w:rPr>
            </w:pPr>
            <w:r>
              <w:rPr>
                <w:rFonts w:hint="eastAsia" w:ascii="宋体" w:hAnsi="宋体" w:cs="宋体"/>
                <w:szCs w:val="21"/>
              </w:rPr>
              <w:t xml:space="preserve">提供包括法人或者其他组织的营业执照等证明文件，自然人的身份证明</w:t>
            </w:r>
            <w:r>
              <w:rPr>
                <w:rFonts w:ascii="宋体" w:hAnsi="宋体" w:cs="宋体"/>
                <w:szCs w:val="21"/>
              </w:rPr>
            </w:r>
            <w:r/>
          </w:p>
        </w:tc>
      </w:tr>
    </w:tbl>
    <w:p>
      <w:pPr>
        <w:pStyle w:val="1187"/>
        <w:ind w:firstLine="630"/>
        <w:spacing w:before="0" w:beforeAutospacing="0" w:after="0" w:afterAutospacing="0"/>
        <w:rPr>
          <w:sz w:val="21"/>
          <w:szCs w:val="21"/>
        </w:rPr>
      </w:pPr>
      <w:r>
        <w:rPr>
          <w:rFonts w:hint="eastAsia"/>
          <w:sz w:val="21"/>
          <w:szCs w:val="21"/>
        </w:rPr>
        <w:t xml:space="preserve">磋商响应单位（公章）：</w:t>
      </w:r>
      <w:r>
        <w:rPr>
          <w:sz w:val="21"/>
          <w:szCs w:val="21"/>
        </w:rPr>
      </w:r>
      <w:r/>
    </w:p>
    <w:p>
      <w:pPr>
        <w:pStyle w:val="1187"/>
        <w:ind w:firstLine="630"/>
        <w:spacing w:before="0" w:beforeAutospacing="0" w:after="0" w:afterAutospacing="0"/>
        <w:rPr>
          <w:sz w:val="21"/>
          <w:szCs w:val="21"/>
        </w:rPr>
      </w:pPr>
      <w:r>
        <w:rPr>
          <w:rFonts w:hint="eastAsia"/>
          <w:sz w:val="21"/>
          <w:szCs w:val="21"/>
        </w:rPr>
        <w:t xml:space="preserve">法定代表人或委托代理人：（签字或盖章）</w:t>
      </w:r>
      <w:r>
        <w:rPr>
          <w:sz w:val="21"/>
          <w:szCs w:val="21"/>
        </w:rPr>
      </w:r>
      <w:r/>
    </w:p>
    <w:p>
      <w:pPr>
        <w:pStyle w:val="842"/>
        <w:ind w:firstLine="630"/>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189"/>
        <w:ind w:firstLine="0"/>
        <w:rPr>
          <w:rFonts w:ascii="宋体" w:hAnsi="宋体" w:cs="宋体"/>
          <w:sz w:val="21"/>
          <w:szCs w:val="21"/>
        </w:rPr>
      </w:pPr>
      <w:r>
        <w:rPr>
          <w:rFonts w:ascii="宋体" w:hAnsi="宋体" w:cs="宋体"/>
          <w:sz w:val="21"/>
          <w:szCs w:val="21"/>
        </w:rPr>
      </w:r>
      <w:r/>
    </w:p>
    <w:p>
      <w:pPr>
        <w:pStyle w:val="842"/>
        <w:pageBreakBefore/>
        <w:rPr>
          <w:rFonts w:ascii="宋体" w:hAnsi="宋体" w:cs="宋体"/>
          <w:b/>
          <w:bCs/>
          <w:szCs w:val="21"/>
          <w:lang w:val="zh-CN"/>
        </w:rPr>
      </w:pPr>
      <w:r>
        <w:rPr>
          <w:rFonts w:hint="eastAsia" w:ascii="宋体" w:hAnsi="宋体" w:cs="宋体"/>
          <w:b/>
          <w:szCs w:val="21"/>
        </w:rPr>
        <w:t xml:space="preserve">5.6</w:t>
      </w:r>
      <w:r>
        <w:rPr>
          <w:rFonts w:hint="eastAsia" w:ascii="宋体" w:hAnsi="宋体" w:cs="宋体"/>
          <w:b/>
          <w:bCs/>
          <w:szCs w:val="21"/>
          <w:lang w:val="zh-CN"/>
        </w:rPr>
        <w:t xml:space="preserve">中小企业声明资料</w:t>
      </w:r>
      <w:r>
        <w:rPr>
          <w:rFonts w:ascii="宋体" w:hAnsi="宋体" w:cs="宋体"/>
          <w:b/>
          <w:bCs/>
          <w:szCs w:val="21"/>
          <w:lang w:val="zh-CN"/>
        </w:rPr>
      </w:r>
      <w:r/>
    </w:p>
    <w:p>
      <w:pPr>
        <w:pStyle w:val="842"/>
        <w:jc w:val="center"/>
        <w:rPr>
          <w:rFonts w:ascii="宋体" w:hAnsi="宋体" w:cs="宋体"/>
          <w:szCs w:val="21"/>
        </w:rPr>
      </w:pPr>
      <w:r>
        <w:rPr>
          <w:rFonts w:hint="eastAsia" w:ascii="宋体" w:hAnsi="宋体" w:cs="宋体"/>
          <w:szCs w:val="21"/>
        </w:rPr>
        <w:t xml:space="preserve">中小企业声明函（服务） </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本公司（或联合体）郑重声明，根据《政府采购促进中小企业发展管理办法》（财库﹝2020﹞46 号）的规定，本公司 （或联合体）参加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 </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 </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szCs w:val="21"/>
        </w:rPr>
      </w:r>
      <w:r/>
    </w:p>
    <w:p>
      <w:pPr>
        <w:pStyle w:val="842"/>
        <w:ind w:firstLine="424"/>
        <w:jc w:val="center"/>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842"/>
        <w:ind w:firstLine="4095"/>
        <w:rPr>
          <w:rFonts w:ascii="宋体" w:hAnsi="宋体" w:cs="宋体"/>
          <w:szCs w:val="21"/>
          <w:lang w:val="zh-CN"/>
        </w:rPr>
      </w:pPr>
      <w:r>
        <w:rPr>
          <w:rFonts w:hint="eastAsia" w:ascii="宋体" w:hAnsi="宋体" w:cs="宋体"/>
          <w:szCs w:val="21"/>
        </w:rPr>
        <w:t xml:space="preserve">日 期：</w:t>
      </w:r>
      <w:r>
        <w:rPr>
          <w:rFonts w:ascii="宋体" w:hAnsi="宋体" w:cs="宋体"/>
          <w:szCs w:val="21"/>
          <w:lang w:val="zh-CN"/>
        </w:rPr>
      </w:r>
      <w:r/>
    </w:p>
    <w:p>
      <w:pPr>
        <w:pStyle w:val="842"/>
        <w:ind w:firstLine="424"/>
        <w:jc w:val="left"/>
        <w:rPr>
          <w:rFonts w:ascii="宋体" w:hAnsi="宋体" w:cs="宋体"/>
          <w:szCs w:val="21"/>
        </w:rPr>
      </w:pPr>
      <w:r>
        <w:rPr>
          <w:rFonts w:hint="eastAsia" w:ascii="宋体" w:hAnsi="宋体" w:cs="宋体"/>
          <w:szCs w:val="21"/>
        </w:rPr>
        <w:t xml:space="preserve">注：供应商对照《关于印发中小企业划型标准规定的通知》（工信部联企业【2011】300号）中的标准，明确标的承接企业所属企业类型。</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备注：1.从业人员、营业收入、资产总额填报上一年度数据，无上一年度数据的新成立企业可不填报。</w:t>
      </w:r>
      <w:r>
        <w:rPr>
          <w:rFonts w:ascii="宋体" w:hAnsi="宋体" w:cs="宋体"/>
          <w:szCs w:val="21"/>
        </w:rPr>
      </w:r>
      <w:r/>
    </w:p>
    <w:p>
      <w:pPr>
        <w:pStyle w:val="842"/>
        <w:ind w:firstLine="424"/>
        <w:jc w:val="left"/>
        <w:rPr>
          <w:rFonts w:ascii="宋体" w:hAnsi="宋体" w:cs="宋体"/>
          <w:szCs w:val="21"/>
        </w:rPr>
      </w:pPr>
      <w:r>
        <w:rPr>
          <w:rFonts w:hint="eastAsia" w:ascii="宋体" w:hAnsi="宋体" w:cs="宋体"/>
          <w:szCs w:val="21"/>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rPr>
        <w:t xml:space="preserve">服务类项目中供应商若使用退休人员，将不享受相应扶持政策。具体见《政府采购促进中小企业发展管理办法》第四条第（三）点的规定。</w:t>
      </w:r>
      <w:r>
        <w:rPr>
          <w:rFonts w:ascii="宋体" w:hAnsi="宋体" w:cs="宋体"/>
          <w:szCs w:val="21"/>
        </w:rPr>
      </w:r>
      <w:r/>
    </w:p>
    <w:p>
      <w:pPr>
        <w:pStyle w:val="1112"/>
        <w:ind w:firstLine="428"/>
        <w:rPr>
          <w:rFonts w:ascii="宋体" w:hAnsi="宋体" w:cs="宋体"/>
          <w:b/>
          <w:bCs/>
          <w:szCs w:val="21"/>
        </w:rPr>
      </w:pPr>
      <w:r>
        <w:rPr>
          <w:rFonts w:ascii="宋体" w:hAnsi="宋体" w:cs="宋体"/>
          <w:b/>
          <w:bCs/>
          <w:szCs w:val="21"/>
        </w:rPr>
      </w:r>
      <w:r/>
    </w:p>
    <w:p>
      <w:pPr>
        <w:pStyle w:val="1112"/>
        <w:ind w:firstLine="428"/>
        <w:rPr>
          <w:rFonts w:ascii="宋体" w:hAnsi="宋体" w:cs="宋体"/>
          <w:szCs w:val="21"/>
        </w:rPr>
      </w:pPr>
      <w:r>
        <w:rPr>
          <w:rFonts w:hint="eastAsia" w:ascii="宋体" w:hAnsi="宋体" w:cs="宋体"/>
          <w:b/>
          <w:bCs/>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Cs w:val="21"/>
        </w:rPr>
        <w:t xml:space="preserve">。</w:t>
      </w:r>
      <w:r>
        <w:rPr>
          <w:rFonts w:ascii="宋体" w:hAnsi="宋体" w:cs="宋体"/>
          <w:szCs w:val="21"/>
        </w:rPr>
      </w:r>
      <w:r/>
    </w:p>
    <w:p>
      <w:pPr>
        <w:pStyle w:val="842"/>
        <w:jc w:val="left"/>
        <w:rPr>
          <w:rFonts w:ascii="宋体" w:hAnsi="宋体" w:cs="宋体"/>
          <w:szCs w:val="21"/>
        </w:rPr>
      </w:pPr>
      <w:r>
        <w:rPr>
          <w:rFonts w:ascii="宋体" w:hAnsi="宋体" w:cs="宋体"/>
          <w:szCs w:val="21"/>
        </w:rPr>
      </w:r>
      <w:r/>
    </w:p>
    <w:p>
      <w:pPr>
        <w:pStyle w:val="842"/>
        <w:jc w:val="center"/>
        <w:rPr>
          <w:rFonts w:ascii="宋体" w:hAnsi="宋体" w:cs="宋体"/>
          <w:szCs w:val="21"/>
          <w:lang w:val="zh-CN"/>
        </w:rPr>
      </w:pPr>
      <w:r>
        <w:rPr>
          <w:rFonts w:ascii="宋体" w:hAnsi="宋体" w:cs="宋体"/>
          <w:szCs w:val="21"/>
          <w:lang w:val="zh-CN"/>
        </w:rPr>
      </w:r>
      <w:r/>
    </w:p>
    <w:p>
      <w:pPr>
        <w:pStyle w:val="842"/>
        <w:jc w:val="right"/>
        <w:rPr>
          <w:rFonts w:ascii="宋体" w:hAnsi="宋体" w:cs="宋体"/>
          <w:szCs w:val="21"/>
        </w:rPr>
      </w:pPr>
      <w:r>
        <w:rPr>
          <w:rFonts w:ascii="宋体" w:hAnsi="宋体" w:cs="宋体"/>
          <w:szCs w:val="21"/>
        </w:rPr>
      </w:r>
      <w:r/>
    </w:p>
    <w:p>
      <w:pPr>
        <w:pStyle w:val="1191"/>
        <w:spacing w:line="360" w:lineRule="auto"/>
        <w:tabs>
          <w:tab w:val="left" w:pos="5250" w:leader="none"/>
        </w:tabs>
        <w:rPr>
          <w:rFonts w:ascii="宋体" w:hAnsi="宋体" w:cs="宋体"/>
          <w:sz w:val="21"/>
          <w:szCs w:val="21"/>
        </w:rPr>
      </w:pPr>
      <w:r>
        <w:rPr>
          <w:rFonts w:ascii="宋体" w:hAnsi="宋体" w:cs="宋体"/>
          <w:sz w:val="21"/>
          <w:szCs w:val="21"/>
        </w:rPr>
      </w:r>
      <w:r/>
    </w:p>
    <w:p>
      <w:pPr>
        <w:pStyle w:val="1191"/>
        <w:spacing w:line="360" w:lineRule="auto"/>
        <w:tabs>
          <w:tab w:val="left" w:pos="5250" w:leader="none"/>
        </w:tabs>
        <w:rPr>
          <w:rFonts w:ascii="宋体" w:hAnsi="宋体" w:cs="宋体"/>
          <w:sz w:val="21"/>
          <w:szCs w:val="21"/>
        </w:rPr>
      </w:pPr>
      <w:r>
        <w:rPr>
          <w:rFonts w:ascii="宋体" w:hAnsi="宋体" w:cs="宋体"/>
          <w:sz w:val="21"/>
          <w:szCs w:val="21"/>
        </w:rPr>
      </w:r>
      <w:r/>
    </w:p>
    <w:p>
      <w:pPr>
        <w:pStyle w:val="842"/>
        <w:spacing w:line="440" w:lineRule="exact"/>
        <w:rPr>
          <w:b/>
          <w:color w:val="000000"/>
          <w:szCs w:val="21"/>
        </w:rPr>
      </w:pPr>
      <w:r>
        <w:rPr>
          <w:b/>
          <w:color w:val="000000"/>
          <w:szCs w:val="21"/>
        </w:rPr>
        <w:br w:type="page" w:clear="all"/>
      </w:r>
      <w:r>
        <w:rPr>
          <w:rFonts w:hint="eastAsia"/>
          <w:b/>
          <w:color w:val="000000"/>
          <w:szCs w:val="21"/>
        </w:rPr>
        <w:t xml:space="preserve">附：中小企业划型标准规定</w:t>
      </w:r>
      <w:r>
        <w:rPr>
          <w:b/>
          <w:color w:val="000000"/>
          <w:szCs w:val="21"/>
        </w:rPr>
      </w:r>
      <w:r/>
    </w:p>
    <w:p>
      <w:pPr>
        <w:pStyle w:val="842"/>
        <w:ind w:firstLine="422"/>
        <w:spacing w:line="440" w:lineRule="exact"/>
        <w:rPr>
          <w:color w:val="000000"/>
          <w:szCs w:val="21"/>
        </w:rPr>
      </w:pPr>
      <w:r>
        <w:rPr>
          <w:rFonts w:hint="eastAsia"/>
          <w:b/>
          <w:color w:val="000000"/>
          <w:szCs w:val="21"/>
        </w:rPr>
        <w:t xml:space="preserve">（一）农、林、牧、渔业。</w:t>
      </w:r>
      <w:r>
        <w:rPr>
          <w:rFonts w:hint="eastAsia"/>
          <w:color w:val="000000"/>
          <w:szCs w:val="21"/>
        </w:rPr>
        <w:t xml:space="preserve">营业收入20000万元以下的为中小微型企业。其中，营业收入500万元及以上的为中型企业，营业收入50万元及以上的为小型企业，营业收入50万元以下的为微型企业。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（二）工业。</w:t>
      </w:r>
      <w:r>
        <w:rPr>
          <w:rFonts w:hint="eastAsia"/>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（三）建筑业。</w:t>
      </w:r>
      <w:r>
        <w:rPr>
          <w:rFonts w:hint="eastAsia"/>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（四）批发业。</w:t>
      </w:r>
      <w:r>
        <w:rPr>
          <w:rFonts w:hint="eastAsia"/>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（五）零售业。</w:t>
      </w:r>
      <w:r>
        <w:rPr>
          <w:rFonts w:hint="eastAsia"/>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（六）交通运输业。</w:t>
      </w:r>
      <w:r>
        <w:rPr>
          <w:rFonts w:hint="eastAsia"/>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（七）仓储业。</w:t>
      </w:r>
      <w:r>
        <w:rPr>
          <w:rFonts w:hint="eastAsia"/>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（八）邮政业。</w:t>
      </w:r>
      <w:r>
        <w:rPr>
          <w:rFonts w:hint="eastAsia"/>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（九）住宿业。</w:t>
      </w:r>
      <w:r>
        <w:rPr>
          <w:rFonts w:hint="eastAsia"/>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（十）餐饮业。</w:t>
      </w:r>
      <w:r>
        <w:rPr>
          <w:rFonts w:hint="eastAsia"/>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（十一）信息传输业。</w:t>
      </w:r>
      <w:r>
        <w:rPr>
          <w:rFonts w:hint="eastAsia"/>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（十二）软件和信息技术服务业。</w:t>
      </w:r>
      <w:r>
        <w:rPr>
          <w:rFonts w:hint="eastAsia"/>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（十三）房地产开发经营。</w:t>
      </w:r>
      <w:r>
        <w:rPr>
          <w:rFonts w:hint="eastAsia"/>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rPr>
      </w:r>
      <w:r/>
    </w:p>
    <w:p>
      <w:pPr>
        <w:pStyle w:val="842"/>
        <w:ind w:firstLine="422"/>
        <w:spacing w:line="440" w:lineRule="exact"/>
        <w:rPr>
          <w:color w:val="000000"/>
          <w:szCs w:val="21"/>
        </w:rPr>
      </w:pPr>
      <w:r>
        <w:rPr>
          <w:rFonts w:hint="eastAsia"/>
          <w:b/>
          <w:color w:val="000000"/>
          <w:szCs w:val="21"/>
        </w:rPr>
        <w:t xml:space="preserve">（十四）物业管理。</w:t>
      </w:r>
      <w:r>
        <w:rPr>
          <w:rFonts w:hint="eastAsia"/>
          <w:color w:val="000000"/>
          <w:szCs w:val="21"/>
        </w:rPr>
        <w:t xml:space="preserve">从业人员1000人以下或营业收入5000万元以下的为中小微型企业。其中，从业人员</w:t>
      </w:r>
      <w:r>
        <w:rPr>
          <w:color w:val="000000"/>
          <w:szCs w:val="21"/>
        </w:rPr>
      </w:r>
      <w:r/>
    </w:p>
    <w:p>
      <w:pPr>
        <w:pStyle w:val="842"/>
        <w:spacing w:line="440" w:lineRule="exact"/>
        <w:rPr>
          <w:color w:val="000000"/>
          <w:szCs w:val="21"/>
        </w:rPr>
      </w:pPr>
      <w:r>
        <w:rPr>
          <w:rFonts w:hint="eastAsia"/>
          <w:color w:val="000000"/>
          <w:szCs w:val="21"/>
        </w:rPr>
        <w:t xml:space="preserve">300人及以上，且营业收入1000万元及以上的为中型企业；从业人员100人及以上，且营业收入500万元及以上的为小型企业；从业人员100人以下或营业收入500万元以下的为微型企业。</w:t>
      </w:r>
      <w:r>
        <w:rPr>
          <w:color w:val="000000"/>
          <w:szCs w:val="21"/>
        </w:rPr>
      </w:r>
      <w:r/>
    </w:p>
    <w:p>
      <w:pPr>
        <w:pStyle w:val="842"/>
        <w:ind w:firstLine="422"/>
        <w:spacing w:line="440" w:lineRule="exact"/>
        <w:rPr>
          <w:rFonts w:hint="eastAsia"/>
          <w:color w:val="000000"/>
          <w:szCs w:val="21"/>
        </w:rPr>
      </w:pPr>
      <w:r>
        <w:rPr>
          <w:rFonts w:hint="eastAsia"/>
          <w:b/>
          <w:color w:val="000000"/>
          <w:szCs w:val="21"/>
        </w:rPr>
        <w:t xml:space="preserve">（十五）租赁和商务服务业。</w:t>
      </w:r>
      <w:r>
        <w:rPr>
          <w:rFonts w:hint="eastAsia"/>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91"/>
        <w:ind w:firstLine="413"/>
        <w:spacing w:line="360" w:lineRule="auto"/>
        <w:tabs>
          <w:tab w:val="left" w:pos="5250" w:leader="none"/>
        </w:tabs>
        <w:rPr>
          <w:rFonts w:ascii="宋体" w:hAnsi="宋体" w:cs="宋体"/>
          <w:sz w:val="21"/>
          <w:szCs w:val="21"/>
        </w:rPr>
      </w:pPr>
      <w:r>
        <w:rPr>
          <w:rFonts w:hint="eastAsia"/>
          <w:b/>
          <w:color w:val="000000"/>
          <w:sz w:val="21"/>
          <w:szCs w:val="21"/>
        </w:rPr>
        <w:t xml:space="preserve">（十六）其他未列明行业。</w:t>
      </w:r>
      <w:r>
        <w:rPr>
          <w:rFonts w:hint="eastAsia"/>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sz w:val="21"/>
          <w:szCs w:val="21"/>
        </w:rPr>
      </w:r>
      <w:r/>
    </w:p>
    <w:p>
      <w:pPr>
        <w:pStyle w:val="842"/>
        <w:ind w:right="-5"/>
        <w:pageBreakBefore/>
        <w:rPr>
          <w:rFonts w:ascii="宋体" w:hAnsi="宋体" w:cs="宋体"/>
          <w:b/>
          <w:szCs w:val="21"/>
        </w:rPr>
      </w:pPr>
      <w:r/>
      <w:bookmarkStart w:id="59" w:name="OLE_LINK14"/>
      <w:r/>
      <w:bookmarkStart w:id="60" w:name="OLE_LINK13"/>
      <w:r>
        <w:rPr>
          <w:rFonts w:hint="eastAsia" w:ascii="宋体" w:hAnsi="宋体" w:cs="宋体"/>
          <w:b/>
          <w:szCs w:val="21"/>
        </w:rPr>
        <w:t xml:space="preserve">5.7 残疾人福利性单位声明函</w:t>
      </w:r>
      <w:r>
        <w:rPr>
          <w:rFonts w:ascii="宋体" w:hAnsi="宋体" w:cs="宋体"/>
          <w:b/>
          <w:szCs w:val="21"/>
        </w:rPr>
      </w:r>
      <w:r/>
    </w:p>
    <w:p>
      <w:pPr>
        <w:pStyle w:val="842"/>
        <w:jc w:val="center"/>
        <w:rPr>
          <w:rFonts w:ascii="宋体" w:hAnsi="宋体" w:cs="宋体"/>
          <w:b/>
          <w:spacing w:val="6"/>
          <w:szCs w:val="21"/>
        </w:rPr>
      </w:pPr>
      <w:r>
        <w:rPr>
          <w:rFonts w:hint="eastAsia" w:ascii="宋体" w:hAnsi="宋体" w:cs="宋体"/>
          <w:b/>
          <w:spacing w:val="6"/>
          <w:szCs w:val="21"/>
        </w:rPr>
        <w:t xml:space="preserve">残疾人福利性单位声明函</w:t>
      </w:r>
      <w:bookmarkEnd w:id="59"/>
      <w:r/>
      <w:bookmarkEnd w:id="60"/>
      <w:r>
        <w:rPr>
          <w:rFonts w:ascii="宋体" w:hAnsi="宋体" w:cs="宋体"/>
          <w:b/>
          <w:spacing w:val="6"/>
          <w:szCs w:val="21"/>
        </w:rPr>
      </w:r>
      <w:r/>
    </w:p>
    <w:p>
      <w:pPr>
        <w:pStyle w:val="842"/>
        <w:rPr>
          <w:rFonts w:ascii="宋体" w:hAnsi="宋体" w:cs="宋体"/>
          <w:b/>
          <w:spacing w:val="6"/>
          <w:szCs w:val="21"/>
        </w:rPr>
      </w:pPr>
      <w:r>
        <w:rPr>
          <w:rFonts w:ascii="宋体" w:hAnsi="宋体" w:cs="宋体"/>
          <w:b/>
          <w:spacing w:val="6"/>
          <w:szCs w:val="21"/>
        </w:rPr>
      </w:r>
      <w:r/>
    </w:p>
    <w:p>
      <w:pPr>
        <w:pStyle w:val="842"/>
        <w:ind w:firstLine="444"/>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Cs w:val="21"/>
        </w:rPr>
      </w:r>
      <w:r/>
    </w:p>
    <w:p>
      <w:pPr>
        <w:pStyle w:val="842"/>
        <w:ind w:firstLine="444"/>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ascii="宋体" w:hAnsi="宋体" w:cs="宋体"/>
          <w:spacing w:val="6"/>
          <w:szCs w:val="21"/>
        </w:rPr>
      </w:r>
      <w:r/>
    </w:p>
    <w:p>
      <w:pPr>
        <w:pStyle w:val="842"/>
        <w:ind w:firstLine="444"/>
        <w:rPr>
          <w:rFonts w:ascii="宋体" w:hAnsi="宋体" w:cs="宋体"/>
          <w:spacing w:val="6"/>
          <w:szCs w:val="21"/>
        </w:rPr>
      </w:pPr>
      <w:r>
        <w:rPr>
          <w:rFonts w:ascii="宋体" w:hAnsi="宋体" w:cs="宋体"/>
          <w:spacing w:val="6"/>
          <w:szCs w:val="21"/>
        </w:rPr>
      </w:r>
      <w:r/>
    </w:p>
    <w:p>
      <w:pPr>
        <w:pStyle w:val="842"/>
        <w:ind w:firstLine="444"/>
        <w:rPr>
          <w:rFonts w:ascii="宋体" w:hAnsi="宋体" w:cs="宋体"/>
          <w:spacing w:val="6"/>
          <w:szCs w:val="21"/>
        </w:rPr>
      </w:pPr>
      <w:r>
        <w:rPr>
          <w:rFonts w:ascii="宋体" w:hAnsi="宋体" w:cs="宋体"/>
          <w:spacing w:val="6"/>
          <w:szCs w:val="21"/>
        </w:rPr>
      </w:r>
      <w:r/>
    </w:p>
    <w:p>
      <w:pPr>
        <w:pStyle w:val="842"/>
        <w:ind w:right="1560" w:firstLine="444"/>
        <w:jc w:val="center"/>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842"/>
        <w:ind w:right="1560" w:firstLine="444"/>
        <w:jc w:val="center"/>
        <w:tabs>
          <w:tab w:val="left" w:pos="4860" w:leader="none"/>
        </w:tabs>
        <w:rPr>
          <w:rFonts w:ascii="宋体" w:hAnsi="宋体" w:cs="宋体"/>
          <w:spacing w:val="6"/>
          <w:szCs w:val="21"/>
        </w:rPr>
      </w:pPr>
      <w:r>
        <w:rPr>
          <w:rFonts w:hint="eastAsia" w:ascii="宋体" w:hAnsi="宋体" w:cs="宋体"/>
          <w:spacing w:val="6"/>
          <w:szCs w:val="21"/>
        </w:rPr>
        <w:t xml:space="preserve">                          日  期：</w:t>
      </w:r>
      <w:r>
        <w:rPr>
          <w:rFonts w:ascii="宋体" w:hAnsi="宋体" w:cs="宋体"/>
          <w:spacing w:val="6"/>
          <w:szCs w:val="21"/>
        </w:rPr>
      </w:r>
      <w:r/>
    </w:p>
    <w:p>
      <w:pPr>
        <w:pStyle w:val="842"/>
        <w:ind w:firstLine="333"/>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pacing w:val="6"/>
          <w:szCs w:val="21"/>
        </w:rPr>
      </w:r>
      <w:r/>
    </w:p>
    <w:p>
      <w:pPr>
        <w:pStyle w:val="842"/>
        <w:ind w:firstLine="351"/>
        <w:jc w:val="left"/>
        <w:widowControl/>
        <w:rPr>
          <w:rFonts w:ascii="宋体" w:hAnsi="宋体" w:cs="宋体"/>
          <w:szCs w:val="21"/>
        </w:rPr>
      </w:pPr>
      <w:r>
        <w:rPr>
          <w:rFonts w:ascii="宋体" w:hAnsi="宋体" w:cs="宋体"/>
          <w:szCs w:val="21"/>
        </w:rPr>
      </w:r>
      <w:r/>
    </w:p>
    <w:p>
      <w:pPr>
        <w:pStyle w:val="842"/>
        <w:ind w:right="492" w:firstLine="388"/>
        <w:rPr>
          <w:rFonts w:ascii="宋体" w:hAnsi="宋体" w:cs="宋体"/>
          <w:spacing w:val="6"/>
          <w:szCs w:val="21"/>
        </w:rPr>
      </w:pPr>
      <w:r>
        <w:rPr>
          <w:rFonts w:ascii="宋体" w:hAnsi="宋体" w:cs="宋体"/>
          <w:spacing w:val="6"/>
          <w:szCs w:val="21"/>
        </w:rPr>
      </w:r>
      <w:r/>
    </w:p>
    <w:p>
      <w:pPr>
        <w:pStyle w:val="842"/>
        <w:ind w:right="492" w:firstLine="388"/>
        <w:jc w:val="center"/>
        <w:rPr>
          <w:rFonts w:ascii="宋体" w:hAnsi="宋体" w:cs="宋体"/>
          <w:spacing w:val="6"/>
          <w:szCs w:val="21"/>
        </w:rPr>
      </w:pPr>
      <w:r>
        <w:rPr>
          <w:rFonts w:ascii="宋体" w:hAnsi="宋体" w:cs="宋体"/>
          <w:spacing w:val="6"/>
          <w:szCs w:val="21"/>
        </w:rPr>
      </w:r>
      <w:r/>
    </w:p>
    <w:p>
      <w:pPr>
        <w:pStyle w:val="842"/>
        <w:ind w:right="492" w:firstLine="388"/>
        <w:jc w:val="center"/>
        <w:rPr>
          <w:rFonts w:ascii="宋体" w:hAnsi="宋体" w:cs="宋体"/>
          <w:spacing w:val="6"/>
          <w:szCs w:val="21"/>
        </w:rPr>
      </w:pPr>
      <w:r>
        <w:rPr>
          <w:rFonts w:ascii="宋体" w:hAnsi="宋体" w:cs="宋体"/>
          <w:spacing w:val="6"/>
          <w:szCs w:val="21"/>
        </w:rPr>
      </w:r>
      <w:r/>
    </w:p>
    <w:p>
      <w:pPr>
        <w:pStyle w:val="842"/>
        <w:jc w:val="left"/>
        <w:rPr>
          <w:rFonts w:ascii="宋体" w:hAnsi="宋体" w:cs="宋体"/>
          <w:b/>
          <w:bCs/>
          <w:szCs w:val="21"/>
          <w:lang w:val="zh-CN"/>
        </w:rPr>
      </w:pPr>
      <w:r>
        <w:rPr>
          <w:rFonts w:ascii="宋体" w:hAnsi="宋体" w:cs="宋体"/>
          <w:b/>
          <w:bCs/>
          <w:szCs w:val="21"/>
          <w:lang w:val="zh-CN"/>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0"/>
        <w:spacing w:line="440" w:lineRule="exact"/>
        <w:rPr>
          <w:rFonts w:hint="eastAsia"/>
          <w:color w:val="000000"/>
          <w:szCs w:val="21"/>
        </w:rPr>
      </w:pPr>
      <w:r>
        <w:rPr>
          <w:rFonts w:hint="eastAsia"/>
          <w:color w:val="000000"/>
          <w:szCs w:val="21"/>
        </w:rPr>
      </w:r>
      <w:r/>
    </w:p>
    <w:p>
      <w:pPr>
        <w:pStyle w:val="842"/>
        <w:ind w:firstLine="422"/>
        <w:jc w:val="center"/>
        <w:rPr>
          <w:rFonts w:ascii="宋体" w:hAnsi="宋体" w:cs="宋体"/>
          <w:b/>
          <w:szCs w:val="21"/>
        </w:rPr>
      </w:pPr>
      <w:r>
        <w:rPr>
          <w:rFonts w:ascii="宋体" w:hAnsi="宋体" w:cs="宋体"/>
          <w:b/>
          <w:szCs w:val="21"/>
        </w:rPr>
      </w:r>
      <w:r/>
    </w:p>
    <w:p>
      <w:pPr>
        <w:pStyle w:val="842"/>
        <w:pageBreakBefore/>
        <w:rPr>
          <w:rFonts w:ascii="宋体" w:hAnsi="宋体" w:cs="宋体"/>
          <w:b/>
          <w:bCs/>
          <w:szCs w:val="21"/>
        </w:rPr>
      </w:pPr>
      <w:r>
        <w:rPr>
          <w:rFonts w:hint="eastAsia" w:ascii="宋体" w:hAnsi="宋体" w:cs="宋体"/>
          <w:b/>
          <w:szCs w:val="21"/>
        </w:rPr>
        <w:t xml:space="preserve">5.8监狱企业声明函</w:t>
      </w:r>
      <w:r>
        <w:rPr>
          <w:rFonts w:ascii="宋体" w:hAnsi="宋体" w:cs="宋体"/>
          <w:b/>
          <w:bCs/>
          <w:szCs w:val="21"/>
        </w:rPr>
      </w:r>
      <w:r/>
    </w:p>
    <w:p>
      <w:pPr>
        <w:pStyle w:val="842"/>
        <w:jc w:val="center"/>
        <w:rPr>
          <w:rFonts w:ascii="宋体" w:hAnsi="宋体" w:cs="宋体"/>
          <w:b/>
          <w:szCs w:val="21"/>
        </w:rPr>
      </w:pPr>
      <w:r>
        <w:rPr>
          <w:rFonts w:hint="eastAsia" w:ascii="宋体" w:hAnsi="宋体" w:cs="宋体"/>
          <w:b/>
          <w:bCs/>
          <w:szCs w:val="21"/>
        </w:rPr>
        <w:t xml:space="preserve">监狱企业声明函</w:t>
      </w:r>
      <w:r>
        <w:rPr>
          <w:rFonts w:ascii="宋体" w:hAnsi="宋体" w:cs="宋体"/>
          <w:b/>
          <w:szCs w:val="21"/>
        </w:rPr>
      </w:r>
      <w:r/>
    </w:p>
    <w:p>
      <w:pPr>
        <w:pStyle w:val="1187"/>
        <w:ind w:firstLine="480"/>
        <w:spacing w:before="75" w:beforeAutospacing="0" w:after="75" w:afterAutospacing="0" w:line="435" w:lineRule="atLeast"/>
        <w:rPr>
          <w:sz w:val="21"/>
          <w:szCs w:val="21"/>
        </w:rPr>
      </w:pPr>
      <w:r>
        <w:rPr>
          <w:sz w:val="21"/>
          <w:szCs w:val="21"/>
        </w:rPr>
      </w:r>
      <w:r/>
    </w:p>
    <w:p>
      <w:pPr>
        <w:pStyle w:val="1187"/>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rPr>
          <w:sz w:val="21"/>
          <w:szCs w:val="21"/>
        </w:rPr>
      </w:r>
      <w:r/>
    </w:p>
    <w:p>
      <w:pPr>
        <w:pStyle w:val="1187"/>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rPr>
          <w:sz w:val="21"/>
          <w:szCs w:val="21"/>
        </w:rPr>
      </w:r>
      <w:r/>
    </w:p>
    <w:p>
      <w:pPr>
        <w:pStyle w:val="1187"/>
        <w:numPr>
          <w:ilvl w:val="0"/>
          <w:numId w:val="11"/>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rPr>
          <w:sz w:val="21"/>
          <w:szCs w:val="21"/>
        </w:rPr>
      </w:r>
      <w:r/>
    </w:p>
    <w:p>
      <w:pPr>
        <w:pStyle w:val="1187"/>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sz w:val="21"/>
          <w:szCs w:val="21"/>
        </w:rPr>
      </w:r>
      <w:r/>
    </w:p>
    <w:p>
      <w:pPr>
        <w:pStyle w:val="1187"/>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rPr>
          <w:sz w:val="21"/>
          <w:szCs w:val="21"/>
        </w:rPr>
      </w:r>
      <w:r/>
    </w:p>
    <w:p>
      <w:pPr>
        <w:pStyle w:val="1187"/>
        <w:ind w:firstLine="480"/>
        <w:spacing w:before="75" w:beforeAutospacing="0" w:after="75" w:afterAutospacing="0" w:line="435" w:lineRule="atLeast"/>
        <w:rPr>
          <w:sz w:val="21"/>
          <w:szCs w:val="21"/>
        </w:rPr>
      </w:pPr>
      <w:r>
        <w:rPr>
          <w:sz w:val="21"/>
          <w:szCs w:val="21"/>
        </w:rPr>
      </w:r>
      <w:r/>
    </w:p>
    <w:p>
      <w:pPr>
        <w:pStyle w:val="1187"/>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rPr>
          <w:sz w:val="21"/>
          <w:szCs w:val="21"/>
        </w:rPr>
      </w:r>
      <w:r/>
    </w:p>
    <w:p>
      <w:pPr>
        <w:pStyle w:val="1187"/>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ind w:firstLine="422"/>
        <w:jc w:val="center"/>
        <w:rPr>
          <w:rFonts w:ascii="宋体" w:hAnsi="宋体" w:cs="宋体"/>
          <w:b/>
          <w:szCs w:val="21"/>
        </w:rPr>
      </w:pPr>
      <w:r>
        <w:rPr>
          <w:rFonts w:ascii="宋体" w:hAnsi="宋体" w:cs="宋体"/>
          <w:b/>
          <w:szCs w:val="21"/>
        </w:rPr>
      </w:r>
      <w:r/>
    </w:p>
    <w:p>
      <w:pPr>
        <w:pStyle w:val="842"/>
        <w:pageBreakBefore/>
        <w:widowControl/>
        <w:rPr>
          <w:rFonts w:ascii="宋体" w:hAnsi="宋体" w:cs="宋体"/>
          <w:szCs w:val="21"/>
        </w:rPr>
      </w:pPr>
      <w:r>
        <w:rPr>
          <w:rFonts w:hint="eastAsia" w:ascii="宋体" w:hAnsi="宋体" w:cs="宋体"/>
          <w:b/>
          <w:bCs/>
          <w:szCs w:val="21"/>
        </w:rPr>
        <w:t xml:space="preserve">5.9投标（响应）保证承诺书</w:t>
      </w:r>
      <w:r>
        <w:rPr>
          <w:rFonts w:ascii="宋体" w:hAnsi="宋体" w:cs="宋体"/>
          <w:szCs w:val="21"/>
        </w:rPr>
      </w:r>
      <w:r/>
    </w:p>
    <w:p>
      <w:pPr>
        <w:pStyle w:val="1191"/>
        <w:jc w:val="center"/>
        <w:spacing w:line="360" w:lineRule="auto"/>
        <w:tabs>
          <w:tab w:val="left" w:pos="5250" w:leader="none"/>
        </w:tabs>
        <w:rPr>
          <w:rFonts w:ascii="宋体" w:hAnsi="宋体" w:cs="宋体"/>
          <w:b/>
          <w:bCs/>
          <w:sz w:val="21"/>
          <w:szCs w:val="21"/>
        </w:rPr>
      </w:pPr>
      <w:r>
        <w:rPr>
          <w:rFonts w:hint="eastAsia" w:ascii="宋体" w:hAnsi="宋体" w:cs="宋体"/>
          <w:b/>
          <w:bCs/>
          <w:sz w:val="21"/>
          <w:szCs w:val="21"/>
        </w:rPr>
        <w:t xml:space="preserve">投标（响应）保证承诺书</w:t>
      </w:r>
      <w:r>
        <w:rPr>
          <w:rFonts w:ascii="宋体" w:hAnsi="宋体" w:cs="宋体"/>
          <w:b/>
          <w:bCs/>
          <w:sz w:val="21"/>
          <w:szCs w:val="21"/>
        </w:rPr>
      </w:r>
      <w:r/>
    </w:p>
    <w:p>
      <w:pPr>
        <w:pStyle w:val="842"/>
        <w:jc w:val="left"/>
        <w:widowControl/>
        <w:rPr>
          <w:rFonts w:ascii="宋体" w:hAnsi="宋体" w:cs="宋体"/>
          <w:szCs w:val="21"/>
        </w:rPr>
      </w:pP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842"/>
        <w:ind w:firstLine="600"/>
        <w:jc w:val="lef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842"/>
        <w:ind w:firstLine="600"/>
        <w:jc w:val="left"/>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842"/>
        <w:ind w:firstLine="555"/>
        <w:jc w:val="left"/>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842"/>
        <w:ind w:firstLine="555"/>
        <w:jc w:val="left"/>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842"/>
        <w:ind w:firstLine="555"/>
        <w:jc w:val="left"/>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842"/>
        <w:ind w:firstLine="555"/>
        <w:jc w:val="left"/>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842"/>
        <w:ind w:firstLine="600"/>
        <w:jc w:val="left"/>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ascii="宋体" w:hAnsi="宋体" w:cs="宋体"/>
          <w:szCs w:val="21"/>
        </w:rPr>
      </w:r>
      <w:r/>
    </w:p>
    <w:p>
      <w:pPr>
        <w:pStyle w:val="842"/>
        <w:jc w:val="left"/>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rPr>
          <w:rFonts w:ascii="宋体" w:hAnsi="宋体" w:cs="宋体"/>
          <w:szCs w:val="21"/>
        </w:rPr>
      </w:r>
      <w:r/>
    </w:p>
    <w:p>
      <w:pPr>
        <w:pStyle w:val="842"/>
        <w:spacing w:line="400" w:lineRule="exact"/>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bookmarkEnd w:id="54"/>
      <w:r/>
      <w:bookmarkEnd w:id="55"/>
      <w:r/>
      <w:bookmarkEnd w:id="56"/>
      <w:r/>
      <w:bookmarkEnd w:id="57"/>
      <w:r/>
      <w:bookmarkEnd w:id="58"/>
      <w:r>
        <w:rPr>
          <w:rFonts w:ascii="宋体" w:hAnsi="宋体" w:cs="宋体"/>
          <w:szCs w:val="21"/>
          <w:u w:val="single"/>
        </w:rPr>
      </w:r>
      <w:r/>
    </w:p>
    <w:p>
      <w:pPr>
        <w:pStyle w:val="842"/>
        <w:spacing w:line="400" w:lineRule="exact"/>
        <w:rPr>
          <w:rFonts w:ascii="宋体" w:hAnsi="宋体" w:cs="宋体"/>
          <w:b/>
          <w:bCs/>
          <w:szCs w:val="21"/>
        </w:rPr>
      </w:pPr>
      <w:r>
        <w:rPr>
          <w:rFonts w:hint="eastAsia" w:ascii="宋体" w:hAnsi="宋体" w:cs="宋体"/>
          <w:szCs w:val="21"/>
          <w:u w:val="single"/>
        </w:rPr>
        <w:br w:type="page" w:clear="all"/>
      </w:r>
      <w:r>
        <w:rPr>
          <w:rFonts w:hint="eastAsia" w:ascii="宋体" w:hAnsi="宋体" w:cs="宋体"/>
          <w:b/>
          <w:bCs/>
          <w:szCs w:val="21"/>
        </w:rPr>
        <w:t xml:space="preserve">附件6：技术部分（格式为参考，磋商响应单位可参照下述格式自制表格投标，但至少应包括下述格式中的内容，没有参考格式的则可根据情况自行编制）</w:t>
      </w:r>
      <w:r>
        <w:rPr>
          <w:rFonts w:ascii="宋体" w:hAnsi="宋体" w:cs="宋体"/>
          <w:b/>
          <w:bCs/>
          <w:szCs w:val="21"/>
        </w:rPr>
      </w:r>
      <w:r/>
    </w:p>
    <w:p>
      <w:pPr>
        <w:pStyle w:val="842"/>
        <w:jc w:val="left"/>
        <w:rPr>
          <w:rFonts w:ascii="宋体" w:hAnsi="宋体" w:cs="宋体"/>
          <w:b/>
          <w:bCs/>
          <w:szCs w:val="21"/>
        </w:rPr>
      </w:pPr>
      <w:r>
        <w:rPr>
          <w:rFonts w:ascii="宋体" w:hAnsi="宋体" w:cs="宋体"/>
          <w:b/>
          <w:bCs/>
          <w:szCs w:val="21"/>
        </w:rPr>
      </w:r>
      <w:r/>
    </w:p>
    <w:p>
      <w:pPr>
        <w:pStyle w:val="842"/>
        <w:jc w:val="left"/>
        <w:rPr>
          <w:rFonts w:ascii="宋体" w:hAnsi="宋体" w:cs="宋体"/>
          <w:b/>
          <w:bCs/>
          <w:szCs w:val="21"/>
        </w:rPr>
      </w:pPr>
      <w:r>
        <w:rPr>
          <w:rFonts w:hint="eastAsia" w:ascii="宋体" w:hAnsi="宋体" w:cs="宋体"/>
          <w:b/>
          <w:bCs/>
          <w:szCs w:val="21"/>
        </w:rPr>
        <w:t xml:space="preserve">6.1服务条款偏离表</w:t>
      </w:r>
      <w:r>
        <w:rPr>
          <w:rFonts w:ascii="宋体" w:hAnsi="宋体" w:cs="宋体"/>
          <w:b/>
          <w:bCs/>
          <w:szCs w:val="21"/>
        </w:rPr>
      </w:r>
      <w:r/>
    </w:p>
    <w:p>
      <w:pPr>
        <w:pStyle w:val="842"/>
        <w:jc w:val="center"/>
        <w:rPr>
          <w:rFonts w:ascii="宋体" w:hAnsi="宋体" w:cs="宋体"/>
          <w:b/>
          <w:bCs/>
          <w:szCs w:val="21"/>
        </w:rPr>
      </w:pPr>
      <w:r>
        <w:rPr>
          <w:rFonts w:hint="eastAsia" w:ascii="宋体" w:hAnsi="宋体" w:cs="宋体"/>
          <w:b/>
          <w:bCs/>
          <w:szCs w:val="21"/>
        </w:rPr>
        <w:t xml:space="preserve">服务条款偏离表</w:t>
      </w:r>
      <w:r>
        <w:rPr>
          <w:rFonts w:ascii="宋体" w:hAnsi="宋体" w:cs="宋体"/>
          <w:b/>
          <w:bCs/>
          <w:szCs w:val="21"/>
        </w:rPr>
      </w:r>
      <w:r/>
    </w:p>
    <w:p>
      <w:pPr>
        <w:pStyle w:val="842"/>
        <w:rPr>
          <w:rFonts w:ascii="宋体" w:hAnsi="宋体" w:cs="宋体"/>
          <w:szCs w:val="21"/>
        </w:rPr>
      </w:pPr>
      <w:r>
        <w:rPr>
          <w:rFonts w:hint="eastAsia" w:ascii="宋体" w:hAnsi="宋体" w:cs="宋体"/>
          <w:szCs w:val="21"/>
        </w:rPr>
        <w:t xml:space="preserve">单位名称（盖章）：                              </w:t>
      </w:r>
      <w:r>
        <w:rPr>
          <w:rFonts w:ascii="宋体" w:hAnsi="宋体" w:cs="宋体"/>
          <w:szCs w:val="21"/>
        </w:rPr>
      </w:r>
      <w:r/>
    </w:p>
    <w:tbl>
      <w:tblPr>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4"/>
        <w:gridCol w:w="1462"/>
        <w:gridCol w:w="1724"/>
        <w:gridCol w:w="1784"/>
      </w:tblGrid>
      <w:tr>
        <w:trPr/>
        <w:tc>
          <w:tcPr>
            <w:tcW w:w="840"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28"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服务内容</w:t>
            </w:r>
            <w:r>
              <w:rPr>
                <w:rFonts w:ascii="宋体" w:hAnsi="宋体" w:cs="宋体"/>
                <w:szCs w:val="21"/>
              </w:rPr>
            </w:r>
            <w:r/>
          </w:p>
        </w:tc>
        <w:tc>
          <w:tcPr>
            <w:tcW w:w="164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462"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2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784"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r>
        <w:trPr/>
        <w:tc>
          <w:tcPr>
            <w:tcW w:w="840" w:type="dxa"/>
            <w:vAlign w:val="top"/>
            <w:textDirection w:val="lrTb"/>
            <w:noWrap/>
          </w:tcPr>
          <w:p>
            <w:pPr>
              <w:pStyle w:val="842"/>
              <w:rPr>
                <w:rFonts w:ascii="宋体" w:hAnsi="宋体" w:cs="宋体"/>
                <w:szCs w:val="21"/>
              </w:rPr>
            </w:pPr>
            <w:r>
              <w:rPr>
                <w:rFonts w:ascii="宋体" w:hAnsi="宋体" w:cs="宋体"/>
                <w:szCs w:val="21"/>
              </w:rPr>
            </w:r>
            <w:r/>
          </w:p>
        </w:tc>
        <w:tc>
          <w:tcPr>
            <w:tcW w:w="1828" w:type="dxa"/>
            <w:vAlign w:val="top"/>
            <w:textDirection w:val="lrTb"/>
            <w:noWrap/>
          </w:tcPr>
          <w:p>
            <w:pPr>
              <w:pStyle w:val="842"/>
              <w:rPr>
                <w:rFonts w:ascii="宋体" w:hAnsi="宋体" w:cs="宋体"/>
                <w:szCs w:val="21"/>
              </w:rPr>
            </w:pPr>
            <w:r>
              <w:rPr>
                <w:rFonts w:ascii="宋体" w:hAnsi="宋体" w:cs="宋体"/>
                <w:szCs w:val="21"/>
              </w:rPr>
            </w:r>
            <w:r/>
          </w:p>
        </w:tc>
        <w:tc>
          <w:tcPr>
            <w:tcW w:w="1644" w:type="dxa"/>
            <w:vAlign w:val="top"/>
            <w:textDirection w:val="lrTb"/>
            <w:noWrap/>
          </w:tcPr>
          <w:p>
            <w:pPr>
              <w:pStyle w:val="842"/>
              <w:rPr>
                <w:rFonts w:ascii="宋体" w:hAnsi="宋体" w:cs="宋体"/>
                <w:szCs w:val="21"/>
              </w:rPr>
            </w:pPr>
            <w:r>
              <w:rPr>
                <w:rFonts w:ascii="宋体" w:hAnsi="宋体" w:cs="宋体"/>
                <w:szCs w:val="21"/>
              </w:rPr>
            </w:r>
            <w:r/>
          </w:p>
        </w:tc>
        <w:tc>
          <w:tcPr>
            <w:tcW w:w="1462" w:type="dxa"/>
            <w:vAlign w:val="top"/>
            <w:textDirection w:val="lrTb"/>
            <w:noWrap/>
          </w:tcPr>
          <w:p>
            <w:pPr>
              <w:pStyle w:val="842"/>
              <w:rPr>
                <w:rFonts w:ascii="宋体" w:hAnsi="宋体" w:cs="宋体"/>
                <w:szCs w:val="21"/>
              </w:rPr>
            </w:pPr>
            <w:r>
              <w:rPr>
                <w:rFonts w:ascii="宋体" w:hAnsi="宋体" w:cs="宋体"/>
                <w:szCs w:val="21"/>
              </w:rPr>
            </w:r>
            <w:r/>
          </w:p>
        </w:tc>
        <w:tc>
          <w:tcPr>
            <w:tcW w:w="1724" w:type="dxa"/>
            <w:vAlign w:val="top"/>
            <w:textDirection w:val="lrTb"/>
            <w:noWrap/>
          </w:tcPr>
          <w:p>
            <w:pPr>
              <w:pStyle w:val="842"/>
              <w:rPr>
                <w:rFonts w:ascii="宋体" w:hAnsi="宋体" w:cs="宋体"/>
                <w:szCs w:val="21"/>
              </w:rPr>
            </w:pPr>
            <w:r>
              <w:rPr>
                <w:rFonts w:ascii="宋体" w:hAnsi="宋体" w:cs="宋体"/>
                <w:szCs w:val="21"/>
              </w:rPr>
            </w:r>
            <w:r/>
          </w:p>
        </w:tc>
        <w:tc>
          <w:tcPr>
            <w:tcW w:w="1784" w:type="dxa"/>
            <w:vAlign w:val="top"/>
            <w:textDirection w:val="lrTb"/>
            <w:noWrap/>
          </w:tcPr>
          <w:p>
            <w:pPr>
              <w:pStyle w:val="842"/>
              <w:rPr>
                <w:rFonts w:ascii="宋体" w:hAnsi="宋体" w:cs="宋体"/>
                <w:szCs w:val="21"/>
              </w:rPr>
            </w:pPr>
            <w:r>
              <w:rPr>
                <w:rFonts w:ascii="宋体" w:hAnsi="宋体" w:cs="宋体"/>
                <w:szCs w:val="21"/>
              </w:rPr>
            </w:r>
            <w:r/>
          </w:p>
        </w:tc>
      </w:tr>
    </w:tbl>
    <w:p>
      <w:pPr>
        <w:pStyle w:val="842"/>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rPr>
          <w:rFonts w:ascii="宋体" w:hAnsi="宋体" w:cs="宋体"/>
          <w:szCs w:val="21"/>
        </w:rPr>
      </w:r>
      <w:r/>
    </w:p>
    <w:p>
      <w:pPr>
        <w:pStyle w:val="922"/>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ascii="宋体" w:hAnsi="宋体" w:cs="宋体"/>
          <w:szCs w:val="21"/>
        </w:rPr>
      </w:r>
      <w:r/>
    </w:p>
    <w:p>
      <w:pPr>
        <w:pStyle w:val="842"/>
        <w:ind w:firstLine="315"/>
        <w:rPr>
          <w:rFonts w:ascii="宋体" w:hAnsi="宋体" w:cs="宋体"/>
          <w:szCs w:val="21"/>
        </w:rPr>
      </w:pPr>
      <w:r>
        <w:rPr>
          <w:rFonts w:ascii="宋体" w:hAnsi="宋体" w:cs="宋体"/>
          <w:szCs w:val="21"/>
        </w:rPr>
      </w:r>
      <w:r/>
    </w:p>
    <w:p>
      <w:pPr>
        <w:pStyle w:val="842"/>
        <w:rPr>
          <w:rFonts w:ascii="宋体" w:hAnsi="宋体" w:cs="宋体"/>
          <w:szCs w:val="21"/>
        </w:rPr>
      </w:pP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磋商响应单位：（单位盖章）</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2"/>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6.2商务条款偏离表</w:t>
      </w:r>
      <w:r>
        <w:rPr>
          <w:rFonts w:ascii="宋体" w:hAnsi="宋体" w:cs="宋体"/>
          <w:b/>
          <w:bCs/>
          <w:szCs w:val="21"/>
        </w:rPr>
      </w:r>
      <w:r/>
    </w:p>
    <w:p>
      <w:pPr>
        <w:pStyle w:val="842"/>
        <w:jc w:val="center"/>
        <w:rPr>
          <w:rFonts w:ascii="宋体" w:hAnsi="宋体" w:cs="宋体"/>
          <w:b/>
          <w:bCs/>
          <w:szCs w:val="21"/>
        </w:rPr>
      </w:pPr>
      <w:r>
        <w:rPr>
          <w:rFonts w:hint="eastAsia" w:ascii="宋体" w:hAnsi="宋体" w:cs="宋体"/>
          <w:b/>
          <w:bCs/>
          <w:szCs w:val="21"/>
        </w:rPr>
        <w:t xml:space="preserve">商务条款偏离表</w:t>
      </w:r>
      <w:r>
        <w:rPr>
          <w:rFonts w:ascii="宋体" w:hAnsi="宋体" w:cs="宋体"/>
          <w:b/>
          <w:bCs/>
          <w:szCs w:val="21"/>
        </w:rPr>
      </w:r>
      <w:r/>
    </w:p>
    <w:p>
      <w:pPr>
        <w:pStyle w:val="1189"/>
        <w:ind w:firstLine="0"/>
        <w:rPr>
          <w:rFonts w:ascii="宋体" w:hAnsi="宋体" w:cs="宋体"/>
          <w:b/>
          <w:bCs/>
          <w:sz w:val="21"/>
          <w:szCs w:val="21"/>
        </w:rPr>
      </w:pPr>
      <w:r>
        <w:rPr>
          <w:rFonts w:ascii="宋体" w:hAnsi="宋体" w:cs="宋体"/>
          <w:b/>
          <w:bCs/>
          <w:sz w:val="21"/>
          <w:szCs w:val="21"/>
        </w:rPr>
      </w:r>
      <w:r/>
    </w:p>
    <w:p>
      <w:pPr>
        <w:pStyle w:val="842"/>
        <w:rPr>
          <w:rFonts w:ascii="宋体" w:hAnsi="宋体" w:cs="宋体"/>
          <w:szCs w:val="21"/>
        </w:rPr>
      </w:pPr>
      <w:r>
        <w:rPr>
          <w:rFonts w:hint="eastAsia" w:ascii="宋体" w:hAnsi="宋体" w:cs="宋体"/>
          <w:szCs w:val="21"/>
        </w:rPr>
        <w:t xml:space="preserve">单位名称（盖章）：                              </w:t>
      </w:r>
      <w:r>
        <w:rPr>
          <w:rFonts w:ascii="宋体" w:hAnsi="宋体" w:cs="宋体"/>
          <w:szCs w:val="21"/>
        </w:rPr>
      </w:r>
      <w:r/>
    </w:p>
    <w:tbl>
      <w:tblPr>
        <w:tblW w:w="499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35"/>
        <w:gridCol w:w="2417"/>
        <w:gridCol w:w="2417"/>
        <w:gridCol w:w="1728"/>
      </w:tblGrid>
      <w:tr>
        <w:trPr/>
        <w:tc>
          <w:tcPr>
            <w:tcW w:w="787" w:type="dxa"/>
            <w:vAlign w:val="center"/>
            <w:textDirection w:val="lrTb"/>
            <w:noWrap/>
          </w:tcPr>
          <w:p>
            <w:pPr>
              <w:pStyle w:val="842"/>
              <w:jc w:val="center"/>
              <w:rPr>
                <w:rFonts w:ascii="宋体" w:hAnsi="宋体" w:cs="宋体"/>
                <w:szCs w:val="21"/>
              </w:rPr>
            </w:pPr>
            <w:r>
              <w:rPr>
                <w:rFonts w:hint="eastAsia" w:ascii="宋体" w:hAnsi="宋体" w:cs="宋体"/>
                <w:b/>
                <w:bCs/>
                <w:szCs w:val="21"/>
              </w:rPr>
              <w:t xml:space="preserve">序号</w:t>
            </w: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hint="eastAsia" w:ascii="宋体" w:hAnsi="宋体" w:cs="宋体"/>
                <w:b/>
                <w:bCs/>
                <w:szCs w:val="21"/>
              </w:rPr>
              <w:t xml:space="preserve">名称</w:t>
            </w:r>
            <w:r>
              <w:rPr>
                <w:rFonts w:ascii="宋体" w:hAnsi="宋体" w:cs="宋体"/>
                <w:szCs w:val="21"/>
              </w:rPr>
            </w:r>
            <w:r/>
          </w:p>
        </w:tc>
        <w:tc>
          <w:tcPr>
            <w:tcW w:w="2417" w:type="dxa"/>
            <w:vAlign w:val="center"/>
            <w:textDirection w:val="lrTb"/>
            <w:noWrap/>
          </w:tcPr>
          <w:p>
            <w:pPr>
              <w:pStyle w:val="842"/>
              <w:jc w:val="center"/>
              <w:rPr>
                <w:rFonts w:ascii="宋体" w:hAnsi="宋体" w:cs="宋体"/>
                <w:szCs w:val="21"/>
              </w:rPr>
            </w:pPr>
            <w:r>
              <w:rPr>
                <w:rFonts w:hint="eastAsia" w:ascii="宋体" w:hAnsi="宋体" w:cs="宋体"/>
                <w:b/>
                <w:bCs/>
                <w:szCs w:val="21"/>
              </w:rPr>
              <w:t xml:space="preserve">磋商文件商务要求</w:t>
            </w:r>
            <w:r>
              <w:rPr>
                <w:rFonts w:ascii="宋体" w:hAnsi="宋体" w:cs="宋体"/>
                <w:szCs w:val="21"/>
              </w:rPr>
            </w:r>
            <w:r/>
          </w:p>
        </w:tc>
        <w:tc>
          <w:tcPr>
            <w:tcW w:w="2417" w:type="dxa"/>
            <w:vAlign w:val="center"/>
            <w:textDirection w:val="lrTb"/>
            <w:noWrap/>
          </w:tcPr>
          <w:p>
            <w:pPr>
              <w:pStyle w:val="842"/>
              <w:jc w:val="center"/>
              <w:rPr>
                <w:rFonts w:ascii="宋体" w:hAnsi="宋体" w:cs="宋体"/>
                <w:szCs w:val="21"/>
              </w:rPr>
            </w:pPr>
            <w:r>
              <w:rPr>
                <w:rFonts w:hint="eastAsia" w:ascii="宋体" w:hAnsi="宋体" w:cs="宋体"/>
                <w:b/>
                <w:bCs/>
                <w:szCs w:val="21"/>
              </w:rPr>
              <w:t xml:space="preserve">响应文件响应情况</w:t>
            </w:r>
            <w:r>
              <w:rPr>
                <w:rFonts w:ascii="宋体" w:hAnsi="宋体" w:cs="宋体"/>
                <w:szCs w:val="21"/>
              </w:rPr>
            </w:r>
            <w:r/>
          </w:p>
        </w:tc>
        <w:tc>
          <w:tcPr>
            <w:tcW w:w="1728" w:type="dxa"/>
            <w:vAlign w:val="top"/>
            <w:textDirection w:val="lrTb"/>
            <w:noWrap/>
          </w:tcPr>
          <w:p>
            <w:pPr>
              <w:pStyle w:val="84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787"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合同主要条款</w:t>
            </w: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2417" w:type="dxa"/>
            <w:vAlign w:val="center"/>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center"/>
            <w:textDirection w:val="lrTb"/>
            <w:noWrap/>
          </w:tcPr>
          <w:p>
            <w:pPr>
              <w:pStyle w:val="842"/>
              <w:jc w:val="center"/>
              <w:rPr>
                <w:rFonts w:ascii="宋体" w:hAnsi="宋体" w:cs="宋体"/>
                <w:szCs w:val="21"/>
              </w:rPr>
            </w:pPr>
            <w:r>
              <w:rPr>
                <w:rFonts w:ascii="宋体" w:hAnsi="宋体" w:cs="宋体"/>
                <w:szCs w:val="21"/>
              </w:rPr>
            </w:r>
            <w:r/>
          </w:p>
        </w:tc>
        <w:tc>
          <w:tcPr>
            <w:tcW w:w="1935" w:type="dxa"/>
            <w:vAlign w:val="center"/>
            <w:textDirection w:val="lrTb"/>
            <w:noWrap/>
          </w:tcPr>
          <w:p>
            <w:pPr>
              <w:pStyle w:val="842"/>
              <w:jc w:val="center"/>
              <w:rPr>
                <w:rFonts w:ascii="宋体" w:hAnsi="宋体" w:cs="宋体"/>
                <w:szCs w:val="21"/>
              </w:rPr>
            </w:pPr>
            <w:r>
              <w:rPr>
                <w:rFonts w:ascii="宋体" w:hAnsi="宋体" w:cs="宋体"/>
                <w:szCs w:val="21"/>
              </w:rPr>
            </w:r>
            <w:r/>
          </w:p>
        </w:tc>
        <w:tc>
          <w:tcPr>
            <w:tcW w:w="2417" w:type="dxa"/>
            <w:vAlign w:val="center"/>
            <w:textDirection w:val="lrTb"/>
            <w:noWrap/>
          </w:tcPr>
          <w:p>
            <w:pPr>
              <w:pStyle w:val="842"/>
              <w:jc w:val="center"/>
              <w:rPr>
                <w:rFonts w:ascii="宋体" w:hAnsi="宋体" w:cs="宋体"/>
                <w:szCs w:val="21"/>
              </w:rPr>
            </w:pPr>
            <w:r>
              <w:rPr>
                <w:rFonts w:ascii="宋体" w:hAnsi="宋体" w:cs="宋体"/>
                <w:szCs w:val="21"/>
              </w:rPr>
            </w:r>
            <w:r/>
          </w:p>
        </w:tc>
        <w:tc>
          <w:tcPr>
            <w:tcW w:w="2417" w:type="dxa"/>
            <w:vAlign w:val="center"/>
            <w:textDirection w:val="lrTb"/>
            <w:noWrap/>
          </w:tcPr>
          <w:p>
            <w:pPr>
              <w:pStyle w:val="842"/>
              <w:jc w:val="center"/>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top"/>
            <w:textDirection w:val="lrTb"/>
            <w:noWrap/>
          </w:tcPr>
          <w:p>
            <w:pPr>
              <w:pStyle w:val="842"/>
              <w:rPr>
                <w:rFonts w:ascii="宋体" w:hAnsi="宋体" w:cs="宋体"/>
                <w:szCs w:val="21"/>
              </w:rPr>
            </w:pPr>
            <w:r>
              <w:rPr>
                <w:rFonts w:ascii="宋体" w:hAnsi="宋体" w:cs="宋体"/>
                <w:szCs w:val="21"/>
              </w:rPr>
            </w:r>
            <w:r/>
          </w:p>
        </w:tc>
        <w:tc>
          <w:tcPr>
            <w:tcW w:w="1935"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top"/>
            <w:textDirection w:val="lrTb"/>
            <w:noWrap/>
          </w:tcPr>
          <w:p>
            <w:pPr>
              <w:pStyle w:val="842"/>
              <w:rPr>
                <w:rFonts w:ascii="宋体" w:hAnsi="宋体" w:cs="宋体"/>
                <w:szCs w:val="21"/>
              </w:rPr>
            </w:pPr>
            <w:r>
              <w:rPr>
                <w:rFonts w:ascii="宋体" w:hAnsi="宋体" w:cs="宋体"/>
                <w:szCs w:val="21"/>
              </w:rPr>
            </w:r>
            <w:r/>
          </w:p>
        </w:tc>
        <w:tc>
          <w:tcPr>
            <w:tcW w:w="1935"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top"/>
            <w:textDirection w:val="lrTb"/>
            <w:noWrap/>
          </w:tcPr>
          <w:p>
            <w:pPr>
              <w:pStyle w:val="842"/>
              <w:rPr>
                <w:rFonts w:ascii="宋体" w:hAnsi="宋体" w:cs="宋体"/>
                <w:szCs w:val="21"/>
              </w:rPr>
            </w:pPr>
            <w:r>
              <w:rPr>
                <w:rFonts w:ascii="宋体" w:hAnsi="宋体" w:cs="宋体"/>
                <w:szCs w:val="21"/>
              </w:rPr>
            </w:r>
            <w:r/>
          </w:p>
        </w:tc>
        <w:tc>
          <w:tcPr>
            <w:tcW w:w="1935"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top"/>
            <w:textDirection w:val="lrTb"/>
            <w:noWrap/>
          </w:tcPr>
          <w:p>
            <w:pPr>
              <w:pStyle w:val="842"/>
              <w:rPr>
                <w:rFonts w:ascii="宋体" w:hAnsi="宋体" w:cs="宋体"/>
                <w:szCs w:val="21"/>
              </w:rPr>
            </w:pPr>
            <w:r>
              <w:rPr>
                <w:rFonts w:ascii="宋体" w:hAnsi="宋体" w:cs="宋体"/>
                <w:szCs w:val="21"/>
              </w:rPr>
            </w:r>
            <w:r/>
          </w:p>
        </w:tc>
        <w:tc>
          <w:tcPr>
            <w:tcW w:w="1935"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r>
        <w:trPr/>
        <w:tc>
          <w:tcPr>
            <w:tcW w:w="787" w:type="dxa"/>
            <w:vAlign w:val="top"/>
            <w:textDirection w:val="lrTb"/>
            <w:noWrap/>
          </w:tcPr>
          <w:p>
            <w:pPr>
              <w:pStyle w:val="842"/>
              <w:rPr>
                <w:rFonts w:ascii="宋体" w:hAnsi="宋体" w:cs="宋体"/>
                <w:szCs w:val="21"/>
              </w:rPr>
            </w:pPr>
            <w:r>
              <w:rPr>
                <w:rFonts w:ascii="宋体" w:hAnsi="宋体" w:cs="宋体"/>
                <w:szCs w:val="21"/>
              </w:rPr>
            </w:r>
            <w:r/>
          </w:p>
        </w:tc>
        <w:tc>
          <w:tcPr>
            <w:tcW w:w="1935"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2417" w:type="dxa"/>
            <w:vAlign w:val="top"/>
            <w:textDirection w:val="lrTb"/>
            <w:noWrap/>
          </w:tcPr>
          <w:p>
            <w:pPr>
              <w:pStyle w:val="842"/>
              <w:rPr>
                <w:rFonts w:ascii="宋体" w:hAnsi="宋体" w:cs="宋体"/>
                <w:szCs w:val="21"/>
              </w:rPr>
            </w:pPr>
            <w:r>
              <w:rPr>
                <w:rFonts w:ascii="宋体" w:hAnsi="宋体" w:cs="宋体"/>
                <w:szCs w:val="21"/>
              </w:rPr>
            </w:r>
            <w:r/>
          </w:p>
        </w:tc>
        <w:tc>
          <w:tcPr>
            <w:tcW w:w="1728" w:type="dxa"/>
            <w:vAlign w:val="top"/>
            <w:textDirection w:val="lrTb"/>
            <w:noWrap/>
          </w:tcPr>
          <w:p>
            <w:pPr>
              <w:pStyle w:val="842"/>
              <w:rPr>
                <w:rFonts w:ascii="宋体" w:hAnsi="宋体" w:cs="宋体"/>
                <w:szCs w:val="21"/>
              </w:rPr>
            </w:pPr>
            <w:r>
              <w:rPr>
                <w:rFonts w:ascii="宋体" w:hAnsi="宋体" w:cs="宋体"/>
                <w:szCs w:val="21"/>
              </w:rPr>
            </w:r>
            <w:r/>
          </w:p>
        </w:tc>
      </w:tr>
    </w:tbl>
    <w:p>
      <w:pPr>
        <w:pStyle w:val="842"/>
        <w:rPr>
          <w:rFonts w:ascii="宋体" w:hAnsi="宋体" w:cs="宋体"/>
          <w:szCs w:val="21"/>
        </w:rPr>
      </w:pPr>
      <w:r>
        <w:rPr>
          <w:rFonts w:hint="eastAsia" w:ascii="宋体" w:hAnsi="宋体" w:cs="宋体"/>
          <w:szCs w:val="21"/>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szCs w:val="21"/>
        </w:rPr>
      </w:r>
      <w:r/>
    </w:p>
    <w:p>
      <w:pPr>
        <w:pStyle w:val="842"/>
        <w:rPr>
          <w:rFonts w:ascii="宋体" w:hAnsi="宋体" w:cs="宋体"/>
          <w:szCs w:val="21"/>
        </w:rPr>
      </w:pP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磋商响应单位：（单位盖章）</w:t>
      </w: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1189"/>
        <w:ind w:firstLine="0"/>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842"/>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6.3针对本项目的人员配置表</w:t>
      </w:r>
      <w:r>
        <w:rPr>
          <w:rFonts w:ascii="宋体" w:hAnsi="宋体" w:cs="宋体"/>
          <w:b/>
          <w:bCs/>
          <w:szCs w:val="21"/>
        </w:rPr>
      </w:r>
      <w:r/>
    </w:p>
    <w:p>
      <w:pPr>
        <w:pStyle w:val="842"/>
        <w:jc w:val="center"/>
        <w:rPr>
          <w:rFonts w:ascii="宋体" w:hAnsi="宋体" w:cs="宋体"/>
          <w:b/>
          <w:bCs/>
          <w:spacing w:val="20"/>
        </w:rPr>
      </w:pPr>
      <w:r>
        <w:rPr>
          <w:rFonts w:hint="eastAsia" w:ascii="宋体" w:hAnsi="宋体" w:cs="宋体"/>
          <w:b/>
          <w:bCs/>
          <w:spacing w:val="20"/>
        </w:rPr>
        <w:t xml:space="preserve">（1）针对本项目的人员配置表</w:t>
      </w:r>
      <w:r>
        <w:rPr>
          <w:rFonts w:ascii="宋体" w:hAnsi="宋体" w:cs="宋体"/>
          <w:b/>
          <w:bCs/>
          <w:spacing w:val="20"/>
        </w:rPr>
      </w:r>
      <w:r/>
    </w:p>
    <w:p>
      <w:pPr>
        <w:pStyle w:val="842"/>
        <w:rPr>
          <w:rFonts w:ascii="宋体" w:hAnsi="宋体" w:cs="宋体"/>
          <w:szCs w:val="21"/>
        </w:rPr>
      </w:pPr>
      <w:r>
        <w:rPr>
          <w:rFonts w:hint="eastAsia" w:ascii="宋体" w:hAnsi="宋体" w:cs="宋体"/>
          <w:szCs w:val="21"/>
        </w:rPr>
        <w:t xml:space="preserve">采购编号：                                      项目名称：</w:t>
      </w:r>
      <w:r>
        <w:rPr>
          <w:rFonts w:ascii="宋体" w:hAnsi="宋体" w:cs="宋体"/>
          <w:szCs w:val="21"/>
        </w:rPr>
      </w:r>
      <w:r/>
    </w:p>
    <w:tbl>
      <w:tblPr>
        <w:tblW w:w="89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119"/>
        <w:gridCol w:w="1005"/>
        <w:gridCol w:w="716"/>
        <w:gridCol w:w="760"/>
        <w:gridCol w:w="718"/>
        <w:gridCol w:w="1319"/>
        <w:gridCol w:w="1186"/>
        <w:gridCol w:w="1422"/>
      </w:tblGrid>
      <w:tr>
        <w:trPr>
          <w:trHeight w:val="803"/>
        </w:trPr>
        <w:tc>
          <w:tcPr>
            <w:tcW w:w="711" w:type="dxa"/>
            <w:vAlign w:val="top"/>
            <w:textDirection w:val="lrTb"/>
            <w:noWrap/>
          </w:tcPr>
          <w:p>
            <w:pPr>
              <w:pStyle w:val="1179"/>
              <w:spacing w:before="8"/>
              <w:rPr>
                <w:b/>
              </w:rPr>
            </w:pPr>
            <w:r>
              <w:rPr>
                <w:b/>
              </w:rPr>
            </w:r>
            <w:r/>
          </w:p>
          <w:p>
            <w:pPr>
              <w:pStyle w:val="1179"/>
              <w:ind w:left="175" w:right="172"/>
              <w:jc w:val="center"/>
            </w:pPr>
            <w:r>
              <w:rPr>
                <w:rFonts w:hint="eastAsia"/>
              </w:rPr>
              <w:t xml:space="preserve">序号</w:t>
            </w:r>
            <w:r/>
          </w:p>
        </w:tc>
        <w:tc>
          <w:tcPr>
            <w:tcW w:w="1119" w:type="dxa"/>
            <w:vAlign w:val="top"/>
            <w:textDirection w:val="lrTb"/>
            <w:noWrap/>
          </w:tcPr>
          <w:p>
            <w:pPr>
              <w:pStyle w:val="1179"/>
              <w:ind w:left="433" w:right="106" w:hanging="315"/>
              <w:spacing w:before="134" w:line="278" w:lineRule="auto"/>
            </w:pPr>
            <w:r>
              <w:rPr>
                <w:rFonts w:hint="eastAsia"/>
              </w:rPr>
              <w:t xml:space="preserve">项目组所任职务</w:t>
            </w:r>
            <w:r/>
          </w:p>
        </w:tc>
        <w:tc>
          <w:tcPr>
            <w:tcW w:w="1005" w:type="dxa"/>
            <w:vAlign w:val="top"/>
            <w:textDirection w:val="lrTb"/>
            <w:noWrap/>
          </w:tcPr>
          <w:p>
            <w:pPr>
              <w:pStyle w:val="1179"/>
              <w:spacing w:before="8"/>
              <w:rPr>
                <w:b/>
              </w:rPr>
            </w:pPr>
            <w:r>
              <w:rPr>
                <w:b/>
              </w:rPr>
            </w:r>
            <w:r/>
          </w:p>
          <w:p>
            <w:pPr>
              <w:pStyle w:val="1179"/>
              <w:ind w:left="366"/>
            </w:pPr>
            <w:r>
              <w:rPr>
                <w:rFonts w:hint="eastAsia"/>
              </w:rPr>
              <w:t xml:space="preserve">姓名</w:t>
            </w:r>
            <w:r/>
          </w:p>
        </w:tc>
        <w:tc>
          <w:tcPr>
            <w:tcW w:w="716" w:type="dxa"/>
            <w:vAlign w:val="top"/>
            <w:textDirection w:val="lrTb"/>
            <w:noWrap/>
          </w:tcPr>
          <w:p>
            <w:pPr>
              <w:pStyle w:val="1179"/>
              <w:spacing w:before="8"/>
              <w:rPr>
                <w:b/>
              </w:rPr>
            </w:pPr>
            <w:r>
              <w:rPr>
                <w:b/>
              </w:rPr>
            </w:r>
            <w:r/>
          </w:p>
          <w:p>
            <w:pPr>
              <w:pStyle w:val="1179"/>
              <w:ind w:left="200"/>
            </w:pPr>
            <w:r>
              <w:rPr>
                <w:rFonts w:hint="eastAsia"/>
              </w:rPr>
              <w:t xml:space="preserve">性别</w:t>
            </w:r>
            <w:r/>
          </w:p>
        </w:tc>
        <w:tc>
          <w:tcPr>
            <w:tcW w:w="760" w:type="dxa"/>
            <w:vAlign w:val="top"/>
            <w:textDirection w:val="lrTb"/>
            <w:noWrap/>
          </w:tcPr>
          <w:p>
            <w:pPr>
              <w:pStyle w:val="1179"/>
              <w:spacing w:before="8"/>
              <w:rPr>
                <w:b/>
              </w:rPr>
            </w:pPr>
            <w:r>
              <w:rPr>
                <w:b/>
              </w:rPr>
            </w:r>
            <w:r/>
          </w:p>
          <w:p>
            <w:pPr>
              <w:pStyle w:val="1179"/>
              <w:ind w:left="226"/>
            </w:pPr>
            <w:r>
              <w:rPr>
                <w:rFonts w:hint="eastAsia"/>
              </w:rPr>
              <w:t xml:space="preserve">年龄</w:t>
            </w:r>
            <w:r/>
          </w:p>
        </w:tc>
        <w:tc>
          <w:tcPr>
            <w:tcW w:w="718" w:type="dxa"/>
            <w:vAlign w:val="top"/>
            <w:textDirection w:val="lrTb"/>
            <w:noWrap/>
          </w:tcPr>
          <w:p>
            <w:pPr>
              <w:pStyle w:val="1179"/>
              <w:spacing w:before="8"/>
              <w:rPr>
                <w:b/>
              </w:rPr>
            </w:pPr>
            <w:r>
              <w:rPr>
                <w:b/>
              </w:rPr>
            </w:r>
            <w:r/>
          </w:p>
          <w:p>
            <w:pPr>
              <w:pStyle w:val="1179"/>
              <w:ind w:left="200"/>
            </w:pPr>
            <w:r>
              <w:rPr>
                <w:rFonts w:hint="eastAsia"/>
              </w:rPr>
              <w:t xml:space="preserve">职称</w:t>
            </w:r>
            <w:r/>
          </w:p>
        </w:tc>
        <w:tc>
          <w:tcPr>
            <w:tcW w:w="1319" w:type="dxa"/>
            <w:vAlign w:val="top"/>
            <w:textDirection w:val="lrTb"/>
            <w:noWrap/>
          </w:tcPr>
          <w:p>
            <w:pPr>
              <w:pStyle w:val="1179"/>
              <w:spacing w:before="8"/>
              <w:rPr>
                <w:b/>
              </w:rPr>
            </w:pPr>
            <w:r>
              <w:rPr>
                <w:b/>
              </w:rPr>
            </w:r>
            <w:r/>
          </w:p>
          <w:p>
            <w:pPr>
              <w:pStyle w:val="1179"/>
              <w:ind w:left="307"/>
            </w:pPr>
            <w:r>
              <w:rPr>
                <w:rFonts w:hint="eastAsia"/>
              </w:rPr>
              <w:t xml:space="preserve">专业/资格</w:t>
            </w:r>
            <w:r/>
          </w:p>
        </w:tc>
        <w:tc>
          <w:tcPr>
            <w:tcW w:w="1186" w:type="dxa"/>
            <w:vAlign w:val="top"/>
            <w:textDirection w:val="lrTb"/>
            <w:noWrap/>
          </w:tcPr>
          <w:p>
            <w:pPr>
              <w:pStyle w:val="1179"/>
              <w:ind w:left="469" w:right="146" w:hanging="315"/>
              <w:spacing w:before="134" w:line="278" w:lineRule="auto"/>
            </w:pPr>
            <w:r>
              <w:rPr>
                <w:rFonts w:hint="eastAsia"/>
              </w:rPr>
              <w:t xml:space="preserve">从事本工作时间</w:t>
            </w:r>
            <w:r/>
          </w:p>
        </w:tc>
        <w:tc>
          <w:tcPr>
            <w:tcW w:w="1422" w:type="dxa"/>
            <w:vAlign w:val="top"/>
            <w:textDirection w:val="lrTb"/>
            <w:noWrap/>
          </w:tcPr>
          <w:p>
            <w:pPr>
              <w:pStyle w:val="1179"/>
              <w:ind w:left="292" w:right="280" w:firstLine="103"/>
              <w:spacing w:before="134" w:line="278" w:lineRule="auto"/>
            </w:pPr>
            <w:r>
              <w:rPr>
                <w:rFonts w:hint="eastAsia"/>
              </w:rPr>
              <w:t xml:space="preserve">典型业务与技术专长</w:t>
            </w:r>
            <w:r/>
          </w:p>
        </w:tc>
      </w:tr>
      <w:tr>
        <w:trPr>
          <w:trHeight w:val="539"/>
        </w:trPr>
        <w:tc>
          <w:tcPr>
            <w:tcW w:w="711" w:type="dxa"/>
            <w:vAlign w:val="top"/>
            <w:textDirection w:val="lrTb"/>
            <w:noWrap/>
          </w:tcPr>
          <w:p>
            <w:pPr>
              <w:pStyle w:val="1179"/>
              <w:ind w:left="7"/>
              <w:jc w:val="center"/>
              <w:spacing w:before="163"/>
            </w:pPr>
            <w:r>
              <w:rPr>
                <w:rFonts w:hint="eastAsia"/>
              </w:rPr>
              <w:t xml:space="preserve">1</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39"/>
        </w:trPr>
        <w:tc>
          <w:tcPr>
            <w:tcW w:w="711" w:type="dxa"/>
            <w:vAlign w:val="top"/>
            <w:textDirection w:val="lrTb"/>
            <w:noWrap/>
          </w:tcPr>
          <w:p>
            <w:pPr>
              <w:pStyle w:val="1179"/>
              <w:ind w:left="7"/>
              <w:jc w:val="center"/>
              <w:spacing w:before="162"/>
            </w:pPr>
            <w:r>
              <w:rPr>
                <w:rFonts w:hint="eastAsia"/>
              </w:rPr>
              <w:t xml:space="preserve">2</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39"/>
        </w:trPr>
        <w:tc>
          <w:tcPr>
            <w:tcW w:w="711" w:type="dxa"/>
            <w:vAlign w:val="top"/>
            <w:textDirection w:val="lrTb"/>
            <w:noWrap/>
          </w:tcPr>
          <w:p>
            <w:pPr>
              <w:pStyle w:val="1179"/>
              <w:ind w:left="7"/>
              <w:jc w:val="center"/>
              <w:spacing w:before="161"/>
            </w:pPr>
            <w:r>
              <w:rPr>
                <w:rFonts w:hint="eastAsia"/>
              </w:rPr>
              <w:t xml:space="preserve">3</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38"/>
        </w:trPr>
        <w:tc>
          <w:tcPr>
            <w:tcW w:w="711" w:type="dxa"/>
            <w:vAlign w:val="top"/>
            <w:textDirection w:val="lrTb"/>
            <w:noWrap/>
          </w:tcPr>
          <w:p>
            <w:pPr>
              <w:pStyle w:val="1179"/>
              <w:ind w:left="7"/>
              <w:jc w:val="center"/>
              <w:spacing w:before="162"/>
            </w:pPr>
            <w:r>
              <w:rPr>
                <w:rFonts w:hint="eastAsia"/>
              </w:rPr>
              <w:t xml:space="preserve">4</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39"/>
        </w:trPr>
        <w:tc>
          <w:tcPr>
            <w:tcW w:w="711" w:type="dxa"/>
            <w:vAlign w:val="top"/>
            <w:textDirection w:val="lrTb"/>
            <w:noWrap/>
          </w:tcPr>
          <w:p>
            <w:pPr>
              <w:pStyle w:val="1179"/>
              <w:ind w:left="7"/>
              <w:jc w:val="center"/>
              <w:spacing w:before="161"/>
            </w:pPr>
            <w:r>
              <w:rPr>
                <w:rFonts w:hint="eastAsia"/>
              </w:rPr>
              <w:t xml:space="preserve">5</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38"/>
        </w:trPr>
        <w:tc>
          <w:tcPr>
            <w:tcW w:w="711" w:type="dxa"/>
            <w:vAlign w:val="top"/>
            <w:textDirection w:val="lrTb"/>
            <w:noWrap/>
          </w:tcPr>
          <w:p>
            <w:pPr>
              <w:pStyle w:val="1179"/>
              <w:ind w:left="7"/>
              <w:jc w:val="center"/>
              <w:spacing w:before="162"/>
            </w:pPr>
            <w:r>
              <w:rPr>
                <w:rFonts w:hint="eastAsia"/>
              </w:rPr>
              <w:t xml:space="preserve">6</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r>
        <w:trPr>
          <w:trHeight w:val="548"/>
        </w:trPr>
        <w:tc>
          <w:tcPr>
            <w:tcW w:w="711" w:type="dxa"/>
            <w:vAlign w:val="top"/>
            <w:textDirection w:val="lrTb"/>
            <w:noWrap/>
          </w:tcPr>
          <w:p>
            <w:pPr>
              <w:pStyle w:val="1179"/>
              <w:ind w:left="6"/>
              <w:jc w:val="center"/>
              <w:spacing w:before="161"/>
            </w:pPr>
            <w:r>
              <w:rPr>
                <w:rFonts w:hint="eastAsia"/>
              </w:rPr>
              <w:t xml:space="preserve">…</w:t>
            </w:r>
            <w:r/>
          </w:p>
        </w:tc>
        <w:tc>
          <w:tcPr>
            <w:tcW w:w="1119" w:type="dxa"/>
            <w:vAlign w:val="top"/>
            <w:textDirection w:val="lrTb"/>
            <w:noWrap/>
          </w:tcPr>
          <w:p>
            <w:pPr>
              <w:pStyle w:val="1179"/>
              <w:rPr>
                <w:sz w:val="20"/>
              </w:rPr>
            </w:pPr>
            <w:r>
              <w:rPr>
                <w:sz w:val="20"/>
              </w:rPr>
            </w:r>
            <w:r/>
          </w:p>
        </w:tc>
        <w:tc>
          <w:tcPr>
            <w:tcW w:w="1005" w:type="dxa"/>
            <w:vAlign w:val="top"/>
            <w:textDirection w:val="lrTb"/>
            <w:noWrap/>
          </w:tcPr>
          <w:p>
            <w:pPr>
              <w:pStyle w:val="1179"/>
              <w:rPr>
                <w:sz w:val="20"/>
              </w:rPr>
            </w:pPr>
            <w:r>
              <w:rPr>
                <w:sz w:val="20"/>
              </w:rPr>
            </w:r>
            <w:r/>
          </w:p>
        </w:tc>
        <w:tc>
          <w:tcPr>
            <w:tcW w:w="716" w:type="dxa"/>
            <w:vAlign w:val="top"/>
            <w:textDirection w:val="lrTb"/>
            <w:noWrap/>
          </w:tcPr>
          <w:p>
            <w:pPr>
              <w:pStyle w:val="1179"/>
              <w:rPr>
                <w:sz w:val="20"/>
              </w:rPr>
            </w:pPr>
            <w:r>
              <w:rPr>
                <w:sz w:val="20"/>
              </w:rPr>
            </w:r>
            <w:r/>
          </w:p>
        </w:tc>
        <w:tc>
          <w:tcPr>
            <w:tcW w:w="760" w:type="dxa"/>
            <w:vAlign w:val="top"/>
            <w:textDirection w:val="lrTb"/>
            <w:noWrap/>
          </w:tcPr>
          <w:p>
            <w:pPr>
              <w:pStyle w:val="1179"/>
              <w:rPr>
                <w:sz w:val="20"/>
              </w:rPr>
            </w:pPr>
            <w:r>
              <w:rPr>
                <w:sz w:val="20"/>
              </w:rPr>
            </w:r>
            <w:r/>
          </w:p>
        </w:tc>
        <w:tc>
          <w:tcPr>
            <w:tcW w:w="718" w:type="dxa"/>
            <w:vAlign w:val="top"/>
            <w:textDirection w:val="lrTb"/>
            <w:noWrap/>
          </w:tcPr>
          <w:p>
            <w:pPr>
              <w:pStyle w:val="1179"/>
              <w:rPr>
                <w:sz w:val="20"/>
              </w:rPr>
            </w:pPr>
            <w:r>
              <w:rPr>
                <w:sz w:val="20"/>
              </w:rPr>
            </w:r>
            <w:r/>
          </w:p>
        </w:tc>
        <w:tc>
          <w:tcPr>
            <w:tcW w:w="1319" w:type="dxa"/>
            <w:vAlign w:val="top"/>
            <w:textDirection w:val="lrTb"/>
            <w:noWrap/>
          </w:tcPr>
          <w:p>
            <w:pPr>
              <w:pStyle w:val="1179"/>
              <w:rPr>
                <w:sz w:val="20"/>
              </w:rPr>
            </w:pPr>
            <w:r>
              <w:rPr>
                <w:sz w:val="20"/>
              </w:rPr>
            </w:r>
            <w:r/>
          </w:p>
        </w:tc>
        <w:tc>
          <w:tcPr>
            <w:tcW w:w="1186" w:type="dxa"/>
            <w:vAlign w:val="top"/>
            <w:textDirection w:val="lrTb"/>
            <w:noWrap/>
          </w:tcPr>
          <w:p>
            <w:pPr>
              <w:pStyle w:val="1179"/>
              <w:rPr>
                <w:sz w:val="20"/>
              </w:rPr>
            </w:pPr>
            <w:r>
              <w:rPr>
                <w:sz w:val="20"/>
              </w:rPr>
            </w:r>
            <w:r/>
          </w:p>
        </w:tc>
        <w:tc>
          <w:tcPr>
            <w:tcW w:w="1422" w:type="dxa"/>
            <w:vAlign w:val="top"/>
            <w:textDirection w:val="lrTb"/>
            <w:noWrap/>
          </w:tcPr>
          <w:p>
            <w:pPr>
              <w:pStyle w:val="1179"/>
              <w:rPr>
                <w:sz w:val="20"/>
              </w:rPr>
            </w:pPr>
            <w:r>
              <w:rPr>
                <w:sz w:val="20"/>
              </w:rPr>
            </w:r>
            <w:r/>
          </w:p>
        </w:tc>
      </w:tr>
    </w:tbl>
    <w:p>
      <w:pPr>
        <w:pStyle w:val="850"/>
        <w:rPr>
          <w:rFonts w:ascii="宋体" w:hAnsi="宋体" w:cs="宋体"/>
          <w:sz w:val="21"/>
          <w:szCs w:val="21"/>
        </w:rPr>
      </w:pPr>
      <w:r>
        <w:rPr>
          <w:rFonts w:ascii="宋体" w:hAnsi="宋体" w:cs="宋体"/>
          <w:sz w:val="21"/>
          <w:szCs w:val="21"/>
        </w:rPr>
      </w:r>
      <w:r/>
    </w:p>
    <w:p>
      <w:pPr>
        <w:pStyle w:val="842"/>
        <w:rPr>
          <w:rFonts w:ascii="宋体" w:hAnsi="宋体" w:cs="宋体"/>
        </w:rPr>
      </w:pPr>
      <w:r>
        <w:rPr>
          <w:rFonts w:hint="eastAsia" w:ascii="宋体" w:hAnsi="宋体" w:cs="宋体"/>
        </w:rPr>
        <w:t xml:space="preserve">磋商响应单位（盖章）：     </w:t>
      </w:r>
      <w:r>
        <w:rPr>
          <w:rFonts w:ascii="宋体" w:hAnsi="宋体" w:cs="宋体"/>
        </w:rPr>
      </w:r>
      <w:r/>
    </w:p>
    <w:p>
      <w:pPr>
        <w:pStyle w:val="842"/>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842"/>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842"/>
        <w:rPr>
          <w:rFonts w:ascii="宋体" w:hAnsi="宋体" w:cs="宋体"/>
        </w:rPr>
      </w:pPr>
      <w:r>
        <w:rPr>
          <w:rFonts w:hint="eastAsia" w:ascii="宋体" w:hAnsi="宋体" w:cs="宋体"/>
        </w:rPr>
        <w:t xml:space="preserve">注：采购单位可参照上述格式自行设计表格投标。</w:t>
      </w:r>
      <w:r>
        <w:rPr>
          <w:rFonts w:ascii="宋体" w:hAnsi="宋体" w:cs="宋体"/>
        </w:rPr>
      </w:r>
      <w:r/>
    </w:p>
    <w:p>
      <w:pPr>
        <w:pStyle w:val="842"/>
        <w:spacing w:line="500" w:lineRule="exact"/>
        <w:rPr>
          <w:rFonts w:ascii="宋体" w:hAnsi="宋体" w:cs="宋体"/>
          <w:b/>
          <w:bCs/>
          <w:szCs w:val="21"/>
        </w:rPr>
      </w:pPr>
      <w:r>
        <w:rPr>
          <w:rFonts w:ascii="宋体" w:hAnsi="宋体" w:cs="宋体"/>
          <w:b/>
          <w:bCs/>
          <w:szCs w:val="21"/>
        </w:rPr>
      </w:r>
      <w:r/>
    </w:p>
    <w:p>
      <w:pPr>
        <w:pStyle w:val="842"/>
        <w:spacing w:line="500" w:lineRule="exact"/>
        <w:rPr>
          <w:rFonts w:ascii="宋体" w:hAnsi="宋体" w:cs="宋体"/>
          <w:b/>
          <w:bCs/>
          <w:szCs w:val="21"/>
        </w:rPr>
      </w:pPr>
      <w:r>
        <w:rPr>
          <w:rFonts w:ascii="宋体" w:hAnsi="宋体" w:cs="宋体"/>
          <w:b/>
          <w:bCs/>
          <w:szCs w:val="21"/>
        </w:rPr>
      </w:r>
      <w:r/>
    </w:p>
    <w:p>
      <w:pPr>
        <w:pStyle w:val="842"/>
        <w:rPr>
          <w:rFonts w:ascii="宋体" w:hAnsi="宋体" w:cs="宋体"/>
          <w:b/>
        </w:rPr>
      </w:pPr>
      <w:r>
        <w:rPr>
          <w:rFonts w:hint="eastAsia" w:ascii="宋体" w:hAnsi="宋体" w:cs="宋体"/>
          <w:b/>
        </w:rPr>
        <w:br w:type="page" w:clear="all"/>
      </w:r>
      <w:r>
        <w:rPr>
          <w:rFonts w:ascii="宋体" w:hAnsi="宋体" w:cs="宋体"/>
          <w:b/>
        </w:rPr>
      </w:r>
      <w:r/>
    </w:p>
    <w:p>
      <w:pPr>
        <w:pStyle w:val="842"/>
        <w:ind w:left="1254" w:right="1244"/>
        <w:jc w:val="center"/>
        <w:spacing w:before="81"/>
        <w:rPr>
          <w:rFonts w:ascii="宋体" w:hAnsi="宋体" w:cs="宋体"/>
          <w:b/>
          <w:sz w:val="24"/>
        </w:rPr>
      </w:pPr>
      <w:r>
        <w:rPr>
          <w:rFonts w:hint="eastAsia" w:ascii="宋体" w:hAnsi="宋体" w:cs="宋体"/>
          <w:b/>
        </w:rPr>
        <w:t xml:space="preserve">（2）</w:t>
      </w:r>
      <w:r>
        <w:rPr>
          <w:rFonts w:hint="eastAsia" w:ascii="宋体" w:hAnsi="宋体" w:cs="宋体"/>
          <w:b/>
          <w:sz w:val="24"/>
        </w:rPr>
        <w:t xml:space="preserve">项目负责人情况一览表</w:t>
      </w:r>
      <w:r>
        <w:rPr>
          <w:rFonts w:ascii="宋体" w:hAnsi="宋体" w:cs="宋体"/>
          <w:b/>
          <w:sz w:val="24"/>
        </w:rPr>
      </w:r>
      <w:r/>
    </w:p>
    <w:p>
      <w:pPr>
        <w:pStyle w:val="850"/>
        <w:rPr>
          <w:rFonts w:ascii="宋体" w:hAnsi="宋体" w:cs="宋体"/>
          <w:b/>
          <w:sz w:val="20"/>
        </w:rPr>
      </w:pPr>
      <w:r>
        <w:rPr>
          <w:rFonts w:ascii="宋体" w:hAnsi="宋体" w:cs="宋体"/>
          <w:b/>
          <w:sz w:val="20"/>
        </w:rPr>
      </w:r>
      <w:r/>
    </w:p>
    <w:tbl>
      <w:tblPr>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vAlign w:val="top"/>
            <w:textDirection w:val="lrTb"/>
            <w:noWrap/>
          </w:tcPr>
          <w:p>
            <w:pPr>
              <w:pStyle w:val="1179"/>
              <w:ind w:left="261"/>
              <w:spacing w:before="161"/>
              <w:framePr w:hSpace="180" w:wrap="around" w:vAnchor="text" w:hAnchor="page" w:x="1536" w:y="345"/>
            </w:pPr>
            <w:r>
              <w:rPr>
                <w:rFonts w:hint="eastAsia"/>
              </w:rPr>
              <w:t xml:space="preserve">1</w:t>
            </w:r>
            <w:r/>
          </w:p>
        </w:tc>
        <w:tc>
          <w:tcPr>
            <w:tcW w:w="1851" w:type="dxa"/>
            <w:vAlign w:val="top"/>
            <w:textDirection w:val="lrTb"/>
            <w:noWrap/>
          </w:tcPr>
          <w:p>
            <w:pPr>
              <w:pStyle w:val="1179"/>
              <w:ind w:left="11"/>
              <w:jc w:val="center"/>
              <w:spacing w:before="161"/>
              <w:tabs>
                <w:tab w:val="left" w:pos="851" w:leader="none"/>
              </w:tabs>
              <w:framePr w:hSpace="180" w:wrap="around" w:vAnchor="text" w:hAnchor="page" w:x="1536" w:y="345"/>
            </w:pPr>
            <w:r>
              <w:rPr>
                <w:rFonts w:hint="eastAsia"/>
              </w:rPr>
              <w:t xml:space="preserve">姓</w:t>
              <w:tab/>
              <w:t xml:space="preserve">名</w:t>
            </w:r>
            <w:r/>
          </w:p>
        </w:tc>
        <w:tc>
          <w:tcPr>
            <w:gridSpan w:val="2"/>
            <w:tcW w:w="2394" w:type="dxa"/>
            <w:vAlign w:val="top"/>
            <w:textDirection w:val="lrTb"/>
            <w:noWrap/>
          </w:tcPr>
          <w:p>
            <w:pPr>
              <w:pStyle w:val="1179"/>
              <w:rPr>
                <w:sz w:val="20"/>
              </w:rPr>
              <w:framePr w:hSpace="180" w:wrap="around" w:vAnchor="text" w:hAnchor="page" w:x="1536" w:y="345"/>
            </w:pPr>
            <w:r>
              <w:rPr>
                <w:sz w:val="20"/>
              </w:rPr>
            </w:r>
            <w:r/>
          </w:p>
        </w:tc>
        <w:tc>
          <w:tcPr>
            <w:tcW w:w="1083" w:type="dxa"/>
            <w:vAlign w:val="top"/>
            <w:textDirection w:val="lrTb"/>
            <w:noWrap/>
          </w:tcPr>
          <w:p>
            <w:pPr>
              <w:pStyle w:val="1179"/>
              <w:ind w:left="174"/>
              <w:spacing w:before="161"/>
              <w:tabs>
                <w:tab w:val="left" w:pos="699" w:leader="none"/>
              </w:tabs>
              <w:framePr w:hSpace="180" w:wrap="around" w:vAnchor="text" w:hAnchor="page" w:x="1536" w:y="345"/>
            </w:pPr>
            <w:r>
              <w:rPr>
                <w:rFonts w:hint="eastAsia"/>
              </w:rPr>
              <w:t xml:space="preserve">性</w:t>
              <w:tab/>
              <w:t xml:space="preserve">别</w:t>
            </w:r>
            <w:r/>
          </w:p>
        </w:tc>
        <w:tc>
          <w:tcPr>
            <w:gridSpan w:val="2"/>
            <w:tcW w:w="3072" w:type="dxa"/>
            <w:vAlign w:val="top"/>
            <w:textDirection w:val="lrTb"/>
            <w:noWrap/>
          </w:tcPr>
          <w:p>
            <w:pPr>
              <w:pStyle w:val="1179"/>
              <w:rPr>
                <w:sz w:val="20"/>
              </w:rPr>
              <w:framePr w:hSpace="180" w:wrap="around" w:vAnchor="text" w:hAnchor="page" w:x="1536" w:y="345"/>
            </w:pPr>
            <w:r>
              <w:rPr>
                <w:sz w:val="20"/>
              </w:rPr>
            </w:r>
            <w:r/>
          </w:p>
        </w:tc>
      </w:tr>
      <w:tr>
        <w:trPr>
          <w:trHeight w:val="645"/>
        </w:trPr>
        <w:tc>
          <w:tcPr>
            <w:tcW w:w="628" w:type="dxa"/>
            <w:vAlign w:val="top"/>
            <w:textDirection w:val="lrTb"/>
            <w:noWrap/>
          </w:tcPr>
          <w:p>
            <w:pPr>
              <w:pStyle w:val="1179"/>
              <w:spacing w:before="8"/>
              <w:rPr>
                <w:b/>
                <w:sz w:val="14"/>
              </w:rPr>
              <w:framePr w:hSpace="180" w:wrap="around" w:vAnchor="text" w:hAnchor="page" w:x="1536" w:y="345"/>
            </w:pPr>
            <w:r>
              <w:rPr>
                <w:b/>
                <w:sz w:val="14"/>
              </w:rPr>
            </w:r>
            <w:r/>
          </w:p>
          <w:p>
            <w:pPr>
              <w:pStyle w:val="1179"/>
              <w:ind w:left="261"/>
              <w:framePr w:hSpace="180" w:wrap="around" w:vAnchor="text" w:hAnchor="page" w:x="1536" w:y="345"/>
            </w:pPr>
            <w:r>
              <w:rPr>
                <w:rFonts w:hint="eastAsia"/>
              </w:rPr>
              <w:t xml:space="preserve">2</w:t>
            </w:r>
            <w:r/>
          </w:p>
        </w:tc>
        <w:tc>
          <w:tcPr>
            <w:tcW w:w="1851" w:type="dxa"/>
            <w:vAlign w:val="top"/>
            <w:textDirection w:val="lrTb"/>
            <w:noWrap/>
          </w:tcPr>
          <w:p>
            <w:pPr>
              <w:pStyle w:val="1179"/>
              <w:spacing w:before="8"/>
              <w:rPr>
                <w:b/>
                <w:sz w:val="14"/>
              </w:rPr>
              <w:framePr w:hSpace="180" w:wrap="around" w:vAnchor="text" w:hAnchor="page" w:x="1536" w:y="345"/>
            </w:pPr>
            <w:r>
              <w:rPr>
                <w:b/>
                <w:sz w:val="14"/>
              </w:rPr>
            </w:r>
            <w:r/>
          </w:p>
          <w:p>
            <w:pPr>
              <w:pStyle w:val="1179"/>
              <w:ind w:left="11"/>
              <w:jc w:val="center"/>
              <w:framePr w:hSpace="180" w:wrap="around" w:vAnchor="text" w:hAnchor="page" w:x="1536" w:y="345"/>
            </w:pPr>
            <w:r>
              <w:rPr>
                <w:rFonts w:hint="eastAsia"/>
              </w:rPr>
              <w:t xml:space="preserve">身份证号码</w:t>
            </w:r>
            <w:r/>
          </w:p>
        </w:tc>
        <w:tc>
          <w:tcPr>
            <w:gridSpan w:val="3"/>
            <w:tcW w:w="3477" w:type="dxa"/>
            <w:vAlign w:val="top"/>
            <w:textDirection w:val="lrTb"/>
            <w:noWrap/>
          </w:tcPr>
          <w:p>
            <w:pPr>
              <w:pStyle w:val="1179"/>
              <w:rPr>
                <w:sz w:val="20"/>
              </w:rPr>
              <w:framePr w:hSpace="180" w:wrap="around" w:vAnchor="text" w:hAnchor="page" w:x="1536" w:y="345"/>
            </w:pPr>
            <w:r>
              <w:rPr>
                <w:sz w:val="20"/>
              </w:rPr>
            </w:r>
            <w:r/>
          </w:p>
        </w:tc>
        <w:tc>
          <w:tcPr>
            <w:tcW w:w="1254" w:type="dxa"/>
            <w:vAlign w:val="top"/>
            <w:textDirection w:val="lrTb"/>
            <w:noWrap/>
          </w:tcPr>
          <w:p>
            <w:pPr>
              <w:pStyle w:val="1179"/>
              <w:spacing w:before="8"/>
              <w:rPr>
                <w:b/>
                <w:sz w:val="14"/>
              </w:rPr>
              <w:framePr w:hSpace="180" w:wrap="around" w:vAnchor="text" w:hAnchor="page" w:x="1536" w:y="345"/>
            </w:pPr>
            <w:r>
              <w:rPr>
                <w:b/>
                <w:sz w:val="14"/>
              </w:rPr>
            </w:r>
            <w:r/>
          </w:p>
          <w:p>
            <w:pPr>
              <w:pStyle w:val="1179"/>
              <w:ind w:left="207"/>
              <w:framePr w:hSpace="180" w:wrap="around" w:vAnchor="text" w:hAnchor="page" w:x="1536" w:y="345"/>
            </w:pPr>
            <w:r>
              <w:rPr>
                <w:rFonts w:hint="eastAsia"/>
              </w:rPr>
              <w:t xml:space="preserve">出生年月</w:t>
            </w:r>
            <w:r/>
          </w:p>
        </w:tc>
        <w:tc>
          <w:tcPr>
            <w:tcW w:w="1818" w:type="dxa"/>
            <w:vAlign w:val="top"/>
            <w:textDirection w:val="lrTb"/>
            <w:noWrap/>
          </w:tcPr>
          <w:p>
            <w:pPr>
              <w:pStyle w:val="1179"/>
              <w:spacing w:before="8"/>
              <w:rPr>
                <w:b/>
                <w:sz w:val="14"/>
              </w:rPr>
              <w:framePr w:hSpace="180" w:wrap="around" w:vAnchor="text" w:hAnchor="page" w:x="1536" w:y="345"/>
            </w:pPr>
            <w:r>
              <w:rPr>
                <w:b/>
                <w:sz w:val="14"/>
              </w:rPr>
            </w:r>
            <w:r/>
          </w:p>
          <w:p>
            <w:pPr>
              <w:pStyle w:val="1179"/>
              <w:ind w:left="539"/>
              <w:tabs>
                <w:tab w:val="left" w:pos="1065" w:leader="none"/>
              </w:tabs>
              <w:framePr w:hSpace="180" w:wrap="around" w:vAnchor="text" w:hAnchor="page" w:x="1536" w:y="345"/>
            </w:pPr>
            <w:r>
              <w:rPr>
                <w:rFonts w:hint="eastAsia"/>
              </w:rPr>
              <w:t xml:space="preserve">年</w:t>
              <w:tab/>
              <w:t xml:space="preserve">月</w:t>
            </w:r>
            <w:r/>
          </w:p>
        </w:tc>
      </w:tr>
      <w:tr>
        <w:trPr>
          <w:trHeight w:val="645"/>
        </w:trPr>
        <w:tc>
          <w:tcPr>
            <w:tcW w:w="628" w:type="dxa"/>
            <w:vAlign w:val="top"/>
            <w:textDirection w:val="lrTb"/>
            <w:noWrap/>
          </w:tcPr>
          <w:p>
            <w:pPr>
              <w:pStyle w:val="1179"/>
              <w:spacing w:before="8"/>
              <w:rPr>
                <w:b/>
                <w:sz w:val="14"/>
              </w:rPr>
              <w:framePr w:hSpace="180" w:wrap="around" w:vAnchor="text" w:hAnchor="page" w:x="1536" w:y="345"/>
            </w:pPr>
            <w:r>
              <w:rPr>
                <w:b/>
                <w:sz w:val="14"/>
              </w:rPr>
            </w:r>
            <w:r/>
          </w:p>
          <w:p>
            <w:pPr>
              <w:pStyle w:val="1179"/>
              <w:ind w:left="261"/>
              <w:framePr w:hSpace="180" w:wrap="around" w:vAnchor="text" w:hAnchor="page" w:x="1536" w:y="345"/>
            </w:pPr>
            <w:r>
              <w:rPr>
                <w:rFonts w:hint="eastAsia"/>
              </w:rPr>
              <w:t xml:space="preserve">3</w:t>
            </w:r>
            <w:r/>
          </w:p>
        </w:tc>
        <w:tc>
          <w:tcPr>
            <w:gridSpan w:val="2"/>
            <w:tcW w:w="3180" w:type="dxa"/>
            <w:vAlign w:val="top"/>
            <w:textDirection w:val="lrTb"/>
            <w:noWrap/>
          </w:tcPr>
          <w:p>
            <w:pPr>
              <w:pStyle w:val="1179"/>
              <w:spacing w:before="8"/>
              <w:rPr>
                <w:b/>
                <w:sz w:val="14"/>
              </w:rPr>
              <w:framePr w:hSpace="180" w:wrap="around" w:vAnchor="text" w:hAnchor="page" w:x="1536" w:y="345"/>
            </w:pPr>
            <w:r>
              <w:rPr>
                <w:b/>
                <w:sz w:val="14"/>
              </w:rPr>
            </w:r>
            <w:r/>
          </w:p>
          <w:p>
            <w:pPr>
              <w:pStyle w:val="1179"/>
              <w:ind w:left="27"/>
              <w:framePr w:hSpace="180" w:wrap="around" w:vAnchor="text" w:hAnchor="page" w:x="1536" w:y="345"/>
            </w:pPr>
            <w:r>
              <w:rPr>
                <w:rFonts w:hint="eastAsia"/>
              </w:rPr>
              <w:t xml:space="preserve">联系电话：</w:t>
            </w:r>
            <w:r/>
          </w:p>
        </w:tc>
        <w:tc>
          <w:tcPr>
            <w:gridSpan w:val="2"/>
            <w:tcW w:w="2148" w:type="dxa"/>
            <w:vAlign w:val="top"/>
            <w:textDirection w:val="lrTb"/>
            <w:noWrap/>
          </w:tcPr>
          <w:p>
            <w:pPr>
              <w:pStyle w:val="1179"/>
              <w:spacing w:before="8"/>
              <w:rPr>
                <w:b/>
                <w:sz w:val="14"/>
              </w:rPr>
              <w:framePr w:hSpace="180" w:wrap="around" w:vAnchor="text" w:hAnchor="page" w:x="1536" w:y="345"/>
            </w:pPr>
            <w:r>
              <w:rPr>
                <w:b/>
                <w:sz w:val="14"/>
              </w:rPr>
            </w:r>
            <w:r/>
          </w:p>
          <w:p>
            <w:pPr>
              <w:pStyle w:val="1179"/>
              <w:ind w:left="27"/>
              <w:framePr w:hSpace="180" w:wrap="around" w:vAnchor="text" w:hAnchor="page" w:x="1536" w:y="345"/>
            </w:pPr>
            <w:r>
              <w:rPr>
                <w:rFonts w:hint="eastAsia"/>
              </w:rPr>
              <w:t xml:space="preserve">传真：</w:t>
            </w:r>
            <w:r/>
          </w:p>
        </w:tc>
        <w:tc>
          <w:tcPr>
            <w:gridSpan w:val="2"/>
            <w:tcW w:w="3072" w:type="dxa"/>
            <w:vAlign w:val="top"/>
            <w:textDirection w:val="lrTb"/>
            <w:noWrap/>
          </w:tcPr>
          <w:p>
            <w:pPr>
              <w:pStyle w:val="1179"/>
              <w:spacing w:before="8"/>
              <w:rPr>
                <w:b/>
                <w:sz w:val="14"/>
              </w:rPr>
              <w:framePr w:hSpace="180" w:wrap="around" w:vAnchor="text" w:hAnchor="page" w:x="1536" w:y="345"/>
            </w:pPr>
            <w:r>
              <w:rPr>
                <w:b/>
                <w:sz w:val="14"/>
              </w:rPr>
            </w:r>
            <w:r/>
          </w:p>
          <w:p>
            <w:pPr>
              <w:pStyle w:val="1179"/>
              <w:ind w:left="27"/>
              <w:framePr w:hSpace="180" w:wrap="around" w:vAnchor="text" w:hAnchor="page" w:x="1536" w:y="345"/>
            </w:pPr>
            <w:r>
              <w:rPr>
                <w:rFonts w:hint="eastAsia"/>
              </w:rPr>
              <w:t xml:space="preserve">电子邮箱：</w:t>
            </w:r>
            <w:r/>
          </w:p>
        </w:tc>
      </w:tr>
      <w:tr>
        <w:trPr>
          <w:trHeight w:val="645"/>
        </w:trPr>
        <w:tc>
          <w:tcPr>
            <w:tcW w:w="628" w:type="dxa"/>
            <w:vAlign w:val="top"/>
            <w:textDirection w:val="lrTb"/>
            <w:noWrap/>
          </w:tcPr>
          <w:p>
            <w:pPr>
              <w:pStyle w:val="1179"/>
              <w:spacing w:before="8"/>
              <w:rPr>
                <w:b/>
                <w:sz w:val="14"/>
              </w:rPr>
              <w:framePr w:hSpace="180" w:wrap="around" w:vAnchor="text" w:hAnchor="page" w:x="1536" w:y="345"/>
            </w:pPr>
            <w:r>
              <w:rPr>
                <w:b/>
                <w:sz w:val="14"/>
              </w:rPr>
            </w:r>
            <w:r/>
          </w:p>
          <w:p>
            <w:pPr>
              <w:pStyle w:val="1179"/>
              <w:ind w:left="261"/>
              <w:framePr w:hSpace="180" w:wrap="around" w:vAnchor="text" w:hAnchor="page" w:x="1536" w:y="345"/>
            </w:pPr>
            <w:r>
              <w:rPr>
                <w:rFonts w:hint="eastAsia"/>
              </w:rPr>
              <w:t xml:space="preserve">4</w:t>
            </w:r>
            <w:r/>
          </w:p>
        </w:tc>
        <w:tc>
          <w:tcPr>
            <w:gridSpan w:val="6"/>
            <w:tcW w:w="8400" w:type="dxa"/>
            <w:vAlign w:val="top"/>
            <w:textDirection w:val="lrTb"/>
            <w:noWrap/>
          </w:tcPr>
          <w:p>
            <w:pPr>
              <w:pStyle w:val="1179"/>
              <w:spacing w:before="8"/>
              <w:rPr>
                <w:b/>
                <w:sz w:val="14"/>
              </w:rPr>
              <w:framePr w:hSpace="180" w:wrap="around" w:vAnchor="text" w:hAnchor="page" w:x="1536" w:y="345"/>
            </w:pPr>
            <w:r>
              <w:rPr>
                <w:b/>
                <w:sz w:val="14"/>
              </w:rPr>
            </w:r>
            <w:r/>
          </w:p>
          <w:p>
            <w:pPr>
              <w:pStyle w:val="1179"/>
              <w:ind w:left="27"/>
              <w:framePr w:hSpace="180" w:wrap="around" w:vAnchor="text" w:hAnchor="page" w:x="1536" w:y="345"/>
            </w:pPr>
            <w:r>
              <w:rPr>
                <w:rFonts w:hint="eastAsia"/>
              </w:rPr>
              <w:t xml:space="preserve">从事类似项目工作时间：</w:t>
            </w:r>
            <w:r/>
          </w:p>
        </w:tc>
      </w:tr>
      <w:tr>
        <w:trPr>
          <w:trHeight w:val="625"/>
        </w:trPr>
        <w:tc>
          <w:tcPr>
            <w:tcW w:w="628" w:type="dxa"/>
            <w:vAlign w:val="top"/>
            <w:textDirection w:val="lrTb"/>
            <w:noWrap/>
          </w:tcPr>
          <w:p>
            <w:pPr>
              <w:pStyle w:val="1179"/>
              <w:ind w:left="261"/>
              <w:spacing w:before="176"/>
              <w:framePr w:hSpace="180" w:wrap="around" w:vAnchor="text" w:hAnchor="page" w:x="1536" w:y="345"/>
            </w:pPr>
            <w:r>
              <w:rPr>
                <w:rFonts w:hint="eastAsia"/>
              </w:rPr>
              <w:t xml:space="preserve">5</w:t>
            </w:r>
            <w:r/>
          </w:p>
        </w:tc>
        <w:tc>
          <w:tcPr>
            <w:gridSpan w:val="6"/>
            <w:tcW w:w="8400" w:type="dxa"/>
            <w:vAlign w:val="top"/>
            <w:textDirection w:val="lrTb"/>
            <w:noWrap/>
          </w:tcPr>
          <w:p>
            <w:pPr>
              <w:pStyle w:val="1179"/>
              <w:ind w:left="27"/>
              <w:spacing w:before="176"/>
              <w:framePr w:hSpace="180" w:wrap="around" w:vAnchor="text" w:hAnchor="page" w:x="1536" w:y="345"/>
            </w:pPr>
            <w:r>
              <w:rPr>
                <w:rFonts w:hint="eastAsia"/>
              </w:rPr>
              <w:t xml:space="preserve">拥有的职称：</w:t>
            </w:r>
            <w:r/>
          </w:p>
        </w:tc>
      </w:tr>
      <w:tr>
        <w:trPr>
          <w:trHeight w:val="1871"/>
        </w:trPr>
        <w:tc>
          <w:tcPr>
            <w:tcW w:w="628" w:type="dxa"/>
            <w:vAlign w:val="top"/>
            <w:textDirection w:val="lrTb"/>
            <w:noWrap/>
          </w:tcPr>
          <w:p>
            <w:pPr>
              <w:pStyle w:val="1179"/>
              <w:rPr>
                <w:b/>
                <w:sz w:val="20"/>
              </w:rPr>
              <w:framePr w:hSpace="180" w:wrap="around" w:vAnchor="text" w:hAnchor="page" w:x="1536" w:y="345"/>
            </w:pPr>
            <w:r>
              <w:rPr>
                <w:b/>
                <w:sz w:val="20"/>
              </w:rPr>
            </w:r>
            <w:r/>
          </w:p>
          <w:p>
            <w:pPr>
              <w:pStyle w:val="1179"/>
              <w:rPr>
                <w:b/>
                <w:sz w:val="20"/>
              </w:rPr>
              <w:framePr w:hSpace="180" w:wrap="around" w:vAnchor="text" w:hAnchor="page" w:x="1536" w:y="345"/>
            </w:pPr>
            <w:r>
              <w:rPr>
                <w:b/>
                <w:sz w:val="20"/>
              </w:rPr>
            </w:r>
            <w:r/>
          </w:p>
          <w:p>
            <w:pPr>
              <w:pStyle w:val="1179"/>
              <w:spacing w:before="6"/>
              <w:rPr>
                <w:b/>
              </w:rPr>
              <w:framePr w:hSpace="180" w:wrap="around" w:vAnchor="text" w:hAnchor="page" w:x="1536" w:y="345"/>
            </w:pPr>
            <w:r>
              <w:rPr>
                <w:b/>
              </w:rPr>
            </w:r>
            <w:r/>
          </w:p>
          <w:p>
            <w:pPr>
              <w:pStyle w:val="1179"/>
              <w:ind w:left="259"/>
              <w:framePr w:hSpace="180" w:wrap="around" w:vAnchor="text" w:hAnchor="page" w:x="1536" w:y="345"/>
            </w:pPr>
            <w:r>
              <w:rPr>
                <w:rFonts w:hint="eastAsia"/>
              </w:rPr>
              <w:t xml:space="preserve">6</w:t>
            </w:r>
            <w:r/>
          </w:p>
        </w:tc>
        <w:tc>
          <w:tcPr>
            <w:gridSpan w:val="6"/>
            <w:tcW w:w="8400" w:type="dxa"/>
            <w:vAlign w:val="top"/>
            <w:textDirection w:val="lrTb"/>
            <w:noWrap/>
          </w:tcPr>
          <w:p>
            <w:pPr>
              <w:pStyle w:val="1179"/>
              <w:ind w:left="27"/>
              <w:spacing w:before="21"/>
              <w:framePr w:hSpace="180" w:wrap="around" w:vAnchor="text" w:hAnchor="page" w:x="1536" w:y="345"/>
            </w:pPr>
            <w:r>
              <w:rPr>
                <w:rFonts w:hint="eastAsia"/>
              </w:rPr>
              <w:t xml:space="preserve">曾获得的奖励情况：</w:t>
            </w:r>
            <w:r/>
          </w:p>
          <w:p>
            <w:pPr>
              <w:pStyle w:val="1179"/>
              <w:ind w:left="27"/>
              <w:spacing w:before="43"/>
              <w:tabs>
                <w:tab w:val="left" w:pos="4647" w:leader="none"/>
              </w:tabs>
              <w:framePr w:hSpace="180" w:wrap="around" w:vAnchor="text" w:hAnchor="page" w:x="1536" w:y="345"/>
            </w:pPr>
            <w:r>
              <w:rPr>
                <w:rFonts w:hint="eastAsia"/>
              </w:rPr>
              <w:t xml:space="preserve">1、</w:t>
            </w:r>
            <w:r>
              <w:rPr>
                <w:rFonts w:hint="eastAsia"/>
                <w:u w:val="single"/>
              </w:rPr>
              <w:tab/>
            </w:r>
            <w:r>
              <w:rPr>
                <w:rFonts w:hint="eastAsia"/>
              </w:rPr>
              <w:t xml:space="preserve">_</w:t>
            </w:r>
            <w:r/>
          </w:p>
          <w:p>
            <w:pPr>
              <w:pStyle w:val="1179"/>
              <w:ind w:left="27"/>
              <w:spacing w:before="42"/>
              <w:tabs>
                <w:tab w:val="left" w:pos="4908" w:leader="none"/>
              </w:tabs>
              <w:framePr w:hSpace="180" w:wrap="around" w:vAnchor="text" w:hAnchor="page" w:x="1536" w:y="345"/>
            </w:pPr>
            <w:r>
              <w:rPr>
                <w:rFonts w:hint="eastAsia"/>
              </w:rPr>
              <w:t xml:space="preserve">2、 </w:t>
            </w:r>
            <w:r>
              <w:rPr>
                <w:rFonts w:hint="eastAsia"/>
                <w:u w:val="single"/>
              </w:rPr>
              <w:tab/>
            </w:r>
            <w:r/>
          </w:p>
          <w:p>
            <w:pPr>
              <w:pStyle w:val="1179"/>
              <w:ind w:left="27"/>
              <w:spacing w:before="43"/>
              <w:tabs>
                <w:tab w:val="left" w:pos="4803" w:leader="none"/>
              </w:tabs>
              <w:framePr w:hSpace="180" w:wrap="around" w:vAnchor="text" w:hAnchor="page" w:x="1536" w:y="345"/>
            </w:pPr>
            <w:r>
              <w:rPr>
                <w:rFonts w:hint="eastAsia"/>
              </w:rPr>
              <w:t xml:space="preserve">3、</w:t>
            </w:r>
            <w:r>
              <w:rPr>
                <w:rFonts w:hint="eastAsia"/>
                <w:u w:val="single"/>
              </w:rPr>
              <w:tab/>
            </w:r>
            <w:r/>
          </w:p>
          <w:p>
            <w:pPr>
              <w:pStyle w:val="1179"/>
              <w:ind w:left="27"/>
              <w:spacing w:before="43"/>
              <w:framePr w:hSpace="180" w:wrap="around" w:vAnchor="text" w:hAnchor="page" w:x="1536" w:y="345"/>
            </w:pPr>
            <w:r>
              <w:rPr>
                <w:rFonts w:hint="eastAsia"/>
              </w:rPr>
              <w:t xml:space="preserve">……………</w:t>
            </w:r>
            <w:r/>
          </w:p>
        </w:tc>
      </w:tr>
      <w:tr>
        <w:trPr>
          <w:trHeight w:val="1132"/>
        </w:trPr>
        <w:tc>
          <w:tcPr>
            <w:tcW w:w="628" w:type="dxa"/>
            <w:vAlign w:val="top"/>
            <w:textDirection w:val="lrTb"/>
            <w:noWrap/>
          </w:tcPr>
          <w:p>
            <w:pPr>
              <w:pStyle w:val="1179"/>
              <w:rPr>
                <w:b/>
                <w:sz w:val="20"/>
              </w:rPr>
              <w:framePr w:hSpace="180" w:wrap="around" w:vAnchor="text" w:hAnchor="page" w:x="1536" w:y="345"/>
            </w:pPr>
            <w:r>
              <w:rPr>
                <w:b/>
                <w:sz w:val="20"/>
              </w:rPr>
            </w:r>
            <w:r/>
          </w:p>
          <w:p>
            <w:pPr>
              <w:pStyle w:val="1179"/>
              <w:ind w:left="259"/>
              <w:spacing w:before="174"/>
              <w:framePr w:hSpace="180" w:wrap="around" w:vAnchor="text" w:hAnchor="page" w:x="1536" w:y="345"/>
            </w:pPr>
            <w:r>
              <w:rPr>
                <w:rFonts w:hint="eastAsia"/>
              </w:rPr>
              <w:t xml:space="preserve">7</w:t>
            </w:r>
            <w:r/>
          </w:p>
        </w:tc>
        <w:tc>
          <w:tcPr>
            <w:gridSpan w:val="6"/>
            <w:tcW w:w="8400" w:type="dxa"/>
            <w:vAlign w:val="top"/>
            <w:textDirection w:val="lrTb"/>
            <w:noWrap/>
          </w:tcPr>
          <w:p>
            <w:pPr>
              <w:pStyle w:val="1179"/>
              <w:ind w:left="27"/>
              <w:spacing w:before="20"/>
              <w:framePr w:hSpace="180" w:wrap="around" w:vAnchor="text" w:hAnchor="page" w:x="1536" w:y="345"/>
            </w:pPr>
            <w:r>
              <w:rPr>
                <w:rFonts w:hint="eastAsia"/>
              </w:rPr>
              <w:t xml:space="preserve">本公司承诺：</w:t>
            </w:r>
            <w:r/>
          </w:p>
          <w:p>
            <w:pPr>
              <w:pStyle w:val="1179"/>
              <w:ind w:left="27"/>
              <w:spacing w:before="43"/>
              <w:framePr w:hSpace="180" w:wrap="around" w:vAnchor="text" w:hAnchor="page" w:x="1536" w:y="345"/>
            </w:pPr>
            <w:r>
              <w:rPr>
                <w:rFonts w:hint="eastAsia"/>
              </w:rPr>
              <w:t xml:space="preserve">该项目负责人在从业经历中没有任何违法、违规而被查处的不良记录。</w:t>
            </w:r>
            <w:r/>
          </w:p>
        </w:tc>
      </w:tr>
      <w:tr>
        <w:trPr>
          <w:trHeight w:val="2846"/>
        </w:trPr>
        <w:tc>
          <w:tcPr>
            <w:tcW w:w="628" w:type="dxa"/>
            <w:vAlign w:val="top"/>
            <w:textDirection w:val="lrTb"/>
            <w:noWrap/>
          </w:tcPr>
          <w:p>
            <w:pPr>
              <w:pStyle w:val="1179"/>
              <w:rPr>
                <w:b/>
                <w:sz w:val="20"/>
              </w:rPr>
              <w:framePr w:hSpace="180" w:wrap="around" w:vAnchor="text" w:hAnchor="page" w:x="1536" w:y="345"/>
            </w:pPr>
            <w:r>
              <w:rPr>
                <w:b/>
                <w:sz w:val="20"/>
              </w:rPr>
            </w:r>
            <w:r/>
          </w:p>
          <w:p>
            <w:pPr>
              <w:pStyle w:val="1179"/>
              <w:rPr>
                <w:b/>
                <w:sz w:val="20"/>
              </w:rPr>
              <w:framePr w:hSpace="180" w:wrap="around" w:vAnchor="text" w:hAnchor="page" w:x="1536" w:y="345"/>
            </w:pPr>
            <w:r>
              <w:rPr>
                <w:b/>
                <w:sz w:val="20"/>
              </w:rPr>
            </w:r>
            <w:r/>
          </w:p>
          <w:p>
            <w:pPr>
              <w:pStyle w:val="1179"/>
              <w:rPr>
                <w:b/>
                <w:sz w:val="20"/>
              </w:rPr>
              <w:framePr w:hSpace="180" w:wrap="around" w:vAnchor="text" w:hAnchor="page" w:x="1536" w:y="345"/>
            </w:pPr>
            <w:r>
              <w:rPr>
                <w:b/>
                <w:sz w:val="20"/>
              </w:rPr>
            </w:r>
            <w:r/>
          </w:p>
          <w:p>
            <w:pPr>
              <w:pStyle w:val="1179"/>
              <w:rPr>
                <w:b/>
                <w:sz w:val="20"/>
              </w:rPr>
              <w:framePr w:hSpace="180" w:wrap="around" w:vAnchor="text" w:hAnchor="page" w:x="1536" w:y="345"/>
            </w:pPr>
            <w:r>
              <w:rPr>
                <w:b/>
                <w:sz w:val="20"/>
              </w:rPr>
            </w:r>
            <w:r/>
          </w:p>
          <w:p>
            <w:pPr>
              <w:pStyle w:val="1179"/>
              <w:spacing w:before="7"/>
              <w:rPr>
                <w:b/>
                <w:sz w:val="20"/>
              </w:rPr>
              <w:framePr w:hSpace="180" w:wrap="around" w:vAnchor="text" w:hAnchor="page" w:x="1536" w:y="345"/>
            </w:pPr>
            <w:r>
              <w:rPr>
                <w:b/>
                <w:sz w:val="20"/>
              </w:rPr>
            </w:r>
            <w:r/>
          </w:p>
          <w:p>
            <w:pPr>
              <w:pStyle w:val="1179"/>
              <w:ind w:left="259"/>
              <w:spacing w:before="1"/>
              <w:framePr w:hSpace="180" w:wrap="around" w:vAnchor="text" w:hAnchor="page" w:x="1536" w:y="345"/>
            </w:pPr>
            <w:r>
              <w:rPr>
                <w:rFonts w:hint="eastAsia"/>
              </w:rPr>
              <w:t xml:space="preserve">8</w:t>
            </w:r>
            <w:r/>
          </w:p>
        </w:tc>
        <w:tc>
          <w:tcPr>
            <w:gridSpan w:val="6"/>
            <w:tcW w:w="8400" w:type="dxa"/>
            <w:vAlign w:val="top"/>
            <w:textDirection w:val="lrTb"/>
            <w:noWrap/>
          </w:tcPr>
          <w:p>
            <w:pPr>
              <w:pStyle w:val="1179"/>
              <w:ind w:left="27"/>
              <w:spacing w:before="22"/>
              <w:framePr w:hSpace="180" w:wrap="around" w:vAnchor="text" w:hAnchor="page" w:x="1536" w:y="345"/>
            </w:pPr>
            <w:r>
              <w:rPr>
                <w:rFonts w:hint="eastAsia"/>
              </w:rPr>
              <w:t xml:space="preserve">其他需要说明的情况</w:t>
            </w:r>
            <w:r/>
          </w:p>
        </w:tc>
      </w:tr>
    </w:tbl>
    <w:p>
      <w:pPr>
        <w:pStyle w:val="850"/>
        <w:spacing w:before="9" w:after="1"/>
        <w:rPr>
          <w:rFonts w:ascii="宋体" w:hAnsi="宋体" w:cs="宋体"/>
          <w:b/>
          <w:sz w:val="22"/>
        </w:rPr>
      </w:pPr>
      <w:r>
        <w:rPr>
          <w:rFonts w:ascii="宋体" w:hAnsi="宋体" w:cs="宋体"/>
          <w:b/>
          <w:sz w:val="22"/>
        </w:rPr>
      </w:r>
      <w:r/>
    </w:p>
    <w:p>
      <w:pPr>
        <w:pStyle w:val="842"/>
        <w:rPr>
          <w:rFonts w:ascii="宋体" w:hAnsi="宋体" w:cs="宋体"/>
        </w:rPr>
      </w:pPr>
      <w:r>
        <w:rPr>
          <w:rFonts w:hint="eastAsia" w:ascii="宋体" w:hAnsi="宋体" w:cs="宋体"/>
        </w:rPr>
        <w:t xml:space="preserve">磋商响应单位（盖章）：     </w:t>
      </w:r>
      <w:r>
        <w:rPr>
          <w:rFonts w:ascii="宋体" w:hAnsi="宋体" w:cs="宋体"/>
        </w:rPr>
      </w:r>
      <w:r/>
    </w:p>
    <w:p>
      <w:pPr>
        <w:pStyle w:val="842"/>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842"/>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842"/>
        <w:spacing w:line="500" w:lineRule="exact"/>
        <w:rPr>
          <w:rFonts w:ascii="宋体" w:hAnsi="宋体" w:cs="宋体"/>
          <w:b/>
          <w:bCs/>
          <w:szCs w:val="21"/>
          <w:lang w:eastAsia="zh-TW"/>
        </w:rPr>
      </w:pPr>
      <w:r>
        <w:rPr>
          <w:rFonts w:hint="eastAsia" w:ascii="宋体" w:hAnsi="宋体" w:cs="宋体"/>
          <w:b/>
          <w:bCs/>
          <w:szCs w:val="21"/>
        </w:rPr>
        <w:br w:type="page" w:clear="all"/>
      </w:r>
      <w:r>
        <w:rPr>
          <w:rFonts w:hint="eastAsia" w:ascii="宋体" w:hAnsi="宋体" w:cs="宋体"/>
          <w:b/>
          <w:bCs/>
          <w:szCs w:val="21"/>
        </w:rPr>
        <w:t xml:space="preserve">6.4</w:t>
      </w:r>
      <w:r>
        <w:rPr>
          <w:rFonts w:hint="eastAsia" w:ascii="宋体" w:hAnsi="宋体" w:cs="宋体"/>
          <w:b/>
          <w:szCs w:val="21"/>
        </w:rPr>
        <w:t xml:space="preserve">类似项目业绩表</w:t>
      </w:r>
      <w:r>
        <w:rPr>
          <w:rFonts w:ascii="宋体" w:hAnsi="宋体" w:cs="宋体"/>
          <w:b/>
          <w:bCs/>
          <w:szCs w:val="21"/>
          <w:lang w:eastAsia="zh-TW"/>
        </w:rPr>
      </w:r>
      <w:r/>
    </w:p>
    <w:p>
      <w:pPr>
        <w:pStyle w:val="842"/>
        <w:jc w:val="center"/>
        <w:spacing w:line="500" w:lineRule="exact"/>
        <w:rPr>
          <w:rFonts w:ascii="宋体" w:hAnsi="宋体" w:cs="宋体"/>
          <w:b/>
          <w:bCs/>
          <w:szCs w:val="21"/>
        </w:rPr>
      </w:pPr>
      <w:r>
        <w:rPr>
          <w:rFonts w:hint="eastAsia" w:ascii="宋体" w:hAnsi="宋体" w:cs="宋体"/>
          <w:b/>
          <w:bCs/>
          <w:szCs w:val="21"/>
        </w:rPr>
        <w:t xml:space="preserve">类似项目业绩表</w:t>
      </w:r>
      <w:r>
        <w:rPr>
          <w:rFonts w:ascii="宋体" w:hAnsi="宋体" w:cs="宋体"/>
          <w:b/>
          <w:bCs/>
          <w:szCs w:val="21"/>
        </w:rPr>
      </w:r>
      <w:r/>
    </w:p>
    <w:p>
      <w:pPr>
        <w:pStyle w:val="842"/>
        <w:rPr>
          <w:rFonts w:ascii="宋体" w:hAnsi="宋体" w:cs="宋体"/>
          <w:szCs w:val="21"/>
        </w:rPr>
      </w:pPr>
      <w:r>
        <w:rPr>
          <w:rFonts w:hint="eastAsia" w:ascii="宋体" w:hAnsi="宋体" w:cs="宋体"/>
          <w:szCs w:val="21"/>
        </w:rPr>
        <w:t xml:space="preserve">采购编号：                                      项目名称：</w:t>
      </w:r>
      <w:r>
        <w:rPr>
          <w:rFonts w:ascii="宋体" w:hAnsi="宋体" w:cs="宋体"/>
          <w:szCs w:val="21"/>
        </w:rPr>
      </w:r>
      <w:r/>
    </w:p>
    <w:tbl>
      <w:tblPr>
        <w:tblW w:w="499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序号</w:t>
            </w:r>
            <w:r>
              <w:rPr>
                <w:rStyle w:val="1192"/>
                <w:rFonts w:ascii="宋体" w:hAnsi="宋体" w:cs="宋体"/>
                <w:szCs w:val="21"/>
              </w:rPr>
            </w:r>
            <w:r/>
          </w:p>
        </w:tc>
        <w:tc>
          <w:tcPr>
            <w:tcW w:w="141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项目名称</w:t>
            </w:r>
            <w:r>
              <w:rPr>
                <w:rStyle w:val="1192"/>
                <w:rFonts w:ascii="宋体" w:hAnsi="宋体" w:cs="宋体"/>
                <w:szCs w:val="21"/>
              </w:rPr>
            </w:r>
            <w:r/>
          </w:p>
        </w:tc>
        <w:tc>
          <w:tcPr>
            <w:tcW w:w="1349"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合同期</w:t>
            </w:r>
            <w:r>
              <w:rPr>
                <w:rStyle w:val="1192"/>
                <w:rFonts w:ascii="宋体" w:hAnsi="宋体" w:cs="宋体"/>
                <w:szCs w:val="21"/>
              </w:rPr>
            </w:r>
            <w:r/>
          </w:p>
        </w:tc>
        <w:tc>
          <w:tcPr>
            <w:tcW w:w="1678"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服务范围</w:t>
            </w:r>
            <w:r>
              <w:rPr>
                <w:rStyle w:val="1192"/>
                <w:rFonts w:ascii="宋体" w:hAnsi="宋体" w:cs="宋体"/>
                <w:szCs w:val="21"/>
              </w:rPr>
            </w:r>
            <w:r/>
          </w:p>
        </w:tc>
        <w:tc>
          <w:tcPr>
            <w:tcW w:w="2169"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合同金额（万元）</w:t>
            </w:r>
            <w:r>
              <w:rPr>
                <w:rStyle w:val="1192"/>
                <w:rFonts w:ascii="宋体" w:hAnsi="宋体" w:cs="宋体"/>
                <w:szCs w:val="21"/>
              </w:rPr>
            </w:r>
            <w:r/>
          </w:p>
        </w:tc>
        <w:tc>
          <w:tcPr>
            <w:tcW w:w="1605"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备注</w:t>
            </w: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1</w:t>
            </w: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2</w:t>
            </w: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3</w:t>
            </w: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4</w:t>
            </w: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hint="eastAsia" w:ascii="宋体" w:hAnsi="宋体" w:cs="宋体"/>
                <w:szCs w:val="21"/>
              </w:rPr>
              <w:t xml:space="preserve">5</w:t>
            </w: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tbRlV"/>
            <w:noWrap/>
          </w:tcPr>
          <w:p>
            <w:pPr>
              <w:pStyle w:val="842"/>
              <w:ind w:left="113" w:right="113"/>
              <w:jc w:val="center"/>
              <w:spacing w:line="400" w:lineRule="exact"/>
              <w:rPr>
                <w:rStyle w:val="1192"/>
                <w:rFonts w:ascii="宋体" w:hAnsi="宋体" w:cs="宋体"/>
                <w:szCs w:val="21"/>
              </w:rPr>
            </w:pPr>
            <w:r>
              <w:rPr>
                <w:rStyle w:val="1192"/>
                <w:rFonts w:ascii="宋体" w:hAnsi="宋体" w:cs="宋体"/>
                <w:szCs w:val="21"/>
              </w:rPr>
            </w:r>
            <w:r/>
          </w:p>
        </w:tc>
        <w:tc>
          <w:tcPr>
            <w:tcW w:w="1411"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ind w:left="420"/>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411"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r>
      <w:tr>
        <w:trPr>
          <w:cantSplit/>
          <w:trHeight w:val="510" w:hRule="exact"/>
        </w:trPr>
        <w:tc>
          <w:tcPr>
            <w:tcW w:w="871"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411"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349"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678"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2169"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c>
          <w:tcPr>
            <w:tcW w:w="1605" w:type="dxa"/>
            <w:vAlign w:val="center"/>
            <w:textDirection w:val="lrTb"/>
            <w:noWrap/>
          </w:tcPr>
          <w:p>
            <w:pPr>
              <w:pStyle w:val="842"/>
              <w:jc w:val="center"/>
              <w:spacing w:line="400" w:lineRule="exact"/>
              <w:rPr>
                <w:rStyle w:val="1192"/>
                <w:rFonts w:ascii="宋体" w:hAnsi="宋体" w:cs="宋体"/>
                <w:szCs w:val="21"/>
              </w:rPr>
            </w:pPr>
            <w:r>
              <w:rPr>
                <w:rStyle w:val="1192"/>
                <w:rFonts w:ascii="宋体" w:hAnsi="宋体" w:cs="宋体"/>
                <w:szCs w:val="21"/>
              </w:rPr>
            </w:r>
            <w:r/>
          </w:p>
        </w:tc>
      </w:tr>
    </w:tbl>
    <w:p>
      <w:pPr>
        <w:pStyle w:val="842"/>
        <w:rPr>
          <w:rFonts w:ascii="宋体" w:hAnsi="宋体" w:cs="宋体"/>
          <w:szCs w:val="21"/>
        </w:rPr>
      </w:pPr>
      <w:r>
        <w:rPr>
          <w:rFonts w:ascii="宋体" w:hAnsi="宋体" w:cs="宋体"/>
          <w:szCs w:val="21"/>
        </w:rPr>
      </w:r>
      <w:r/>
    </w:p>
    <w:p>
      <w:pPr>
        <w:pStyle w:val="842"/>
        <w:rPr>
          <w:rFonts w:ascii="宋体" w:hAnsi="宋体" w:cs="宋体"/>
          <w:szCs w:val="21"/>
        </w:rPr>
      </w:pPr>
      <w:r>
        <w:rPr>
          <w:rFonts w:hint="eastAsia" w:ascii="宋体" w:hAnsi="宋体" w:cs="宋体"/>
          <w:szCs w:val="21"/>
        </w:rPr>
        <w:t xml:space="preserve">磋商响应单位（盖章）：     </w:t>
      </w:r>
      <w:r>
        <w:rPr>
          <w:rFonts w:ascii="宋体" w:hAnsi="宋体" w:cs="宋体"/>
          <w:szCs w:val="21"/>
        </w:rPr>
      </w:r>
      <w:r/>
    </w:p>
    <w:p>
      <w:pPr>
        <w:pStyle w:val="842"/>
        <w:rPr>
          <w:rFonts w:ascii="宋体" w:hAnsi="宋体" w:cs="宋体"/>
          <w:spacing w:val="20"/>
          <w:szCs w:val="21"/>
        </w:rPr>
      </w:pPr>
      <w:r>
        <w:rPr>
          <w:rFonts w:hint="eastAsia" w:ascii="宋体" w:hAnsi="宋体" w:cs="宋体"/>
          <w:spacing w:val="20"/>
          <w:szCs w:val="21"/>
        </w:rPr>
        <w:t xml:space="preserve">法定代表人或委托代理人：（签字或盖章）                   </w:t>
      </w:r>
      <w:r>
        <w:rPr>
          <w:rFonts w:ascii="宋体" w:hAnsi="宋体" w:cs="宋体"/>
          <w:spacing w:val="20"/>
          <w:szCs w:val="21"/>
        </w:rPr>
      </w:r>
      <w:r/>
    </w:p>
    <w:p>
      <w:pPr>
        <w:pStyle w:val="842"/>
        <w:rPr>
          <w:rFonts w:ascii="宋体" w:hAnsi="宋体" w:cs="宋体"/>
          <w:spacing w:val="20"/>
          <w:szCs w:val="21"/>
        </w:rPr>
      </w:pPr>
      <w:r>
        <w:rPr>
          <w:rFonts w:hint="eastAsia" w:ascii="宋体" w:hAnsi="宋体" w:cs="宋体"/>
          <w:spacing w:val="20"/>
          <w:szCs w:val="21"/>
        </w:rPr>
        <w:t xml:space="preserve">日期：</w:t>
      </w:r>
      <w:r>
        <w:rPr>
          <w:rFonts w:ascii="宋体" w:hAnsi="宋体" w:cs="宋体"/>
          <w:spacing w:val="20"/>
          <w:szCs w:val="21"/>
        </w:rPr>
      </w:r>
      <w:r/>
    </w:p>
    <w:p>
      <w:pPr>
        <w:pStyle w:val="842"/>
        <w:spacing w:line="500" w:lineRule="exact"/>
        <w:rPr>
          <w:rFonts w:ascii="宋体" w:hAnsi="宋体" w:cs="宋体"/>
          <w:szCs w:val="21"/>
        </w:rPr>
      </w:pPr>
      <w:r>
        <w:rPr>
          <w:rFonts w:hint="eastAsia" w:ascii="宋体" w:hAnsi="宋体"/>
          <w:bCs/>
          <w:spacing w:val="20"/>
          <w:szCs w:val="21"/>
        </w:rPr>
        <w:br w:type="page" w:clear="all"/>
      </w:r>
      <w:r>
        <w:rPr>
          <w:rFonts w:hint="eastAsia" w:ascii="宋体" w:hAnsi="宋体" w:cs="宋体"/>
          <w:b/>
          <w:bCs/>
          <w:szCs w:val="21"/>
        </w:rPr>
        <w:t xml:space="preserve">6.5服务方案： </w:t>
      </w:r>
      <w:r>
        <w:rPr>
          <w:rFonts w:ascii="宋体" w:hAnsi="宋体" w:cs="宋体"/>
          <w:szCs w:val="21"/>
        </w:rPr>
      </w:r>
      <w:r/>
    </w:p>
    <w:p>
      <w:pPr>
        <w:pStyle w:val="842"/>
        <w:jc w:val="center"/>
        <w:rPr>
          <w:rFonts w:ascii="宋体" w:hAnsi="宋体" w:cs="宋体"/>
          <w:b/>
          <w:bCs/>
          <w:sz w:val="32"/>
          <w:szCs w:val="32"/>
        </w:rPr>
      </w:pPr>
      <w:r>
        <w:rPr>
          <w:rFonts w:hint="eastAsia" w:ascii="宋体" w:hAnsi="宋体" w:cs="宋体"/>
          <w:b/>
          <w:bCs/>
          <w:szCs w:val="21"/>
        </w:rPr>
        <w:t xml:space="preserve">服务方案</w:t>
      </w:r>
      <w:r>
        <w:rPr>
          <w:rFonts w:ascii="宋体" w:hAnsi="宋体" w:cs="宋体"/>
          <w:b/>
          <w:bCs/>
          <w:sz w:val="32"/>
          <w:szCs w:val="32"/>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9288" w:type="dxa"/>
            <w:vAlign w:val="top"/>
            <w:textDirection w:val="lrTb"/>
            <w:noWrap/>
          </w:tcPr>
          <w:p>
            <w:pPr>
              <w:pStyle w:val="842"/>
              <w:jc w:val="left"/>
              <w:tabs>
                <w:tab w:val="left" w:pos="1320" w:leader="none"/>
              </w:tabs>
              <w:rPr>
                <w:rFonts w:ascii="宋体" w:hAnsi="宋体" w:cs="宋体"/>
                <w:szCs w:val="21"/>
                <w:lang w:val="zh-CN"/>
              </w:rPr>
            </w:pPr>
            <w:r>
              <w:rPr>
                <w:rFonts w:hint="eastAsia" w:ascii="宋体" w:hAnsi="宋体" w:cs="宋体"/>
                <w:szCs w:val="21"/>
                <w:lang w:val="zh-CN"/>
              </w:rPr>
              <w:t xml:space="preserve">提示：</w:t>
            </w:r>
            <w:r>
              <w:rPr>
                <w:rFonts w:ascii="宋体" w:hAnsi="宋体" w:cs="宋体"/>
                <w:szCs w:val="21"/>
                <w:lang w:val="zh-CN"/>
              </w:rPr>
            </w:r>
            <w:r/>
          </w:p>
          <w:p>
            <w:pPr>
              <w:pStyle w:val="842"/>
              <w:jc w:val="left"/>
              <w:rPr>
                <w:rFonts w:ascii="宋体" w:hAnsi="宋体" w:cs="宋体"/>
                <w:szCs w:val="21"/>
                <w:lang w:val="zh-CN"/>
              </w:rPr>
            </w:pPr>
            <w:r>
              <w:rPr>
                <w:rFonts w:hint="eastAsia" w:ascii="宋体" w:hAnsi="宋体" w:cs="宋体"/>
                <w:szCs w:val="21"/>
                <w:lang w:val="zh-CN"/>
              </w:rPr>
              <w:t xml:space="preserve">1、响应单位应针对本项目特点编写成交后拟采取的方案。</w:t>
            </w:r>
            <w:r>
              <w:rPr>
                <w:rFonts w:ascii="宋体" w:hAnsi="宋体" w:cs="宋体"/>
                <w:szCs w:val="21"/>
                <w:lang w:val="zh-CN"/>
              </w:rPr>
            </w:r>
            <w:r/>
          </w:p>
          <w:p>
            <w:pPr>
              <w:pStyle w:val="842"/>
              <w:jc w:val="left"/>
              <w:rPr>
                <w:rFonts w:ascii="宋体" w:hAnsi="宋体" w:cs="宋体"/>
              </w:rPr>
            </w:pPr>
            <w:r>
              <w:rPr>
                <w:rFonts w:hint="eastAsia" w:ascii="宋体" w:hAnsi="宋体" w:cs="宋体"/>
                <w:szCs w:val="21"/>
                <w:lang w:val="zh-CN"/>
              </w:rPr>
              <w:t xml:space="preserve">2、响应单位可根据自身情况编写，本页不够可另加页附后。</w:t>
            </w:r>
            <w:r>
              <w:rPr>
                <w:rFonts w:ascii="宋体" w:hAnsi="宋体" w:cs="宋体"/>
              </w:rPr>
            </w:r>
            <w:r/>
          </w:p>
        </w:tc>
      </w:tr>
      <w:tr>
        <w:trPr>
          <w:trHeight w:val="9934"/>
        </w:trPr>
        <w:tc>
          <w:tcPr>
            <w:tcBorders>
              <w:top w:val="single" w:color="000000" w:sz="6" w:space="0"/>
              <w:left w:val="single" w:color="000000" w:sz="6" w:space="0"/>
              <w:bottom w:val="single" w:color="000000" w:sz="6" w:space="0"/>
              <w:right w:val="single" w:color="000000" w:sz="6" w:space="0"/>
            </w:tcBorders>
            <w:tcW w:w="9288" w:type="dxa"/>
            <w:vAlign w:val="top"/>
            <w:textDirection w:val="lrTb"/>
            <w:noWrap/>
          </w:tcPr>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jc w:val="left"/>
              <w:tabs>
                <w:tab w:val="left" w:pos="1320" w:leader="none"/>
              </w:tabs>
              <w:rPr>
                <w:rFonts w:ascii="宋体" w:hAnsi="宋体" w:cs="宋体"/>
                <w:szCs w:val="21"/>
              </w:rPr>
            </w:pPr>
            <w:r>
              <w:rPr>
                <w:rFonts w:ascii="宋体" w:hAnsi="宋体" w:cs="宋体"/>
                <w:szCs w:val="21"/>
              </w:rPr>
            </w:r>
            <w:r/>
          </w:p>
          <w:p>
            <w:pPr>
              <w:pStyle w:val="842"/>
              <w:ind w:firstLine="420"/>
              <w:jc w:val="left"/>
              <w:tabs>
                <w:tab w:val="left" w:pos="1320" w:leader="none"/>
              </w:tabs>
              <w:rPr>
                <w:rFonts w:ascii="宋体" w:hAnsi="宋体" w:cs="宋体"/>
                <w:szCs w:val="21"/>
                <w:lang w:val="zh-CN"/>
              </w:rPr>
            </w:pPr>
            <w:r>
              <w:rPr>
                <w:rFonts w:hint="eastAsia" w:ascii="宋体" w:hAnsi="宋体" w:cs="宋体"/>
                <w:szCs w:val="21"/>
                <w:lang w:val="zh-CN"/>
              </w:rPr>
              <w:t xml:space="preserve">磋商响应单位（盖章）：</w:t>
            </w:r>
            <w:r>
              <w:rPr>
                <w:rFonts w:ascii="宋体" w:hAnsi="宋体" w:cs="宋体"/>
                <w:szCs w:val="21"/>
                <w:lang w:val="zh-CN"/>
              </w:rPr>
            </w:r>
            <w:r/>
          </w:p>
          <w:p>
            <w:pPr>
              <w:pStyle w:val="842"/>
              <w:ind w:firstLine="420"/>
              <w:jc w:val="left"/>
              <w:tabs>
                <w:tab w:val="left" w:pos="1320" w:leader="none"/>
              </w:tabs>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842"/>
              <w:ind w:firstLine="420"/>
              <w:jc w:val="left"/>
              <w:tabs>
                <w:tab w:val="left" w:pos="1320" w:leader="none"/>
              </w:tabs>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tc>
      </w:tr>
    </w:tbl>
    <w:p>
      <w:pPr>
        <w:pStyle w:val="842"/>
        <w:jc w:val="right"/>
        <w:spacing w:line="400" w:lineRule="exact"/>
        <w:rPr>
          <w:rFonts w:hint="eastAsia" w:ascii="宋体" w:hAnsi="宋体" w:cs="宋体"/>
          <w:b/>
          <w:bCs/>
          <w:szCs w:val="21"/>
        </w:rPr>
      </w:pPr>
      <w:r>
        <w:rPr>
          <w:rFonts w:hint="eastAsia" w:ascii="宋体" w:hAnsi="宋体" w:cs="宋体"/>
          <w:b/>
          <w:bCs/>
          <w:szCs w:val="21"/>
        </w:rPr>
        <w:t xml:space="preserve">（全文完）</w:t>
      </w:r>
      <w:r/>
    </w:p>
    <w:sectPr>
      <w:footnotePr/>
      <w:endnotePr/>
      <w:type w:val="nextPage"/>
      <w:pgSz w:w="11906" w:h="16838" w:orient="portrait"/>
      <w:pgMar w:top="1440" w:right="1417" w:bottom="1134" w:left="141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仿宋v.萀">
    <w:panose1 w:val="02010609060101010101"/>
  </w:font>
  <w:font w:name="楷体">
    <w:panose1 w:val="02010609060101010101"/>
  </w:font>
  <w:font w:name="Symbol">
    <w:panose1 w:val="05050102010706020507"/>
  </w:font>
  <w:font w:name="Calibri">
    <w:panose1 w:val="020F0502020204030204"/>
  </w:font>
  <w:font w:name="Lucida Sans Unicode">
    <w:panose1 w:val="020B0602030504020204"/>
  </w:font>
  <w:font w:name="黑体">
    <w:panose1 w:val="02010609060101010101"/>
  </w:font>
  <w:font w:name="仿宋_GB2312">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Courier New">
    <w:panose1 w:val="020703090202050204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35890" cy="4267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5890" cy="42672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42"/>
                          </w:pPr>
                          <w:r/>
                          <w:r/>
                        </w:p>
                        <w:p>
                          <w:pPr>
                            <w:pStyle w:val="842"/>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42"/>
                    </w:pPr>
                    <w:r/>
                    <w:r/>
                  </w:p>
                  <w:p>
                    <w:pPr>
                      <w:pStyle w:val="84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90500" cy="2362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90500" cy="23622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48</w:t>
                          </w:r>
                          <w:r>
                            <w:fldChar w:fldCharType="end"/>
                          </w:r>
                          <w:r/>
                        </w:p>
                        <w:p>
                          <w:pPr>
                            <w:pStyle w:val="842"/>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48</w:t>
                    </w:r>
                    <w:r>
                      <w:fldChar w:fldCharType="end"/>
                    </w:r>
                    <w:r/>
                  </w:p>
                  <w:p>
                    <w:pPr>
                      <w:pStyle w:val="842"/>
                    </w:pPr>
                    <w:r/>
                    <w:r/>
                  </w:p>
                </w:txbxContent>
              </v:textbox>
            </v:shape>
          </w:pict>
        </mc:Fallback>
      </mc:AlternateContent>
    </w:r>
    <w:r>
      <w:rPr>
        <w:rFonts w:ascii="Microsoft JhengHei" w:hAnsi="Microsoft JhengHei" w:eastAsia="Microsoft JhengHei" w:cs="Microsoft JhengHe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1463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14630" cy="1524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71</w:t>
                          </w:r>
                          <w:r>
                            <w:fldChar w:fldCharType="end"/>
                          </w:r>
                          <w:r/>
                        </w:p>
                        <w:p>
                          <w:pPr>
                            <w:pStyle w:val="842"/>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71</w:t>
                    </w:r>
                    <w:r>
                      <w:fldChar w:fldCharType="end"/>
                    </w:r>
                    <w:r/>
                  </w:p>
                  <w:p>
                    <w:pPr>
                      <w:pStyle w:val="842"/>
                    </w:pPr>
                    <w:r/>
                    <w:r/>
                  </w:p>
                </w:txbxContent>
              </v:textbox>
            </v:shape>
          </w:pict>
        </mc:Fallback>
      </mc:AlternateContent>
    </w:r>
    <w:r>
      <w:rPr>
        <w:rFonts w:ascii="Microsoft JhengHei" w:hAnsi="Microsoft JhengHei" w:eastAsia="Microsoft JhengHei" w:cs="Microsoft JhengHe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rPr>
        <w:rFonts w:ascii="Arial" w:hAnsi="Arial" w:cs="Arial"/>
        <w:highlight w:val="yellow"/>
      </w:rPr>
    </w:pPr>
    <w:r>
      <w:rPr>
        <w:rFonts w:hint="eastAsia" w:ascii="Arial" w:hAnsi="Arial" w:cs="Arial"/>
      </w:rPr>
      <w:t xml:space="preserve">苏州市吴江区星辰技术咨询服务有限公司                          </w:t>
    </w:r>
    <w:r>
      <w:rPr>
        <w:rFonts w:hint="eastAsia" w:ascii="Arial" w:hAnsi="Arial" w:cs="Arial"/>
      </w:rPr>
      <w:t xml:space="preserve">JSZC-320509-SZXC-C2026-0005</w:t>
    </w:r>
    <w:r>
      <w:rPr>
        <w:rFonts w:ascii="Arial" w:hAnsi="Arial" w:cs="Arial"/>
        <w:highlight w:val="yellow"/>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sz w:val="20"/>
      </w:rPr>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4279265</wp:posOffset>
              </wp:positionH>
              <wp:positionV relativeFrom="page">
                <wp:posOffset>370840</wp:posOffset>
              </wp:positionV>
              <wp:extent cx="2254250" cy="1498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54250" cy="149860"/>
                      </a:xfrm>
                      <a:prstGeom prst="rect">
                        <a:avLst/>
                      </a:prstGeom>
                      <a:noFill/>
                      <a:ln>
                        <a:noFill/>
                      </a:ln>
                    </wps:spPr>
                    <wps:txbx>
                      <w:txbxContent>
                        <w:p>
                          <w:pPr>
                            <w:pStyle w:val="842"/>
                            <w:ind w:left="20"/>
                            <w:spacing w:line="220" w:lineRule="exact"/>
                            <w:rPr>
                              <w:rFonts w:ascii="楷体" w:eastAsia="楷体"/>
                              <w:sz w:val="18"/>
                            </w:rPr>
                          </w:pPr>
                          <w:r>
                            <w:rPr>
                              <w:rFonts w:hint="eastAsia" w:ascii="楷体" w:eastAsia="楷体"/>
                              <w:sz w:val="18"/>
                            </w:rPr>
                            <w:t xml:space="preserve">项目编号：JSZC-320509-SZXC-C2026-0006</w:t>
                          </w:r>
                          <w:r>
                            <w:rPr>
                              <w:rFonts w:ascii="楷体" w:eastAsia="楷体"/>
                              <w:sz w:val="18"/>
                            </w:rPr>
                          </w:r>
                          <w:r/>
                        </w:p>
                        <w:p>
                          <w:pPr>
                            <w:pStyle w:val="84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336.9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pStyle w:val="842"/>
                      <w:ind w:left="20"/>
                      <w:spacing w:line="220" w:lineRule="exact"/>
                      <w:rPr>
                        <w:rFonts w:ascii="楷体" w:eastAsia="楷体"/>
                        <w:sz w:val="18"/>
                      </w:rPr>
                    </w:pPr>
                    <w:r>
                      <w:rPr>
                        <w:rFonts w:hint="eastAsia" w:ascii="楷体" w:eastAsia="楷体"/>
                        <w:sz w:val="18"/>
                      </w:rPr>
                      <w:t xml:space="preserve">项目编号：JSZC-320509-SZXC-C2026-0006</w:t>
                    </w:r>
                    <w:r>
                      <w:rPr>
                        <w:rFonts w:ascii="楷体" w:eastAsia="楷体"/>
                        <w:sz w:val="18"/>
                      </w:rPr>
                    </w:r>
                    <w:r/>
                  </w:p>
                  <w:p>
                    <w:pPr>
                      <w:pStyle w:val="842"/>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886460</wp:posOffset>
              </wp:positionH>
              <wp:positionV relativeFrom="page">
                <wp:posOffset>370840</wp:posOffset>
              </wp:positionV>
              <wp:extent cx="2313940" cy="1498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13940" cy="149860"/>
                      </a:xfrm>
                      <a:prstGeom prst="rect">
                        <a:avLst/>
                      </a:prstGeom>
                      <a:noFill/>
                      <a:ln>
                        <a:noFill/>
                      </a:ln>
                    </wps:spPr>
                    <wps:txbx>
                      <w:txbxContent>
                        <w:p>
                          <w:pPr>
                            <w:pStyle w:val="842"/>
                            <w:ind w:left="20"/>
                            <w:spacing w:line="220" w:lineRule="exact"/>
                            <w:rPr>
                              <w:rFonts w:ascii="楷体" w:eastAsia="楷体"/>
                              <w:sz w:val="18"/>
                            </w:rPr>
                          </w:pPr>
                          <w:r>
                            <w:rPr>
                              <w:rFonts w:hint="eastAsia" w:ascii="楷体" w:eastAsia="楷体"/>
                              <w:sz w:val="18"/>
                            </w:rPr>
                            <w:t xml:space="preserve">苏州市吴江区星辰技术咨询服务有限公司</w:t>
                          </w:r>
                          <w:r>
                            <w:rPr>
                              <w:rFonts w:ascii="楷体" w:eastAsia="楷体"/>
                              <w:sz w:val="18"/>
                            </w:rPr>
                          </w:r>
                          <w:r/>
                        </w:p>
                        <w:p>
                          <w:pPr>
                            <w:pStyle w:val="842"/>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69.8pt;mso-position-horizontal:absolute;mso-position-vertical-relative:page;margin-top:29.2pt;mso-position-vertical:absolute;width:182.2pt;height:11.8pt;mso-wrap-distance-left:9.0pt;mso-wrap-distance-top:0.0pt;mso-wrap-distance-right:9.0pt;mso-wrap-distance-bottom:0.0pt;visibility:visible;" filled="f" stroked="f">
              <v:textbox inset="0,0,0,0">
                <w:txbxContent>
                  <w:p>
                    <w:pPr>
                      <w:pStyle w:val="842"/>
                      <w:ind w:left="20"/>
                      <w:spacing w:line="220" w:lineRule="exact"/>
                      <w:rPr>
                        <w:rFonts w:ascii="楷体" w:eastAsia="楷体"/>
                        <w:sz w:val="18"/>
                      </w:rPr>
                    </w:pPr>
                    <w:r>
                      <w:rPr>
                        <w:rFonts w:hint="eastAsia" w:ascii="楷体" w:eastAsia="楷体"/>
                        <w:sz w:val="18"/>
                      </w:rPr>
                      <w:t xml:space="preserve">苏州市吴江区星辰技术咨询服务有限公司</w:t>
                    </w:r>
                    <w:r>
                      <w:rPr>
                        <w:rFonts w:ascii="楷体" w:eastAsia="楷体"/>
                        <w:sz w:val="18"/>
                      </w:rPr>
                    </w:r>
                    <w:r/>
                  </w:p>
                  <w:p>
                    <w:pPr>
                      <w:pStyle w:val="842"/>
                    </w:pPr>
                    <w:r/>
                    <w:r/>
                  </w:p>
                </w:txbxContent>
              </v:textbox>
            </v:shape>
          </w:pict>
        </mc:Fallback>
      </mc:AlternateContent>
    </w: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42"/>
        <w:ind w:left="0" w:firstLine="420"/>
      </w:pPr>
      <w:rPr>
        <w:rFonts w:hint="eastAsia"/>
      </w:r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42"/>
      </w:pPr>
      <w:rPr>
        <w:rFonts w:hint="eastAsia"/>
      </w:r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842"/>
        <w:ind w:left="142" w:firstLine="0"/>
      </w:pPr>
      <w:rPr>
        <w:rFonts w:hint="eastAsia"/>
        <w:b/>
      </w:rPr>
    </w:lvl>
    <w:lvl w:ilvl="1">
      <w:start w:val="1"/>
      <w:numFmt w:val="chineseCountingThousand"/>
      <w:isLgl w:val="false"/>
      <w:suff w:val="tab"/>
      <w:lvlText w:val="(%2)"/>
      <w:lvlJc w:val="left"/>
      <w:pPr>
        <w:pStyle w:val="842"/>
        <w:ind w:left="142" w:firstLine="0"/>
      </w:pPr>
    </w:lvl>
    <w:lvl w:ilvl="2">
      <w:start w:val="1"/>
      <w:numFmt w:val="decimal"/>
      <w:pStyle w:val="1129"/>
      <w:isLgl w:val="false"/>
      <w:suff w:val="tab"/>
      <w:lvlText w:val="%3."/>
      <w:lvlJc w:val="left"/>
      <w:pPr>
        <w:pStyle w:val="842"/>
        <w:ind w:left="142" w:firstLine="0"/>
      </w:pPr>
      <w:rPr>
        <w:rFonts w:hint="eastAsia"/>
      </w:rPr>
    </w:lvl>
    <w:lvl w:ilvl="3">
      <w:start w:val="1"/>
      <w:numFmt w:val="decimal"/>
      <w:isLgl w:val="false"/>
      <w:suff w:val="tab"/>
      <w:lvlText w:val="(%4)"/>
      <w:lvlJc w:val="left"/>
      <w:pPr>
        <w:pStyle w:val="842"/>
        <w:ind w:left="142" w:firstLine="0"/>
      </w:pPr>
    </w:lvl>
    <w:lvl w:ilvl="4">
      <w:start w:val="0"/>
      <w:numFmt w:val="decimal"/>
      <w:isLgl w:val="false"/>
      <w:suff w:val="tab"/>
      <w:lvlText w:val=""/>
      <w:lvlJc w:val="left"/>
      <w:pPr>
        <w:pStyle w:val="842"/>
        <w:tabs>
          <w:tab w:val="num" w:pos="360" w:leader="none"/>
        </w:tabs>
      </w:pPr>
    </w:lvl>
    <w:lvl w:ilvl="5">
      <w:start w:val="2"/>
      <w:numFmt w:val="upperLetter"/>
      <w:isLgl w:val="false"/>
      <w:suff w:val="tab"/>
      <w:lvlText w:val="%6、"/>
      <w:lvlJc w:val="left"/>
      <w:pPr>
        <w:pStyle w:val="842"/>
        <w:ind w:left="142" w:firstLine="0"/>
      </w:pPr>
    </w:lvl>
    <w:lvl w:ilvl="6">
      <w:start w:val="1"/>
      <w:numFmt w:val="upperLetter"/>
      <w:isLgl w:val="false"/>
      <w:suff w:val="tab"/>
      <w:lvlText w:val="%7）"/>
      <w:lvlJc w:val="left"/>
      <w:pPr>
        <w:pStyle w:val="842"/>
        <w:ind w:left="142" w:firstLine="0"/>
      </w:pPr>
    </w:lvl>
    <w:lvl w:ilvl="7">
      <w:start w:val="0"/>
      <w:numFmt w:val="decimal"/>
      <w:isLgl w:val="false"/>
      <w:suff w:val="tab"/>
      <w:lvlText w:val=""/>
      <w:lvlJc w:val="left"/>
      <w:pPr>
        <w:pStyle w:val="842"/>
        <w:tabs>
          <w:tab w:val="num" w:pos="360" w:leader="none"/>
        </w:tabs>
      </w:pPr>
    </w:lvl>
    <w:lvl w:ilvl="8">
      <w:start w:val="0"/>
      <w:numFmt w:val="decimal"/>
      <w:isLgl w:val="false"/>
      <w:suff w:val="tab"/>
      <w:lvlText w:val=""/>
      <w:lvlJc w:val="left"/>
      <w:pPr>
        <w:pStyle w:val="842"/>
        <w:tabs>
          <w:tab w:val="num" w:pos="360" w:leader="none"/>
        </w:tabs>
      </w:pPr>
    </w:lvl>
  </w:abstractNum>
  <w:abstractNum w:abstractNumId="3">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4">
    <w:multiLevelType w:val="hybridMultilevel"/>
    <w:lvl w:ilvl="0">
      <w:start w:val="1"/>
      <w:numFmt w:val="japaneseCounting"/>
      <w:pStyle w:val="918"/>
      <w:isLgl w:val="false"/>
      <w:suff w:val="tab"/>
      <w:lvlText w:val="%1、"/>
      <w:lvlJc w:val="left"/>
      <w:pPr>
        <w:pStyle w:val="842"/>
        <w:ind w:left="420" w:hanging="420"/>
        <w:tabs>
          <w:tab w:val="num" w:pos="420" w:leader="none"/>
        </w:tabs>
      </w:pPr>
      <w:rPr>
        <w:rFonts w:hint="eastAsia"/>
      </w:rPr>
    </w:lvl>
    <w:lvl w:ilvl="1">
      <w:start w:val="1"/>
      <w:numFmt w:val="decimal"/>
      <w:isLgl w:val="false"/>
      <w:suff w:val="tab"/>
      <w:lvlText w:val="%2、"/>
      <w:lvlJc w:val="left"/>
      <w:pPr>
        <w:pStyle w:val="842"/>
        <w:ind w:left="780" w:hanging="360"/>
        <w:tabs>
          <w:tab w:val="num" w:pos="780" w:leader="none"/>
        </w:tabs>
      </w:pPr>
      <w:rPr>
        <w:rFonts w:hint="eastAsia"/>
      </w:rPr>
    </w:lvl>
    <w:lvl w:ilvl="2">
      <w:start w:val="1"/>
      <w:numFmt w:val="lowerRoman"/>
      <w:isLgl w:val="false"/>
      <w:suff w:val="tab"/>
      <w:lvlText w:val="%3."/>
      <w:lvlJc w:val="right"/>
      <w:pPr>
        <w:pStyle w:val="842"/>
        <w:ind w:left="1260" w:hanging="420"/>
        <w:tabs>
          <w:tab w:val="num" w:pos="1260" w:leader="none"/>
        </w:tabs>
      </w:pPr>
    </w:lvl>
    <w:lvl w:ilvl="3">
      <w:start w:val="1"/>
      <w:numFmt w:val="decimal"/>
      <w:isLgl w:val="false"/>
      <w:suff w:val="tab"/>
      <w:lvlText w:val="%4."/>
      <w:lvlJc w:val="left"/>
      <w:pPr>
        <w:pStyle w:val="842"/>
        <w:ind w:left="1680" w:hanging="420"/>
        <w:tabs>
          <w:tab w:val="num" w:pos="1680" w:leader="none"/>
        </w:tabs>
      </w:pPr>
    </w:lvl>
    <w:lvl w:ilvl="4">
      <w:start w:val="1"/>
      <w:numFmt w:val="lowerLetter"/>
      <w:isLgl w:val="false"/>
      <w:suff w:val="tab"/>
      <w:lvlText w:val="%5)"/>
      <w:lvlJc w:val="left"/>
      <w:pPr>
        <w:pStyle w:val="842"/>
        <w:ind w:left="2100" w:hanging="420"/>
        <w:tabs>
          <w:tab w:val="num" w:pos="2100" w:leader="none"/>
        </w:tabs>
      </w:pPr>
    </w:lvl>
    <w:lvl w:ilvl="5">
      <w:start w:val="1"/>
      <w:numFmt w:val="lowerRoman"/>
      <w:isLgl w:val="false"/>
      <w:suff w:val="tab"/>
      <w:lvlText w:val="%6."/>
      <w:lvlJc w:val="right"/>
      <w:pPr>
        <w:pStyle w:val="842"/>
        <w:ind w:left="2520" w:hanging="420"/>
        <w:tabs>
          <w:tab w:val="num" w:pos="2520" w:leader="none"/>
        </w:tabs>
      </w:pPr>
    </w:lvl>
    <w:lvl w:ilvl="6">
      <w:start w:val="1"/>
      <w:numFmt w:val="decimal"/>
      <w:isLgl w:val="false"/>
      <w:suff w:val="tab"/>
      <w:lvlText w:val="%7."/>
      <w:lvlJc w:val="left"/>
      <w:pPr>
        <w:pStyle w:val="842"/>
        <w:ind w:left="2940" w:hanging="420"/>
        <w:tabs>
          <w:tab w:val="num" w:pos="2940" w:leader="none"/>
        </w:tabs>
      </w:pPr>
    </w:lvl>
    <w:lvl w:ilvl="7">
      <w:start w:val="1"/>
      <w:numFmt w:val="lowerLetter"/>
      <w:isLgl w:val="false"/>
      <w:suff w:val="tab"/>
      <w:lvlText w:val="%8)"/>
      <w:lvlJc w:val="left"/>
      <w:pPr>
        <w:pStyle w:val="842"/>
        <w:ind w:left="3360" w:hanging="420"/>
        <w:tabs>
          <w:tab w:val="num" w:pos="3360" w:leader="none"/>
        </w:tabs>
      </w:pPr>
    </w:lvl>
    <w:lvl w:ilvl="8">
      <w:start w:val="1"/>
      <w:numFmt w:val="lowerRoman"/>
      <w:isLgl w:val="false"/>
      <w:suff w:val="tab"/>
      <w:lvlText w:val="%9."/>
      <w:lvlJc w:val="right"/>
      <w:pPr>
        <w:pStyle w:val="842"/>
        <w:ind w:left="3780" w:hanging="420"/>
        <w:tabs>
          <w:tab w:val="num" w:pos="3780" w:leader="none"/>
        </w:tabs>
      </w:pPr>
    </w:lvl>
  </w:abstractNum>
  <w:abstractNum w:abstractNumId="5">
    <w:multiLevelType w:val="hybridMultilevel"/>
    <w:lvl w:ilvl="0">
      <w:start w:val="2"/>
      <w:numFmt w:val="chineseCounting"/>
      <w:isLgl w:val="false"/>
      <w:suff w:val="nothing"/>
      <w:lvlText w:val="%1、"/>
      <w:lvlJc w:val="left"/>
      <w:pPr>
        <w:pStyle w:val="842"/>
      </w:pPr>
      <w:rPr>
        <w:rFonts w:hint="eastAsia"/>
      </w:r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6">
    <w:multiLevelType w:val="hybridMultilevel"/>
    <w:lvl w:ilvl="0">
      <w:start w:val="3"/>
      <w:numFmt w:val="decimal"/>
      <w:pStyle w:val="1157"/>
      <w:isLgl w:val="false"/>
      <w:suff w:val="nothing"/>
      <w:lvlText w:val="%1、"/>
      <w:lvlJc w:val="left"/>
      <w:pPr>
        <w:pStyle w:val="842"/>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42"/>
        <w:ind w:left="425" w:hanging="425"/>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42"/>
        <w:ind w:left="425" w:hanging="425"/>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842"/>
        <w:ind w:left="720" w:hanging="720"/>
        <w:tabs>
          <w:tab w:val="num" w:pos="720" w:leader="none"/>
        </w:tabs>
      </w:pPr>
    </w:lvl>
    <w:lvl w:ilvl="1">
      <w:start w:val="1"/>
      <w:numFmt w:val="lowerLetter"/>
      <w:pStyle w:val="1127"/>
      <w:isLgl w:val="false"/>
      <w:suff w:val="tab"/>
      <w:lvlText w:val="%2)"/>
      <w:lvlJc w:val="left"/>
      <w:pPr>
        <w:pStyle w:val="842"/>
        <w:ind w:left="840" w:hanging="420"/>
        <w:tabs>
          <w:tab w:val="num" w:pos="840" w:leader="none"/>
        </w:tabs>
      </w:pPr>
    </w:lvl>
    <w:lvl w:ilvl="2">
      <w:start w:val="1"/>
      <w:numFmt w:val="lowerRoman"/>
      <w:isLgl w:val="false"/>
      <w:suff w:val="tab"/>
      <w:lvlText w:val="%3."/>
      <w:lvlJc w:val="right"/>
      <w:pPr>
        <w:pStyle w:val="842"/>
        <w:ind w:left="1260" w:hanging="420"/>
        <w:tabs>
          <w:tab w:val="num" w:pos="1260" w:leader="none"/>
        </w:tabs>
      </w:pPr>
    </w:lvl>
    <w:lvl w:ilvl="3">
      <w:start w:val="1"/>
      <w:numFmt w:val="decimal"/>
      <w:isLgl w:val="false"/>
      <w:suff w:val="tab"/>
      <w:lvlText w:val="%4."/>
      <w:lvlJc w:val="left"/>
      <w:pPr>
        <w:pStyle w:val="842"/>
        <w:ind w:left="1680" w:hanging="420"/>
        <w:tabs>
          <w:tab w:val="num" w:pos="1680" w:leader="none"/>
        </w:tabs>
      </w:pPr>
    </w:lvl>
    <w:lvl w:ilvl="4">
      <w:start w:val="1"/>
      <w:numFmt w:val="lowerLetter"/>
      <w:isLgl w:val="false"/>
      <w:suff w:val="tab"/>
      <w:lvlText w:val="%5)"/>
      <w:lvlJc w:val="left"/>
      <w:pPr>
        <w:pStyle w:val="842"/>
        <w:ind w:left="2100" w:hanging="420"/>
        <w:tabs>
          <w:tab w:val="num" w:pos="2100" w:leader="none"/>
        </w:tabs>
      </w:pPr>
    </w:lvl>
    <w:lvl w:ilvl="5">
      <w:start w:val="1"/>
      <w:numFmt w:val="lowerRoman"/>
      <w:isLgl w:val="false"/>
      <w:suff w:val="tab"/>
      <w:lvlText w:val="%6."/>
      <w:lvlJc w:val="right"/>
      <w:pPr>
        <w:pStyle w:val="842"/>
        <w:ind w:left="2520" w:hanging="420"/>
        <w:tabs>
          <w:tab w:val="num" w:pos="2520" w:leader="none"/>
        </w:tabs>
      </w:pPr>
    </w:lvl>
    <w:lvl w:ilvl="6">
      <w:start w:val="1"/>
      <w:numFmt w:val="decimal"/>
      <w:isLgl w:val="false"/>
      <w:suff w:val="tab"/>
      <w:lvlText w:val="%7."/>
      <w:lvlJc w:val="left"/>
      <w:pPr>
        <w:pStyle w:val="842"/>
        <w:ind w:left="2940" w:hanging="420"/>
        <w:tabs>
          <w:tab w:val="num" w:pos="2940" w:leader="none"/>
        </w:tabs>
      </w:pPr>
    </w:lvl>
    <w:lvl w:ilvl="7">
      <w:start w:val="1"/>
      <w:numFmt w:val="lowerLetter"/>
      <w:isLgl w:val="false"/>
      <w:suff w:val="tab"/>
      <w:lvlText w:val="%8)"/>
      <w:lvlJc w:val="left"/>
      <w:pPr>
        <w:pStyle w:val="842"/>
        <w:ind w:left="3360" w:hanging="420"/>
        <w:tabs>
          <w:tab w:val="num" w:pos="3360" w:leader="none"/>
        </w:tabs>
      </w:pPr>
    </w:lvl>
    <w:lvl w:ilvl="8">
      <w:start w:val="1"/>
      <w:numFmt w:val="lowerRoman"/>
      <w:isLgl w:val="false"/>
      <w:suff w:val="tab"/>
      <w:lvlText w:val="%9."/>
      <w:lvlJc w:val="right"/>
      <w:pPr>
        <w:pStyle w:val="842"/>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42"/>
        <w:ind w:left="425" w:hanging="425"/>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num w:numId="1">
    <w:abstractNumId w:val="4"/>
  </w:num>
  <w:num w:numId="2">
    <w:abstractNumId w:val="9"/>
  </w:num>
  <w:num w:numId="3">
    <w:abstractNumId w:val="2"/>
  </w:num>
  <w:num w:numId="4">
    <w:abstractNumId w:val="6"/>
  </w:num>
  <w:num w:numId="5">
    <w:abstractNumId w:val="7"/>
  </w:num>
  <w:num w:numId="6">
    <w:abstractNumId w:val="10"/>
  </w:num>
  <w:num w:numId="7">
    <w:abstractNumId w:val="8"/>
  </w:num>
  <w:num w:numId="8">
    <w:abstractNumId w:val="5"/>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2"/>
    <w:next w:val="842"/>
    <w:link w:val="974"/>
    <w:uiPriority w:val="10"/>
    <w:qFormat/>
    <w:pPr>
      <w:contextualSpacing/>
      <w:spacing w:before="300" w:after="200"/>
    </w:pPr>
    <w:rPr>
      <w:sz w:val="48"/>
      <w:szCs w:val="48"/>
    </w:rPr>
  </w:style>
  <w:style w:type="paragraph" w:styleId="35">
    <w:name w:val="Subtitle"/>
    <w:basedOn w:val="842"/>
    <w:next w:val="842"/>
    <w:link w:val="975"/>
    <w:uiPriority w:val="11"/>
    <w:qFormat/>
    <w:pPr>
      <w:spacing w:before="200" w:after="200"/>
    </w:pPr>
    <w:rPr>
      <w:sz w:val="24"/>
      <w:szCs w:val="24"/>
    </w:rPr>
  </w:style>
  <w:style w:type="paragraph" w:styleId="37">
    <w:name w:val="Quote"/>
    <w:basedOn w:val="842"/>
    <w:next w:val="842"/>
    <w:link w:val="906"/>
    <w:uiPriority w:val="29"/>
    <w:qFormat/>
    <w:pPr>
      <w:ind w:left="720" w:right="720"/>
    </w:pPr>
    <w:rPr>
      <w:i/>
    </w:rPr>
  </w:style>
  <w:style w:type="paragraph" w:styleId="39">
    <w:name w:val="Intense Quote"/>
    <w:basedOn w:val="842"/>
    <w:next w:val="842"/>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42"/>
    <w:link w:val="1169"/>
    <w:uiPriority w:val="99"/>
    <w:unhideWhenUsed/>
    <w:pPr>
      <w:spacing w:after="0" w:line="240" w:lineRule="auto"/>
      <w:tabs>
        <w:tab w:val="center" w:pos="7143" w:leader="none"/>
        <w:tab w:val="right" w:pos="14287" w:leader="none"/>
      </w:tabs>
    </w:pPr>
  </w:style>
  <w:style w:type="paragraph" w:styleId="43">
    <w:name w:val="Footer"/>
    <w:basedOn w:val="842"/>
    <w:link w:val="981"/>
    <w:uiPriority w:val="99"/>
    <w:unhideWhenUsed/>
    <w:pPr>
      <w:spacing w:after="0" w:line="240" w:lineRule="auto"/>
      <w:tabs>
        <w:tab w:val="center" w:pos="7143" w:leader="none"/>
        <w:tab w:val="right" w:pos="14287" w:leader="none"/>
      </w:tabs>
    </w:pPr>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42"/>
    <w:link w:val="94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2"/>
    <w:link w:val="9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2"/>
    <w:next w:val="842"/>
    <w:uiPriority w:val="39"/>
    <w:unhideWhenUsed/>
    <w:pPr>
      <w:ind w:left="0" w:right="0" w:firstLine="0"/>
      <w:spacing w:after="57"/>
    </w:pPr>
  </w:style>
  <w:style w:type="paragraph" w:styleId="181">
    <w:name w:val="toc 2"/>
    <w:basedOn w:val="842"/>
    <w:next w:val="842"/>
    <w:uiPriority w:val="39"/>
    <w:unhideWhenUsed/>
    <w:pPr>
      <w:ind w:left="283" w:right="0" w:firstLine="0"/>
      <w:spacing w:after="57"/>
    </w:p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46"/>
    <w:link w:val="842"/>
    <w:qFormat/>
    <w:pPr>
      <w:jc w:val="both"/>
      <w:spacing w:line="360" w:lineRule="auto"/>
      <w:widowControl w:val="off"/>
    </w:pPr>
    <w:rPr>
      <w:sz w:val="21"/>
      <w:szCs w:val="24"/>
      <w:lang w:val="en-US" w:eastAsia="zh-CN" w:bidi="ar-SA"/>
    </w:rPr>
  </w:style>
  <w:style w:type="character" w:styleId="843">
    <w:name w:val="默认段落字体"/>
    <w:next w:val="843"/>
    <w:link w:val="842"/>
    <w:uiPriority w:val="1"/>
    <w:unhideWhenUsed/>
  </w:style>
  <w:style w:type="table" w:styleId="844">
    <w:name w:val="普通表格"/>
    <w:next w:val="844"/>
    <w:link w:val="842"/>
    <w:uiPriority w:val="99"/>
    <w:unhideWhenUsed/>
    <w:qFormat/>
    <w:tblPr/>
  </w:style>
  <w:style w:type="numbering" w:styleId="845">
    <w:name w:val="无列表"/>
    <w:next w:val="845"/>
    <w:link w:val="842"/>
    <w:uiPriority w:val="99"/>
    <w:semiHidden/>
    <w:unhideWhenUsed/>
  </w:style>
  <w:style w:type="paragraph" w:styleId="846">
    <w:name w:val="正文文本缩进"/>
    <w:basedOn w:val="842"/>
    <w:next w:val="842"/>
    <w:link w:val="842"/>
    <w:qFormat/>
    <w:pPr>
      <w:ind w:left="420"/>
      <w:spacing w:after="120"/>
    </w:pPr>
  </w:style>
  <w:style w:type="paragraph" w:styleId="847">
    <w:name w:val="目录 7"/>
    <w:basedOn w:val="842"/>
    <w:next w:val="842"/>
    <w:link w:val="842"/>
    <w:uiPriority w:val="39"/>
    <w:unhideWhenUsed/>
    <w:qFormat/>
    <w:pPr>
      <w:ind w:left="1701"/>
      <w:spacing w:after="57"/>
    </w:pPr>
  </w:style>
  <w:style w:type="paragraph" w:styleId="848">
    <w:name w:val="正文缩进"/>
    <w:basedOn w:val="842"/>
    <w:next w:val="842"/>
    <w:link w:val="842"/>
    <w:qFormat/>
    <w:pPr>
      <w:ind w:firstLine="420"/>
      <w:jc w:val="left"/>
    </w:pPr>
    <w:rPr>
      <w:rFonts w:eastAsia="楷体_GB2312"/>
      <w:sz w:val="24"/>
    </w:rPr>
  </w:style>
  <w:style w:type="paragraph" w:styleId="849">
    <w:name w:val="批注文字"/>
    <w:basedOn w:val="842"/>
    <w:next w:val="849"/>
    <w:link w:val="842"/>
    <w:uiPriority w:val="99"/>
    <w:unhideWhenUsed/>
    <w:qFormat/>
    <w:pPr>
      <w:jc w:val="left"/>
    </w:pPr>
  </w:style>
  <w:style w:type="paragraph" w:styleId="850">
    <w:name w:val="正文文本"/>
    <w:basedOn w:val="842"/>
    <w:next w:val="850"/>
    <w:link w:val="842"/>
    <w:qFormat/>
    <w:pPr>
      <w:tabs>
        <w:tab w:val="left" w:pos="5250" w:leader="none"/>
      </w:tabs>
    </w:pPr>
    <w:rPr>
      <w:sz w:val="28"/>
    </w:rPr>
  </w:style>
  <w:style w:type="paragraph" w:styleId="851">
    <w:name w:val="目录 5"/>
    <w:basedOn w:val="842"/>
    <w:next w:val="842"/>
    <w:link w:val="842"/>
    <w:uiPriority w:val="39"/>
    <w:unhideWhenUsed/>
    <w:qFormat/>
    <w:pPr>
      <w:ind w:left="1134"/>
      <w:spacing w:after="57"/>
    </w:pPr>
  </w:style>
  <w:style w:type="paragraph" w:styleId="852">
    <w:name w:val="目录 3"/>
    <w:basedOn w:val="842"/>
    <w:next w:val="842"/>
    <w:link w:val="842"/>
    <w:uiPriority w:val="39"/>
    <w:unhideWhenUsed/>
    <w:qFormat/>
    <w:pPr>
      <w:ind w:left="567"/>
      <w:spacing w:after="57"/>
    </w:pPr>
  </w:style>
  <w:style w:type="paragraph" w:styleId="853">
    <w:name w:val="纯文本"/>
    <w:basedOn w:val="842"/>
    <w:next w:val="853"/>
    <w:link w:val="854"/>
    <w:qFormat/>
    <w:pPr>
      <w:ind w:firstLine="420"/>
    </w:pPr>
    <w:rPr>
      <w:rFonts w:ascii="宋体" w:hAnsi="Courier New" w:eastAsia="楷体_GB2312" w:cs="宋体"/>
      <w:sz w:val="28"/>
      <w:szCs w:val="20"/>
    </w:rPr>
  </w:style>
  <w:style w:type="character" w:styleId="854">
    <w:name w:val="纯文本 Char"/>
    <w:basedOn w:val="843"/>
    <w:next w:val="854"/>
    <w:link w:val="853"/>
    <w:qFormat/>
    <w:rPr>
      <w:rFonts w:ascii="宋体" w:hAnsi="Courier New" w:eastAsia="楷体_GB2312" w:cs="宋体"/>
      <w:sz w:val="28"/>
    </w:rPr>
  </w:style>
  <w:style w:type="paragraph" w:styleId="855">
    <w:name w:val="目录 8"/>
    <w:basedOn w:val="842"/>
    <w:next w:val="842"/>
    <w:link w:val="842"/>
    <w:uiPriority w:val="39"/>
    <w:unhideWhenUsed/>
    <w:qFormat/>
    <w:pPr>
      <w:ind w:left="1984"/>
      <w:spacing w:after="57"/>
    </w:pPr>
  </w:style>
  <w:style w:type="paragraph" w:styleId="856">
    <w:name w:val="日期"/>
    <w:basedOn w:val="842"/>
    <w:next w:val="842"/>
    <w:link w:val="842"/>
    <w:qFormat/>
    <w:rPr>
      <w:rFonts w:hint="eastAsia" w:ascii="宋体" w:hAnsi="宋体" w:eastAsia="楷体_GB2312"/>
      <w:sz w:val="24"/>
      <w:szCs w:val="20"/>
    </w:rPr>
  </w:style>
  <w:style w:type="paragraph" w:styleId="857">
    <w:name w:val="尾注文本"/>
    <w:basedOn w:val="842"/>
    <w:next w:val="857"/>
    <w:link w:val="842"/>
    <w:uiPriority w:val="99"/>
    <w:unhideWhenUsed/>
    <w:qFormat/>
    <w:pPr>
      <w:spacing w:line="240" w:lineRule="auto"/>
    </w:pPr>
    <w:rPr>
      <w:sz w:val="20"/>
    </w:rPr>
  </w:style>
  <w:style w:type="paragraph" w:styleId="858">
    <w:name w:val="批注框文本"/>
    <w:basedOn w:val="842"/>
    <w:next w:val="858"/>
    <w:link w:val="842"/>
    <w:uiPriority w:val="99"/>
    <w:unhideWhenUsed/>
    <w:qFormat/>
    <w:rPr>
      <w:sz w:val="18"/>
      <w:szCs w:val="18"/>
    </w:rPr>
  </w:style>
  <w:style w:type="paragraph" w:styleId="859">
    <w:name w:val="页脚"/>
    <w:basedOn w:val="842"/>
    <w:next w:val="859"/>
    <w:link w:val="860"/>
    <w:uiPriority w:val="99"/>
    <w:unhideWhenUsed/>
    <w:pPr>
      <w:jc w:val="left"/>
      <w:spacing w:line="240" w:lineRule="auto"/>
      <w:tabs>
        <w:tab w:val="center" w:pos="4153" w:leader="none"/>
        <w:tab w:val="right" w:pos="8306" w:leader="none"/>
      </w:tabs>
    </w:pPr>
    <w:rPr>
      <w:sz w:val="18"/>
      <w:szCs w:val="18"/>
    </w:rPr>
  </w:style>
  <w:style w:type="character" w:styleId="860">
    <w:name w:val="页脚 Char"/>
    <w:basedOn w:val="843"/>
    <w:next w:val="860"/>
    <w:link w:val="859"/>
    <w:uiPriority w:val="99"/>
    <w:semiHidden/>
    <w:rPr>
      <w:sz w:val="18"/>
      <w:szCs w:val="18"/>
    </w:rPr>
  </w:style>
  <w:style w:type="paragraph" w:styleId="861">
    <w:name w:val="寄信人地址"/>
    <w:basedOn w:val="842"/>
    <w:next w:val="861"/>
    <w:link w:val="842"/>
    <w:qFormat/>
    <w:rPr>
      <w:rFonts w:ascii="Arial" w:hAnsi="Arial"/>
    </w:rPr>
  </w:style>
  <w:style w:type="paragraph" w:styleId="862">
    <w:name w:val="页眉"/>
    <w:basedOn w:val="842"/>
    <w:next w:val="862"/>
    <w:link w:val="863"/>
    <w:uiPriority w:val="99"/>
    <w:unhideWhenUsed/>
    <w:pPr>
      <w:jc w:val="center"/>
      <w:spacing w:line="240" w:lineRule="auto"/>
      <w:tabs>
        <w:tab w:val="center" w:pos="4153" w:leader="none"/>
        <w:tab w:val="right" w:pos="8306" w:leader="none"/>
      </w:tabs>
      <w:pBdr>
        <w:bottom w:val="single" w:color="000000" w:sz="6" w:space="1"/>
      </w:pBdr>
    </w:pPr>
    <w:rPr>
      <w:sz w:val="18"/>
      <w:szCs w:val="18"/>
    </w:rPr>
  </w:style>
  <w:style w:type="character" w:styleId="863">
    <w:name w:val="页眉 Char"/>
    <w:basedOn w:val="843"/>
    <w:next w:val="863"/>
    <w:link w:val="862"/>
    <w:uiPriority w:val="99"/>
    <w:semiHidden/>
    <w:rPr>
      <w:sz w:val="18"/>
      <w:szCs w:val="18"/>
    </w:rPr>
  </w:style>
  <w:style w:type="paragraph" w:styleId="864">
    <w:name w:val="目录 1"/>
    <w:basedOn w:val="842"/>
    <w:next w:val="842"/>
    <w:link w:val="842"/>
    <w:uiPriority w:val="39"/>
    <w:unhideWhenUsed/>
    <w:qFormat/>
    <w:pPr>
      <w:spacing w:after="57"/>
    </w:pPr>
  </w:style>
  <w:style w:type="paragraph" w:styleId="865">
    <w:name w:val="目录 4"/>
    <w:basedOn w:val="842"/>
    <w:next w:val="842"/>
    <w:link w:val="842"/>
    <w:uiPriority w:val="39"/>
    <w:unhideWhenUsed/>
    <w:qFormat/>
    <w:pPr>
      <w:ind w:left="850"/>
      <w:spacing w:after="57"/>
    </w:pPr>
  </w:style>
  <w:style w:type="paragraph" w:styleId="866">
    <w:name w:val="副标题"/>
    <w:basedOn w:val="842"/>
    <w:next w:val="842"/>
    <w:link w:val="842"/>
    <w:uiPriority w:val="11"/>
    <w:qFormat/>
    <w:pPr>
      <w:spacing w:before="200" w:after="200"/>
    </w:pPr>
    <w:rPr>
      <w:sz w:val="24"/>
    </w:rPr>
  </w:style>
  <w:style w:type="paragraph" w:styleId="867">
    <w:name w:val="脚注文本"/>
    <w:basedOn w:val="842"/>
    <w:next w:val="867"/>
    <w:link w:val="842"/>
    <w:uiPriority w:val="99"/>
    <w:unhideWhenUsed/>
    <w:qFormat/>
    <w:pPr>
      <w:spacing w:after="40" w:line="240" w:lineRule="auto"/>
    </w:pPr>
    <w:rPr>
      <w:sz w:val="18"/>
    </w:rPr>
  </w:style>
  <w:style w:type="paragraph" w:styleId="868">
    <w:name w:val="目录 6"/>
    <w:basedOn w:val="842"/>
    <w:next w:val="842"/>
    <w:link w:val="842"/>
    <w:uiPriority w:val="39"/>
    <w:unhideWhenUsed/>
    <w:qFormat/>
    <w:pPr>
      <w:ind w:left="1417"/>
      <w:spacing w:after="57"/>
    </w:pPr>
  </w:style>
  <w:style w:type="paragraph" w:styleId="869">
    <w:name w:val="图表目录"/>
    <w:basedOn w:val="842"/>
    <w:next w:val="842"/>
    <w:link w:val="842"/>
    <w:uiPriority w:val="99"/>
    <w:unhideWhenUsed/>
    <w:qFormat/>
  </w:style>
  <w:style w:type="paragraph" w:styleId="870">
    <w:name w:val="目录 2"/>
    <w:basedOn w:val="842"/>
    <w:next w:val="842"/>
    <w:link w:val="842"/>
    <w:uiPriority w:val="39"/>
    <w:unhideWhenUsed/>
    <w:qFormat/>
    <w:pPr>
      <w:ind w:left="283"/>
      <w:spacing w:after="57"/>
    </w:pPr>
  </w:style>
  <w:style w:type="paragraph" w:styleId="871">
    <w:name w:val="目录 9"/>
    <w:basedOn w:val="842"/>
    <w:next w:val="842"/>
    <w:link w:val="842"/>
    <w:uiPriority w:val="39"/>
    <w:unhideWhenUsed/>
    <w:qFormat/>
    <w:pPr>
      <w:ind w:left="2268"/>
      <w:spacing w:after="57"/>
    </w:pPr>
  </w:style>
  <w:style w:type="paragraph" w:styleId="872">
    <w:name w:val="正文文本 2"/>
    <w:basedOn w:val="842"/>
    <w:next w:val="872"/>
    <w:link w:val="842"/>
    <w:qFormat/>
    <w:rPr>
      <w:color w:val="ff0000"/>
    </w:rPr>
  </w:style>
  <w:style w:type="paragraph" w:styleId="873">
    <w:name w:val="普通(网站)"/>
    <w:basedOn w:val="842"/>
    <w:next w:val="873"/>
    <w:link w:val="842"/>
    <w:qFormat/>
    <w:pPr>
      <w:jc w:val="left"/>
      <w:spacing w:before="100" w:beforeAutospacing="1" w:after="100" w:afterAutospacing="1"/>
      <w:widowControl/>
    </w:pPr>
    <w:rPr>
      <w:rFonts w:ascii="宋体" w:hAnsi="宋体"/>
      <w:sz w:val="24"/>
    </w:rPr>
  </w:style>
  <w:style w:type="paragraph" w:styleId="874">
    <w:name w:val="标题"/>
    <w:basedOn w:val="842"/>
    <w:next w:val="842"/>
    <w:link w:val="842"/>
    <w:uiPriority w:val="10"/>
    <w:qFormat/>
    <w:pPr>
      <w:contextualSpacing/>
      <w:spacing w:before="300" w:after="200"/>
    </w:pPr>
    <w:rPr>
      <w:sz w:val="48"/>
      <w:szCs w:val="48"/>
    </w:rPr>
  </w:style>
  <w:style w:type="paragraph" w:styleId="875">
    <w:name w:val="正文首行缩进 2"/>
    <w:basedOn w:val="846"/>
    <w:next w:val="875"/>
    <w:link w:val="842"/>
    <w:uiPriority w:val="99"/>
    <w:unhideWhenUsed/>
    <w:qFormat/>
    <w:pPr>
      <w:ind w:firstLine="420"/>
    </w:pPr>
  </w:style>
  <w:style w:type="table" w:styleId="876">
    <w:name w:val="网格型"/>
    <w:next w:val="876"/>
    <w:link w:val="842"/>
    <w:uiPriority w:val="59"/>
    <w:qFormat/>
    <w:rPr>
      <w:lang w:val="en-US" w:eastAsia="zh-CN" w:bidi="ar-SA"/>
    </w:rPr>
    <w:tblPr/>
  </w:style>
  <w:style w:type="character" w:styleId="877">
    <w:name w:val="尾注引用"/>
    <w:next w:val="877"/>
    <w:link w:val="842"/>
    <w:uiPriority w:val="99"/>
    <w:unhideWhenUsed/>
    <w:qFormat/>
    <w:rPr>
      <w:vertAlign w:val="superscript"/>
    </w:rPr>
  </w:style>
  <w:style w:type="character" w:styleId="878">
    <w:name w:val="超链接"/>
    <w:next w:val="878"/>
    <w:link w:val="842"/>
    <w:uiPriority w:val="99"/>
    <w:unhideWhenUsed/>
    <w:qFormat/>
    <w:rPr>
      <w:color w:val="0000ff"/>
      <w:u w:val="single"/>
    </w:rPr>
  </w:style>
  <w:style w:type="character" w:styleId="879">
    <w:name w:val="脚注引用"/>
    <w:next w:val="879"/>
    <w:link w:val="842"/>
    <w:uiPriority w:val="99"/>
    <w:unhideWhenUsed/>
    <w:qFormat/>
    <w:rPr>
      <w:vertAlign w:val="superscript"/>
    </w:rPr>
  </w:style>
  <w:style w:type="paragraph" w:styleId="880">
    <w:name w:val="Heading 1"/>
    <w:basedOn w:val="842"/>
    <w:next w:val="842"/>
    <w:link w:val="881"/>
    <w:qFormat/>
    <w:pPr>
      <w:jc w:val="center"/>
      <w:keepLines/>
      <w:keepNext/>
      <w:spacing w:before="160" w:after="160" w:line="480" w:lineRule="auto"/>
      <w:outlineLvl w:val="0"/>
    </w:pPr>
    <w:rPr>
      <w:b/>
      <w:bCs/>
      <w:sz w:val="32"/>
      <w:szCs w:val="44"/>
    </w:rPr>
  </w:style>
  <w:style w:type="character" w:styleId="881">
    <w:name w:val="标题 1 Char1"/>
    <w:next w:val="881"/>
    <w:link w:val="880"/>
    <w:qFormat/>
    <w:rPr>
      <w:rFonts w:ascii="Times New Roman" w:hAnsi="Times New Roman" w:eastAsia="宋体"/>
      <w:b/>
      <w:bCs/>
      <w:sz w:val="32"/>
      <w:szCs w:val="44"/>
      <w:lang w:val="en-US" w:eastAsia="zh-CN" w:bidi="ar-SA"/>
    </w:rPr>
  </w:style>
  <w:style w:type="paragraph" w:styleId="882">
    <w:name w:val="Heading 2"/>
    <w:basedOn w:val="842"/>
    <w:next w:val="842"/>
    <w:link w:val="883"/>
    <w:qFormat/>
    <w:pPr>
      <w:keepLines/>
      <w:keepNext/>
      <w:spacing w:before="260" w:after="260" w:line="416" w:lineRule="auto"/>
      <w:outlineLvl w:val="1"/>
    </w:pPr>
    <w:rPr>
      <w:rFonts w:ascii="Cambria" w:hAnsi="Cambria"/>
      <w:b/>
      <w:sz w:val="32"/>
    </w:rPr>
  </w:style>
  <w:style w:type="character" w:styleId="883">
    <w:name w:val="标题 2 Char"/>
    <w:next w:val="883"/>
    <w:link w:val="882"/>
    <w:qFormat/>
    <w:rPr>
      <w:rFonts w:ascii="Cambria" w:hAnsi="Cambria" w:eastAsia="宋体"/>
      <w:b/>
      <w:sz w:val="32"/>
      <w:szCs w:val="24"/>
      <w:lang w:val="en-US" w:eastAsia="zh-CN" w:bidi="ar-SA"/>
    </w:rPr>
  </w:style>
  <w:style w:type="paragraph" w:styleId="884">
    <w:name w:val="Heading 3"/>
    <w:basedOn w:val="842"/>
    <w:next w:val="842"/>
    <w:link w:val="885"/>
    <w:qFormat/>
    <w:pPr>
      <w:keepLines/>
      <w:keepNext/>
      <w:spacing w:before="260" w:after="260" w:line="416" w:lineRule="auto"/>
      <w:outlineLvl w:val="2"/>
    </w:pPr>
    <w:rPr>
      <w:b/>
      <w:bCs/>
      <w:sz w:val="32"/>
      <w:szCs w:val="32"/>
      <w:lang w:val="en-US" w:eastAsia="en-US"/>
    </w:rPr>
  </w:style>
  <w:style w:type="character" w:styleId="885">
    <w:name w:val="标题 3 Char"/>
    <w:next w:val="885"/>
    <w:link w:val="884"/>
    <w:semiHidden/>
    <w:qFormat/>
    <w:rPr>
      <w:b/>
      <w:bCs/>
      <w:sz w:val="32"/>
      <w:szCs w:val="32"/>
    </w:rPr>
  </w:style>
  <w:style w:type="paragraph" w:styleId="886">
    <w:name w:val="Heading 4"/>
    <w:basedOn w:val="884"/>
    <w:next w:val="842"/>
    <w:link w:val="887"/>
    <w:qFormat/>
    <w:pPr>
      <w:spacing w:before="240" w:after="60"/>
      <w:outlineLvl w:val="3"/>
    </w:pPr>
    <w:rPr>
      <w:sz w:val="28"/>
      <w:szCs w:val="28"/>
      <w:lang w:val="en-US" w:eastAsia="zh-CN"/>
    </w:rPr>
  </w:style>
  <w:style w:type="character" w:styleId="887">
    <w:name w:val="标题 4 Char"/>
    <w:next w:val="887"/>
    <w:link w:val="886"/>
    <w:qFormat/>
    <w:rPr>
      <w:rFonts w:eastAsia="宋体"/>
      <w:b/>
      <w:bCs/>
      <w:sz w:val="28"/>
      <w:szCs w:val="28"/>
      <w:lang w:val="en-US" w:eastAsia="zh-CN" w:bidi="ar-SA"/>
    </w:rPr>
  </w:style>
  <w:style w:type="paragraph" w:styleId="888">
    <w:name w:val="Heading 5"/>
    <w:basedOn w:val="842"/>
    <w:next w:val="842"/>
    <w:link w:val="889"/>
    <w:qFormat/>
    <w:pPr>
      <w:spacing w:before="240" w:after="60"/>
      <w:outlineLvl w:val="4"/>
    </w:pPr>
    <w:rPr>
      <w:b/>
      <w:bCs/>
      <w:i/>
      <w:iCs/>
      <w:sz w:val="26"/>
      <w:szCs w:val="26"/>
    </w:rPr>
  </w:style>
  <w:style w:type="character" w:styleId="889">
    <w:name w:val="标题 5 Char"/>
    <w:next w:val="889"/>
    <w:link w:val="888"/>
    <w:qFormat/>
    <w:rPr>
      <w:rFonts w:eastAsia="宋体"/>
      <w:b/>
      <w:bCs/>
      <w:i/>
      <w:iCs/>
      <w:sz w:val="26"/>
      <w:szCs w:val="26"/>
      <w:lang w:val="en-US" w:eastAsia="zh-CN" w:bidi="ar-SA"/>
    </w:rPr>
  </w:style>
  <w:style w:type="paragraph" w:styleId="890">
    <w:name w:val="Heading 6"/>
    <w:basedOn w:val="842"/>
    <w:next w:val="842"/>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标题 6 Char"/>
    <w:basedOn w:val="892"/>
    <w:next w:val="891"/>
    <w:link w:val="890"/>
    <w:uiPriority w:val="9"/>
    <w:qFormat/>
    <w:rPr>
      <w:rFonts w:ascii="Arial" w:hAnsi="Arial" w:eastAsia="Arial" w:cs="Arial"/>
      <w:b/>
      <w:bCs/>
      <w:sz w:val="22"/>
      <w:szCs w:val="22"/>
    </w:rPr>
  </w:style>
  <w:style w:type="character" w:styleId="892">
    <w:name w:val="默认段落字体1"/>
    <w:next w:val="892"/>
    <w:link w:val="842"/>
    <w:uiPriority w:val="1"/>
    <w:unhideWhenUsed/>
    <w:qFormat/>
  </w:style>
  <w:style w:type="paragraph" w:styleId="893">
    <w:name w:val="Heading 7"/>
    <w:basedOn w:val="842"/>
    <w:next w:val="842"/>
    <w:link w:val="894"/>
    <w:uiPriority w:val="9"/>
    <w:unhideWhenUsed/>
    <w:qFormat/>
    <w:pPr>
      <w:keepLines/>
      <w:keepNext/>
      <w:spacing w:before="320" w:after="200"/>
      <w:outlineLvl w:val="6"/>
    </w:pPr>
    <w:rPr>
      <w:rFonts w:ascii="Arial" w:hAnsi="Arial" w:eastAsia="Arial" w:cs="Arial"/>
      <w:b/>
      <w:bCs/>
      <w:i/>
      <w:iCs/>
      <w:sz w:val="22"/>
      <w:szCs w:val="22"/>
    </w:rPr>
  </w:style>
  <w:style w:type="character" w:styleId="894">
    <w:name w:val="标题 7 Char"/>
    <w:basedOn w:val="892"/>
    <w:next w:val="894"/>
    <w:link w:val="893"/>
    <w:uiPriority w:val="9"/>
    <w:qFormat/>
    <w:rPr>
      <w:rFonts w:ascii="Arial" w:hAnsi="Arial" w:eastAsia="Arial" w:cs="Arial"/>
      <w:b/>
      <w:bCs/>
      <w:i/>
      <w:iCs/>
      <w:sz w:val="22"/>
      <w:szCs w:val="22"/>
    </w:rPr>
  </w:style>
  <w:style w:type="paragraph" w:styleId="895">
    <w:name w:val="Heading 8"/>
    <w:basedOn w:val="842"/>
    <w:next w:val="842"/>
    <w:link w:val="896"/>
    <w:uiPriority w:val="9"/>
    <w:unhideWhenUsed/>
    <w:qFormat/>
    <w:pPr>
      <w:keepLines/>
      <w:keepNext/>
      <w:spacing w:before="320" w:after="200"/>
      <w:outlineLvl w:val="7"/>
    </w:pPr>
    <w:rPr>
      <w:rFonts w:ascii="Arial" w:hAnsi="Arial" w:eastAsia="Arial" w:cs="Arial"/>
      <w:i/>
      <w:iCs/>
      <w:sz w:val="22"/>
      <w:szCs w:val="22"/>
    </w:rPr>
  </w:style>
  <w:style w:type="character" w:styleId="896">
    <w:name w:val="标题 8 Char"/>
    <w:basedOn w:val="892"/>
    <w:next w:val="896"/>
    <w:link w:val="895"/>
    <w:uiPriority w:val="9"/>
    <w:qFormat/>
    <w:rPr>
      <w:rFonts w:ascii="Arial" w:hAnsi="Arial" w:eastAsia="Arial" w:cs="Arial"/>
      <w:i/>
      <w:iCs/>
      <w:sz w:val="22"/>
      <w:szCs w:val="22"/>
    </w:rPr>
  </w:style>
  <w:style w:type="paragraph" w:styleId="897">
    <w:name w:val="Heading 9"/>
    <w:basedOn w:val="842"/>
    <w:next w:val="842"/>
    <w:link w:val="898"/>
    <w:uiPriority w:val="9"/>
    <w:unhideWhenUsed/>
    <w:qFormat/>
    <w:pPr>
      <w:keepLines/>
      <w:keepNext/>
      <w:spacing w:before="320" w:after="200"/>
      <w:outlineLvl w:val="8"/>
    </w:pPr>
    <w:rPr>
      <w:rFonts w:ascii="Arial" w:hAnsi="Arial" w:eastAsia="Arial" w:cs="Arial"/>
      <w:i/>
      <w:iCs/>
      <w:szCs w:val="21"/>
    </w:rPr>
  </w:style>
  <w:style w:type="character" w:styleId="898">
    <w:name w:val="标题 9 Char"/>
    <w:basedOn w:val="892"/>
    <w:next w:val="898"/>
    <w:link w:val="897"/>
    <w:uiPriority w:val="9"/>
    <w:qFormat/>
    <w:rPr>
      <w:rFonts w:ascii="Arial" w:hAnsi="Arial" w:eastAsia="Arial" w:cs="Arial"/>
      <w:i/>
      <w:iCs/>
      <w:sz w:val="21"/>
      <w:szCs w:val="21"/>
    </w:rPr>
  </w:style>
  <w:style w:type="paragraph" w:styleId="899">
    <w:name w:val="Caption1"/>
    <w:basedOn w:val="842"/>
    <w:next w:val="842"/>
    <w:link w:val="842"/>
    <w:uiPriority w:val="35"/>
    <w:unhideWhenUsed/>
    <w:qFormat/>
    <w:pPr>
      <w:spacing w:line="276" w:lineRule="auto"/>
    </w:pPr>
    <w:rPr>
      <w:b/>
      <w:bCs/>
      <w:color w:val="4f81bd"/>
      <w:sz w:val="18"/>
      <w:szCs w:val="18"/>
    </w:rPr>
  </w:style>
  <w:style w:type="paragraph" w:styleId="900">
    <w:name w:val="Footer1"/>
    <w:basedOn w:val="842"/>
    <w:next w:val="900"/>
    <w:link w:val="842"/>
    <w:uiPriority w:val="99"/>
    <w:unhideWhenUsed/>
    <w:qFormat/>
    <w:pPr>
      <w:spacing w:line="240" w:lineRule="auto"/>
      <w:tabs>
        <w:tab w:val="center" w:pos="7143" w:leader="none"/>
        <w:tab w:val="right" w:pos="14287" w:leader="none"/>
      </w:tabs>
    </w:pPr>
  </w:style>
  <w:style w:type="paragraph" w:styleId="901">
    <w:name w:val="Header1"/>
    <w:basedOn w:val="842"/>
    <w:next w:val="901"/>
    <w:link w:val="842"/>
    <w:uiPriority w:val="99"/>
    <w:unhideWhenUsed/>
    <w:qFormat/>
    <w:pPr>
      <w:spacing w:line="240" w:lineRule="auto"/>
      <w:tabs>
        <w:tab w:val="center" w:pos="7143" w:leader="none"/>
        <w:tab w:val="right" w:pos="14287" w:leader="none"/>
      </w:tabs>
    </w:pPr>
  </w:style>
  <w:style w:type="character" w:styleId="902">
    <w:name w:val="Heading 6 Char"/>
    <w:basedOn w:val="843"/>
    <w:next w:val="902"/>
    <w:link w:val="842"/>
    <w:uiPriority w:val="9"/>
    <w:qFormat/>
    <w:rPr>
      <w:rFonts w:ascii="Arial" w:hAnsi="Arial" w:eastAsia="Arial" w:cs="Arial"/>
      <w:b/>
      <w:bCs/>
      <w:sz w:val="22"/>
      <w:szCs w:val="22"/>
    </w:rPr>
  </w:style>
  <w:style w:type="character" w:styleId="903">
    <w:name w:val="Heading 7 Char"/>
    <w:basedOn w:val="843"/>
    <w:next w:val="903"/>
    <w:link w:val="842"/>
    <w:uiPriority w:val="9"/>
    <w:qFormat/>
    <w:rPr>
      <w:rFonts w:ascii="Arial" w:hAnsi="Arial" w:eastAsia="Arial" w:cs="Arial"/>
      <w:b/>
      <w:bCs/>
      <w:i/>
      <w:iCs/>
      <w:sz w:val="22"/>
      <w:szCs w:val="22"/>
    </w:rPr>
  </w:style>
  <w:style w:type="character" w:styleId="904">
    <w:name w:val="Heading 8 Char"/>
    <w:basedOn w:val="843"/>
    <w:next w:val="904"/>
    <w:link w:val="842"/>
    <w:uiPriority w:val="9"/>
    <w:qFormat/>
    <w:rPr>
      <w:rFonts w:ascii="Arial" w:hAnsi="Arial" w:eastAsia="Arial" w:cs="Arial"/>
      <w:i/>
      <w:iCs/>
      <w:sz w:val="22"/>
      <w:szCs w:val="22"/>
    </w:rPr>
  </w:style>
  <w:style w:type="character" w:styleId="905">
    <w:name w:val="Heading 9 Char"/>
    <w:basedOn w:val="843"/>
    <w:next w:val="905"/>
    <w:link w:val="842"/>
    <w:uiPriority w:val="9"/>
    <w:qFormat/>
    <w:rPr>
      <w:rFonts w:ascii="Arial" w:hAnsi="Arial" w:eastAsia="Arial" w:cs="Arial"/>
      <w:i/>
      <w:iCs/>
      <w:sz w:val="21"/>
      <w:szCs w:val="21"/>
    </w:rPr>
  </w:style>
  <w:style w:type="character" w:styleId="906">
    <w:name w:val="Quote Char"/>
    <w:next w:val="906"/>
    <w:link w:val="842"/>
    <w:uiPriority w:val="29"/>
    <w:qFormat/>
    <w:rPr>
      <w:i/>
    </w:rPr>
  </w:style>
  <w:style w:type="character" w:styleId="907">
    <w:name w:val="Intense Quote Char"/>
    <w:next w:val="907"/>
    <w:link w:val="842"/>
    <w:uiPriority w:val="30"/>
    <w:qFormat/>
    <w:rPr>
      <w:i/>
    </w:rPr>
  </w:style>
  <w:style w:type="paragraph" w:styleId="908">
    <w:name w:val="TOC 标题1"/>
    <w:next w:val="908"/>
    <w:link w:val="842"/>
    <w:uiPriority w:val="39"/>
    <w:unhideWhenUsed/>
    <w:qFormat/>
    <w:rPr>
      <w:lang w:val="en-US" w:eastAsia="zh-CN" w:bidi="ar-SA"/>
    </w:rPr>
  </w:style>
  <w:style w:type="paragraph" w:styleId="909">
    <w:name w:val="段"/>
    <w:next w:val="842"/>
    <w:link w:val="842"/>
    <w:qFormat/>
    <w:pPr>
      <w:ind w:firstLine="200"/>
      <w:jc w:val="both"/>
    </w:pPr>
    <w:rPr>
      <w:rFonts w:ascii="宋体"/>
      <w:sz w:val="21"/>
      <w:lang w:val="en-US" w:eastAsia="zh-CN" w:bidi="ar-SA"/>
    </w:rPr>
  </w:style>
  <w:style w:type="paragraph" w:styleId="910">
    <w:name w:val="正文文本缩进1"/>
    <w:basedOn w:val="842"/>
    <w:next w:val="842"/>
    <w:link w:val="911"/>
    <w:uiPriority w:val="99"/>
    <w:qFormat/>
    <w:pPr>
      <w:ind w:left="420"/>
      <w:spacing w:after="120"/>
    </w:pPr>
    <w:rPr>
      <w:lang w:val="en-US" w:eastAsia="en-US"/>
    </w:rPr>
  </w:style>
  <w:style w:type="character" w:styleId="911">
    <w:name w:val="正文文本缩进 字符"/>
    <w:next w:val="911"/>
    <w:link w:val="910"/>
    <w:uiPriority w:val="99"/>
    <w:qFormat/>
    <w:rPr>
      <w:sz w:val="21"/>
      <w:szCs w:val="24"/>
    </w:rPr>
  </w:style>
  <w:style w:type="paragraph" w:styleId="912">
    <w:name w:val="标题 11"/>
    <w:basedOn w:val="842"/>
    <w:next w:val="842"/>
    <w:link w:val="913"/>
    <w:uiPriority w:val="9"/>
    <w:qFormat/>
    <w:pPr>
      <w:jc w:val="center"/>
      <w:keepLines/>
      <w:keepNext/>
      <w:spacing w:before="160" w:after="160" w:line="480" w:lineRule="auto"/>
      <w:outlineLvl w:val="0"/>
    </w:pPr>
    <w:rPr>
      <w:b/>
      <w:sz w:val="32"/>
    </w:rPr>
  </w:style>
  <w:style w:type="character" w:styleId="913">
    <w:name w:val="标题 1 Char"/>
    <w:basedOn w:val="843"/>
    <w:next w:val="913"/>
    <w:link w:val="912"/>
    <w:qFormat/>
    <w:rPr>
      <w:rFonts w:ascii="Times New Roman" w:hAnsi="Times New Roman" w:eastAsia="宋体"/>
      <w:b/>
      <w:sz w:val="32"/>
    </w:rPr>
  </w:style>
  <w:style w:type="table" w:styleId="914">
    <w:name w:val="普通表格1"/>
    <w:next w:val="914"/>
    <w:link w:val="842"/>
    <w:uiPriority w:val="99"/>
    <w:unhideWhenUsed/>
    <w:qFormat/>
    <w:rPr>
      <w:lang w:val="en-US" w:eastAsia="zh-CN" w:bidi="ar-SA"/>
    </w:rPr>
    <w:tblPr/>
  </w:style>
  <w:style w:type="paragraph" w:styleId="915">
    <w:name w:val="目录 71"/>
    <w:basedOn w:val="842"/>
    <w:next w:val="842"/>
    <w:link w:val="842"/>
    <w:uiPriority w:val="39"/>
    <w:unhideWhenUsed/>
    <w:qFormat/>
    <w:pPr>
      <w:ind w:left="1701"/>
      <w:spacing w:after="57"/>
    </w:pPr>
  </w:style>
  <w:style w:type="paragraph" w:styleId="916">
    <w:name w:val="正文缩进11"/>
    <w:basedOn w:val="842"/>
    <w:next w:val="916"/>
    <w:link w:val="917"/>
    <w:qFormat/>
    <w:pPr>
      <w:ind w:firstLine="420"/>
      <w:jc w:val="left"/>
      <w:widowControl/>
    </w:pPr>
    <w:rPr>
      <w:rFonts w:eastAsia="楷体_GB2312"/>
      <w:sz w:val="24"/>
      <w:szCs w:val="20"/>
    </w:rPr>
  </w:style>
  <w:style w:type="character" w:styleId="917">
    <w:name w:val="正文缩进 字符1"/>
    <w:next w:val="917"/>
    <w:link w:val="916"/>
    <w:qFormat/>
    <w:rPr>
      <w:rFonts w:eastAsia="楷体_GB2312"/>
      <w:sz w:val="24"/>
      <w:lang w:val="en-US" w:eastAsia="zh-CN" w:bidi="ar-SA"/>
    </w:rPr>
  </w:style>
  <w:style w:type="paragraph" w:styleId="918">
    <w:name w:val="列表项目符号1"/>
    <w:basedOn w:val="842"/>
    <w:next w:val="918"/>
    <w:link w:val="842"/>
    <w:qFormat/>
    <w:pPr>
      <w:numPr>
        <w:ilvl w:val="0"/>
        <w:numId w:val="1"/>
      </w:numPr>
      <w:tabs>
        <w:tab w:val="left" w:pos="420" w:leader="none"/>
        <w:tab w:val="left" w:pos="1155" w:leader="none"/>
      </w:tabs>
    </w:pPr>
    <w:rPr>
      <w:rFonts w:eastAsia="仿宋_GB2312"/>
      <w:sz w:val="30"/>
      <w:szCs w:val="20"/>
    </w:rPr>
  </w:style>
  <w:style w:type="paragraph" w:styleId="919">
    <w:name w:val="文档结构图1"/>
    <w:basedOn w:val="842"/>
    <w:next w:val="919"/>
    <w:link w:val="842"/>
    <w:semiHidden/>
    <w:qFormat/>
    <w:pPr>
      <w:shd w:val="clear" w:color="auto" w:fill="000080"/>
    </w:pPr>
  </w:style>
  <w:style w:type="paragraph" w:styleId="920">
    <w:name w:val="批注文字1"/>
    <w:basedOn w:val="842"/>
    <w:next w:val="920"/>
    <w:link w:val="921"/>
    <w:qFormat/>
    <w:pPr>
      <w:jc w:val="left"/>
    </w:pPr>
    <w:rPr>
      <w:lang w:val="en-US" w:eastAsia="en-US"/>
    </w:rPr>
  </w:style>
  <w:style w:type="character" w:styleId="921">
    <w:name w:val="批注文字 字符"/>
    <w:next w:val="921"/>
    <w:link w:val="920"/>
    <w:qFormat/>
    <w:rPr>
      <w:sz w:val="21"/>
      <w:szCs w:val="24"/>
    </w:rPr>
  </w:style>
  <w:style w:type="paragraph" w:styleId="922">
    <w:name w:val="正文文本11"/>
    <w:basedOn w:val="842"/>
    <w:next w:val="842"/>
    <w:link w:val="923"/>
    <w:qFormat/>
    <w:pPr>
      <w:spacing w:after="120"/>
    </w:pPr>
  </w:style>
  <w:style w:type="character" w:styleId="923">
    <w:name w:val="正文文本 字符"/>
    <w:next w:val="923"/>
    <w:link w:val="922"/>
    <w:qFormat/>
    <w:rPr>
      <w:rFonts w:eastAsia="宋体"/>
      <w:sz w:val="21"/>
      <w:szCs w:val="24"/>
      <w:lang w:val="en-US" w:eastAsia="zh-CN" w:bidi="ar-SA"/>
    </w:rPr>
  </w:style>
  <w:style w:type="paragraph" w:styleId="924">
    <w:name w:val="寄信人地址1"/>
    <w:basedOn w:val="842"/>
    <w:next w:val="924"/>
    <w:link w:val="842"/>
    <w:qFormat/>
    <w:rPr>
      <w:rFonts w:ascii="Arial" w:hAnsi="Arial"/>
    </w:rPr>
  </w:style>
  <w:style w:type="paragraph" w:styleId="925">
    <w:name w:val="文本块1"/>
    <w:basedOn w:val="842"/>
    <w:next w:val="925"/>
    <w:link w:val="842"/>
    <w:qFormat/>
    <w:pPr>
      <w:ind w:left="630" w:right="-609" w:firstLine="420"/>
    </w:pPr>
    <w:rPr>
      <w:rFonts w:hint="eastAsia" w:ascii="仿宋_GB2312" w:eastAsia="仿宋_GB2312"/>
      <w:szCs w:val="20"/>
    </w:rPr>
  </w:style>
  <w:style w:type="paragraph" w:styleId="926">
    <w:name w:val="目录 51"/>
    <w:basedOn w:val="842"/>
    <w:next w:val="842"/>
    <w:link w:val="842"/>
    <w:uiPriority w:val="39"/>
    <w:unhideWhenUsed/>
    <w:qFormat/>
    <w:pPr>
      <w:ind w:left="1134"/>
      <w:spacing w:after="57"/>
    </w:pPr>
  </w:style>
  <w:style w:type="paragraph" w:styleId="927">
    <w:name w:val="目录 31"/>
    <w:basedOn w:val="842"/>
    <w:next w:val="842"/>
    <w:link w:val="842"/>
    <w:qFormat/>
    <w:pPr>
      <w:ind w:left="840" w:firstLine="200"/>
      <w:jc w:val="left"/>
    </w:pPr>
    <w:rPr>
      <w:sz w:val="24"/>
      <w:szCs w:val="22"/>
    </w:rPr>
  </w:style>
  <w:style w:type="paragraph" w:styleId="928">
    <w:name w:val="纯文本11"/>
    <w:basedOn w:val="842"/>
    <w:next w:val="928"/>
    <w:link w:val="929"/>
    <w:qFormat/>
    <w:pPr>
      <w:jc w:val="left"/>
      <w:widowControl/>
    </w:pPr>
    <w:rPr>
      <w:rFonts w:ascii="宋体" w:hAnsi="Courier New" w:eastAsia="楷体_GB2312"/>
      <w:sz w:val="26"/>
      <w:lang w:val="en-US" w:eastAsia="en-US"/>
    </w:rPr>
  </w:style>
  <w:style w:type="character" w:styleId="929">
    <w:name w:val="纯文本 字符"/>
    <w:next w:val="929"/>
    <w:link w:val="928"/>
    <w:qFormat/>
    <w:rPr>
      <w:rFonts w:ascii="宋体" w:hAnsi="Courier New" w:eastAsia="楷体_GB2312"/>
      <w:sz w:val="26"/>
      <w:szCs w:val="24"/>
    </w:rPr>
  </w:style>
  <w:style w:type="paragraph" w:styleId="930">
    <w:name w:val="目录 81"/>
    <w:basedOn w:val="842"/>
    <w:next w:val="842"/>
    <w:link w:val="842"/>
    <w:uiPriority w:val="39"/>
    <w:unhideWhenUsed/>
    <w:qFormat/>
    <w:pPr>
      <w:ind w:left="1984"/>
      <w:spacing w:after="57"/>
    </w:pPr>
  </w:style>
  <w:style w:type="paragraph" w:styleId="931">
    <w:name w:val="日期1"/>
    <w:basedOn w:val="842"/>
    <w:next w:val="842"/>
    <w:link w:val="932"/>
    <w:qFormat/>
  </w:style>
  <w:style w:type="character" w:styleId="932">
    <w:name w:val="日期 字符"/>
    <w:next w:val="932"/>
    <w:link w:val="931"/>
    <w:qFormat/>
    <w:rPr>
      <w:rFonts w:eastAsia="宋体"/>
      <w:sz w:val="21"/>
      <w:szCs w:val="24"/>
      <w:lang w:val="en-US" w:eastAsia="zh-CN" w:bidi="ar-SA"/>
    </w:rPr>
  </w:style>
  <w:style w:type="paragraph" w:styleId="933">
    <w:name w:val="正文文本缩进 21"/>
    <w:basedOn w:val="842"/>
    <w:next w:val="933"/>
    <w:link w:val="934"/>
    <w:qFormat/>
    <w:pPr>
      <w:ind w:left="420"/>
      <w:spacing w:after="120" w:line="480" w:lineRule="auto"/>
    </w:pPr>
  </w:style>
  <w:style w:type="character" w:styleId="934">
    <w:name w:val="正文文本缩进 2 Char"/>
    <w:next w:val="934"/>
    <w:link w:val="933"/>
    <w:qFormat/>
  </w:style>
  <w:style w:type="paragraph" w:styleId="935">
    <w:name w:val="尾注文本1"/>
    <w:basedOn w:val="842"/>
    <w:next w:val="935"/>
    <w:link w:val="936"/>
    <w:uiPriority w:val="99"/>
    <w:unhideWhenUsed/>
    <w:qFormat/>
    <w:pPr>
      <w:spacing w:line="240" w:lineRule="auto"/>
    </w:pPr>
    <w:rPr>
      <w:sz w:val="20"/>
      <w:szCs w:val="20"/>
      <w:lang w:val="en-US" w:eastAsia="en-US"/>
    </w:rPr>
  </w:style>
  <w:style w:type="character" w:styleId="936">
    <w:name w:val="Endnote Text Char"/>
    <w:next w:val="936"/>
    <w:link w:val="935"/>
    <w:uiPriority w:val="99"/>
    <w:qFormat/>
    <w:rPr>
      <w:sz w:val="20"/>
    </w:rPr>
  </w:style>
  <w:style w:type="paragraph" w:styleId="937">
    <w:name w:val="批注框文本1"/>
    <w:basedOn w:val="842"/>
    <w:next w:val="937"/>
    <w:link w:val="938"/>
    <w:semiHidden/>
    <w:qFormat/>
    <w:rPr>
      <w:sz w:val="18"/>
      <w:szCs w:val="18"/>
    </w:rPr>
  </w:style>
  <w:style w:type="character" w:styleId="938">
    <w:name w:val="批注框文本 字符"/>
    <w:next w:val="938"/>
    <w:link w:val="937"/>
    <w:semiHidden/>
    <w:qFormat/>
    <w:rPr>
      <w:rFonts w:eastAsia="宋体"/>
      <w:sz w:val="18"/>
      <w:szCs w:val="18"/>
      <w:lang w:val="en-US" w:eastAsia="zh-CN" w:bidi="ar-SA"/>
    </w:rPr>
  </w:style>
  <w:style w:type="paragraph" w:styleId="939">
    <w:name w:val="页脚1"/>
    <w:basedOn w:val="842"/>
    <w:next w:val="939"/>
    <w:link w:val="842"/>
    <w:uiPriority w:val="99"/>
    <w:unhideWhenUsed/>
    <w:qFormat/>
    <w:pPr>
      <w:jc w:val="left"/>
      <w:tabs>
        <w:tab w:val="center" w:pos="4153" w:leader="none"/>
        <w:tab w:val="right" w:pos="8306" w:leader="none"/>
      </w:tabs>
    </w:pPr>
    <w:rPr>
      <w:sz w:val="18"/>
    </w:rPr>
  </w:style>
  <w:style w:type="paragraph" w:styleId="940">
    <w:name w:val="目录 11"/>
    <w:basedOn w:val="842"/>
    <w:next w:val="842"/>
    <w:link w:val="842"/>
    <w:semiHidden/>
    <w:qFormat/>
    <w:pPr>
      <w:jc w:val="left"/>
    </w:pPr>
    <w:rPr>
      <w:sz w:val="28"/>
      <w:szCs w:val="20"/>
    </w:rPr>
  </w:style>
  <w:style w:type="paragraph" w:styleId="941">
    <w:name w:val="目录 41"/>
    <w:basedOn w:val="842"/>
    <w:next w:val="842"/>
    <w:link w:val="842"/>
    <w:uiPriority w:val="39"/>
    <w:unhideWhenUsed/>
    <w:qFormat/>
    <w:pPr>
      <w:ind w:left="850"/>
      <w:spacing w:after="57"/>
    </w:pPr>
  </w:style>
  <w:style w:type="paragraph" w:styleId="942">
    <w:name w:val="副标题1"/>
    <w:basedOn w:val="842"/>
    <w:next w:val="842"/>
    <w:link w:val="943"/>
    <w:qFormat/>
    <w:pPr>
      <w:jc w:val="center"/>
      <w:spacing w:before="240" w:after="60" w:line="312" w:lineRule="auto"/>
      <w:outlineLvl w:val="1"/>
    </w:pPr>
    <w:rPr>
      <w:rFonts w:ascii="宋体" w:hAnsi="Courier New" w:eastAsia="楷体_GB2312"/>
      <w:sz w:val="26"/>
      <w:lang w:val="en-US" w:eastAsia="en-US"/>
    </w:rPr>
  </w:style>
  <w:style w:type="character" w:styleId="943">
    <w:name w:val="副标题 字符"/>
    <w:next w:val="943"/>
    <w:link w:val="942"/>
    <w:qFormat/>
    <w:rPr>
      <w:rFonts w:ascii="宋体" w:hAnsi="Courier New" w:eastAsia="楷体_GB2312"/>
      <w:sz w:val="26"/>
      <w:szCs w:val="24"/>
    </w:rPr>
  </w:style>
  <w:style w:type="paragraph" w:styleId="944">
    <w:name w:val="列表1"/>
    <w:basedOn w:val="842"/>
    <w:next w:val="842"/>
    <w:link w:val="842"/>
    <w:qFormat/>
    <w:pPr>
      <w:ind w:left="420" w:hanging="420"/>
    </w:pPr>
    <w:rPr>
      <w:rFonts w:ascii="Arial" w:hAnsi="Arial" w:eastAsia="楷体_GB2312"/>
      <w:sz w:val="28"/>
    </w:rPr>
  </w:style>
  <w:style w:type="paragraph" w:styleId="945">
    <w:name w:val="脚注文本1"/>
    <w:basedOn w:val="842"/>
    <w:next w:val="945"/>
    <w:link w:val="946"/>
    <w:uiPriority w:val="99"/>
    <w:unhideWhenUsed/>
    <w:qFormat/>
    <w:pPr>
      <w:spacing w:after="40" w:line="240" w:lineRule="auto"/>
    </w:pPr>
    <w:rPr>
      <w:sz w:val="18"/>
      <w:szCs w:val="20"/>
      <w:lang w:val="en-US" w:eastAsia="en-US"/>
    </w:rPr>
  </w:style>
  <w:style w:type="character" w:styleId="946">
    <w:name w:val="Footnote Text Char"/>
    <w:next w:val="946"/>
    <w:link w:val="945"/>
    <w:uiPriority w:val="99"/>
    <w:qFormat/>
    <w:rPr>
      <w:sz w:val="18"/>
    </w:rPr>
  </w:style>
  <w:style w:type="paragraph" w:styleId="947">
    <w:name w:val="目录 61"/>
    <w:basedOn w:val="842"/>
    <w:next w:val="842"/>
    <w:link w:val="842"/>
    <w:uiPriority w:val="39"/>
    <w:unhideWhenUsed/>
    <w:qFormat/>
    <w:pPr>
      <w:ind w:left="1417"/>
      <w:spacing w:after="57"/>
    </w:pPr>
  </w:style>
  <w:style w:type="paragraph" w:styleId="948">
    <w:name w:val="正文文本缩进 31"/>
    <w:basedOn w:val="842"/>
    <w:next w:val="948"/>
    <w:link w:val="842"/>
    <w:qFormat/>
    <w:pPr>
      <w:ind w:firstLine="480"/>
      <w:jc w:val="left"/>
      <w:spacing w:line="440" w:lineRule="atLeast"/>
    </w:pPr>
    <w:rPr>
      <w:sz w:val="24"/>
    </w:rPr>
  </w:style>
  <w:style w:type="paragraph" w:styleId="949">
    <w:name w:val="图表目录1"/>
    <w:basedOn w:val="842"/>
    <w:next w:val="842"/>
    <w:link w:val="842"/>
    <w:uiPriority w:val="99"/>
    <w:unhideWhenUsed/>
    <w:qFormat/>
  </w:style>
  <w:style w:type="paragraph" w:styleId="950">
    <w:name w:val="目录 21"/>
    <w:basedOn w:val="842"/>
    <w:next w:val="842"/>
    <w:link w:val="842"/>
    <w:qFormat/>
    <w:pPr>
      <w:ind w:left="420" w:firstLine="200"/>
      <w:jc w:val="left"/>
    </w:pPr>
    <w:rPr>
      <w:sz w:val="24"/>
      <w:szCs w:val="22"/>
    </w:rPr>
  </w:style>
  <w:style w:type="paragraph" w:styleId="951">
    <w:name w:val="目录 91"/>
    <w:basedOn w:val="842"/>
    <w:next w:val="842"/>
    <w:link w:val="842"/>
    <w:uiPriority w:val="39"/>
    <w:unhideWhenUsed/>
    <w:qFormat/>
    <w:pPr>
      <w:ind w:left="2268"/>
      <w:spacing w:after="57"/>
    </w:pPr>
  </w:style>
  <w:style w:type="paragraph" w:styleId="952">
    <w:name w:val="正文文本 21"/>
    <w:basedOn w:val="842"/>
    <w:next w:val="952"/>
    <w:link w:val="842"/>
    <w:qFormat/>
    <w:pPr>
      <w:spacing w:after="120" w:line="480" w:lineRule="auto"/>
    </w:pPr>
  </w:style>
  <w:style w:type="paragraph" w:styleId="953">
    <w:name w:val="普通(网站)11"/>
    <w:basedOn w:val="842"/>
    <w:next w:val="953"/>
    <w:link w:val="842"/>
    <w:qFormat/>
    <w:pPr>
      <w:jc w:val="left"/>
      <w:spacing w:before="100" w:beforeAutospacing="1" w:after="100" w:afterAutospacing="1"/>
      <w:widowControl/>
    </w:pPr>
    <w:rPr>
      <w:rFonts w:ascii="宋体" w:hAnsi="宋体" w:cs="宋体"/>
      <w:sz w:val="24"/>
    </w:rPr>
  </w:style>
  <w:style w:type="paragraph" w:styleId="954">
    <w:name w:val="索引 11"/>
    <w:basedOn w:val="842"/>
    <w:next w:val="842"/>
    <w:link w:val="842"/>
    <w:semiHidden/>
    <w:qFormat/>
  </w:style>
  <w:style w:type="paragraph" w:styleId="955">
    <w:name w:val="标题1"/>
    <w:basedOn w:val="842"/>
    <w:next w:val="955"/>
    <w:link w:val="956"/>
    <w:qFormat/>
    <w:pPr>
      <w:ind w:left="420" w:hanging="420"/>
      <w:jc w:val="center"/>
      <w:spacing w:before="240" w:after="60"/>
      <w:tabs>
        <w:tab w:val="left" w:pos="432" w:leader="none"/>
        <w:tab w:val="left" w:pos="1140" w:leader="none"/>
      </w:tabs>
      <w:outlineLvl w:val="0"/>
    </w:pPr>
    <w:rPr>
      <w:rFonts w:ascii="Arial" w:hAnsi="Arial"/>
      <w:b/>
      <w:bCs/>
      <w:sz w:val="32"/>
      <w:szCs w:val="32"/>
      <w:lang w:val="en-US" w:eastAsia="en-US"/>
    </w:rPr>
  </w:style>
  <w:style w:type="character" w:styleId="956">
    <w:name w:val="标题 字符"/>
    <w:next w:val="956"/>
    <w:link w:val="955"/>
    <w:qFormat/>
    <w:rPr>
      <w:rFonts w:ascii="Arial" w:hAnsi="Arial"/>
      <w:b/>
      <w:bCs/>
      <w:sz w:val="32"/>
      <w:szCs w:val="32"/>
    </w:rPr>
  </w:style>
  <w:style w:type="paragraph" w:styleId="957">
    <w:name w:val="批注主题1"/>
    <w:basedOn w:val="920"/>
    <w:next w:val="920"/>
    <w:link w:val="958"/>
    <w:qFormat/>
    <w:rPr>
      <w:b/>
      <w:bCs/>
    </w:rPr>
  </w:style>
  <w:style w:type="character" w:styleId="958">
    <w:name w:val="批注主题 字符"/>
    <w:next w:val="958"/>
    <w:link w:val="957"/>
    <w:qFormat/>
    <w:rPr>
      <w:b/>
      <w:bCs/>
      <w:sz w:val="21"/>
      <w:szCs w:val="24"/>
    </w:rPr>
  </w:style>
  <w:style w:type="paragraph" w:styleId="959">
    <w:name w:val="正文首行缩进1"/>
    <w:next w:val="959"/>
    <w:link w:val="842"/>
    <w:qFormat/>
    <w:pPr>
      <w:ind w:firstLine="420"/>
      <w:jc w:val="both"/>
      <w:spacing w:after="120"/>
      <w:widowControl w:val="off"/>
    </w:pPr>
    <w:rPr>
      <w:rFonts w:ascii="Calibri" w:hAnsi="Calibri"/>
      <w:sz w:val="21"/>
      <w:szCs w:val="24"/>
      <w:lang w:val="en-US" w:eastAsia="zh-CN" w:bidi="ar-SA"/>
    </w:rPr>
  </w:style>
  <w:style w:type="paragraph" w:styleId="960">
    <w:name w:val="正文首行缩进 21"/>
    <w:basedOn w:val="910"/>
    <w:next w:val="961"/>
    <w:link w:val="842"/>
    <w:qFormat/>
    <w:pPr>
      <w:ind w:firstLine="420"/>
    </w:pPr>
    <w:rPr>
      <w:rFonts w:ascii="宋体" w:hAnsi="Courier New"/>
    </w:rPr>
  </w:style>
  <w:style w:type="paragraph" w:styleId="961">
    <w:name w:val="Body"/>
    <w:next w:val="962"/>
    <w:link w:val="842"/>
    <w:qFormat/>
    <w:pPr>
      <w:ind w:left="567" w:right="2835" w:firstLine="3584"/>
      <w:spacing w:after="60"/>
    </w:pPr>
    <w:rPr>
      <w:rFonts w:ascii="Calibri" w:hAnsi="Calibri" w:cs="宋体"/>
      <w:lang w:val="en-US" w:eastAsia="zh-CN" w:bidi="ar-SA"/>
    </w:rPr>
  </w:style>
  <w:style w:type="paragraph" w:styleId="962">
    <w:name w:val="索引 91"/>
    <w:basedOn w:val="880"/>
    <w:next w:val="842"/>
    <w:link w:val="842"/>
    <w:qFormat/>
    <w:pPr>
      <w:ind w:left="1600" w:firstLine="2560"/>
      <w:spacing w:before="0" w:after="0" w:line="360" w:lineRule="auto"/>
    </w:pPr>
  </w:style>
  <w:style w:type="table" w:styleId="963">
    <w:name w:val="网格型1"/>
    <w:basedOn w:val="914"/>
    <w:next w:val="963"/>
    <w:link w:val="842"/>
    <w:qFormat/>
    <w:tblPr/>
  </w:style>
  <w:style w:type="character" w:styleId="964">
    <w:name w:val="要点1"/>
    <w:basedOn w:val="892"/>
    <w:next w:val="964"/>
    <w:link w:val="842"/>
    <w:qFormat/>
    <w:rPr>
      <w:b/>
      <w:bCs/>
    </w:rPr>
  </w:style>
  <w:style w:type="character" w:styleId="965">
    <w:name w:val="尾注引用1"/>
    <w:basedOn w:val="892"/>
    <w:next w:val="965"/>
    <w:link w:val="842"/>
    <w:uiPriority w:val="99"/>
    <w:unhideWhenUsed/>
    <w:qFormat/>
    <w:rPr>
      <w:vertAlign w:val="superscript"/>
    </w:rPr>
  </w:style>
  <w:style w:type="character" w:styleId="966">
    <w:name w:val="页码1"/>
    <w:basedOn w:val="892"/>
    <w:next w:val="966"/>
    <w:link w:val="842"/>
    <w:qFormat/>
  </w:style>
  <w:style w:type="character" w:styleId="967">
    <w:name w:val="已访问的超链接1"/>
    <w:next w:val="967"/>
    <w:link w:val="842"/>
    <w:qFormat/>
    <w:rPr>
      <w:color w:val="800080"/>
      <w:szCs w:val="24"/>
      <w:u w:val="none"/>
    </w:rPr>
  </w:style>
  <w:style w:type="character" w:styleId="968">
    <w:name w:val="强调1"/>
    <w:next w:val="968"/>
    <w:link w:val="842"/>
    <w:qFormat/>
    <w:rPr>
      <w:i/>
      <w:iCs/>
    </w:rPr>
  </w:style>
  <w:style w:type="character" w:styleId="969">
    <w:name w:val="超链接1"/>
    <w:next w:val="969"/>
    <w:link w:val="842"/>
    <w:qFormat/>
    <w:rPr>
      <w:color w:val="000000"/>
      <w:szCs w:val="24"/>
      <w:u w:val="none"/>
    </w:rPr>
  </w:style>
  <w:style w:type="character" w:styleId="970">
    <w:name w:val="批注引用11"/>
    <w:next w:val="970"/>
    <w:link w:val="842"/>
    <w:qFormat/>
    <w:rPr>
      <w:sz w:val="21"/>
      <w:szCs w:val="21"/>
    </w:rPr>
  </w:style>
  <w:style w:type="character" w:styleId="971">
    <w:name w:val="脚注引用1"/>
    <w:basedOn w:val="892"/>
    <w:next w:val="971"/>
    <w:link w:val="842"/>
    <w:uiPriority w:val="99"/>
    <w:unhideWhenUsed/>
    <w:qFormat/>
    <w:rPr>
      <w:vertAlign w:val="superscript"/>
    </w:rPr>
  </w:style>
  <w:style w:type="character" w:styleId="972">
    <w:name w:val="Heading 1 Char"/>
    <w:basedOn w:val="892"/>
    <w:next w:val="972"/>
    <w:link w:val="842"/>
    <w:uiPriority w:val="9"/>
    <w:qFormat/>
    <w:rPr>
      <w:rFonts w:ascii="Arial" w:hAnsi="Arial" w:eastAsia="Arial" w:cs="Arial"/>
      <w:sz w:val="40"/>
      <w:szCs w:val="40"/>
    </w:rPr>
  </w:style>
  <w:style w:type="character" w:styleId="973">
    <w:name w:val="Heading 2 Char"/>
    <w:basedOn w:val="892"/>
    <w:next w:val="973"/>
    <w:link w:val="842"/>
    <w:uiPriority w:val="9"/>
    <w:qFormat/>
    <w:rPr>
      <w:rFonts w:ascii="Arial" w:hAnsi="Arial" w:eastAsia="Arial" w:cs="Arial"/>
      <w:sz w:val="34"/>
    </w:rPr>
  </w:style>
  <w:style w:type="character" w:styleId="974">
    <w:name w:val="Title Char"/>
    <w:basedOn w:val="892"/>
    <w:next w:val="974"/>
    <w:link w:val="842"/>
    <w:uiPriority w:val="10"/>
    <w:qFormat/>
    <w:rPr>
      <w:sz w:val="48"/>
      <w:szCs w:val="48"/>
    </w:rPr>
  </w:style>
  <w:style w:type="character" w:styleId="975">
    <w:name w:val="Subtitle Char"/>
    <w:basedOn w:val="892"/>
    <w:next w:val="975"/>
    <w:link w:val="842"/>
    <w:uiPriority w:val="11"/>
    <w:qFormat/>
    <w:rPr>
      <w:sz w:val="24"/>
      <w:szCs w:val="24"/>
    </w:rPr>
  </w:style>
  <w:style w:type="paragraph" w:styleId="976">
    <w:name w:val="引用"/>
    <w:basedOn w:val="842"/>
    <w:next w:val="842"/>
    <w:link w:val="977"/>
    <w:uiPriority w:val="29"/>
    <w:qFormat/>
    <w:pPr>
      <w:ind w:left="720" w:right="720"/>
    </w:pPr>
    <w:rPr>
      <w:i/>
      <w:sz w:val="20"/>
      <w:szCs w:val="20"/>
      <w:lang w:val="en-US" w:eastAsia="en-US"/>
    </w:rPr>
  </w:style>
  <w:style w:type="character" w:styleId="977">
    <w:name w:val="引用 Char"/>
    <w:next w:val="977"/>
    <w:link w:val="976"/>
    <w:uiPriority w:val="29"/>
    <w:qFormat/>
    <w:rPr>
      <w:i/>
    </w:rPr>
  </w:style>
  <w:style w:type="paragraph" w:styleId="978">
    <w:name w:val="明显引用"/>
    <w:basedOn w:val="842"/>
    <w:next w:val="842"/>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79">
    <w:name w:val="明显引用 Char"/>
    <w:next w:val="979"/>
    <w:link w:val="978"/>
    <w:uiPriority w:val="30"/>
    <w:qFormat/>
    <w:rPr>
      <w:i/>
    </w:rPr>
  </w:style>
  <w:style w:type="paragraph" w:styleId="980">
    <w:name w:val="Caption1"/>
    <w:basedOn w:val="842"/>
    <w:next w:val="842"/>
    <w:link w:val="842"/>
    <w:uiPriority w:val="35"/>
    <w:unhideWhenUsed/>
    <w:qFormat/>
    <w:pPr>
      <w:spacing w:line="276" w:lineRule="auto"/>
    </w:pPr>
    <w:rPr>
      <w:b/>
      <w:bCs/>
      <w:color w:val="4f81bd"/>
      <w:sz w:val="18"/>
      <w:szCs w:val="18"/>
    </w:rPr>
  </w:style>
  <w:style w:type="character" w:styleId="981">
    <w:name w:val="Caption Char"/>
    <w:next w:val="981"/>
    <w:link w:val="842"/>
    <w:uiPriority w:val="99"/>
    <w:qFormat/>
  </w:style>
  <w:style w:type="table" w:styleId="982">
    <w:name w:val="Table Grid Light"/>
    <w:basedOn w:val="914"/>
    <w:next w:val="982"/>
    <w:link w:val="842"/>
    <w:uiPriority w:val="59"/>
    <w:qFormat/>
    <w:tblPr/>
  </w:style>
  <w:style w:type="table" w:styleId="983">
    <w:name w:val="Plain Table 1"/>
    <w:basedOn w:val="914"/>
    <w:next w:val="983"/>
    <w:link w:val="842"/>
    <w:uiPriority w:val="59"/>
    <w:qFormat/>
    <w:tblPr/>
  </w:style>
  <w:style w:type="table" w:styleId="984">
    <w:name w:val="Plain Table 2"/>
    <w:basedOn w:val="914"/>
    <w:next w:val="984"/>
    <w:link w:val="842"/>
    <w:uiPriority w:val="59"/>
    <w:qFormat/>
    <w:tblPr/>
  </w:style>
  <w:style w:type="table" w:styleId="985">
    <w:name w:val="Plain Table 3"/>
    <w:basedOn w:val="914"/>
    <w:next w:val="985"/>
    <w:link w:val="842"/>
    <w:uiPriority w:val="99"/>
    <w:qFormat/>
    <w:tblPr/>
  </w:style>
  <w:style w:type="table" w:styleId="986">
    <w:name w:val="Plain Table 4"/>
    <w:basedOn w:val="914"/>
    <w:next w:val="986"/>
    <w:link w:val="842"/>
    <w:uiPriority w:val="99"/>
    <w:qFormat/>
    <w:tblPr/>
  </w:style>
  <w:style w:type="table" w:styleId="987">
    <w:name w:val="Plain Table 5"/>
    <w:basedOn w:val="914"/>
    <w:next w:val="987"/>
    <w:link w:val="842"/>
    <w:uiPriority w:val="99"/>
    <w:qFormat/>
    <w:tblPr/>
  </w:style>
  <w:style w:type="table" w:styleId="988">
    <w:name w:val="Grid Table 1 Light"/>
    <w:basedOn w:val="914"/>
    <w:next w:val="988"/>
    <w:link w:val="842"/>
    <w:uiPriority w:val="99"/>
    <w:qFormat/>
    <w:tblPr/>
  </w:style>
  <w:style w:type="table" w:styleId="989">
    <w:name w:val="Grid Table 1 Light - Accent 1"/>
    <w:basedOn w:val="914"/>
    <w:next w:val="989"/>
    <w:link w:val="842"/>
    <w:uiPriority w:val="99"/>
    <w:qFormat/>
    <w:tblPr/>
  </w:style>
  <w:style w:type="table" w:styleId="990">
    <w:name w:val="Grid Table 1 Light - Accent 2"/>
    <w:basedOn w:val="914"/>
    <w:next w:val="990"/>
    <w:link w:val="842"/>
    <w:uiPriority w:val="99"/>
    <w:qFormat/>
    <w:tblPr/>
  </w:style>
  <w:style w:type="table" w:styleId="991">
    <w:name w:val="Grid Table 1 Light - Accent 3"/>
    <w:basedOn w:val="914"/>
    <w:next w:val="991"/>
    <w:link w:val="842"/>
    <w:uiPriority w:val="99"/>
    <w:qFormat/>
    <w:tblPr/>
  </w:style>
  <w:style w:type="table" w:styleId="992">
    <w:name w:val="Grid Table 1 Light - Accent 4"/>
    <w:basedOn w:val="914"/>
    <w:next w:val="992"/>
    <w:link w:val="842"/>
    <w:uiPriority w:val="99"/>
    <w:qFormat/>
    <w:tblPr/>
  </w:style>
  <w:style w:type="table" w:styleId="993">
    <w:name w:val="Grid Table 1 Light - Accent 5"/>
    <w:basedOn w:val="914"/>
    <w:next w:val="993"/>
    <w:link w:val="842"/>
    <w:uiPriority w:val="99"/>
    <w:qFormat/>
    <w:tblPr/>
  </w:style>
  <w:style w:type="table" w:styleId="994">
    <w:name w:val="Grid Table 1 Light - Accent 6"/>
    <w:basedOn w:val="914"/>
    <w:next w:val="994"/>
    <w:link w:val="842"/>
    <w:uiPriority w:val="99"/>
    <w:qFormat/>
    <w:tblPr/>
  </w:style>
  <w:style w:type="table" w:styleId="995">
    <w:name w:val="Grid Table 2"/>
    <w:basedOn w:val="914"/>
    <w:next w:val="995"/>
    <w:link w:val="842"/>
    <w:uiPriority w:val="99"/>
    <w:qFormat/>
    <w:tblPr/>
  </w:style>
  <w:style w:type="table" w:styleId="996">
    <w:name w:val="Grid Table 2 - Accent 1"/>
    <w:basedOn w:val="914"/>
    <w:next w:val="996"/>
    <w:link w:val="842"/>
    <w:uiPriority w:val="99"/>
    <w:qFormat/>
    <w:tblPr/>
  </w:style>
  <w:style w:type="table" w:styleId="997">
    <w:name w:val="Grid Table 2 - Accent 2"/>
    <w:basedOn w:val="914"/>
    <w:next w:val="997"/>
    <w:link w:val="842"/>
    <w:uiPriority w:val="99"/>
    <w:qFormat/>
    <w:tblPr/>
  </w:style>
  <w:style w:type="table" w:styleId="998">
    <w:name w:val="Grid Table 2 - Accent 3"/>
    <w:basedOn w:val="914"/>
    <w:next w:val="998"/>
    <w:link w:val="842"/>
    <w:uiPriority w:val="99"/>
    <w:qFormat/>
    <w:tblPr/>
  </w:style>
  <w:style w:type="table" w:styleId="999">
    <w:name w:val="Grid Table 2 - Accent 4"/>
    <w:basedOn w:val="914"/>
    <w:next w:val="999"/>
    <w:link w:val="842"/>
    <w:uiPriority w:val="99"/>
    <w:qFormat/>
    <w:tblPr/>
  </w:style>
  <w:style w:type="table" w:styleId="1000">
    <w:name w:val="Grid Table 2 - Accent 5"/>
    <w:basedOn w:val="914"/>
    <w:next w:val="1000"/>
    <w:link w:val="842"/>
    <w:uiPriority w:val="99"/>
    <w:qFormat/>
    <w:tblPr/>
  </w:style>
  <w:style w:type="table" w:styleId="1001">
    <w:name w:val="Grid Table 2 - Accent 6"/>
    <w:basedOn w:val="914"/>
    <w:next w:val="1001"/>
    <w:link w:val="842"/>
    <w:uiPriority w:val="99"/>
    <w:qFormat/>
    <w:tblPr/>
  </w:style>
  <w:style w:type="table" w:styleId="1002">
    <w:name w:val="Grid Table 3"/>
    <w:basedOn w:val="914"/>
    <w:next w:val="1002"/>
    <w:link w:val="842"/>
    <w:uiPriority w:val="99"/>
    <w:qFormat/>
    <w:tblPr/>
  </w:style>
  <w:style w:type="table" w:styleId="1003">
    <w:name w:val="Grid Table 3 - Accent 1"/>
    <w:basedOn w:val="914"/>
    <w:next w:val="1003"/>
    <w:link w:val="842"/>
    <w:uiPriority w:val="99"/>
    <w:qFormat/>
    <w:tblPr/>
  </w:style>
  <w:style w:type="table" w:styleId="1004">
    <w:name w:val="Grid Table 3 - Accent 2"/>
    <w:basedOn w:val="914"/>
    <w:next w:val="1004"/>
    <w:link w:val="842"/>
    <w:uiPriority w:val="99"/>
    <w:qFormat/>
    <w:tblPr/>
  </w:style>
  <w:style w:type="table" w:styleId="1005">
    <w:name w:val="Grid Table 3 - Accent 3"/>
    <w:basedOn w:val="914"/>
    <w:next w:val="1005"/>
    <w:link w:val="842"/>
    <w:uiPriority w:val="99"/>
    <w:qFormat/>
    <w:tblPr/>
  </w:style>
  <w:style w:type="table" w:styleId="1006">
    <w:name w:val="Grid Table 3 - Accent 4"/>
    <w:basedOn w:val="914"/>
    <w:next w:val="1006"/>
    <w:link w:val="842"/>
    <w:uiPriority w:val="99"/>
    <w:qFormat/>
    <w:tblPr/>
  </w:style>
  <w:style w:type="table" w:styleId="1007">
    <w:name w:val="Grid Table 3 - Accent 5"/>
    <w:basedOn w:val="914"/>
    <w:next w:val="1007"/>
    <w:link w:val="842"/>
    <w:uiPriority w:val="99"/>
    <w:qFormat/>
    <w:tblPr/>
  </w:style>
  <w:style w:type="table" w:styleId="1008">
    <w:name w:val="Grid Table 3 - Accent 6"/>
    <w:basedOn w:val="914"/>
    <w:next w:val="1008"/>
    <w:link w:val="842"/>
    <w:uiPriority w:val="99"/>
    <w:qFormat/>
    <w:tblPr/>
  </w:style>
  <w:style w:type="table" w:styleId="1009">
    <w:name w:val="Grid Table 4"/>
    <w:basedOn w:val="914"/>
    <w:next w:val="1009"/>
    <w:link w:val="842"/>
    <w:uiPriority w:val="59"/>
    <w:qFormat/>
    <w:tblPr/>
  </w:style>
  <w:style w:type="table" w:styleId="1010">
    <w:name w:val="Grid Table 4 - Accent 1"/>
    <w:basedOn w:val="914"/>
    <w:next w:val="1010"/>
    <w:link w:val="842"/>
    <w:uiPriority w:val="59"/>
    <w:qFormat/>
    <w:tblPr/>
  </w:style>
  <w:style w:type="table" w:styleId="1011">
    <w:name w:val="Grid Table 4 - Accent 2"/>
    <w:basedOn w:val="914"/>
    <w:next w:val="1011"/>
    <w:link w:val="842"/>
    <w:uiPriority w:val="59"/>
    <w:qFormat/>
    <w:tblPr/>
  </w:style>
  <w:style w:type="table" w:styleId="1012">
    <w:name w:val="Grid Table 4 - Accent 3"/>
    <w:basedOn w:val="914"/>
    <w:next w:val="1012"/>
    <w:link w:val="842"/>
    <w:uiPriority w:val="59"/>
    <w:qFormat/>
    <w:tblPr/>
  </w:style>
  <w:style w:type="table" w:styleId="1013">
    <w:name w:val="Grid Table 4 - Accent 4"/>
    <w:basedOn w:val="914"/>
    <w:next w:val="1013"/>
    <w:link w:val="842"/>
    <w:uiPriority w:val="59"/>
    <w:qFormat/>
    <w:tblPr/>
  </w:style>
  <w:style w:type="table" w:styleId="1014">
    <w:name w:val="Grid Table 4 - Accent 5"/>
    <w:basedOn w:val="914"/>
    <w:next w:val="1014"/>
    <w:link w:val="842"/>
    <w:uiPriority w:val="59"/>
    <w:qFormat/>
    <w:tblPr/>
  </w:style>
  <w:style w:type="table" w:styleId="1015">
    <w:name w:val="Grid Table 4 - Accent 6"/>
    <w:basedOn w:val="914"/>
    <w:next w:val="1015"/>
    <w:link w:val="842"/>
    <w:uiPriority w:val="59"/>
    <w:qFormat/>
    <w:tblPr/>
  </w:style>
  <w:style w:type="table" w:styleId="1016">
    <w:name w:val="Grid Table 5 Dark"/>
    <w:basedOn w:val="914"/>
    <w:next w:val="1016"/>
    <w:link w:val="842"/>
    <w:uiPriority w:val="99"/>
    <w:qFormat/>
    <w:tblPr/>
  </w:style>
  <w:style w:type="table" w:styleId="1017">
    <w:name w:val="Grid Table 5 Dark- Accent 1"/>
    <w:basedOn w:val="914"/>
    <w:next w:val="1017"/>
    <w:link w:val="842"/>
    <w:uiPriority w:val="99"/>
    <w:qFormat/>
    <w:tblPr/>
  </w:style>
  <w:style w:type="table" w:styleId="1018">
    <w:name w:val="Grid Table 5 Dark - Accent 2"/>
    <w:basedOn w:val="914"/>
    <w:next w:val="1018"/>
    <w:link w:val="842"/>
    <w:uiPriority w:val="99"/>
    <w:qFormat/>
    <w:tblPr/>
  </w:style>
  <w:style w:type="table" w:styleId="1019">
    <w:name w:val="Grid Table 5 Dark - Accent 3"/>
    <w:basedOn w:val="914"/>
    <w:next w:val="1019"/>
    <w:link w:val="842"/>
    <w:uiPriority w:val="99"/>
    <w:qFormat/>
    <w:tblPr/>
  </w:style>
  <w:style w:type="table" w:styleId="1020">
    <w:name w:val="Grid Table 5 Dark- Accent 4"/>
    <w:basedOn w:val="914"/>
    <w:next w:val="1020"/>
    <w:link w:val="842"/>
    <w:uiPriority w:val="99"/>
    <w:qFormat/>
    <w:tblPr/>
  </w:style>
  <w:style w:type="table" w:styleId="1021">
    <w:name w:val="Grid Table 5 Dark - Accent 5"/>
    <w:basedOn w:val="914"/>
    <w:next w:val="1021"/>
    <w:link w:val="842"/>
    <w:uiPriority w:val="99"/>
    <w:qFormat/>
    <w:tblPr/>
  </w:style>
  <w:style w:type="table" w:styleId="1022">
    <w:name w:val="Grid Table 5 Dark - Accent 6"/>
    <w:basedOn w:val="914"/>
    <w:next w:val="1022"/>
    <w:link w:val="842"/>
    <w:uiPriority w:val="99"/>
    <w:qFormat/>
    <w:tblPr/>
  </w:style>
  <w:style w:type="table" w:styleId="1023">
    <w:name w:val="Grid Table 6 Colorful"/>
    <w:basedOn w:val="914"/>
    <w:next w:val="1023"/>
    <w:link w:val="842"/>
    <w:uiPriority w:val="99"/>
    <w:qFormat/>
    <w:tblPr/>
  </w:style>
  <w:style w:type="table" w:styleId="1024">
    <w:name w:val="Grid Table 6 Colorful - Accent 1"/>
    <w:basedOn w:val="914"/>
    <w:next w:val="1024"/>
    <w:link w:val="842"/>
    <w:uiPriority w:val="99"/>
    <w:qFormat/>
    <w:tblPr/>
  </w:style>
  <w:style w:type="table" w:styleId="1025">
    <w:name w:val="Grid Table 6 Colorful - Accent 2"/>
    <w:basedOn w:val="914"/>
    <w:next w:val="1025"/>
    <w:link w:val="842"/>
    <w:uiPriority w:val="99"/>
    <w:qFormat/>
    <w:tblPr/>
  </w:style>
  <w:style w:type="table" w:styleId="1026">
    <w:name w:val="Grid Table 6 Colorful - Accent 3"/>
    <w:basedOn w:val="914"/>
    <w:next w:val="1026"/>
    <w:link w:val="842"/>
    <w:uiPriority w:val="99"/>
    <w:qFormat/>
    <w:tblPr/>
  </w:style>
  <w:style w:type="table" w:styleId="1027">
    <w:name w:val="Grid Table 6 Colorful - Accent 4"/>
    <w:basedOn w:val="914"/>
    <w:next w:val="1027"/>
    <w:link w:val="842"/>
    <w:uiPriority w:val="99"/>
    <w:qFormat/>
    <w:tblPr/>
  </w:style>
  <w:style w:type="table" w:styleId="1028">
    <w:name w:val="Grid Table 6 Colorful - Accent 5"/>
    <w:basedOn w:val="914"/>
    <w:next w:val="1028"/>
    <w:link w:val="842"/>
    <w:uiPriority w:val="99"/>
    <w:qFormat/>
    <w:tblPr/>
  </w:style>
  <w:style w:type="table" w:styleId="1029">
    <w:name w:val="Grid Table 6 Colorful - Accent 6"/>
    <w:basedOn w:val="914"/>
    <w:next w:val="1029"/>
    <w:link w:val="842"/>
    <w:uiPriority w:val="99"/>
    <w:qFormat/>
    <w:tblPr/>
  </w:style>
  <w:style w:type="table" w:styleId="1030">
    <w:name w:val="Grid Table 7 Colorful"/>
    <w:basedOn w:val="914"/>
    <w:next w:val="1030"/>
    <w:link w:val="842"/>
    <w:uiPriority w:val="99"/>
    <w:qFormat/>
    <w:tblPr/>
  </w:style>
  <w:style w:type="table" w:styleId="1031">
    <w:name w:val="Grid Table 7 Colorful - Accent 1"/>
    <w:basedOn w:val="914"/>
    <w:next w:val="1031"/>
    <w:link w:val="842"/>
    <w:uiPriority w:val="99"/>
    <w:qFormat/>
    <w:tblPr/>
  </w:style>
  <w:style w:type="table" w:styleId="1032">
    <w:name w:val="Grid Table 7 Colorful - Accent 2"/>
    <w:basedOn w:val="914"/>
    <w:next w:val="1032"/>
    <w:link w:val="842"/>
    <w:uiPriority w:val="99"/>
    <w:qFormat/>
    <w:tblPr/>
  </w:style>
  <w:style w:type="table" w:styleId="1033">
    <w:name w:val="Grid Table 7 Colorful - Accent 3"/>
    <w:basedOn w:val="914"/>
    <w:next w:val="1033"/>
    <w:link w:val="842"/>
    <w:uiPriority w:val="99"/>
    <w:qFormat/>
    <w:tblPr/>
  </w:style>
  <w:style w:type="table" w:styleId="1034">
    <w:name w:val="Grid Table 7 Colorful - Accent 4"/>
    <w:basedOn w:val="914"/>
    <w:next w:val="1034"/>
    <w:link w:val="842"/>
    <w:uiPriority w:val="99"/>
    <w:qFormat/>
    <w:tblPr/>
  </w:style>
  <w:style w:type="table" w:styleId="1035">
    <w:name w:val="Grid Table 7 Colorful - Accent 5"/>
    <w:basedOn w:val="914"/>
    <w:next w:val="1035"/>
    <w:link w:val="842"/>
    <w:uiPriority w:val="99"/>
    <w:qFormat/>
    <w:tblPr/>
  </w:style>
  <w:style w:type="table" w:styleId="1036">
    <w:name w:val="Grid Table 7 Colorful - Accent 6"/>
    <w:basedOn w:val="914"/>
    <w:next w:val="1036"/>
    <w:link w:val="842"/>
    <w:uiPriority w:val="99"/>
    <w:qFormat/>
    <w:tblPr/>
  </w:style>
  <w:style w:type="table" w:styleId="1037">
    <w:name w:val="List Table 1 Light"/>
    <w:basedOn w:val="914"/>
    <w:next w:val="1037"/>
    <w:link w:val="842"/>
    <w:uiPriority w:val="99"/>
    <w:qFormat/>
    <w:tblPr/>
  </w:style>
  <w:style w:type="table" w:styleId="1038">
    <w:name w:val="List Table 1 Light - Accent 1"/>
    <w:basedOn w:val="914"/>
    <w:next w:val="1038"/>
    <w:link w:val="842"/>
    <w:uiPriority w:val="99"/>
    <w:qFormat/>
    <w:tblPr/>
  </w:style>
  <w:style w:type="table" w:styleId="1039">
    <w:name w:val="List Table 1 Light - Accent 2"/>
    <w:basedOn w:val="914"/>
    <w:next w:val="1039"/>
    <w:link w:val="842"/>
    <w:uiPriority w:val="99"/>
    <w:qFormat/>
    <w:tblPr/>
  </w:style>
  <w:style w:type="table" w:styleId="1040">
    <w:name w:val="List Table 1 Light - Accent 3"/>
    <w:basedOn w:val="914"/>
    <w:next w:val="1040"/>
    <w:link w:val="842"/>
    <w:uiPriority w:val="99"/>
    <w:qFormat/>
    <w:tblPr/>
  </w:style>
  <w:style w:type="table" w:styleId="1041">
    <w:name w:val="List Table 1 Light - Accent 4"/>
    <w:basedOn w:val="914"/>
    <w:next w:val="1041"/>
    <w:link w:val="842"/>
    <w:uiPriority w:val="99"/>
    <w:qFormat/>
    <w:tblPr/>
  </w:style>
  <w:style w:type="table" w:styleId="1042">
    <w:name w:val="List Table 1 Light - Accent 5"/>
    <w:basedOn w:val="914"/>
    <w:next w:val="1042"/>
    <w:link w:val="842"/>
    <w:uiPriority w:val="99"/>
    <w:qFormat/>
    <w:tblPr/>
  </w:style>
  <w:style w:type="table" w:styleId="1043">
    <w:name w:val="List Table 1 Light - Accent 6"/>
    <w:basedOn w:val="914"/>
    <w:next w:val="1043"/>
    <w:link w:val="842"/>
    <w:uiPriority w:val="99"/>
    <w:qFormat/>
    <w:tblPr/>
  </w:style>
  <w:style w:type="table" w:styleId="1044">
    <w:name w:val="List Table 2"/>
    <w:basedOn w:val="914"/>
    <w:next w:val="1044"/>
    <w:link w:val="842"/>
    <w:uiPriority w:val="99"/>
    <w:qFormat/>
    <w:tblPr/>
  </w:style>
  <w:style w:type="table" w:styleId="1045">
    <w:name w:val="List Table 2 - Accent 1"/>
    <w:basedOn w:val="914"/>
    <w:next w:val="1045"/>
    <w:link w:val="842"/>
    <w:uiPriority w:val="99"/>
    <w:qFormat/>
    <w:tblPr/>
  </w:style>
  <w:style w:type="table" w:styleId="1046">
    <w:name w:val="List Table 2 - Accent 2"/>
    <w:basedOn w:val="914"/>
    <w:next w:val="1046"/>
    <w:link w:val="842"/>
    <w:uiPriority w:val="99"/>
    <w:qFormat/>
    <w:tblPr/>
  </w:style>
  <w:style w:type="table" w:styleId="1047">
    <w:name w:val="List Table 2 - Accent 3"/>
    <w:basedOn w:val="914"/>
    <w:next w:val="1047"/>
    <w:link w:val="842"/>
    <w:uiPriority w:val="99"/>
    <w:qFormat/>
    <w:tblPr/>
  </w:style>
  <w:style w:type="table" w:styleId="1048">
    <w:name w:val="List Table 2 - Accent 4"/>
    <w:basedOn w:val="914"/>
    <w:next w:val="1048"/>
    <w:link w:val="842"/>
    <w:uiPriority w:val="99"/>
    <w:qFormat/>
    <w:tblPr/>
  </w:style>
  <w:style w:type="table" w:styleId="1049">
    <w:name w:val="List Table 2 - Accent 5"/>
    <w:basedOn w:val="914"/>
    <w:next w:val="1049"/>
    <w:link w:val="842"/>
    <w:uiPriority w:val="99"/>
    <w:qFormat/>
    <w:tblPr/>
  </w:style>
  <w:style w:type="table" w:styleId="1050">
    <w:name w:val="List Table 2 - Accent 6"/>
    <w:basedOn w:val="914"/>
    <w:next w:val="1050"/>
    <w:link w:val="842"/>
    <w:uiPriority w:val="99"/>
    <w:qFormat/>
    <w:tblPr/>
  </w:style>
  <w:style w:type="table" w:styleId="1051">
    <w:name w:val="List Table 3"/>
    <w:basedOn w:val="914"/>
    <w:next w:val="1051"/>
    <w:link w:val="842"/>
    <w:uiPriority w:val="99"/>
    <w:qFormat/>
    <w:tblPr/>
  </w:style>
  <w:style w:type="table" w:styleId="1052">
    <w:name w:val="List Table 3 - Accent 1"/>
    <w:basedOn w:val="914"/>
    <w:next w:val="1052"/>
    <w:link w:val="842"/>
    <w:uiPriority w:val="99"/>
    <w:qFormat/>
    <w:tblPr/>
  </w:style>
  <w:style w:type="table" w:styleId="1053">
    <w:name w:val="List Table 3 - Accent 2"/>
    <w:basedOn w:val="914"/>
    <w:next w:val="1053"/>
    <w:link w:val="842"/>
    <w:uiPriority w:val="99"/>
    <w:qFormat/>
    <w:tblPr/>
  </w:style>
  <w:style w:type="table" w:styleId="1054">
    <w:name w:val="List Table 3 - Accent 3"/>
    <w:basedOn w:val="914"/>
    <w:next w:val="1054"/>
    <w:link w:val="842"/>
    <w:uiPriority w:val="99"/>
    <w:qFormat/>
    <w:tblPr/>
  </w:style>
  <w:style w:type="table" w:styleId="1055">
    <w:name w:val="List Table 3 - Accent 4"/>
    <w:basedOn w:val="914"/>
    <w:next w:val="1055"/>
    <w:link w:val="842"/>
    <w:uiPriority w:val="99"/>
    <w:qFormat/>
    <w:tblPr/>
  </w:style>
  <w:style w:type="table" w:styleId="1056">
    <w:name w:val="List Table 3 - Accent 5"/>
    <w:basedOn w:val="914"/>
    <w:next w:val="1056"/>
    <w:link w:val="842"/>
    <w:uiPriority w:val="99"/>
    <w:qFormat/>
    <w:tblPr/>
  </w:style>
  <w:style w:type="table" w:styleId="1057">
    <w:name w:val="List Table 3 - Accent 6"/>
    <w:basedOn w:val="914"/>
    <w:next w:val="1057"/>
    <w:link w:val="842"/>
    <w:uiPriority w:val="99"/>
    <w:qFormat/>
    <w:tblPr/>
  </w:style>
  <w:style w:type="table" w:styleId="1058">
    <w:name w:val="List Table 4"/>
    <w:basedOn w:val="914"/>
    <w:next w:val="1058"/>
    <w:link w:val="842"/>
    <w:uiPriority w:val="99"/>
    <w:qFormat/>
    <w:tblPr/>
  </w:style>
  <w:style w:type="table" w:styleId="1059">
    <w:name w:val="List Table 4 - Accent 1"/>
    <w:basedOn w:val="914"/>
    <w:next w:val="1059"/>
    <w:link w:val="842"/>
    <w:uiPriority w:val="99"/>
    <w:qFormat/>
    <w:tblPr/>
  </w:style>
  <w:style w:type="table" w:styleId="1060">
    <w:name w:val="List Table 4 - Accent 2"/>
    <w:basedOn w:val="914"/>
    <w:next w:val="1060"/>
    <w:link w:val="842"/>
    <w:uiPriority w:val="99"/>
    <w:qFormat/>
    <w:tblPr/>
  </w:style>
  <w:style w:type="table" w:styleId="1061">
    <w:name w:val="List Table 4 - Accent 3"/>
    <w:basedOn w:val="914"/>
    <w:next w:val="1061"/>
    <w:link w:val="842"/>
    <w:uiPriority w:val="99"/>
    <w:qFormat/>
    <w:tblPr/>
  </w:style>
  <w:style w:type="table" w:styleId="1062">
    <w:name w:val="List Table 4 - Accent 4"/>
    <w:basedOn w:val="914"/>
    <w:next w:val="1062"/>
    <w:link w:val="842"/>
    <w:uiPriority w:val="99"/>
    <w:qFormat/>
    <w:tblPr/>
  </w:style>
  <w:style w:type="table" w:styleId="1063">
    <w:name w:val="List Table 4 - Accent 5"/>
    <w:basedOn w:val="914"/>
    <w:next w:val="1063"/>
    <w:link w:val="842"/>
    <w:uiPriority w:val="99"/>
    <w:qFormat/>
    <w:tblPr/>
  </w:style>
  <w:style w:type="table" w:styleId="1064">
    <w:name w:val="List Table 4 - Accent 6"/>
    <w:basedOn w:val="914"/>
    <w:next w:val="1064"/>
    <w:link w:val="842"/>
    <w:uiPriority w:val="99"/>
    <w:qFormat/>
    <w:tblPr/>
  </w:style>
  <w:style w:type="table" w:styleId="1065">
    <w:name w:val="List Table 5 Dark"/>
    <w:basedOn w:val="914"/>
    <w:next w:val="1065"/>
    <w:link w:val="842"/>
    <w:uiPriority w:val="99"/>
    <w:qFormat/>
    <w:tblPr/>
  </w:style>
  <w:style w:type="table" w:styleId="1066">
    <w:name w:val="List Table 5 Dark - Accent 1"/>
    <w:basedOn w:val="914"/>
    <w:next w:val="1066"/>
    <w:link w:val="842"/>
    <w:uiPriority w:val="99"/>
    <w:qFormat/>
    <w:tblPr/>
  </w:style>
  <w:style w:type="table" w:styleId="1067">
    <w:name w:val="List Table 5 Dark - Accent 2"/>
    <w:basedOn w:val="914"/>
    <w:next w:val="1067"/>
    <w:link w:val="842"/>
    <w:uiPriority w:val="99"/>
    <w:qFormat/>
    <w:tblPr/>
  </w:style>
  <w:style w:type="table" w:styleId="1068">
    <w:name w:val="List Table 5 Dark - Accent 3"/>
    <w:basedOn w:val="914"/>
    <w:next w:val="1068"/>
    <w:link w:val="842"/>
    <w:uiPriority w:val="99"/>
    <w:qFormat/>
    <w:tblPr/>
  </w:style>
  <w:style w:type="table" w:styleId="1069">
    <w:name w:val="List Table 5 Dark - Accent 4"/>
    <w:basedOn w:val="914"/>
    <w:next w:val="1069"/>
    <w:link w:val="842"/>
    <w:uiPriority w:val="99"/>
    <w:qFormat/>
    <w:tblPr/>
  </w:style>
  <w:style w:type="table" w:styleId="1070">
    <w:name w:val="List Table 5 Dark - Accent 5"/>
    <w:basedOn w:val="914"/>
    <w:next w:val="1070"/>
    <w:link w:val="842"/>
    <w:uiPriority w:val="99"/>
    <w:qFormat/>
    <w:tblPr/>
  </w:style>
  <w:style w:type="table" w:styleId="1071">
    <w:name w:val="List Table 5 Dark - Accent 6"/>
    <w:basedOn w:val="914"/>
    <w:next w:val="1071"/>
    <w:link w:val="842"/>
    <w:uiPriority w:val="99"/>
    <w:qFormat/>
    <w:tblPr/>
  </w:style>
  <w:style w:type="table" w:styleId="1072">
    <w:name w:val="List Table 6 Colorful"/>
    <w:basedOn w:val="914"/>
    <w:next w:val="1072"/>
    <w:link w:val="842"/>
    <w:uiPriority w:val="99"/>
    <w:qFormat/>
    <w:tblPr/>
  </w:style>
  <w:style w:type="table" w:styleId="1073">
    <w:name w:val="List Table 6 Colorful - Accent 1"/>
    <w:basedOn w:val="914"/>
    <w:next w:val="1073"/>
    <w:link w:val="842"/>
    <w:uiPriority w:val="99"/>
    <w:qFormat/>
    <w:tblPr/>
  </w:style>
  <w:style w:type="table" w:styleId="1074">
    <w:name w:val="List Table 6 Colorful - Accent 2"/>
    <w:basedOn w:val="914"/>
    <w:next w:val="1074"/>
    <w:link w:val="842"/>
    <w:uiPriority w:val="99"/>
    <w:qFormat/>
    <w:tblPr/>
  </w:style>
  <w:style w:type="table" w:styleId="1075">
    <w:name w:val="List Table 6 Colorful - Accent 3"/>
    <w:basedOn w:val="914"/>
    <w:next w:val="1075"/>
    <w:link w:val="842"/>
    <w:uiPriority w:val="99"/>
    <w:qFormat/>
    <w:tblPr/>
  </w:style>
  <w:style w:type="table" w:styleId="1076">
    <w:name w:val="List Table 6 Colorful - Accent 4"/>
    <w:basedOn w:val="914"/>
    <w:next w:val="1076"/>
    <w:link w:val="842"/>
    <w:uiPriority w:val="99"/>
    <w:qFormat/>
    <w:tblPr/>
  </w:style>
  <w:style w:type="table" w:styleId="1077">
    <w:name w:val="List Table 6 Colorful - Accent 5"/>
    <w:basedOn w:val="914"/>
    <w:next w:val="1077"/>
    <w:link w:val="842"/>
    <w:uiPriority w:val="99"/>
    <w:qFormat/>
    <w:tblPr/>
  </w:style>
  <w:style w:type="table" w:styleId="1078">
    <w:name w:val="List Table 6 Colorful - Accent 6"/>
    <w:basedOn w:val="914"/>
    <w:next w:val="1078"/>
    <w:link w:val="842"/>
    <w:uiPriority w:val="99"/>
    <w:qFormat/>
    <w:tblPr/>
  </w:style>
  <w:style w:type="table" w:styleId="1079">
    <w:name w:val="List Table 7 Colorful"/>
    <w:basedOn w:val="914"/>
    <w:next w:val="1079"/>
    <w:link w:val="842"/>
    <w:uiPriority w:val="99"/>
    <w:qFormat/>
    <w:tblPr/>
  </w:style>
  <w:style w:type="table" w:styleId="1080">
    <w:name w:val="List Table 7 Colorful - Accent 1"/>
    <w:basedOn w:val="914"/>
    <w:next w:val="1080"/>
    <w:link w:val="842"/>
    <w:uiPriority w:val="99"/>
    <w:qFormat/>
    <w:tblPr/>
  </w:style>
  <w:style w:type="table" w:styleId="1081">
    <w:name w:val="List Table 7 Colorful - Accent 2"/>
    <w:basedOn w:val="914"/>
    <w:next w:val="1081"/>
    <w:link w:val="842"/>
    <w:uiPriority w:val="99"/>
    <w:qFormat/>
    <w:tblPr/>
  </w:style>
  <w:style w:type="table" w:styleId="1082">
    <w:name w:val="List Table 7 Colorful - Accent 3"/>
    <w:basedOn w:val="914"/>
    <w:next w:val="1082"/>
    <w:link w:val="842"/>
    <w:uiPriority w:val="99"/>
    <w:qFormat/>
    <w:tblPr/>
  </w:style>
  <w:style w:type="table" w:styleId="1083">
    <w:name w:val="List Table 7 Colorful - Accent 4"/>
    <w:basedOn w:val="914"/>
    <w:next w:val="1083"/>
    <w:link w:val="842"/>
    <w:uiPriority w:val="99"/>
    <w:qFormat/>
    <w:tblPr/>
  </w:style>
  <w:style w:type="table" w:styleId="1084">
    <w:name w:val="List Table 7 Colorful - Accent 5"/>
    <w:basedOn w:val="914"/>
    <w:next w:val="1084"/>
    <w:link w:val="842"/>
    <w:uiPriority w:val="99"/>
    <w:qFormat/>
    <w:tblPr/>
  </w:style>
  <w:style w:type="table" w:styleId="1085">
    <w:name w:val="List Table 7 Colorful - Accent 6"/>
    <w:basedOn w:val="914"/>
    <w:next w:val="1085"/>
    <w:link w:val="842"/>
    <w:uiPriority w:val="99"/>
    <w:qFormat/>
    <w:tblPr/>
  </w:style>
  <w:style w:type="table" w:styleId="1086">
    <w:name w:val="Lined - Accent"/>
    <w:basedOn w:val="914"/>
    <w:next w:val="1086"/>
    <w:link w:val="842"/>
    <w:uiPriority w:val="99"/>
    <w:qFormat/>
    <w:rPr>
      <w:color w:val="404040"/>
    </w:rPr>
    <w:tblPr/>
  </w:style>
  <w:style w:type="table" w:styleId="1087">
    <w:name w:val="Lined - Accent 1"/>
    <w:basedOn w:val="914"/>
    <w:next w:val="1087"/>
    <w:link w:val="842"/>
    <w:uiPriority w:val="99"/>
    <w:qFormat/>
    <w:rPr>
      <w:color w:val="404040"/>
    </w:rPr>
    <w:tblPr/>
  </w:style>
  <w:style w:type="table" w:styleId="1088">
    <w:name w:val="Lined - Accent 2"/>
    <w:basedOn w:val="914"/>
    <w:next w:val="1088"/>
    <w:link w:val="842"/>
    <w:uiPriority w:val="99"/>
    <w:qFormat/>
    <w:rPr>
      <w:color w:val="404040"/>
    </w:rPr>
    <w:tblPr/>
  </w:style>
  <w:style w:type="table" w:styleId="1089">
    <w:name w:val="Lined - Accent 3"/>
    <w:basedOn w:val="914"/>
    <w:next w:val="1089"/>
    <w:link w:val="842"/>
    <w:uiPriority w:val="99"/>
    <w:qFormat/>
    <w:rPr>
      <w:color w:val="404040"/>
    </w:rPr>
    <w:tblPr/>
  </w:style>
  <w:style w:type="table" w:styleId="1090">
    <w:name w:val="Lined - Accent 4"/>
    <w:basedOn w:val="914"/>
    <w:next w:val="1090"/>
    <w:link w:val="842"/>
    <w:uiPriority w:val="99"/>
    <w:qFormat/>
    <w:rPr>
      <w:color w:val="404040"/>
    </w:rPr>
    <w:tblPr/>
  </w:style>
  <w:style w:type="table" w:styleId="1091">
    <w:name w:val="Lined - Accent 5"/>
    <w:basedOn w:val="914"/>
    <w:next w:val="1091"/>
    <w:link w:val="842"/>
    <w:uiPriority w:val="99"/>
    <w:qFormat/>
    <w:rPr>
      <w:color w:val="404040"/>
    </w:rPr>
    <w:tblPr/>
  </w:style>
  <w:style w:type="table" w:styleId="1092">
    <w:name w:val="Lined - Accent 6"/>
    <w:basedOn w:val="914"/>
    <w:next w:val="1092"/>
    <w:link w:val="842"/>
    <w:uiPriority w:val="99"/>
    <w:qFormat/>
    <w:rPr>
      <w:color w:val="404040"/>
    </w:rPr>
    <w:tblPr/>
  </w:style>
  <w:style w:type="table" w:styleId="1093">
    <w:name w:val="Bordered &amp; Lined - Accent"/>
    <w:basedOn w:val="914"/>
    <w:next w:val="1093"/>
    <w:link w:val="842"/>
    <w:uiPriority w:val="99"/>
    <w:qFormat/>
    <w:rPr>
      <w:color w:val="404040"/>
    </w:rPr>
    <w:tblPr/>
  </w:style>
  <w:style w:type="table" w:styleId="1094">
    <w:name w:val="Bordered &amp; Lined - Accent 1"/>
    <w:basedOn w:val="914"/>
    <w:next w:val="1094"/>
    <w:link w:val="842"/>
    <w:uiPriority w:val="99"/>
    <w:qFormat/>
    <w:rPr>
      <w:color w:val="404040"/>
    </w:rPr>
    <w:tblPr/>
  </w:style>
  <w:style w:type="table" w:styleId="1095">
    <w:name w:val="Bordered &amp; Lined - Accent 2"/>
    <w:basedOn w:val="914"/>
    <w:next w:val="1095"/>
    <w:link w:val="842"/>
    <w:uiPriority w:val="99"/>
    <w:qFormat/>
    <w:rPr>
      <w:color w:val="404040"/>
    </w:rPr>
    <w:tblPr/>
  </w:style>
  <w:style w:type="table" w:styleId="1096">
    <w:name w:val="Bordered &amp; Lined - Accent 3"/>
    <w:basedOn w:val="914"/>
    <w:next w:val="1096"/>
    <w:link w:val="842"/>
    <w:uiPriority w:val="99"/>
    <w:qFormat/>
    <w:rPr>
      <w:color w:val="404040"/>
    </w:rPr>
    <w:tblPr/>
  </w:style>
  <w:style w:type="table" w:styleId="1097">
    <w:name w:val="Bordered &amp; Lined - Accent 4"/>
    <w:basedOn w:val="914"/>
    <w:next w:val="1097"/>
    <w:link w:val="842"/>
    <w:uiPriority w:val="99"/>
    <w:qFormat/>
    <w:rPr>
      <w:color w:val="404040"/>
    </w:rPr>
    <w:tblPr/>
  </w:style>
  <w:style w:type="table" w:styleId="1098">
    <w:name w:val="Bordered &amp; Lined - Accent 5"/>
    <w:basedOn w:val="914"/>
    <w:next w:val="1098"/>
    <w:link w:val="842"/>
    <w:uiPriority w:val="99"/>
    <w:qFormat/>
    <w:rPr>
      <w:color w:val="404040"/>
    </w:rPr>
    <w:tblPr/>
  </w:style>
  <w:style w:type="table" w:styleId="1099">
    <w:name w:val="Bordered &amp; Lined - Accent 6"/>
    <w:basedOn w:val="914"/>
    <w:next w:val="1099"/>
    <w:link w:val="842"/>
    <w:uiPriority w:val="99"/>
    <w:qFormat/>
    <w:rPr>
      <w:color w:val="404040"/>
    </w:rPr>
    <w:tblPr/>
  </w:style>
  <w:style w:type="table" w:styleId="1100">
    <w:name w:val="Bordered"/>
    <w:basedOn w:val="914"/>
    <w:next w:val="1100"/>
    <w:link w:val="842"/>
    <w:uiPriority w:val="99"/>
    <w:qFormat/>
    <w:tblPr/>
  </w:style>
  <w:style w:type="table" w:styleId="1101">
    <w:name w:val="Bordered - Accent 1"/>
    <w:basedOn w:val="914"/>
    <w:next w:val="1101"/>
    <w:link w:val="842"/>
    <w:uiPriority w:val="99"/>
    <w:qFormat/>
    <w:tblPr/>
  </w:style>
  <w:style w:type="table" w:styleId="1102">
    <w:name w:val="Bordered - Accent 2"/>
    <w:basedOn w:val="914"/>
    <w:next w:val="1102"/>
    <w:link w:val="842"/>
    <w:uiPriority w:val="99"/>
    <w:qFormat/>
    <w:tblPr/>
  </w:style>
  <w:style w:type="table" w:styleId="1103">
    <w:name w:val="Bordered - Accent 3"/>
    <w:basedOn w:val="914"/>
    <w:next w:val="1103"/>
    <w:link w:val="842"/>
    <w:uiPriority w:val="99"/>
    <w:qFormat/>
    <w:tblPr/>
  </w:style>
  <w:style w:type="table" w:styleId="1104">
    <w:name w:val="Bordered - Accent 4"/>
    <w:basedOn w:val="914"/>
    <w:next w:val="1104"/>
    <w:link w:val="842"/>
    <w:uiPriority w:val="99"/>
    <w:qFormat/>
    <w:tblPr/>
  </w:style>
  <w:style w:type="table" w:styleId="1105">
    <w:name w:val="Bordered - Accent 5"/>
    <w:basedOn w:val="914"/>
    <w:next w:val="1105"/>
    <w:link w:val="842"/>
    <w:uiPriority w:val="99"/>
    <w:qFormat/>
    <w:tblPr/>
  </w:style>
  <w:style w:type="table" w:styleId="1106">
    <w:name w:val="Bordered - Accent 6"/>
    <w:basedOn w:val="914"/>
    <w:next w:val="1106"/>
    <w:link w:val="842"/>
    <w:uiPriority w:val="99"/>
    <w:qFormat/>
    <w:tblPr/>
  </w:style>
  <w:style w:type="paragraph" w:styleId="1107">
    <w:name w:val="TOC 标题111"/>
    <w:next w:val="1107"/>
    <w:link w:val="842"/>
    <w:uiPriority w:val="39"/>
    <w:unhideWhenUsed/>
    <w:qFormat/>
    <w:rPr>
      <w:lang w:val="en-US" w:eastAsia="zh-CN" w:bidi="ar-SA"/>
    </w:rPr>
  </w:style>
  <w:style w:type="paragraph" w:styleId="1108">
    <w:name w:val="Footer1"/>
    <w:basedOn w:val="842"/>
    <w:next w:val="1108"/>
    <w:link w:val="1109"/>
    <w:uiPriority w:val="99"/>
    <w:qFormat/>
    <w:pPr>
      <w:jc w:val="left"/>
      <w:tabs>
        <w:tab w:val="center" w:pos="4153" w:leader="none"/>
        <w:tab w:val="right" w:pos="8306" w:leader="none"/>
      </w:tabs>
    </w:pPr>
    <w:rPr>
      <w:sz w:val="18"/>
      <w:szCs w:val="18"/>
    </w:rPr>
  </w:style>
  <w:style w:type="character" w:styleId="1109">
    <w:name w:val="页脚 字符"/>
    <w:next w:val="1109"/>
    <w:link w:val="1108"/>
    <w:uiPriority w:val="99"/>
    <w:qFormat/>
    <w:rPr>
      <w:rFonts w:eastAsia="宋体"/>
      <w:sz w:val="18"/>
      <w:szCs w:val="18"/>
      <w:lang w:val="en-US" w:eastAsia="zh-CN" w:bidi="ar-SA"/>
    </w:rPr>
  </w:style>
  <w:style w:type="paragraph" w:styleId="1110">
    <w:name w:val="Header1"/>
    <w:basedOn w:val="842"/>
    <w:next w:val="1110"/>
    <w:link w:val="1111"/>
    <w:uiPriority w:val="99"/>
    <w:qFormat/>
    <w:pPr>
      <w:jc w:val="center"/>
      <w:tabs>
        <w:tab w:val="center" w:pos="4153" w:leader="none"/>
        <w:tab w:val="right" w:pos="8306" w:leader="none"/>
      </w:tabs>
      <w:pBdr>
        <w:bottom w:val="single" w:color="000000" w:sz="6" w:space="1"/>
      </w:pBdr>
    </w:pPr>
    <w:rPr>
      <w:sz w:val="18"/>
      <w:szCs w:val="18"/>
    </w:rPr>
  </w:style>
  <w:style w:type="character" w:styleId="1111">
    <w:name w:val="页眉 字符"/>
    <w:next w:val="1111"/>
    <w:link w:val="1110"/>
    <w:uiPriority w:val="99"/>
    <w:qFormat/>
    <w:rPr>
      <w:rFonts w:eastAsia="宋体"/>
      <w:sz w:val="18"/>
      <w:szCs w:val="18"/>
      <w:lang w:val="en-US" w:eastAsia="zh-CN" w:bidi="ar-SA"/>
    </w:rPr>
  </w:style>
  <w:style w:type="paragraph" w:styleId="1112">
    <w:name w:val="首行缩进"/>
    <w:basedOn w:val="842"/>
    <w:next w:val="1112"/>
    <w:link w:val="842"/>
    <w:qFormat/>
    <w:pPr>
      <w:ind w:firstLine="480"/>
    </w:pPr>
    <w:rPr>
      <w:szCs w:val="20"/>
      <w:lang w:val="zh-CN"/>
    </w:rPr>
  </w:style>
  <w:style w:type="paragraph" w:styleId="1113">
    <w:name w:val="正文1"/>
    <w:next w:val="842"/>
    <w:link w:val="842"/>
    <w:qFormat/>
    <w:pPr>
      <w:ind w:firstLine="480"/>
      <w:jc w:val="both"/>
      <w:widowControl w:val="off"/>
    </w:pPr>
    <w:rPr>
      <w:rFonts w:ascii="宋体" w:hAnsi="宋体"/>
      <w:sz w:val="24"/>
      <w:szCs w:val="24"/>
      <w:lang w:val="en-US" w:eastAsia="zh-CN" w:bidi="ar-SA"/>
    </w:rPr>
  </w:style>
  <w:style w:type="paragraph" w:styleId="1114">
    <w:name w:val="Default"/>
    <w:next w:val="1114"/>
    <w:link w:val="842"/>
    <w:qFormat/>
    <w:pPr>
      <w:widowControl w:val="off"/>
    </w:pPr>
    <w:rPr>
      <w:rFonts w:ascii="仿宋v.萀" w:eastAsia="仿宋v.萀" w:cs="仿宋v.萀"/>
      <w:color w:val="000000"/>
      <w:sz w:val="24"/>
      <w:szCs w:val="24"/>
      <w:lang w:val="en-US" w:eastAsia="zh-CN" w:bidi="ar-SA"/>
    </w:rPr>
  </w:style>
  <w:style w:type="paragraph" w:styleId="1115">
    <w:name w:val="xl35"/>
    <w:next w:val="842"/>
    <w:link w:val="842"/>
    <w:qFormat/>
    <w:pPr>
      <w:spacing w:before="100" w:beforeAutospacing="1" w:after="100" w:afterAutospacing="1"/>
      <w:pBdr>
        <w:top w:val="single" w:color="000000" w:sz="4" w:space="0"/>
        <w:left w:val="single" w:color="000000" w:sz="4" w:space="0"/>
        <w:bottom w:val="single" w:color="000000" w:sz="8" w:space="0"/>
      </w:pBdr>
    </w:pPr>
    <w:rPr>
      <w:rFonts w:ascii="宋体" w:hAnsi="宋体"/>
      <w:lang w:val="en-US" w:eastAsia="zh-CN" w:bidi="ar-SA"/>
    </w:rPr>
  </w:style>
  <w:style w:type="paragraph" w:styleId="1116">
    <w:name w:val="正文_3"/>
    <w:next w:val="1116"/>
    <w:link w:val="842"/>
    <w:qFormat/>
    <w:pPr>
      <w:jc w:val="both"/>
      <w:widowControl w:val="off"/>
    </w:pPr>
    <w:rPr>
      <w:sz w:val="21"/>
      <w:szCs w:val="22"/>
      <w:lang w:val="en-US" w:eastAsia="zh-CN" w:bidi="ar-SA"/>
    </w:rPr>
  </w:style>
  <w:style w:type="paragraph" w:styleId="1117">
    <w:name w:val="Char Char Char Char Char Char Char"/>
    <w:basedOn w:val="842"/>
    <w:next w:val="1117"/>
    <w:link w:val="842"/>
    <w:qFormat/>
  </w:style>
  <w:style w:type="paragraph" w:styleId="1118">
    <w:name w:val="p0"/>
    <w:basedOn w:val="842"/>
    <w:next w:val="1118"/>
    <w:link w:val="842"/>
    <w:qFormat/>
    <w:pPr>
      <w:jc w:val="left"/>
      <w:widowControl/>
    </w:pPr>
    <w:rPr>
      <w:sz w:val="24"/>
    </w:rPr>
  </w:style>
  <w:style w:type="paragraph" w:styleId="1119">
    <w:name w:val="Char Char Char Char Char Char Char Char Char1 Char Char Char Char"/>
    <w:basedOn w:val="919"/>
    <w:next w:val="1119"/>
    <w:link w:val="842"/>
    <w:qFormat/>
    <w:rPr>
      <w:rFonts w:eastAsia="楷体_GB2312"/>
      <w:sz w:val="26"/>
      <w:szCs w:val="20"/>
    </w:rPr>
  </w:style>
  <w:style w:type="paragraph" w:styleId="1120">
    <w:name w:val="格式３"/>
    <w:basedOn w:val="842"/>
    <w:next w:val="1120"/>
    <w:link w:val="842"/>
    <w:qFormat/>
    <w:pPr>
      <w:ind w:left="600" w:hanging="600"/>
      <w:spacing w:line="420" w:lineRule="exact"/>
    </w:pPr>
    <w:rPr>
      <w:rFonts w:ascii="宋体" w:hAnsi="宋体"/>
      <w:color w:val="000000"/>
      <w:sz w:val="24"/>
      <w:szCs w:val="20"/>
    </w:rPr>
  </w:style>
  <w:style w:type="paragraph" w:styleId="1121">
    <w:name w:val="正文2"/>
    <w:next w:val="1121"/>
    <w:link w:val="842"/>
    <w:qFormat/>
    <w:pPr>
      <w:jc w:val="both"/>
      <w:spacing w:line="312" w:lineRule="atLeast"/>
      <w:widowControl w:val="off"/>
    </w:pPr>
    <w:rPr>
      <w:rFonts w:ascii="宋体"/>
      <w:sz w:val="34"/>
      <w:szCs w:val="22"/>
      <w:lang w:val="en-US" w:eastAsia="zh-CN" w:bidi="ar-SA"/>
    </w:rPr>
  </w:style>
  <w:style w:type="paragraph" w:styleId="1122">
    <w:name w:val="Char1 Char Char Char"/>
    <w:basedOn w:val="842"/>
    <w:next w:val="1122"/>
    <w:link w:val="842"/>
    <w:qFormat/>
    <w:rPr>
      <w:rFonts w:ascii="Tahoma" w:hAnsi="Tahoma"/>
      <w:sz w:val="24"/>
      <w:szCs w:val="20"/>
    </w:rPr>
  </w:style>
  <w:style w:type="paragraph" w:styleId="1123">
    <w:name w:val="Char Char Char Char Char Char Char Char Char Char"/>
    <w:basedOn w:val="842"/>
    <w:next w:val="1123"/>
    <w:link w:val="842"/>
    <w:qFormat/>
    <w:pPr>
      <w:ind w:left="420" w:hanging="420"/>
      <w:tabs>
        <w:tab w:val="left" w:pos="420" w:leader="none"/>
      </w:tabs>
    </w:pPr>
    <w:rPr>
      <w:sz w:val="24"/>
    </w:rPr>
  </w:style>
  <w:style w:type="paragraph" w:styleId="1124">
    <w:name w:val="Char Char Char Char"/>
    <w:basedOn w:val="919"/>
    <w:next w:val="1124"/>
    <w:link w:val="842"/>
    <w:qFormat/>
    <w:rPr>
      <w:sz w:val="24"/>
      <w:szCs w:val="20"/>
    </w:rPr>
  </w:style>
  <w:style w:type="paragraph" w:styleId="1125">
    <w:name w:val="纯文本3"/>
    <w:basedOn w:val="842"/>
    <w:next w:val="1125"/>
    <w:link w:val="842"/>
    <w:qFormat/>
    <w:rPr>
      <w:rFonts w:ascii="宋体" w:hAnsi="Courier New" w:eastAsia="楷体_GB2312"/>
      <w:sz w:val="28"/>
      <w:szCs w:val="20"/>
    </w:rPr>
  </w:style>
  <w:style w:type="paragraph" w:styleId="1126">
    <w:name w:val="正文21"/>
    <w:basedOn w:val="842"/>
    <w:next w:val="1126"/>
    <w:link w:val="842"/>
    <w:qFormat/>
    <w:pPr>
      <w:ind w:firstLine="200"/>
      <w:jc w:val="left"/>
      <w:spacing w:after="160"/>
      <w:widowControl/>
    </w:pPr>
    <w:rPr>
      <w:rFonts w:ascii="Verdana" w:hAnsi="Verdana" w:eastAsia="黑体"/>
      <w:szCs w:val="20"/>
      <w:lang w:eastAsia="en-US"/>
    </w:rPr>
  </w:style>
  <w:style w:type="paragraph" w:styleId="1127">
    <w:name w:val="+标题2"/>
    <w:basedOn w:val="882"/>
    <w:next w:val="1127"/>
    <w:link w:val="1128"/>
    <w:qFormat/>
    <w:pPr>
      <w:numPr>
        <w:ilvl w:val="1"/>
        <w:numId w:val="2"/>
      </w:numPr>
      <w:spacing w:before="120" w:after="120" w:line="360" w:lineRule="auto"/>
      <w:tabs>
        <w:tab w:val="left" w:pos="431" w:leader="none"/>
        <w:tab w:val="left" w:pos="840" w:leader="none"/>
      </w:tabs>
    </w:pPr>
    <w:rPr>
      <w:rFonts w:ascii="Times New Roman" w:hAnsi="Times New Roman"/>
      <w:sz w:val="24"/>
      <w:szCs w:val="20"/>
    </w:rPr>
  </w:style>
  <w:style w:type="character" w:styleId="1128">
    <w:name w:val="+标题2 Char Char"/>
    <w:next w:val="1128"/>
    <w:link w:val="1127"/>
    <w:qFormat/>
    <w:rPr>
      <w:rFonts w:eastAsia="宋体"/>
      <w:b/>
      <w:sz w:val="24"/>
      <w:lang w:val="en-US" w:eastAsia="zh-CN" w:bidi="ar-SA"/>
    </w:rPr>
  </w:style>
  <w:style w:type="paragraph" w:styleId="1129">
    <w:name w:val="财政-标题三"/>
    <w:basedOn w:val="842"/>
    <w:next w:val="1129"/>
    <w:link w:val="842"/>
    <w:qFormat/>
    <w:pPr>
      <w:numPr>
        <w:ilvl w:val="2"/>
        <w:numId w:val="3"/>
      </w:numPr>
      <w:outlineLvl w:val="2"/>
    </w:pPr>
    <w:rPr>
      <w:b/>
      <w:sz w:val="32"/>
      <w:szCs w:val="21"/>
    </w:rPr>
  </w:style>
  <w:style w:type="paragraph" w:styleId="1130">
    <w:name w:val="无间隔"/>
    <w:next w:val="1130"/>
    <w:link w:val="842"/>
    <w:uiPriority w:val="1"/>
    <w:qFormat/>
    <w:pPr>
      <w:jc w:val="both"/>
      <w:widowControl w:val="off"/>
    </w:pPr>
    <w:rPr>
      <w:sz w:val="21"/>
      <w:szCs w:val="24"/>
      <w:lang w:val="en-US" w:eastAsia="zh-CN" w:bidi="ar-SA"/>
    </w:rPr>
  </w:style>
  <w:style w:type="paragraph" w:styleId="1131">
    <w:name w:val="Char Char Char"/>
    <w:basedOn w:val="919"/>
    <w:next w:val="1131"/>
    <w:link w:val="842"/>
    <w:qFormat/>
    <w:rPr>
      <w:rFonts w:ascii="Tahoma" w:hAnsi="Tahoma"/>
      <w:sz w:val="24"/>
    </w:rPr>
  </w:style>
  <w:style w:type="paragraph" w:styleId="1132">
    <w:name w:val="+正文"/>
    <w:basedOn w:val="842"/>
    <w:next w:val="1132"/>
    <w:link w:val="1133"/>
    <w:qFormat/>
    <w:pPr>
      <w:ind w:firstLine="200"/>
    </w:pPr>
    <w:rPr>
      <w:sz w:val="24"/>
      <w:lang w:val="en-US" w:eastAsia="en-US"/>
    </w:rPr>
  </w:style>
  <w:style w:type="character" w:styleId="1133">
    <w:name w:val="+正文 Char3"/>
    <w:next w:val="1133"/>
    <w:link w:val="1132"/>
    <w:qFormat/>
    <w:rPr>
      <w:sz w:val="24"/>
      <w:szCs w:val="24"/>
    </w:rPr>
  </w:style>
  <w:style w:type="paragraph" w:styleId="1134">
    <w:name w:val="图名"/>
    <w:basedOn w:val="842"/>
    <w:next w:val="1134"/>
    <w:link w:val="842"/>
    <w:qFormat/>
    <w:pPr>
      <w:jc w:val="center"/>
    </w:pPr>
    <w:rPr>
      <w:rFonts w:ascii="宋体" w:hAnsi="宋体"/>
      <w:b/>
      <w:szCs w:val="22"/>
    </w:rPr>
  </w:style>
  <w:style w:type="paragraph" w:styleId="1135">
    <w:name w:val="图片"/>
    <w:basedOn w:val="842"/>
    <w:next w:val="1135"/>
    <w:link w:val="842"/>
    <w:qFormat/>
    <w:pPr>
      <w:jc w:val="center"/>
    </w:pPr>
    <w:rPr>
      <w:b/>
      <w:szCs w:val="22"/>
    </w:rPr>
  </w:style>
  <w:style w:type="paragraph" w:styleId="1136">
    <w:name w:val="表名"/>
    <w:basedOn w:val="1137"/>
    <w:next w:val="1136"/>
    <w:link w:val="842"/>
    <w:qFormat/>
    <w:pPr>
      <w:jc w:val="right"/>
    </w:pPr>
    <w:rPr>
      <w:b/>
    </w:rPr>
  </w:style>
  <w:style w:type="paragraph" w:styleId="1137">
    <w:name w:val="表格"/>
    <w:basedOn w:val="842"/>
    <w:next w:val="1137"/>
    <w:link w:val="842"/>
    <w:qFormat/>
    <w:pPr>
      <w:jc w:val="center"/>
    </w:pPr>
    <w:rPr>
      <w:szCs w:val="22"/>
    </w:rPr>
  </w:style>
  <w:style w:type="paragraph" w:styleId="1138">
    <w:name w:val="表"/>
    <w:basedOn w:val="842"/>
    <w:next w:val="1138"/>
    <w:link w:val="842"/>
    <w:qFormat/>
    <w:pPr>
      <w:jc w:val="center"/>
    </w:pPr>
    <w:rPr>
      <w:szCs w:val="20"/>
    </w:rPr>
  </w:style>
  <w:style w:type="paragraph" w:styleId="1139">
    <w:name w:val="+列表1"/>
    <w:basedOn w:val="842"/>
    <w:next w:val="1139"/>
    <w:link w:val="1140"/>
    <w:qFormat/>
    <w:pPr>
      <w:jc w:val="center"/>
    </w:pPr>
    <w:rPr>
      <w:sz w:val="24"/>
    </w:rPr>
  </w:style>
  <w:style w:type="character" w:styleId="1140">
    <w:name w:val="+列表1 Char Char Char Char Char Char"/>
    <w:next w:val="1140"/>
    <w:link w:val="1139"/>
    <w:qFormat/>
    <w:rPr>
      <w:rFonts w:eastAsia="宋体"/>
      <w:sz w:val="24"/>
      <w:szCs w:val="24"/>
      <w:lang w:val="en-US" w:eastAsia="zh-CN" w:bidi="ar-SA"/>
    </w:rPr>
  </w:style>
  <w:style w:type="paragraph" w:styleId="1141">
    <w:name w:val="纯文本1"/>
    <w:basedOn w:val="842"/>
    <w:next w:val="865"/>
    <w:link w:val="842"/>
    <w:qFormat/>
    <w:rPr>
      <w:rFonts w:ascii="宋体" w:hAnsi="Courier New" w:eastAsia="楷体_GB2312"/>
      <w:sz w:val="28"/>
      <w:szCs w:val="20"/>
    </w:rPr>
  </w:style>
  <w:style w:type="paragraph" w:styleId="1142">
    <w:name w:val="Plain Text1"/>
    <w:basedOn w:val="842"/>
    <w:next w:val="1142"/>
    <w:link w:val="842"/>
    <w:qFormat/>
    <w:rPr>
      <w:rFonts w:ascii="宋体" w:hAnsi="Courier New" w:eastAsia="楷体_GB2312"/>
      <w:sz w:val="26"/>
      <w:szCs w:val="20"/>
    </w:rPr>
  </w:style>
  <w:style w:type="paragraph" w:styleId="1143">
    <w:name w:val="UserStyle_7"/>
    <w:next w:val="842"/>
    <w:link w:val="842"/>
    <w:qFormat/>
    <w:pPr>
      <w:ind w:firstLine="200"/>
      <w:jc w:val="both"/>
      <w:spacing w:line="360" w:lineRule="auto"/>
    </w:pPr>
    <w:rPr>
      <w:rFonts w:ascii="宋体" w:hAnsi="Calibri"/>
      <w:sz w:val="24"/>
      <w:szCs w:val="22"/>
      <w:lang w:val="en-US" w:eastAsia="zh-CN" w:bidi="ar-SA"/>
    </w:rPr>
  </w:style>
  <w:style w:type="paragraph" w:styleId="1144">
    <w:name w:val="xl44"/>
    <w:basedOn w:val="842"/>
    <w:next w:val="1144"/>
    <w:link w:val="842"/>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45">
    <w:name w:val="纯文本2"/>
    <w:basedOn w:val="842"/>
    <w:next w:val="1145"/>
    <w:link w:val="842"/>
    <w:qFormat/>
    <w:pPr>
      <w:jc w:val="left"/>
      <w:widowControl/>
    </w:pPr>
    <w:rPr>
      <w:rFonts w:ascii="宋体" w:hAnsi="Courier New" w:eastAsia="楷体_GB2312"/>
      <w:sz w:val="26"/>
      <w:szCs w:val="20"/>
    </w:rPr>
  </w:style>
  <w:style w:type="paragraph" w:styleId="1146">
    <w:name w:val="TOC 标题11"/>
    <w:basedOn w:val="880"/>
    <w:next w:val="842"/>
    <w:link w:val="842"/>
    <w:qFormat/>
    <w:pPr>
      <w:jc w:val="left"/>
      <w:spacing w:before="480" w:after="0" w:line="276" w:lineRule="auto"/>
      <w:widowControl/>
      <w:outlineLvl w:val="9"/>
    </w:pPr>
    <w:rPr>
      <w:rFonts w:ascii="Cambria" w:hAnsi="Cambria"/>
      <w:color w:val="365f91"/>
      <w:sz w:val="28"/>
      <w:szCs w:val="28"/>
    </w:rPr>
  </w:style>
  <w:style w:type="paragraph" w:styleId="1147">
    <w:name w:val="Char Char Char Char Char Char Char Char Char1 Char"/>
    <w:basedOn w:val="919"/>
    <w:next w:val="1147"/>
    <w:link w:val="842"/>
    <w:qFormat/>
    <w:rPr>
      <w:rFonts w:ascii="Tahoma" w:hAnsi="Tahoma"/>
      <w:sz w:val="24"/>
    </w:rPr>
  </w:style>
  <w:style w:type="paragraph" w:styleId="1148">
    <w:name w:val="表文字"/>
    <w:next w:val="1148"/>
    <w:link w:val="842"/>
    <w:qFormat/>
    <w:pPr>
      <w:jc w:val="center"/>
    </w:pPr>
    <w:rPr>
      <w:bCs/>
      <w:sz w:val="21"/>
      <w:szCs w:val="24"/>
      <w:lang w:val="en-US" w:eastAsia="zh-CN" w:bidi="ar-SA"/>
    </w:rPr>
  </w:style>
  <w:style w:type="paragraph" w:styleId="1149">
    <w:name w:val="正文标准"/>
    <w:basedOn w:val="842"/>
    <w:next w:val="1149"/>
    <w:link w:val="842"/>
    <w:qFormat/>
    <w:pPr>
      <w:ind w:firstLine="200"/>
    </w:pPr>
    <w:rPr>
      <w:rFonts w:hAnsi="宋体"/>
      <w:sz w:val="24"/>
    </w:rPr>
  </w:style>
  <w:style w:type="paragraph" w:styleId="1150">
    <w:name w:val="纯文本4"/>
    <w:basedOn w:val="842"/>
    <w:next w:val="1150"/>
    <w:link w:val="1151"/>
    <w:qFormat/>
    <w:rPr>
      <w:rFonts w:ascii="宋体" w:hAnsi="Courier New" w:eastAsia="楷体_GB2312"/>
      <w:sz w:val="28"/>
      <w:szCs w:val="20"/>
    </w:rPr>
  </w:style>
  <w:style w:type="character" w:styleId="1151">
    <w:name w:val="Plain Text Char Char"/>
    <w:next w:val="1151"/>
    <w:link w:val="1150"/>
    <w:qFormat/>
    <w:rPr>
      <w:rFonts w:ascii="宋体" w:hAnsi="Courier New" w:eastAsia="楷体_GB2312"/>
      <w:sz w:val="28"/>
      <w:lang w:val="en-US" w:eastAsia="zh-CN" w:bidi="ar-SA"/>
    </w:rPr>
  </w:style>
  <w:style w:type="paragraph" w:styleId="1152">
    <w:name w:val="p25"/>
    <w:basedOn w:val="842"/>
    <w:next w:val="1152"/>
    <w:link w:val="842"/>
    <w:qFormat/>
    <w:pPr>
      <w:jc w:val="left"/>
      <w:widowControl/>
    </w:pPr>
    <w:rPr>
      <w:rFonts w:ascii="黑体" w:hAnsi="黑体" w:eastAsia="黑体" w:cs="黑体"/>
      <w:sz w:val="26"/>
      <w:szCs w:val="26"/>
    </w:rPr>
  </w:style>
  <w:style w:type="paragraph" w:styleId="1153">
    <w:name w:val="Char"/>
    <w:basedOn w:val="842"/>
    <w:next w:val="1153"/>
    <w:link w:val="842"/>
    <w:qFormat/>
    <w:pPr>
      <w:ind w:left="420" w:hanging="420"/>
      <w:tabs>
        <w:tab w:val="left" w:pos="420" w:leader="none"/>
      </w:tabs>
    </w:pPr>
    <w:rPr>
      <w:sz w:val="24"/>
    </w:rPr>
  </w:style>
  <w:style w:type="paragraph" w:styleId="1154">
    <w:name w:val="BodyTextIndent31"/>
    <w:basedOn w:val="842"/>
    <w:next w:val="1154"/>
    <w:link w:val="1155"/>
    <w:semiHidden/>
    <w:qFormat/>
    <w:pPr>
      <w:ind w:left="420"/>
      <w:jc w:val="left"/>
      <w:spacing w:after="120"/>
      <w:widowControl/>
    </w:pPr>
    <w:rPr>
      <w:sz w:val="16"/>
      <w:szCs w:val="16"/>
      <w:lang w:val="en-US" w:eastAsia="en-US"/>
    </w:rPr>
  </w:style>
  <w:style w:type="character" w:styleId="1155">
    <w:name w:val="UserStyle_5"/>
    <w:next w:val="1155"/>
    <w:link w:val="1154"/>
    <w:semiHidden/>
    <w:qFormat/>
    <w:rPr>
      <w:sz w:val="16"/>
      <w:szCs w:val="16"/>
    </w:rPr>
  </w:style>
  <w:style w:type="paragraph" w:styleId="1156">
    <w:name w:val="列表段落1"/>
    <w:basedOn w:val="842"/>
    <w:next w:val="1156"/>
    <w:link w:val="842"/>
    <w:qFormat/>
    <w:pPr>
      <w:ind w:firstLine="420"/>
      <w:jc w:val="left"/>
    </w:pPr>
    <w:rPr>
      <w:sz w:val="24"/>
      <w:szCs w:val="22"/>
    </w:rPr>
  </w:style>
  <w:style w:type="paragraph" w:styleId="1157">
    <w:name w:val="+● Char Char Char"/>
    <w:basedOn w:val="842"/>
    <w:next w:val="1157"/>
    <w:link w:val="1158"/>
    <w:qFormat/>
    <w:pPr>
      <w:numPr>
        <w:ilvl w:val="0"/>
        <w:numId w:val="4"/>
      </w:numPr>
      <w:ind w:firstLine="480"/>
      <w:tabs>
        <w:tab w:val="left" w:pos="958" w:leader="none"/>
      </w:tabs>
    </w:pPr>
    <w:rPr>
      <w:sz w:val="24"/>
      <w:szCs w:val="28"/>
    </w:rPr>
  </w:style>
  <w:style w:type="character" w:styleId="1158">
    <w:name w:val="+● Char Char Char Char Char Char"/>
    <w:next w:val="1158"/>
    <w:link w:val="1157"/>
    <w:qFormat/>
    <w:rPr>
      <w:rFonts w:eastAsia="宋体"/>
      <w:sz w:val="24"/>
      <w:szCs w:val="28"/>
      <w:lang w:val="en-US" w:eastAsia="zh-CN" w:bidi="ar-SA"/>
    </w:rPr>
  </w:style>
  <w:style w:type="paragraph" w:styleId="1159">
    <w:name w:val="Char Char Char1 Char Char Char Char"/>
    <w:basedOn w:val="842"/>
    <w:next w:val="1159"/>
    <w:link w:val="842"/>
    <w:qFormat/>
    <w:pPr>
      <w:jc w:val="left"/>
      <w:spacing w:after="160" w:line="240" w:lineRule="exact"/>
      <w:widowControl/>
    </w:pPr>
    <w:rPr>
      <w:sz w:val="24"/>
    </w:rPr>
  </w:style>
  <w:style w:type="paragraph" w:styleId="1160">
    <w:name w:val="方案文档"/>
    <w:next w:val="1160"/>
    <w:link w:val="1161"/>
    <w:qFormat/>
    <w:pPr>
      <w:ind w:firstLine="200"/>
      <w:spacing w:before="156" w:after="156" w:line="360" w:lineRule="auto"/>
    </w:pPr>
    <w:rPr>
      <w:rFonts w:eastAsia="Times New Roman"/>
      <w:sz w:val="24"/>
      <w:szCs w:val="24"/>
      <w:lang w:val="en-US" w:eastAsia="zh-CN" w:bidi="ar-SA"/>
    </w:rPr>
  </w:style>
  <w:style w:type="character" w:styleId="1161">
    <w:name w:val="方案文档 Char Char"/>
    <w:next w:val="1161"/>
    <w:link w:val="1160"/>
    <w:qFormat/>
    <w:rPr>
      <w:rFonts w:eastAsia="Times New Roman"/>
      <w:sz w:val="24"/>
      <w:szCs w:val="24"/>
      <w:lang w:val="en-US" w:eastAsia="zh-CN" w:bidi="ar-SA"/>
    </w:rPr>
  </w:style>
  <w:style w:type="character" w:styleId="1162">
    <w:name w:val="NormalCharacter1"/>
    <w:next w:val="1162"/>
    <w:link w:val="842"/>
    <w:semiHidden/>
    <w:qFormat/>
  </w:style>
  <w:style w:type="character" w:styleId="1163">
    <w:name w:val="Footer Char"/>
    <w:next w:val="1163"/>
    <w:link w:val="842"/>
    <w:qFormat/>
    <w:rPr>
      <w:rFonts w:ascii="Times New Roman" w:hAnsi="Times New Roman" w:cs="Times New Roman"/>
      <w:sz w:val="18"/>
      <w:szCs w:val="18"/>
    </w:rPr>
  </w:style>
  <w:style w:type="character" w:styleId="1164">
    <w:name w:val="纯文本 Char Char2"/>
    <w:next w:val="1164"/>
    <w:link w:val="842"/>
    <w:qFormat/>
    <w:rPr>
      <w:rFonts w:ascii="宋体" w:hAnsi="Courier New" w:eastAsia="楷体_GB2312"/>
      <w:sz w:val="26"/>
      <w:szCs w:val="24"/>
      <w:lang w:val="en-US" w:eastAsia="zh-CN" w:bidi="ar-SA"/>
    </w:rPr>
  </w:style>
  <w:style w:type="character" w:styleId="1165">
    <w:name w:val="首行缩进两字 Char2"/>
    <w:next w:val="1165"/>
    <w:link w:val="842"/>
    <w:qFormat/>
    <w:rPr>
      <w:rFonts w:eastAsia="楷体_GB2312"/>
      <w:sz w:val="24"/>
      <w:lang w:val="en-US" w:eastAsia="zh-CN" w:bidi="ar-SA"/>
    </w:rPr>
  </w:style>
  <w:style w:type="character" w:styleId="1166">
    <w:name w:val="正文缩进 字符"/>
    <w:next w:val="1166"/>
    <w:link w:val="842"/>
    <w:qFormat/>
    <w:rPr>
      <w:rFonts w:eastAsia="楷体_GB2312"/>
      <w:sz w:val="24"/>
    </w:rPr>
  </w:style>
  <w:style w:type="character" w:styleId="1167">
    <w:name w:val="Char Char17"/>
    <w:next w:val="1167"/>
    <w:link w:val="842"/>
    <w:qFormat/>
    <w:rPr>
      <w:rFonts w:eastAsia="楷体_GB2312"/>
      <w:sz w:val="24"/>
      <w:lang w:val="en-US" w:eastAsia="zh-CN" w:bidi="ar-SA"/>
    </w:rPr>
  </w:style>
  <w:style w:type="character" w:styleId="1168">
    <w:name w:val="Heading 4 Char"/>
    <w:next w:val="1168"/>
    <w:link w:val="842"/>
    <w:qFormat/>
    <w:rPr>
      <w:rFonts w:ascii="Times New Roman" w:hAnsi="Times New Roman" w:eastAsia="宋体" w:cs="Times New Roman"/>
      <w:b/>
      <w:bCs/>
      <w:sz w:val="28"/>
      <w:szCs w:val="28"/>
    </w:rPr>
  </w:style>
  <w:style w:type="character" w:styleId="1169">
    <w:name w:val="Header Char"/>
    <w:next w:val="1169"/>
    <w:link w:val="842"/>
    <w:semiHidden/>
    <w:qFormat/>
    <w:rPr>
      <w:rFonts w:eastAsia="宋体" w:cs="Times New Roman"/>
      <w:sz w:val="18"/>
      <w:szCs w:val="24"/>
      <w:lang w:val="en-US" w:eastAsia="zh-CN"/>
    </w:rPr>
  </w:style>
  <w:style w:type="character" w:styleId="1170">
    <w:name w:val="首行缩进两字 Char1"/>
    <w:next w:val="1170"/>
    <w:link w:val="842"/>
    <w:qFormat/>
    <w:rPr>
      <w:rFonts w:eastAsia="楷体_GB2312"/>
      <w:sz w:val="24"/>
      <w:lang w:val="en-US" w:eastAsia="zh-CN" w:bidi="ar-SA"/>
    </w:rPr>
  </w:style>
  <w:style w:type="character" w:styleId="1171">
    <w:name w:val="标题 Char1"/>
    <w:next w:val="1171"/>
    <w:link w:val="842"/>
    <w:qFormat/>
    <w:rPr>
      <w:rFonts w:ascii="Cambria" w:hAnsi="Cambria" w:cs="Times New Roman"/>
      <w:b/>
      <w:bCs/>
      <w:sz w:val="32"/>
      <w:szCs w:val="32"/>
    </w:rPr>
  </w:style>
  <w:style w:type="character" w:styleId="1172">
    <w:name w:val="Heading 3 Char"/>
    <w:next w:val="1172"/>
    <w:link w:val="842"/>
    <w:qFormat/>
    <w:rPr>
      <w:rFonts w:ascii="Times New Roman" w:hAnsi="Times New Roman" w:cs="Times New Roman"/>
      <w:b/>
      <w:bCs/>
      <w:sz w:val="32"/>
      <w:szCs w:val="32"/>
    </w:rPr>
  </w:style>
  <w:style w:type="character" w:styleId="1173">
    <w:name w:val="c lh15"/>
    <w:basedOn w:val="892"/>
    <w:next w:val="1173"/>
    <w:link w:val="842"/>
    <w:qFormat/>
  </w:style>
  <w:style w:type="character" w:styleId="1174">
    <w:name w:val="Heading 5 Char"/>
    <w:next w:val="1174"/>
    <w:link w:val="842"/>
    <w:qFormat/>
    <w:rPr>
      <w:rFonts w:ascii="Times New Roman" w:hAnsi="Times New Roman" w:cs="Times New Roman"/>
      <w:b/>
      <w:bCs/>
      <w:sz w:val="28"/>
      <w:szCs w:val="28"/>
    </w:rPr>
  </w:style>
  <w:style w:type="character" w:styleId="1175">
    <w:name w:val="font11"/>
    <w:basedOn w:val="892"/>
    <w:next w:val="1175"/>
    <w:link w:val="842"/>
    <w:qFormat/>
    <w:rPr>
      <w:rFonts w:hint="eastAsia" w:ascii="宋体" w:hAnsi="宋体" w:eastAsia="宋体" w:cs="宋体"/>
      <w:color w:val="000000"/>
      <w:sz w:val="24"/>
      <w:szCs w:val="24"/>
      <w:u w:val="none"/>
    </w:rPr>
  </w:style>
  <w:style w:type="character" w:styleId="1176">
    <w:name w:val="font21"/>
    <w:basedOn w:val="892"/>
    <w:next w:val="1176"/>
    <w:link w:val="842"/>
    <w:qFormat/>
    <w:rPr>
      <w:rFonts w:hint="eastAsia" w:ascii="宋体" w:hAnsi="宋体" w:eastAsia="宋体" w:cs="宋体"/>
      <w:color w:val="000000"/>
      <w:sz w:val="24"/>
      <w:szCs w:val="24"/>
      <w:u w:val="none"/>
    </w:rPr>
  </w:style>
  <w:style w:type="paragraph" w:styleId="1177">
    <w:name w:val="_Style 30"/>
    <w:basedOn w:val="842"/>
    <w:next w:val="1178"/>
    <w:link w:val="842"/>
    <w:qFormat/>
    <w:rPr>
      <w:rFonts w:ascii="宋体" w:hAnsi="Courier New"/>
    </w:rPr>
  </w:style>
  <w:style w:type="paragraph" w:styleId="1178">
    <w:name w:val="纯文本12"/>
    <w:basedOn w:val="842"/>
    <w:next w:val="1178"/>
    <w:link w:val="842"/>
    <w:qFormat/>
    <w:rPr>
      <w:rFonts w:ascii="宋体" w:hAnsi="Courier New"/>
    </w:rPr>
  </w:style>
  <w:style w:type="paragraph" w:styleId="1179">
    <w:name w:val="Table Paragraph"/>
    <w:basedOn w:val="842"/>
    <w:next w:val="1179"/>
    <w:link w:val="842"/>
    <w:uiPriority w:val="1"/>
    <w:qFormat/>
    <w:rPr>
      <w:rFonts w:ascii="宋体" w:hAnsi="宋体" w:cs="宋体"/>
      <w:lang w:val="zh-CN" w:bidi="zh-CN"/>
    </w:rPr>
  </w:style>
  <w:style w:type="paragraph" w:styleId="1180">
    <w:name w:val="列出段落"/>
    <w:basedOn w:val="842"/>
    <w:next w:val="1180"/>
    <w:link w:val="842"/>
    <w:uiPriority w:val="1"/>
    <w:qFormat/>
    <w:pPr>
      <w:ind w:left="317" w:firstLine="480"/>
    </w:pPr>
    <w:rPr>
      <w:rFonts w:ascii="宋体" w:hAnsi="宋体" w:cs="宋体"/>
      <w:lang w:val="zh-CN" w:bidi="zh-CN"/>
    </w:rPr>
  </w:style>
  <w:style w:type="paragraph" w:styleId="1181">
    <w:name w:val="+标题1"/>
    <w:basedOn w:val="880"/>
    <w:next w:val="1181"/>
    <w:link w:val="842"/>
    <w:qFormat/>
    <w:pPr>
      <w:keepNext w:val="0"/>
      <w:pageBreakBefore/>
      <w:spacing w:before="240" w:after="240" w:line="240" w:lineRule="auto"/>
    </w:pPr>
    <w:rPr>
      <w:rFonts w:ascii="宋体" w:hAnsi="宋体"/>
      <w:color w:val="000000"/>
      <w:sz w:val="36"/>
    </w:rPr>
  </w:style>
  <w:style w:type="paragraph" w:styleId="1182">
    <w:name w:val="纯文本5"/>
    <w:basedOn w:val="842"/>
    <w:next w:val="1182"/>
    <w:link w:val="842"/>
    <w:qFormat/>
    <w:rPr>
      <w:rFonts w:ascii="宋体" w:hAnsi="Courier New" w:eastAsia="楷体_GB2312"/>
      <w:sz w:val="28"/>
      <w:szCs w:val="20"/>
    </w:rPr>
  </w:style>
  <w:style w:type="paragraph" w:styleId="1183">
    <w:name w:val="WPSOffice手动目录 1"/>
    <w:next w:val="1183"/>
    <w:link w:val="842"/>
    <w:qFormat/>
    <w:rPr>
      <w:lang w:val="en-US" w:eastAsia="zh-CN" w:bidi="ar-SA"/>
    </w:rPr>
  </w:style>
  <w:style w:type="paragraph" w:styleId="1184">
    <w:name w:val="WPSOffice手动目录 2"/>
    <w:next w:val="1184"/>
    <w:link w:val="842"/>
    <w:qFormat/>
    <w:pPr>
      <w:ind w:left="200"/>
    </w:pPr>
    <w:rPr>
      <w:lang w:val="en-US" w:eastAsia="zh-CN" w:bidi="ar-SA"/>
    </w:rPr>
  </w:style>
  <w:style w:type="paragraph" w:styleId="1185">
    <w:name w:val="纯文本51"/>
    <w:basedOn w:val="842"/>
    <w:next w:val="1185"/>
    <w:link w:val="842"/>
    <w:qFormat/>
    <w:rPr>
      <w:rFonts w:ascii="宋体" w:hAnsi="Courier New"/>
    </w:rPr>
  </w:style>
  <w:style w:type="character" w:styleId="1186">
    <w:name w:val="font41"/>
    <w:basedOn w:val="892"/>
    <w:next w:val="1186"/>
    <w:link w:val="842"/>
    <w:qFormat/>
    <w:rPr>
      <w:rFonts w:hint="eastAsia" w:ascii="宋体" w:hAnsi="宋体" w:eastAsia="宋体" w:cs="宋体"/>
      <w:color w:val="000000"/>
      <w:sz w:val="21"/>
      <w:szCs w:val="21"/>
      <w:u w:val="none"/>
    </w:rPr>
  </w:style>
  <w:style w:type="paragraph" w:styleId="1187">
    <w:name w:val="普通(网站)1"/>
    <w:basedOn w:val="842"/>
    <w:next w:val="1187"/>
    <w:link w:val="842"/>
    <w:qFormat/>
    <w:pPr>
      <w:jc w:val="left"/>
      <w:spacing w:before="100" w:beforeAutospacing="1" w:after="100" w:afterAutospacing="1"/>
      <w:widowControl/>
    </w:pPr>
    <w:rPr>
      <w:rFonts w:ascii="宋体" w:hAnsi="宋体" w:cs="宋体"/>
      <w:sz w:val="24"/>
    </w:rPr>
  </w:style>
  <w:style w:type="paragraph" w:styleId="1188">
    <w:name w:val="正文 A"/>
    <w:next w:val="909"/>
    <w:link w:val="842"/>
    <w:qFormat/>
    <w:pPr>
      <w:jc w:val="both"/>
      <w:widowControl w:val="off"/>
    </w:pPr>
    <w:rPr>
      <w:rFonts w:eastAsia="Arial Unicode MS" w:cs="Arial Unicode MS"/>
      <w:color w:val="000000"/>
      <w:sz w:val="21"/>
      <w:szCs w:val="21"/>
      <w:lang w:val="en-US" w:eastAsia="zh-CN" w:bidi="ar-SA"/>
    </w:rPr>
  </w:style>
  <w:style w:type="paragraph" w:styleId="1189">
    <w:name w:val="正文缩进1"/>
    <w:basedOn w:val="842"/>
    <w:next w:val="1189"/>
    <w:link w:val="842"/>
    <w:qFormat/>
    <w:pPr>
      <w:ind w:firstLine="420"/>
      <w:jc w:val="left"/>
    </w:pPr>
    <w:rPr>
      <w:sz w:val="24"/>
    </w:rPr>
  </w:style>
  <w:style w:type="character" w:styleId="1190">
    <w:name w:val="批注引用1"/>
    <w:next w:val="1190"/>
    <w:link w:val="842"/>
    <w:semiHidden/>
    <w:qFormat/>
    <w:rPr>
      <w:rFonts w:ascii="Times New Roman" w:hAnsi="Times New Roman" w:eastAsia="宋体" w:cs="Times New Roman"/>
      <w:sz w:val="21"/>
      <w:szCs w:val="24"/>
      <w:lang w:val="en-US" w:eastAsia="zh-CN" w:bidi="ar-SA"/>
    </w:rPr>
  </w:style>
  <w:style w:type="paragraph" w:styleId="1191">
    <w:name w:val="正文文本1"/>
    <w:basedOn w:val="842"/>
    <w:next w:val="842"/>
    <w:link w:val="842"/>
    <w:qFormat/>
    <w:pPr>
      <w:spacing w:line="400" w:lineRule="exact"/>
    </w:pPr>
    <w:rPr>
      <w:rFonts w:ascii="楷体_GB2312"/>
      <w:sz w:val="28"/>
    </w:rPr>
  </w:style>
  <w:style w:type="character" w:styleId="1192">
    <w:name w:val="NormalCharacter11"/>
    <w:next w:val="1192"/>
    <w:link w:val="842"/>
    <w:qFormat/>
    <w:rPr>
      <w:rFonts w:ascii="Times New Roman" w:hAnsi="Times New Roman" w:eastAsia="宋体"/>
    </w:rPr>
  </w:style>
  <w:style w:type="paragraph" w:styleId="1193">
    <w:name w:val="标题3"/>
    <w:basedOn w:val="1194"/>
    <w:next w:val="1193"/>
    <w:link w:val="842"/>
    <w:qFormat/>
    <w:pPr>
      <w:contextualSpacing/>
      <w:jc w:val="center"/>
      <w:spacing w:before="100" w:after="100"/>
    </w:pPr>
    <w:rPr>
      <w:rFonts w:eastAsia="黑体" w:cs="宋体"/>
      <w:bCs/>
      <w:sz w:val="28"/>
    </w:rPr>
  </w:style>
  <w:style w:type="paragraph" w:styleId="1194">
    <w:name w:val="标题 31"/>
    <w:basedOn w:val="842"/>
    <w:next w:val="842"/>
    <w:link w:val="842"/>
    <w:qFormat/>
    <w:pPr>
      <w:jc w:val="left"/>
      <w:keepLines/>
      <w:keepNext/>
      <w:outlineLvl w:val="2"/>
    </w:pPr>
    <w:rPr>
      <w:b/>
    </w:rPr>
  </w:style>
  <w:style w:type="paragraph" w:styleId="1195">
    <w:name w:val="页眉1"/>
    <w:basedOn w:val="842"/>
    <w:next w:val="1195"/>
    <w:link w:val="842"/>
    <w:qFormat/>
    <w:pPr>
      <w:tabs>
        <w:tab w:val="center" w:pos="4153" w:leader="none"/>
        <w:tab w:val="right" w:pos="8306" w:leader="none"/>
      </w:tabs>
      <w:pBdr>
        <w:bottom w:val="single" w:color="000000" w:sz="6" w:space="1"/>
      </w:pBdr>
    </w:pPr>
    <w:rPr>
      <w:sz w:val="18"/>
    </w:rPr>
  </w:style>
  <w:style w:type="paragraph" w:styleId="1196">
    <w:name w:val="段落正文"/>
    <w:basedOn w:val="842"/>
    <w:next w:val="1196"/>
    <w:link w:val="842"/>
    <w:qFormat/>
    <w:pPr>
      <w:ind w:firstLine="880"/>
    </w:pPr>
    <w:rPr>
      <w:szCs w:val="21"/>
    </w:rPr>
  </w:style>
  <w:style w:type="paragraph" w:styleId="1197">
    <w:name w:val="表格正文"/>
    <w:next w:val="1197"/>
    <w:link w:val="842"/>
    <w:qFormat/>
    <w:pPr>
      <w:spacing w:before="20" w:after="20"/>
    </w:pPr>
    <w:rPr>
      <w:i/>
      <w:iCs/>
      <w:color w:val="0070c0"/>
      <w:sz w:val="24"/>
      <w:szCs w:val="22"/>
      <w:lang w:val="en-US" w:eastAsia="zh-CN" w:bidi="ar-SA"/>
    </w:rPr>
  </w:style>
  <w:style w:type="paragraph" w:styleId="1198">
    <w:name w:val="修订1"/>
    <w:next w:val="1198"/>
    <w:link w:val="842"/>
    <w:uiPriority w:val="99"/>
    <w:unhideWhenUsed/>
    <w:qFormat/>
    <w:rPr>
      <w:sz w:val="21"/>
      <w:szCs w:val="24"/>
      <w:lang w:val="en-US" w:eastAsia="zh-CN" w:bidi="ar-SA"/>
    </w:rPr>
  </w:style>
  <w:style w:type="paragraph" w:styleId="1199">
    <w:name w:val="纯文本6"/>
    <w:basedOn w:val="842"/>
    <w:next w:val="1199"/>
    <w:link w:val="842"/>
    <w:qFormat/>
    <w:rPr>
      <w:rFonts w:ascii="宋体" w:hAnsi="Courier New" w:eastAsia="楷体_GB2312"/>
      <w:sz w:val="28"/>
      <w:szCs w:val="20"/>
    </w:rPr>
  </w:style>
  <w:style w:type="paragraph" w:styleId="1200">
    <w:name w:val="Normal_23"/>
    <w:next w:val="1200"/>
    <w:link w:val="842"/>
    <w:qFormat/>
    <w:rPr>
      <w:rFonts w:eastAsia="Times New Roman"/>
      <w:sz w:val="24"/>
      <w:szCs w:val="24"/>
      <w:lang w:val="en-US" w:eastAsia="zh-CN" w:bidi="ar-SA"/>
    </w:rPr>
  </w:style>
  <w:style w:type="table" w:styleId="1201">
    <w:name w:val="Table Normal"/>
    <w:next w:val="1201"/>
    <w:link w:val="842"/>
    <w:unhideWhenUsed/>
    <w:qFormat/>
    <w:rPr>
      <w:lang w:val="en-US" w:eastAsia="zh-CN" w:bidi="ar-SA"/>
    </w:rPr>
    <w:tblPr/>
  </w:style>
  <w:style w:type="paragraph" w:styleId="1202">
    <w:name w:val="Table Text"/>
    <w:basedOn w:val="842"/>
    <w:next w:val="1202"/>
    <w:link w:val="842"/>
    <w:semiHidden/>
    <w:qFormat/>
    <w:rPr>
      <w:rFonts w:ascii="Arial" w:hAnsi="Arial" w:eastAsia="Arial" w:cs="Arial"/>
      <w:szCs w:val="21"/>
      <w:lang w:eastAsia="en-US"/>
    </w:rPr>
  </w:style>
  <w:style w:type="paragraph" w:styleId="1203">
    <w:name w:val="列出段落1"/>
    <w:basedOn w:val="842"/>
    <w:next w:val="1203"/>
    <w:link w:val="842"/>
    <w:uiPriority w:val="34"/>
    <w:qFormat/>
    <w:pPr>
      <w:ind w:firstLine="420"/>
    </w:pPr>
    <w:rPr>
      <w:rFonts w:ascii="Calibri" w:hAnsi="Calibri"/>
      <w:szCs w:val="20"/>
    </w:rPr>
  </w:style>
  <w:style w:type="paragraph" w:styleId="1204">
    <w:name w:val="目录1"/>
    <w:basedOn w:val="842"/>
    <w:next w:val="842"/>
    <w:link w:val="842"/>
    <w:qFormat/>
    <w:pPr>
      <w:ind w:firstLine="419"/>
      <w:jc w:val="left"/>
      <w:spacing w:after="102" w:line="646" w:lineRule="atLeast"/>
      <w:widowControl/>
      <w:tabs>
        <w:tab w:val="left" w:pos="8492" w:leader="dot"/>
      </w:tabs>
    </w:pPr>
    <w:rPr>
      <w:color w:val="000000"/>
      <w:szCs w:val="20"/>
    </w:rPr>
  </w:style>
  <w:style w:type="paragraph" w:styleId="1205">
    <w:name w:val="节标题"/>
    <w:basedOn w:val="842"/>
    <w:next w:val="842"/>
    <w:link w:val="842"/>
    <w:qFormat/>
    <w:pPr>
      <w:jc w:val="center"/>
      <w:spacing w:line="867" w:lineRule="atLeast"/>
      <w:widowControl/>
    </w:pPr>
    <w:rPr>
      <w:color w:val="000000"/>
      <w:sz w:val="28"/>
      <w:szCs w:val="20"/>
    </w:rPr>
  </w:style>
  <w:style w:type="character" w:styleId="1206">
    <w:name w:val="font01"/>
    <w:basedOn w:val="843"/>
    <w:next w:val="1206"/>
    <w:link w:val="842"/>
    <w:qFormat/>
    <w:rPr>
      <w:rFonts w:hint="eastAsia" w:ascii="宋体" w:hAnsi="宋体" w:eastAsia="宋体" w:cs="宋体"/>
      <w:color w:val="000000"/>
      <w:sz w:val="22"/>
      <w:szCs w:val="22"/>
      <w:u w:val="none"/>
    </w:rPr>
  </w:style>
  <w:style w:type="character" w:styleId="1207">
    <w:name w:val="font31"/>
    <w:basedOn w:val="843"/>
    <w:next w:val="1207"/>
    <w:link w:val="842"/>
    <w:qFormat/>
    <w:rPr>
      <w:rFonts w:ascii="Times New Roman" w:hAnsi="Times New Roman" w:cs="Times New Roman"/>
      <w:b/>
      <w:bCs/>
      <w:color w:val="000000"/>
      <w:sz w:val="21"/>
      <w:szCs w:val="21"/>
      <w:u w:val="none"/>
    </w:rPr>
  </w:style>
  <w:style w:type="character" w:styleId="15075" w:default="1">
    <w:name w:val="Default Paragraph Font"/>
    <w:uiPriority w:val="1"/>
    <w:semiHidden/>
    <w:unhideWhenUsed/>
  </w:style>
  <w:style w:type="numbering" w:styleId="15076" w:default="1">
    <w:name w:val="No List"/>
    <w:uiPriority w:val="99"/>
    <w:semiHidden/>
    <w:unhideWhenUsed/>
  </w:style>
  <w:style w:type="table" w:styleId="15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钱多多</dc:creator>
  <cp:lastModifiedBy>屠超超</cp:lastModifiedBy>
  <cp:revision>19</cp:revision>
  <dcterms:created xsi:type="dcterms:W3CDTF">2026-07-31T01:22:00Z</dcterms:created>
  <dcterms:modified xsi:type="dcterms:W3CDTF">2026-08-11T02:34:01Z</dcterms:modified>
  <cp:version>786432</cp:version>
</cp:coreProperties>
</file>