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14"/>
        <w:ind w:firstLine="300"/>
        <w:spacing w:line="360" w:lineRule="auto"/>
        <w:rPr>
          <w:color w:val="000000"/>
          <w:sz w:val="60"/>
          <w:szCs w:val="60"/>
          <w:highlight w:val="none"/>
        </w:rPr>
      </w:pPr>
      <w:r>
        <w:rPr>
          <w:color w:val="000000"/>
          <w:sz w:val="60"/>
          <w:szCs w:val="60"/>
          <w:highlight w:val="none"/>
        </w:rPr>
      </w:r>
      <w:r/>
    </w:p>
    <w:p>
      <w:pPr>
        <w:pStyle w:val="101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14"/>
        <w:jc w:val="center"/>
        <w:rPr>
          <w:rFonts w:ascii="宋体" w:hAnsi="宋体"/>
          <w:b/>
          <w:bCs/>
          <w:color w:val="000000"/>
          <w:sz w:val="60"/>
          <w:szCs w:val="60"/>
          <w:highlight w:val="none"/>
        </w:rPr>
      </w:pPr>
      <w:r>
        <w:rPr>
          <w:b/>
          <w:bCs/>
          <w:color w:val="000000"/>
          <w:sz w:val="60"/>
          <w:szCs w:val="60"/>
          <w:highlight w:val="none"/>
        </w:rPr>
        <w:t xml:space="preserve">竞争性磋商文件</w:t>
      </w:r>
      <w:r>
        <w:rPr>
          <w:rFonts w:ascii="宋体" w:hAnsi="宋体"/>
          <w:b/>
          <w:bCs/>
          <w:color w:val="000000"/>
          <w:sz w:val="60"/>
          <w:szCs w:val="60"/>
          <w:highlight w:val="none"/>
        </w:rPr>
      </w:r>
      <w:r/>
    </w:p>
    <w:p>
      <w:pPr>
        <w:pStyle w:val="101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4"/>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14"/>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布草清洗服务采购项目</w:t>
      </w:r>
      <w:r>
        <w:rPr>
          <w:bCs/>
          <w:color w:val="000000"/>
          <w:sz w:val="36"/>
          <w:szCs w:val="36"/>
          <w:highlight w:val="none"/>
        </w:rPr>
        <w:tab/>
      </w:r>
      <w:r>
        <w:rPr>
          <w:bCs/>
          <w:color w:val="000000"/>
          <w:sz w:val="36"/>
          <w:szCs w:val="36"/>
          <w:highlight w:val="none"/>
        </w:rPr>
      </w:r>
      <w:r/>
    </w:p>
    <w:p>
      <w:pPr>
        <w:pStyle w:val="101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bCs/>
          <w:color w:val="000000"/>
          <w:sz w:val="36"/>
          <w:szCs w:val="36"/>
          <w:highlight w:val="none"/>
        </w:rPr>
        <w:t xml:space="preserve">JSZC-320412-CTZB-C2026-0098</w:t>
      </w:r>
      <w:r>
        <w:rPr>
          <w:bCs/>
          <w:color w:val="000000"/>
          <w:sz w:val="36"/>
          <w:szCs w:val="36"/>
          <w:highlight w:val="none"/>
        </w:rPr>
      </w:r>
      <w:r/>
    </w:p>
    <w:p>
      <w:pPr>
        <w:pStyle w:val="1014"/>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常州市武进中医医院</w:t>
      </w:r>
      <w:r>
        <w:rPr>
          <w:bCs/>
          <w:color w:val="000000"/>
          <w:sz w:val="36"/>
          <w:szCs w:val="36"/>
          <w:highlight w:val="none"/>
        </w:rPr>
      </w:r>
      <w:r/>
    </w:p>
    <w:p>
      <w:pPr>
        <w:pStyle w:val="1014"/>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常州市城投建设工程招标有限公司</w:t>
      </w:r>
      <w:r>
        <w:rPr>
          <w:bCs/>
          <w:color w:val="000000"/>
          <w:sz w:val="36"/>
          <w:szCs w:val="36"/>
          <w:highlight w:val="none"/>
        </w:rPr>
      </w:r>
      <w:r/>
    </w:p>
    <w:p>
      <w:pPr>
        <w:pStyle w:val="1014"/>
        <w:jc w:val="left"/>
        <w:widowControl/>
        <w:rPr>
          <w:color w:val="000000"/>
          <w:sz w:val="24"/>
          <w:highlight w:val="none"/>
        </w:rPr>
      </w:pPr>
      <w:r>
        <w:rPr>
          <w:b/>
          <w:bCs/>
          <w:color w:val="000000"/>
          <w:sz w:val="44"/>
          <w:highlight w:val="none"/>
        </w:rPr>
        <w:br w:type="page" w:clear="all"/>
      </w:r>
      <w:r>
        <w:rPr>
          <w:color w:val="000000"/>
          <w:sz w:val="24"/>
          <w:highlight w:val="none"/>
        </w:rPr>
      </w:r>
      <w:r/>
    </w:p>
    <w:p>
      <w:pPr>
        <w:pStyle w:val="1014"/>
        <w:jc w:val="left"/>
        <w:widowControl/>
        <w:rPr>
          <w:color w:val="000000"/>
          <w:sz w:val="24"/>
          <w:highlight w:val="none"/>
        </w:rPr>
      </w:pPr>
      <w:r>
        <w:rPr>
          <w:color w:val="000000"/>
          <w:sz w:val="24"/>
          <w:highlight w:val="none"/>
        </w:rPr>
      </w:r>
      <w:r/>
    </w:p>
    <w:p>
      <w:pPr>
        <w:pStyle w:val="119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14"/>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1014"/>
        <w:rPr>
          <w:color w:val="000000"/>
          <w:highlight w:val="none"/>
        </w:rPr>
      </w:pPr>
      <w:r>
        <w:rPr>
          <w:color w:val="000000"/>
          <w:highlight w:val="none"/>
        </w:rPr>
      </w:r>
      <w:r/>
    </w:p>
    <w:p>
      <w:pPr>
        <w:pStyle w:val="1014"/>
        <w:rPr>
          <w:color w:val="000000"/>
          <w:highlight w:val="none"/>
        </w:rPr>
      </w:pPr>
      <w:r>
        <w:rPr>
          <w:color w:val="000000"/>
          <w:highlight w:val="none"/>
        </w:rPr>
      </w:r>
      <w:r/>
    </w:p>
    <w:p>
      <w:pPr>
        <w:pStyle w:val="1014"/>
        <w:rPr>
          <w:color w:val="000000"/>
          <w:highlight w:val="none"/>
        </w:rPr>
      </w:pPr>
      <w:r>
        <w:rPr>
          <w:color w:val="000000"/>
          <w:highlight w:val="none"/>
        </w:rPr>
      </w:r>
      <w:r/>
    </w:p>
    <w:p>
      <w:pPr>
        <w:pStyle w:val="1014"/>
        <w:rPr>
          <w:color w:val="000000"/>
          <w:highlight w:val="none"/>
        </w:rPr>
      </w:pPr>
      <w:r>
        <w:rPr>
          <w:color w:val="000000"/>
          <w:highlight w:val="none"/>
        </w:rPr>
      </w:r>
      <w:r/>
    </w:p>
    <w:p>
      <w:pPr>
        <w:pStyle w:val="1066"/>
        <w:spacing w:line="720" w:lineRule="auto"/>
        <w:tabs>
          <w:tab w:val="left" w:pos="1050" w:leader="none"/>
          <w:tab w:val="right" w:pos="8937" w:leader="dot"/>
        </w:tabs>
        <w:rPr>
          <w:rFonts w:ascii="Calibri" w:hAnsi="Calibri"/>
          <w:b w:val="0"/>
          <w:color w:val="000000"/>
          <w:sz w:val="32"/>
          <w:szCs w:val="3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32"/>
          <w:szCs w:val="32"/>
          <w:highlight w:val="none"/>
        </w:rPr>
      </w:r>
      <w:r/>
    </w:p>
    <w:p>
      <w:pPr>
        <w:pStyle w:val="1066"/>
        <w:spacing w:line="720" w:lineRule="auto"/>
        <w:tabs>
          <w:tab w:val="left" w:pos="1050" w:leader="none"/>
          <w:tab w:val="right" w:pos="8937" w:leader="dot"/>
        </w:tabs>
        <w:rPr>
          <w:rFonts w:ascii="Calibri" w:hAnsi="Calibri"/>
          <w:b w:val="0"/>
          <w:color w:val="000000"/>
          <w:sz w:val="32"/>
          <w:szCs w:val="32"/>
          <w:highlight w:val="none"/>
        </w:rPr>
      </w:pPr>
      <w:r>
        <w:rPr>
          <w:rStyle w:val="1089"/>
          <w:color w:val="000000"/>
          <w:sz w:val="32"/>
          <w:szCs w:val="32"/>
          <w:highlight w:val="none"/>
        </w:rPr>
        <w:fldChar w:fldCharType="begin"/>
      </w:r>
      <w:r>
        <w:rPr>
          <w:rStyle w:val="1089"/>
          <w:color w:val="000000"/>
          <w:sz w:val="32"/>
          <w:szCs w:val="32"/>
          <w:highlight w:val="none"/>
        </w:rPr>
        <w:instrText xml:space="preserve"> </w:instrText>
      </w:r>
      <w:r>
        <w:rPr>
          <w:color w:val="000000"/>
          <w:sz w:val="32"/>
          <w:szCs w:val="32"/>
          <w:highlight w:val="none"/>
        </w:rPr>
        <w:instrText xml:space="preserve">HYPERLINK \l "_Toc104818925"</w:instrText>
      </w:r>
      <w:r>
        <w:rPr>
          <w:rStyle w:val="1089"/>
          <w:color w:val="000000"/>
          <w:sz w:val="32"/>
          <w:szCs w:val="32"/>
          <w:highlight w:val="none"/>
        </w:rPr>
        <w:instrText xml:space="preserve"> </w:instrText>
      </w:r>
      <w:r>
        <w:rPr>
          <w:rStyle w:val="1089"/>
          <w:color w:val="000000"/>
          <w:sz w:val="32"/>
          <w:szCs w:val="32"/>
          <w:highlight w:val="none"/>
        </w:rPr>
        <w:fldChar w:fldCharType="separate"/>
      </w:r>
      <w:r>
        <w:rPr>
          <w:rStyle w:val="1089"/>
          <w:rFonts w:hint="eastAsia"/>
          <w:color w:val="000000"/>
          <w:sz w:val="32"/>
          <w:szCs w:val="32"/>
          <w:highlight w:val="none"/>
        </w:rPr>
        <w:t xml:space="preserve">第一章</w:t>
      </w:r>
      <w:r>
        <w:rPr>
          <w:rStyle w:val="1089"/>
          <w:color w:val="000000"/>
          <w:sz w:val="32"/>
          <w:szCs w:val="32"/>
          <w:highlight w:val="none"/>
        </w:rPr>
        <w:t xml:space="preserve">   </w:t>
      </w:r>
      <w:r>
        <w:rPr>
          <w:rStyle w:val="1089"/>
          <w:rFonts w:hint="eastAsia"/>
          <w:color w:val="000000"/>
          <w:sz w:val="32"/>
          <w:szCs w:val="32"/>
          <w:highlight w:val="none"/>
        </w:rPr>
        <w:t xml:space="preserve">采购邀请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_Toc104818925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Style w:val="1089"/>
          <w:color w:val="000000"/>
          <w:sz w:val="32"/>
          <w:szCs w:val="32"/>
          <w:highlight w:val="none"/>
        </w:rPr>
        <w:fldChar w:fldCharType="end"/>
      </w:r>
      <w:r>
        <w:rPr>
          <w:rFonts w:ascii="Calibri" w:hAnsi="Calibri"/>
          <w:b w:val="0"/>
          <w:color w:val="000000"/>
          <w:sz w:val="32"/>
          <w:szCs w:val="32"/>
          <w:highlight w:val="none"/>
        </w:rPr>
      </w:r>
      <w:r/>
    </w:p>
    <w:p>
      <w:pPr>
        <w:pStyle w:val="1066"/>
        <w:spacing w:line="720" w:lineRule="auto"/>
        <w:tabs>
          <w:tab w:val="left" w:pos="1050" w:leader="none"/>
          <w:tab w:val="right" w:pos="8937" w:leader="dot"/>
        </w:tabs>
        <w:rPr>
          <w:rFonts w:ascii="Calibri" w:hAnsi="Calibri"/>
          <w:b w:val="0"/>
          <w:color w:val="000000"/>
          <w:sz w:val="32"/>
          <w:szCs w:val="32"/>
          <w:highlight w:val="none"/>
        </w:rPr>
      </w:pPr>
      <w:r>
        <w:rPr>
          <w:rStyle w:val="1089"/>
          <w:color w:val="000000"/>
          <w:sz w:val="32"/>
          <w:szCs w:val="32"/>
          <w:highlight w:val="none"/>
        </w:rPr>
        <w:fldChar w:fldCharType="begin"/>
      </w:r>
      <w:r>
        <w:rPr>
          <w:rStyle w:val="1089"/>
          <w:color w:val="000000"/>
          <w:sz w:val="32"/>
          <w:szCs w:val="32"/>
          <w:highlight w:val="none"/>
        </w:rPr>
        <w:instrText xml:space="preserve"> </w:instrText>
      </w:r>
      <w:r>
        <w:rPr>
          <w:color w:val="000000"/>
          <w:sz w:val="32"/>
          <w:szCs w:val="32"/>
          <w:highlight w:val="none"/>
        </w:rPr>
        <w:instrText xml:space="preserve">HYPERLINK \l "_Toc104818926"</w:instrText>
      </w:r>
      <w:r>
        <w:rPr>
          <w:rStyle w:val="1089"/>
          <w:color w:val="000000"/>
          <w:sz w:val="32"/>
          <w:szCs w:val="32"/>
          <w:highlight w:val="none"/>
        </w:rPr>
        <w:instrText xml:space="preserve"> </w:instrText>
      </w:r>
      <w:r>
        <w:rPr>
          <w:rStyle w:val="1089"/>
          <w:color w:val="000000"/>
          <w:sz w:val="32"/>
          <w:szCs w:val="32"/>
          <w:highlight w:val="none"/>
        </w:rPr>
        <w:fldChar w:fldCharType="separate"/>
      </w:r>
      <w:r>
        <w:rPr>
          <w:rStyle w:val="1089"/>
          <w:rFonts w:hint="eastAsia"/>
          <w:color w:val="000000"/>
          <w:sz w:val="32"/>
          <w:szCs w:val="32"/>
          <w:highlight w:val="none"/>
        </w:rPr>
        <w:t xml:space="preserve">第二章</w:t>
      </w:r>
      <w:r>
        <w:rPr>
          <w:rStyle w:val="1089"/>
          <w:color w:val="000000"/>
          <w:sz w:val="32"/>
          <w:szCs w:val="32"/>
          <w:highlight w:val="none"/>
        </w:rPr>
        <w:t xml:space="preserve">   </w:t>
      </w:r>
      <w:r>
        <w:rPr>
          <w:rStyle w:val="1089"/>
          <w:rFonts w:hint="eastAsia"/>
          <w:color w:val="000000"/>
          <w:sz w:val="32"/>
          <w:szCs w:val="32"/>
          <w:highlight w:val="none"/>
        </w:rPr>
        <w:t xml:space="preserve">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_Toc104818926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rStyle w:val="1089"/>
          <w:color w:val="000000"/>
          <w:sz w:val="32"/>
          <w:szCs w:val="32"/>
          <w:highlight w:val="none"/>
        </w:rPr>
        <w:fldChar w:fldCharType="end"/>
      </w:r>
      <w:r>
        <w:rPr>
          <w:rFonts w:ascii="Calibri" w:hAnsi="Calibri"/>
          <w:b w:val="0"/>
          <w:color w:val="000000"/>
          <w:sz w:val="32"/>
          <w:szCs w:val="32"/>
          <w:highlight w:val="none"/>
        </w:rPr>
      </w:r>
      <w:r/>
    </w:p>
    <w:p>
      <w:pPr>
        <w:pStyle w:val="1066"/>
        <w:spacing w:line="720" w:lineRule="auto"/>
        <w:tabs>
          <w:tab w:val="left" w:pos="1050" w:leader="none"/>
          <w:tab w:val="right" w:pos="8937" w:leader="dot"/>
        </w:tabs>
        <w:rPr>
          <w:rFonts w:ascii="Calibri" w:hAnsi="Calibri"/>
          <w:b w:val="0"/>
          <w:color w:val="000000"/>
          <w:sz w:val="32"/>
          <w:szCs w:val="32"/>
          <w:highlight w:val="none"/>
        </w:rPr>
      </w:pPr>
      <w:r>
        <w:rPr>
          <w:rStyle w:val="1089"/>
          <w:color w:val="000000"/>
          <w:sz w:val="32"/>
          <w:szCs w:val="32"/>
          <w:highlight w:val="none"/>
        </w:rPr>
        <w:fldChar w:fldCharType="begin"/>
      </w:r>
      <w:r>
        <w:rPr>
          <w:rStyle w:val="1089"/>
          <w:color w:val="000000"/>
          <w:sz w:val="32"/>
          <w:szCs w:val="32"/>
          <w:highlight w:val="none"/>
        </w:rPr>
        <w:instrText xml:space="preserve"> </w:instrText>
      </w:r>
      <w:r>
        <w:rPr>
          <w:color w:val="000000"/>
          <w:sz w:val="32"/>
          <w:szCs w:val="32"/>
          <w:highlight w:val="none"/>
        </w:rPr>
        <w:instrText xml:space="preserve">HYPERLINK \l "_Toc104818927"</w:instrText>
      </w:r>
      <w:r>
        <w:rPr>
          <w:rStyle w:val="1089"/>
          <w:color w:val="000000"/>
          <w:sz w:val="32"/>
          <w:szCs w:val="32"/>
          <w:highlight w:val="none"/>
        </w:rPr>
        <w:instrText xml:space="preserve"> </w:instrText>
      </w:r>
      <w:r>
        <w:rPr>
          <w:rStyle w:val="1089"/>
          <w:color w:val="000000"/>
          <w:sz w:val="32"/>
          <w:szCs w:val="32"/>
          <w:highlight w:val="none"/>
        </w:rPr>
        <w:fldChar w:fldCharType="separate"/>
      </w:r>
      <w:r>
        <w:rPr>
          <w:rStyle w:val="1089"/>
          <w:rFonts w:hint="eastAsia"/>
          <w:color w:val="000000"/>
          <w:sz w:val="32"/>
          <w:szCs w:val="32"/>
          <w:highlight w:val="none"/>
        </w:rPr>
        <w:t xml:space="preserve">第三章</w:t>
      </w:r>
      <w:r>
        <w:rPr>
          <w:rStyle w:val="1089"/>
          <w:color w:val="000000"/>
          <w:sz w:val="32"/>
          <w:szCs w:val="32"/>
          <w:highlight w:val="none"/>
        </w:rPr>
        <w:t xml:space="preserve">   </w:t>
      </w:r>
      <w:r>
        <w:rPr>
          <w:rStyle w:val="1089"/>
          <w:rFonts w:hint="eastAsia"/>
          <w:color w:val="000000"/>
          <w:sz w:val="32"/>
          <w:szCs w:val="32"/>
          <w:highlight w:val="none"/>
        </w:rPr>
        <w:t xml:space="preserve">评审程序、评审方法和评审标准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_Toc104818927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rStyle w:val="1089"/>
          <w:color w:val="000000"/>
          <w:sz w:val="32"/>
          <w:szCs w:val="32"/>
          <w:highlight w:val="none"/>
        </w:rPr>
        <w:fldChar w:fldCharType="end"/>
      </w:r>
      <w:r>
        <w:rPr>
          <w:rFonts w:ascii="Calibri" w:hAnsi="Calibri"/>
          <w:b w:val="0"/>
          <w:color w:val="000000"/>
          <w:sz w:val="32"/>
          <w:szCs w:val="32"/>
          <w:highlight w:val="none"/>
        </w:rPr>
      </w:r>
      <w:r/>
    </w:p>
    <w:p>
      <w:pPr>
        <w:pStyle w:val="1066"/>
        <w:spacing w:line="720" w:lineRule="auto"/>
        <w:tabs>
          <w:tab w:val="left" w:pos="1050" w:leader="none"/>
          <w:tab w:val="right" w:pos="8937" w:leader="dot"/>
        </w:tabs>
        <w:rPr>
          <w:rFonts w:ascii="Calibri" w:hAnsi="Calibri"/>
          <w:b w:val="0"/>
          <w:color w:val="000000"/>
          <w:sz w:val="32"/>
          <w:szCs w:val="32"/>
          <w:highlight w:val="none"/>
        </w:rPr>
      </w:pPr>
      <w:r>
        <w:rPr>
          <w:rStyle w:val="1089"/>
          <w:color w:val="000000"/>
          <w:sz w:val="32"/>
          <w:szCs w:val="32"/>
          <w:highlight w:val="none"/>
        </w:rPr>
        <w:fldChar w:fldCharType="begin"/>
      </w:r>
      <w:r>
        <w:rPr>
          <w:rStyle w:val="1089"/>
          <w:color w:val="000000"/>
          <w:sz w:val="32"/>
          <w:szCs w:val="32"/>
          <w:highlight w:val="none"/>
        </w:rPr>
        <w:instrText xml:space="preserve"> </w:instrText>
      </w:r>
      <w:r>
        <w:rPr>
          <w:color w:val="000000"/>
          <w:sz w:val="32"/>
          <w:szCs w:val="32"/>
          <w:highlight w:val="none"/>
        </w:rPr>
        <w:instrText xml:space="preserve">HYPERLINK \l "_Toc104818928"</w:instrText>
      </w:r>
      <w:r>
        <w:rPr>
          <w:rStyle w:val="1089"/>
          <w:color w:val="000000"/>
          <w:sz w:val="32"/>
          <w:szCs w:val="32"/>
          <w:highlight w:val="none"/>
        </w:rPr>
        <w:instrText xml:space="preserve"> </w:instrText>
      </w:r>
      <w:r>
        <w:rPr>
          <w:rStyle w:val="1089"/>
          <w:color w:val="000000"/>
          <w:sz w:val="32"/>
          <w:szCs w:val="32"/>
          <w:highlight w:val="none"/>
        </w:rPr>
        <w:fldChar w:fldCharType="separate"/>
      </w:r>
      <w:r>
        <w:rPr>
          <w:rStyle w:val="1089"/>
          <w:rFonts w:hint="eastAsia"/>
          <w:color w:val="000000"/>
          <w:sz w:val="32"/>
          <w:szCs w:val="32"/>
          <w:highlight w:val="none"/>
        </w:rPr>
        <w:t xml:space="preserve">第四章</w:t>
      </w:r>
      <w:r>
        <w:rPr>
          <w:rStyle w:val="1089"/>
          <w:color w:val="000000"/>
          <w:sz w:val="32"/>
          <w:szCs w:val="32"/>
          <w:highlight w:val="none"/>
        </w:rPr>
        <w:t xml:space="preserve">   </w:t>
      </w:r>
      <w:r>
        <w:rPr>
          <w:rStyle w:val="1089"/>
          <w:rFonts w:hint="eastAsia"/>
          <w:color w:val="000000"/>
          <w:sz w:val="32"/>
          <w:szCs w:val="32"/>
          <w:highlight w:val="none"/>
        </w:rPr>
        <w:t xml:space="preserve">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_Toc104818928 \h </w:instrText>
      </w:r>
      <w:r>
        <w:rPr>
          <w:color w:val="000000"/>
          <w:sz w:val="32"/>
          <w:szCs w:val="32"/>
          <w:highlight w:val="none"/>
        </w:rPr>
        <w:fldChar w:fldCharType="separate"/>
      </w:r>
      <w:r>
        <w:rPr>
          <w:color w:val="000000"/>
          <w:sz w:val="32"/>
          <w:szCs w:val="32"/>
          <w:highlight w:val="none"/>
        </w:rPr>
        <w:t xml:space="preserve">30</w:t>
      </w:r>
      <w:r>
        <w:rPr>
          <w:color w:val="000000"/>
          <w:sz w:val="32"/>
          <w:szCs w:val="32"/>
          <w:highlight w:val="none"/>
        </w:rPr>
        <w:fldChar w:fldCharType="end"/>
      </w:r>
      <w:r>
        <w:rPr>
          <w:rStyle w:val="1089"/>
          <w:color w:val="000000"/>
          <w:sz w:val="32"/>
          <w:szCs w:val="32"/>
          <w:highlight w:val="none"/>
        </w:rPr>
        <w:fldChar w:fldCharType="end"/>
      </w:r>
      <w:r>
        <w:rPr>
          <w:rFonts w:ascii="Calibri" w:hAnsi="Calibri"/>
          <w:b w:val="0"/>
          <w:color w:val="000000"/>
          <w:sz w:val="32"/>
          <w:szCs w:val="32"/>
          <w:highlight w:val="none"/>
        </w:rPr>
      </w:r>
      <w:r/>
    </w:p>
    <w:p>
      <w:pPr>
        <w:pStyle w:val="1066"/>
        <w:spacing w:line="720" w:lineRule="auto"/>
        <w:tabs>
          <w:tab w:val="left" w:pos="1050" w:leader="none"/>
          <w:tab w:val="right" w:pos="8937" w:leader="dot"/>
        </w:tabs>
        <w:rPr>
          <w:rFonts w:ascii="Calibri" w:hAnsi="Calibri"/>
          <w:b w:val="0"/>
          <w:color w:val="000000"/>
          <w:sz w:val="32"/>
          <w:szCs w:val="32"/>
          <w:highlight w:val="none"/>
        </w:rPr>
      </w:pPr>
      <w:r>
        <w:rPr>
          <w:rStyle w:val="1089"/>
          <w:color w:val="000000"/>
          <w:sz w:val="32"/>
          <w:szCs w:val="32"/>
          <w:highlight w:val="none"/>
        </w:rPr>
        <w:fldChar w:fldCharType="begin"/>
      </w:r>
      <w:r>
        <w:rPr>
          <w:rStyle w:val="1089"/>
          <w:color w:val="000000"/>
          <w:sz w:val="32"/>
          <w:szCs w:val="32"/>
          <w:highlight w:val="none"/>
        </w:rPr>
        <w:instrText xml:space="preserve"> </w:instrText>
      </w:r>
      <w:r>
        <w:rPr>
          <w:color w:val="000000"/>
          <w:sz w:val="32"/>
          <w:szCs w:val="32"/>
          <w:highlight w:val="none"/>
        </w:rPr>
        <w:instrText xml:space="preserve">HYPERLINK \l "_Toc104818929"</w:instrText>
      </w:r>
      <w:r>
        <w:rPr>
          <w:rStyle w:val="1089"/>
          <w:color w:val="000000"/>
          <w:sz w:val="32"/>
          <w:szCs w:val="32"/>
          <w:highlight w:val="none"/>
        </w:rPr>
        <w:instrText xml:space="preserve"> </w:instrText>
      </w:r>
      <w:r>
        <w:rPr>
          <w:rStyle w:val="1089"/>
          <w:color w:val="000000"/>
          <w:sz w:val="32"/>
          <w:szCs w:val="32"/>
          <w:highlight w:val="none"/>
        </w:rPr>
        <w:fldChar w:fldCharType="separate"/>
      </w:r>
      <w:r>
        <w:rPr>
          <w:rStyle w:val="1089"/>
          <w:rFonts w:hint="eastAsia"/>
          <w:color w:val="000000"/>
          <w:sz w:val="32"/>
          <w:szCs w:val="32"/>
          <w:highlight w:val="none"/>
        </w:rPr>
        <w:t xml:space="preserve">第五章</w:t>
      </w:r>
      <w:r>
        <w:rPr>
          <w:rStyle w:val="1089"/>
          <w:color w:val="000000"/>
          <w:sz w:val="32"/>
          <w:szCs w:val="32"/>
          <w:highlight w:val="none"/>
        </w:rPr>
        <w:t xml:space="preserve">   </w:t>
      </w:r>
      <w:r>
        <w:rPr>
          <w:rStyle w:val="1089"/>
          <w:rFonts w:hint="eastAsia"/>
          <w:color w:val="000000"/>
          <w:sz w:val="32"/>
          <w:szCs w:val="32"/>
          <w:highlight w:val="none"/>
        </w:rPr>
        <w:t xml:space="preserve">合同草案条款</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_Toc104818929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rStyle w:val="1089"/>
          <w:color w:val="000000"/>
          <w:sz w:val="32"/>
          <w:szCs w:val="32"/>
          <w:highlight w:val="none"/>
        </w:rPr>
        <w:fldChar w:fldCharType="end"/>
      </w:r>
      <w:r>
        <w:rPr>
          <w:rFonts w:ascii="Calibri" w:hAnsi="Calibri"/>
          <w:b w:val="0"/>
          <w:color w:val="000000"/>
          <w:sz w:val="32"/>
          <w:szCs w:val="32"/>
          <w:highlight w:val="none"/>
        </w:rPr>
      </w:r>
      <w:r/>
    </w:p>
    <w:p>
      <w:pPr>
        <w:pStyle w:val="1066"/>
        <w:spacing w:line="720" w:lineRule="auto"/>
        <w:tabs>
          <w:tab w:val="left" w:pos="1050" w:leader="none"/>
          <w:tab w:val="right" w:pos="8937" w:leader="dot"/>
        </w:tabs>
        <w:rPr>
          <w:rFonts w:ascii="Calibri" w:hAnsi="Calibri"/>
          <w:b w:val="0"/>
          <w:color w:val="000000"/>
          <w:sz w:val="21"/>
          <w:szCs w:val="22"/>
          <w:highlight w:val="none"/>
        </w:rPr>
      </w:pPr>
      <w:r>
        <w:rPr>
          <w:rStyle w:val="1089"/>
          <w:color w:val="000000"/>
          <w:sz w:val="32"/>
          <w:szCs w:val="32"/>
          <w:highlight w:val="none"/>
        </w:rPr>
        <w:fldChar w:fldCharType="begin"/>
      </w:r>
      <w:r>
        <w:rPr>
          <w:rStyle w:val="1089"/>
          <w:color w:val="000000"/>
          <w:sz w:val="32"/>
          <w:szCs w:val="32"/>
          <w:highlight w:val="none"/>
        </w:rPr>
        <w:instrText xml:space="preserve"> </w:instrText>
      </w:r>
      <w:r>
        <w:rPr>
          <w:color w:val="000000"/>
          <w:sz w:val="32"/>
          <w:szCs w:val="32"/>
          <w:highlight w:val="none"/>
        </w:rPr>
        <w:instrText xml:space="preserve">HYPERLINK \l "_Toc104818930"</w:instrText>
      </w:r>
      <w:r>
        <w:rPr>
          <w:rStyle w:val="1089"/>
          <w:color w:val="000000"/>
          <w:sz w:val="32"/>
          <w:szCs w:val="32"/>
          <w:highlight w:val="none"/>
        </w:rPr>
        <w:instrText xml:space="preserve"> </w:instrText>
      </w:r>
      <w:r>
        <w:rPr>
          <w:rStyle w:val="1089"/>
          <w:color w:val="000000"/>
          <w:sz w:val="32"/>
          <w:szCs w:val="32"/>
          <w:highlight w:val="none"/>
        </w:rPr>
        <w:fldChar w:fldCharType="separate"/>
      </w:r>
      <w:r>
        <w:rPr>
          <w:rStyle w:val="1089"/>
          <w:rFonts w:hint="eastAsia"/>
          <w:color w:val="000000"/>
          <w:sz w:val="32"/>
          <w:szCs w:val="32"/>
          <w:highlight w:val="none"/>
        </w:rPr>
        <w:t xml:space="preserve">第六章</w:t>
      </w:r>
      <w:r>
        <w:rPr>
          <w:rStyle w:val="1089"/>
          <w:color w:val="000000"/>
          <w:sz w:val="32"/>
          <w:szCs w:val="32"/>
          <w:highlight w:val="none"/>
        </w:rPr>
        <w:t xml:space="preserve">   </w:t>
      </w:r>
      <w:r>
        <w:rPr>
          <w:rStyle w:val="1089"/>
          <w:rFonts w:hint="eastAsia"/>
          <w:color w:val="000000"/>
          <w:sz w:val="32"/>
          <w:szCs w:val="32"/>
          <w:highlight w:val="none"/>
        </w:rPr>
        <w:t xml:space="preserve">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_Toc104818930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rStyle w:val="1089"/>
          <w:color w:val="000000"/>
          <w:sz w:val="32"/>
          <w:szCs w:val="32"/>
          <w:highlight w:val="none"/>
        </w:rPr>
        <w:fldChar w:fldCharType="end"/>
      </w:r>
      <w:r>
        <w:rPr>
          <w:rFonts w:ascii="Calibri" w:hAnsi="Calibri"/>
          <w:b w:val="0"/>
          <w:color w:val="000000"/>
          <w:sz w:val="21"/>
          <w:szCs w:val="22"/>
          <w:highlight w:val="none"/>
        </w:rPr>
      </w:r>
      <w:r/>
    </w:p>
    <w:p>
      <w:pPr>
        <w:pStyle w:val="106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66"/>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14"/>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1014"/>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Pr>
          <w:b/>
          <w:color w:val="000000"/>
          <w:sz w:val="36"/>
          <w:szCs w:val="36"/>
          <w:highlight w:val="none"/>
        </w:rPr>
      </w:r>
      <w:r/>
    </w:p>
    <w:p>
      <w:pPr>
        <w:pStyle w:val="1014"/>
        <w:ind w:firstLine="640"/>
        <w:spacing w:line="560" w:lineRule="exact"/>
        <w:rPr>
          <w:rFonts w:ascii="仿宋" w:hAnsi="仿宋" w:eastAsia="仿宋" w:cs="宋体"/>
          <w:color w:val="000000"/>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highlight w:val="none"/>
        </w:rPr>
        <w:t xml:space="preserve">项目概况</w:t>
      </w:r>
      <w:r>
        <w:rPr>
          <w:rFonts w:ascii="仿宋" w:hAnsi="仿宋" w:eastAsia="仿宋" w:cs="宋体"/>
          <w:color w:val="000000"/>
          <w:sz w:val="32"/>
          <w:szCs w:val="32"/>
          <w:highlight w:val="none"/>
        </w:rPr>
      </w:r>
      <w:r/>
    </w:p>
    <w:p>
      <w:pPr>
        <w:pStyle w:val="1014"/>
        <w:ind w:firstLine="640"/>
        <w:spacing w:line="560" w:lineRule="exact"/>
        <w:rPr>
          <w:rFonts w:hint="eastAsia" w:ascii="仿宋" w:hAnsi="仿宋" w:eastAsia="仿宋" w:cs="宋体"/>
          <w:color w:val="000000"/>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highlight w:val="none"/>
        </w:rPr>
        <w:t xml:space="preserve">常州市武进中</w:t>
      </w:r>
      <w:r>
        <w:rPr>
          <w:rFonts w:hint="eastAsia" w:ascii="仿宋" w:hAnsi="仿宋" w:eastAsia="仿宋" w:cs="宋体"/>
          <w:color w:val="000000"/>
          <w:sz w:val="32"/>
          <w:szCs w:val="32"/>
          <w:highlight w:val="none"/>
        </w:rPr>
        <w:t xml:space="preserve">医医院布草清洗服务采购项目的潜在供应商应在“苏采云”政府采购一体化平台自行免费下载获取采购文件，并于</w:t>
      </w:r>
      <w:r>
        <w:rPr>
          <w:rFonts w:hint="eastAsia" w:ascii="仿宋" w:hAnsi="仿宋" w:eastAsia="仿宋" w:cs="宋体"/>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cs="宋体"/>
          <w:color w:val="000000"/>
          <w:sz w:val="32"/>
          <w:szCs w:val="32"/>
          <w:highlight w:val="none"/>
        </w:rPr>
        <w:t xml:space="preserve">前提交响应文件。</w:t>
      </w:r>
      <w:r>
        <w:rPr>
          <w:rFonts w:hint="eastAsia" w:ascii="仿宋" w:hAnsi="仿宋" w:eastAsia="仿宋" w:cs="宋体"/>
          <w:color w:val="000000"/>
          <w:sz w:val="32"/>
          <w:szCs w:val="32"/>
          <w:highlight w:val="none"/>
        </w:rPr>
      </w:r>
      <w:r/>
    </w:p>
    <w:p>
      <w:pPr>
        <w:pStyle w:val="1016"/>
        <w:ind w:firstLine="643"/>
        <w:jc w:val="left"/>
        <w:spacing w:before="240"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一、项目基本情况</w:t>
      </w:r>
      <w:bookmarkEnd w:id="2"/>
      <w:r/>
      <w:bookmarkEnd w:id="3"/>
      <w:r/>
      <w:bookmarkEnd w:id="4"/>
      <w:r/>
      <w:bookmarkEnd w:id="5"/>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JSZC-320412-CTZB-C2026-0098</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常州市武进中医医院布草清洗服务采购项目</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3.采购方式：竞争</w:t>
      </w:r>
      <w:r>
        <w:rPr>
          <w:rFonts w:ascii="仿宋" w:hAnsi="仿宋" w:eastAsia="仿宋"/>
          <w:color w:val="000000"/>
          <w:sz w:val="32"/>
          <w:szCs w:val="32"/>
          <w:highlight w:val="none"/>
        </w:rPr>
        <w:t xml:space="preserve">性磋商</w:t>
      </w:r>
      <w:r>
        <w:rPr>
          <w:rFonts w:ascii="仿宋" w:hAnsi="仿宋" w:eastAsia="仿宋"/>
          <w:color w:val="000000"/>
          <w:sz w:val="32"/>
          <w:szCs w:val="32"/>
          <w:highlight w:val="none"/>
        </w:rPr>
      </w:r>
      <w:r/>
    </w:p>
    <w:p>
      <w:pPr>
        <w:pStyle w:val="1014"/>
        <w:ind w:firstLine="640"/>
        <w:spacing w:line="360" w:lineRule="auto"/>
        <w:rPr>
          <w:rFonts w:hint="eastAsia" w:ascii="仿宋" w:hAnsi="仿宋" w:eastAsia="仿宋"/>
          <w:color w:val="000000"/>
          <w:sz w:val="32"/>
          <w:szCs w:val="32"/>
          <w:highlight w:val="none"/>
        </w:rPr>
      </w:pPr>
      <w:r/>
      <w:bookmarkEnd w:id="6"/>
      <w:r>
        <w:rPr>
          <w:rFonts w:ascii="仿宋" w:hAnsi="仿宋" w:eastAsia="仿宋"/>
          <w:color w:val="000000"/>
          <w:sz w:val="32"/>
          <w:szCs w:val="32"/>
          <w:highlight w:val="none"/>
        </w:rPr>
        <w:t xml:space="preserve">4.项目预算金额：</w:t>
      </w:r>
      <w:r>
        <w:rPr>
          <w:rFonts w:hint="eastAsia" w:ascii="仿宋" w:hAnsi="仿宋" w:eastAsia="仿宋"/>
          <w:color w:val="000000"/>
          <w:sz w:val="32"/>
          <w:szCs w:val="32"/>
          <w:highlight w:val="none"/>
          <w:lang w:val="en-US" w:eastAsia="zh-CN"/>
        </w:rPr>
        <w:t xml:space="preserve">390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项目最高限价：</w:t>
      </w:r>
      <w:r>
        <w:rPr>
          <w:rFonts w:hint="eastAsia" w:ascii="仿宋" w:hAnsi="仿宋" w:eastAsia="仿宋"/>
          <w:b/>
          <w:bCs/>
          <w:color w:val="000000"/>
          <w:sz w:val="32"/>
          <w:szCs w:val="32"/>
          <w:highlight w:val="none"/>
        </w:rPr>
        <w:t xml:space="preserve">临床布草及手术敷料洗涤单价</w:t>
      </w:r>
      <w:r>
        <w:rPr>
          <w:rFonts w:ascii="仿宋" w:hAnsi="仿宋" w:eastAsia="仿宋"/>
          <w:b/>
          <w:bCs/>
          <w:color w:val="000000"/>
          <w:sz w:val="32"/>
          <w:szCs w:val="32"/>
          <w:highlight w:val="none"/>
        </w:rPr>
        <w:t xml:space="preserve">1.</w:t>
      </w:r>
      <w:r>
        <w:rPr>
          <w:rFonts w:hint="eastAsia" w:ascii="仿宋" w:hAnsi="仿宋" w:eastAsia="仿宋"/>
          <w:b/>
          <w:bCs/>
          <w:color w:val="000000"/>
          <w:sz w:val="32"/>
          <w:szCs w:val="32"/>
          <w:highlight w:val="none"/>
          <w:lang w:val="en-US" w:eastAsia="zh-CN"/>
        </w:rPr>
        <w:t xml:space="preserve">5</w:t>
      </w:r>
      <w:r>
        <w:rPr>
          <w:rFonts w:hint="eastAsia" w:ascii="仿宋" w:hAnsi="仿宋" w:eastAsia="仿宋"/>
          <w:b/>
          <w:bCs/>
          <w:color w:val="000000"/>
          <w:sz w:val="32"/>
          <w:szCs w:val="32"/>
          <w:highlight w:val="none"/>
        </w:rPr>
        <w:t xml:space="preserve">元/件，报损费</w:t>
      </w:r>
      <w:r>
        <w:rPr>
          <w:rFonts w:hint="eastAsia" w:ascii="仿宋" w:hAnsi="仿宋" w:eastAsia="仿宋"/>
          <w:b/>
          <w:bCs/>
          <w:color w:val="000000"/>
          <w:sz w:val="32"/>
          <w:szCs w:val="32"/>
          <w:highlight w:val="none"/>
          <w:lang w:val="en-US" w:eastAsia="zh-CN"/>
        </w:rPr>
        <w:t xml:space="preserve">25</w:t>
      </w:r>
      <w:r>
        <w:rPr>
          <w:rFonts w:ascii="仿宋" w:hAnsi="仿宋" w:eastAsia="仿宋"/>
          <w:b/>
          <w:bCs/>
          <w:color w:val="000000"/>
          <w:sz w:val="32"/>
          <w:szCs w:val="32"/>
          <w:highlight w:val="none"/>
        </w:rPr>
        <w:t xml:space="preserve">万元</w:t>
      </w:r>
      <w:r>
        <w:rPr>
          <w:rFonts w:hint="eastAsia" w:ascii="仿宋" w:hAnsi="仿宋" w:eastAsia="仿宋"/>
          <w:b/>
          <w:bCs/>
          <w:color w:val="000000"/>
          <w:sz w:val="32"/>
          <w:szCs w:val="32"/>
          <w:highlight w:val="none"/>
        </w:rPr>
        <w:t xml:space="preserve">/年</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14"/>
              <w:jc w:val="center"/>
              <w:spacing w:line="560" w:lineRule="exact"/>
              <w:rPr>
                <w:color w:val="000000"/>
                <w:highlight w:val="none"/>
              </w:rPr>
            </w:pPr>
            <w:r>
              <w:rPr>
                <w:rFonts w:hint="eastAsia" w:ascii="仿宋" w:hAnsi="仿宋" w:eastAsia="仿宋"/>
                <w:bCs/>
                <w:color w:val="000000"/>
                <w:sz w:val="32"/>
                <w:szCs w:val="32"/>
                <w:highlight w:val="none"/>
              </w:rPr>
              <w:t xml:space="preserve">包号</w:t>
            </w:r>
            <w:r>
              <w:rPr>
                <w:color w:val="000000"/>
                <w:highlight w:val="none"/>
              </w:rPr>
            </w:r>
            <w:r/>
          </w:p>
        </w:tc>
        <w:tc>
          <w:tcPr>
            <w:tcW w:w="842" w:type="dxa"/>
            <w:vAlign w:val="center"/>
            <w:textDirection w:val="lrTb"/>
            <w:noWrap w:val="false"/>
          </w:tcPr>
          <w:p>
            <w:pPr>
              <w:pStyle w:val="1014"/>
              <w:jc w:val="center"/>
              <w:spacing w:line="56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14"/>
              <w:jc w:val="center"/>
              <w:spacing w:line="56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采购包预算金额（万元）</w:t>
            </w:r>
            <w:r>
              <w:rPr>
                <w:rFonts w:ascii="仿宋" w:hAnsi="仿宋" w:eastAsia="仿宋"/>
                <w:bCs/>
                <w:color w:val="000000"/>
                <w:sz w:val="32"/>
                <w:szCs w:val="32"/>
                <w:highlight w:val="none"/>
              </w:rPr>
            </w:r>
            <w:r/>
          </w:p>
        </w:tc>
        <w:tc>
          <w:tcPr>
            <w:tcW w:w="539" w:type="dxa"/>
            <w:vAlign w:val="center"/>
            <w:textDirection w:val="lrTb"/>
            <w:noWrap w:val="false"/>
          </w:tcPr>
          <w:p>
            <w:pPr>
              <w:pStyle w:val="1014"/>
              <w:jc w:val="center"/>
              <w:spacing w:line="56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14"/>
              <w:jc w:val="center"/>
              <w:spacing w:line="5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14"/>
              <w:jc w:val="center"/>
              <w:spacing w:line="5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01</w:t>
            </w:r>
            <w:r>
              <w:rPr>
                <w:rFonts w:ascii="仿宋" w:hAnsi="仿宋" w:eastAsia="仿宋"/>
                <w:color w:val="000000"/>
                <w:sz w:val="32"/>
                <w:szCs w:val="32"/>
                <w:highlight w:val="none"/>
              </w:rPr>
            </w:r>
            <w:r/>
          </w:p>
        </w:tc>
        <w:tc>
          <w:tcPr>
            <w:tcW w:w="842" w:type="dxa"/>
            <w:vAlign w:val="center"/>
            <w:textDirection w:val="lrTb"/>
            <w:noWrap w:val="false"/>
          </w:tcPr>
          <w:p>
            <w:pPr>
              <w:pStyle w:val="1014"/>
              <w:jc w:val="center"/>
              <w:spacing w:line="5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布草清洗服务</w:t>
            </w:r>
            <w:r>
              <w:rPr>
                <w:rFonts w:ascii="仿宋" w:hAnsi="仿宋" w:eastAsia="仿宋"/>
                <w:color w:val="000000"/>
                <w:sz w:val="32"/>
                <w:szCs w:val="32"/>
                <w:highlight w:val="none"/>
              </w:rPr>
            </w:r>
            <w:r/>
          </w:p>
        </w:tc>
        <w:tc>
          <w:tcPr>
            <w:tcW w:w="920" w:type="dxa"/>
            <w:vAlign w:val="center"/>
            <w:textDirection w:val="lrTb"/>
            <w:noWrap w:val="false"/>
          </w:tcPr>
          <w:p>
            <w:pPr>
              <w:pStyle w:val="1014"/>
              <w:jc w:val="center"/>
              <w:spacing w:line="560" w:lineRule="exact"/>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390</w:t>
            </w:r>
            <w:r>
              <w:rPr>
                <w:rFonts w:ascii="仿宋" w:hAnsi="仿宋" w:eastAsia="仿宋"/>
                <w:color w:val="000000"/>
                <w:sz w:val="32"/>
                <w:szCs w:val="32"/>
                <w:highlight w:val="none"/>
                <w:lang w:val="en-US" w:eastAsia="zh-CN"/>
              </w:rPr>
            </w:r>
            <w:r/>
          </w:p>
        </w:tc>
        <w:tc>
          <w:tcPr>
            <w:tcW w:w="539" w:type="dxa"/>
            <w:vAlign w:val="center"/>
            <w:textDirection w:val="lrTb"/>
            <w:noWrap w:val="false"/>
          </w:tcPr>
          <w:p>
            <w:pPr>
              <w:pStyle w:val="1014"/>
              <w:jc w:val="center"/>
              <w:spacing w:line="560" w:lineRule="exact"/>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3年</w:t>
            </w:r>
            <w:r>
              <w:rPr>
                <w:rFonts w:ascii="仿宋" w:hAnsi="仿宋" w:eastAsia="仿宋"/>
                <w:color w:val="000000"/>
                <w:sz w:val="32"/>
                <w:szCs w:val="32"/>
                <w:highlight w:val="none"/>
                <w:lang w:val="en-US" w:eastAsia="zh-CN"/>
              </w:rPr>
            </w:r>
            <w:r/>
          </w:p>
        </w:tc>
        <w:tc>
          <w:tcPr>
            <w:tcW w:w="2314" w:type="dxa"/>
            <w:vAlign w:val="center"/>
            <w:textDirection w:val="lrTb"/>
            <w:noWrap w:val="false"/>
          </w:tcPr>
          <w:p>
            <w:pPr>
              <w:pStyle w:val="1014"/>
              <w:jc w:val="center"/>
              <w:spacing w:line="5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包括各类临床医用布草及手术敷料的洗涤、高温消毒、清点交接、运输、缝补、报损以及其它洗涤服务范围内的工作，全天24小时不间断服务。采购人现有被服仓库辅房，作为双方的交接点。双方每天按约定时间到各层交接站清点交接，并签字认可。对于手术室及个别污物严重的洗涤物品，或太脏无法现场清点的，按服务公司洗涤后的洁物计数。</w:t>
            </w:r>
            <w:r>
              <w:rPr>
                <w:rFonts w:ascii="仿宋" w:hAnsi="仿宋" w:eastAsia="仿宋"/>
                <w:color w:val="000000"/>
                <w:sz w:val="32"/>
                <w:szCs w:val="32"/>
                <w:highlight w:val="none"/>
              </w:rPr>
            </w:r>
            <w:r/>
          </w:p>
        </w:tc>
      </w:tr>
    </w:tbl>
    <w:p>
      <w:pPr>
        <w:pStyle w:val="101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服务期限为三年，合同一年一签。每年合同期满经采购人考核合格</w:t>
      </w:r>
      <w:r>
        <w:rPr>
          <w:rFonts w:hint="eastAsia" w:ascii="仿宋" w:hAnsi="仿宋" w:eastAsia="仿宋"/>
          <w:color w:val="000000"/>
          <w:sz w:val="32"/>
          <w:szCs w:val="32"/>
          <w:highlight w:val="none"/>
        </w:rPr>
        <w:t xml:space="preserve">（年平均考核分数不低于</w:t>
      </w:r>
      <w:r>
        <w:rPr>
          <w:rFonts w:hint="eastAsia" w:ascii="仿宋" w:hAnsi="仿宋" w:eastAsia="仿宋"/>
          <w:color w:val="000000"/>
          <w:sz w:val="32"/>
          <w:szCs w:val="32"/>
          <w:highlight w:val="none"/>
          <w:lang w:val="en-US" w:eastAsia="zh-CN"/>
        </w:rPr>
        <w:t xml:space="preserve">7</w:t>
      </w:r>
      <w:r>
        <w:rPr>
          <w:rFonts w:hint="eastAsia" w:ascii="仿宋" w:hAnsi="仿宋" w:eastAsia="仿宋"/>
          <w:color w:val="000000"/>
          <w:sz w:val="32"/>
          <w:szCs w:val="32"/>
          <w:highlight w:val="none"/>
        </w:rPr>
        <w:t xml:space="preserve">0分）</w:t>
      </w:r>
      <w:r>
        <w:rPr>
          <w:rFonts w:hint="eastAsia" w:ascii="仿宋" w:hAnsi="仿宋" w:eastAsia="仿宋"/>
          <w:color w:val="000000"/>
          <w:sz w:val="32"/>
          <w:szCs w:val="32"/>
          <w:highlight w:val="none"/>
        </w:rPr>
        <w:t xml:space="preserve">后续签下一年度合同。</w:t>
      </w:r>
      <w:r>
        <w:rPr>
          <w:rFonts w:ascii="仿宋" w:hAnsi="仿宋" w:eastAsia="仿宋"/>
          <w:color w:val="000000"/>
          <w:sz w:val="32"/>
          <w:szCs w:val="32"/>
          <w:highlight w:val="none"/>
        </w:rPr>
        <w:t xml:space="preserve"> </w:t>
      </w:r>
      <w:r>
        <w:rPr>
          <w:rFonts w:ascii="仿宋" w:hAnsi="仿宋" w:eastAsia="仿宋"/>
          <w:color w:val="000000"/>
          <w:sz w:val="32"/>
          <w:szCs w:val="32"/>
          <w:highlight w:val="none"/>
          <w:u w:val="singl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bookmarkStart w:id="7" w:name="_Toc35393791"/>
      <w:r/>
      <w:bookmarkStart w:id="8" w:name="_Toc28359080"/>
      <w:r/>
      <w:bookmarkStart w:id="9" w:name="_Toc28359003"/>
      <w:r/>
      <w:bookmarkStart w:id="10" w:name="_Toc35393622"/>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二、申请人的资格要求（须同时满足）</w:t>
      </w:r>
      <w:bookmarkEnd w:id="7"/>
      <w:r/>
      <w:bookmarkEnd w:id="8"/>
      <w:r/>
      <w:bookmarkEnd w:id="9"/>
      <w:r/>
      <w:bookmarkEnd w:id="10"/>
      <w:r>
        <w:rPr>
          <w:rFonts w:ascii="仿宋" w:hAnsi="仿宋" w:eastAsia="仿宋"/>
          <w:color w:val="000000"/>
          <w:sz w:val="32"/>
          <w:szCs w:val="32"/>
          <w:highlight w:val="none"/>
        </w:rPr>
      </w:r>
      <w:r/>
    </w:p>
    <w:p>
      <w:pPr>
        <w:pStyle w:val="1014"/>
        <w:ind w:firstLine="640"/>
        <w:spacing w:line="360" w:lineRule="auto"/>
        <w:rPr>
          <w:rFonts w:hint="eastAsia" w:ascii="仿宋" w:hAnsi="仿宋" w:eastAsia="仿宋"/>
          <w:color w:val="000000"/>
          <w:sz w:val="32"/>
          <w:szCs w:val="32"/>
          <w:highlight w:val="none"/>
        </w:rPr>
      </w:pPr>
      <w:r/>
      <w:bookmarkStart w:id="11" w:name="_Toc28359081"/>
      <w:r/>
      <w:bookmarkStart w:id="12" w:name="_Toc28359004"/>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hint="eastAsia"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14"/>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hint="eastAsia"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14"/>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hint="eastAsia" w:ascii="仿宋" w:hAnsi="仿宋" w:eastAsia="仿宋"/>
          <w:color w:val="000000"/>
          <w:sz w:val="32"/>
          <w:szCs w:val="32"/>
          <w:highlight w:val="none"/>
        </w:rPr>
        <w:t xml:space="preserve">对于预留份额，提供的货物由符合政策要求的中小企业制造、服务由符合政策要求的中小企业承接、提供的工程全部由符合政策要求的中小企业承建。</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获得采购合同的供应商应承诺将采购项目中不低于40%的金额分包给一家或多家中小企业。</w:t>
      </w:r>
      <w:r>
        <w:rPr>
          <w:rFonts w:ascii="仿宋" w:hAnsi="仿宋" w:eastAsia="仿宋"/>
          <w:b/>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1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w:t>
      </w:r>
      <w:r>
        <w:rPr>
          <w:rFonts w:ascii="仿宋" w:hAnsi="仿宋" w:eastAsia="仿宋"/>
          <w:color w:val="000000"/>
          <w:sz w:val="32"/>
          <w:szCs w:val="32"/>
          <w:highlight w:val="none"/>
        </w:rPr>
        <w:t xml:space="preserve">的特定资格要求：</w:t>
      </w:r>
      <w:r>
        <w:rPr>
          <w:rFonts w:ascii="仿宋" w:hAnsi="仿宋" w:eastAsia="仿宋"/>
          <w:i/>
          <w:iCs/>
          <w:color w:val="000000"/>
          <w:sz w:val="32"/>
          <w:szCs w:val="32"/>
          <w:highlight w:val="none"/>
          <w:u w:val="single"/>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3.1本项目是否接受分支机构参与响应：□是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3.2 本项目是否属于政府购买服务：</w:t>
      </w:r>
      <w:r>
        <w:rPr>
          <w:rFonts w:ascii="仿宋" w:hAnsi="仿宋" w:eastAsia="仿宋"/>
          <w:color w:val="000000"/>
          <w:sz w:val="32"/>
          <w:szCs w:val="32"/>
          <w:highlight w:val="none"/>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■否；</w:t>
      </w:r>
      <w:r>
        <w:rPr>
          <w:rFonts w:hint="eastAsia" w:ascii="仿宋" w:hAnsi="仿宋" w:eastAsia="仿宋"/>
          <w:color w:val="000000"/>
          <w:sz w:val="32"/>
          <w:szCs w:val="32"/>
          <w:highlight w:val="none"/>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□是，公益一类事业单位、使用事业编制且由财政拨款保障的群团组织，不得作为承接主体；</w:t>
      </w:r>
      <w:r>
        <w:rPr>
          <w:rFonts w:hint="eastAsia" w:ascii="仿宋" w:hAnsi="仿宋" w:eastAsia="仿宋"/>
          <w:color w:val="000000"/>
          <w:sz w:val="32"/>
          <w:szCs w:val="32"/>
          <w:highlight w:val="none"/>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3.3其他特定资格</w:t>
      </w:r>
      <w:r>
        <w:rPr>
          <w:rFonts w:ascii="仿宋" w:hAnsi="仿宋" w:eastAsia="仿宋"/>
          <w:color w:val="000000"/>
          <w:sz w:val="32"/>
          <w:szCs w:val="32"/>
          <w:highlight w:val="none"/>
        </w:rPr>
        <w:t xml:space="preserve">要求：</w:t>
      </w:r>
      <w:r>
        <w:rPr>
          <w:rFonts w:hint="eastAsia" w:ascii="仿宋" w:hAnsi="仿宋" w:eastAsia="仿宋"/>
          <w:color w:val="000000"/>
          <w:sz w:val="32"/>
          <w:szCs w:val="32"/>
          <w:highlight w:val="none"/>
        </w:rPr>
        <w:t xml:space="preserve">供应商必须具有有效期内排污许可证或《固定污染源排污登记回执》，(须提供所在地环保部门出具的备案证明材料及现场设备照片)。</w:t>
      </w:r>
      <w:r>
        <w:rPr>
          <w:rFonts w:hint="eastAsia" w:ascii="仿宋" w:hAnsi="仿宋" w:eastAsia="仿宋"/>
          <w:color w:val="000000"/>
          <w:sz w:val="32"/>
          <w:szCs w:val="32"/>
          <w:highlight w:val="none"/>
        </w:rPr>
      </w:r>
      <w:r/>
    </w:p>
    <w:p>
      <w:pPr>
        <w:pStyle w:val="1016"/>
        <w:ind w:firstLine="643"/>
        <w:jc w:val="left"/>
        <w:spacing w:before="0" w:line="360" w:lineRule="auto"/>
        <w:widowControl/>
        <w:rPr>
          <w:rFonts w:ascii="仿宋" w:hAnsi="仿宋" w:eastAsia="仿宋"/>
          <w:color w:val="000000"/>
          <w:sz w:val="32"/>
          <w:szCs w:val="32"/>
          <w:highlight w:val="none"/>
        </w:rPr>
      </w:pPr>
      <w:r/>
      <w:bookmarkEnd w:id="11"/>
      <w:r/>
      <w:bookmarkEnd w:id="12"/>
      <w:r/>
      <w:bookmarkStart w:id="13" w:name="_Toc35393623"/>
      <w:r/>
      <w:bookmarkStart w:id="14" w:name="_Toc35393792"/>
      <w:r>
        <w:rPr>
          <w:rFonts w:ascii="仿宋" w:hAnsi="仿宋" w:eastAsia="仿宋"/>
          <w:color w:val="000000"/>
          <w:sz w:val="32"/>
          <w:szCs w:val="32"/>
          <w:highlight w:val="none"/>
        </w:rPr>
        <w:t xml:space="preserve">三、获取采购文件</w:t>
      </w:r>
      <w:bookmarkEnd w:id="13"/>
      <w:r/>
      <w:bookmarkEnd w:id="14"/>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31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17:00</w:t>
      </w:r>
      <w:r>
        <w:rPr>
          <w:rFonts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14"/>
        <w:ind w:firstLine="640"/>
        <w:jc w:val="left"/>
        <w:spacing w:line="360" w:lineRule="auto"/>
        <w:widowControl/>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w:t>
      </w:r>
      <w:r>
        <w:rPr>
          <w:rFonts w:hint="eastAsia" w:ascii="仿宋" w:hAnsi="仿宋" w:eastAsia="仿宋"/>
          <w:color w:val="000000"/>
          <w:sz w:val="32"/>
          <w:szCs w:val="32"/>
          <w:highlight w:val="none"/>
          <w:lang w:bidi="ar"/>
        </w:rPr>
        <w:t xml:space="preserve">体化平台自行免费下载。</w:t>
      </w:r>
      <w:r>
        <w:rPr>
          <w:rFonts w:hint="eastAsia" w:ascii="仿宋" w:hAnsi="仿宋" w:eastAsia="仿宋"/>
          <w:color w:val="000000"/>
          <w:sz w:val="32"/>
          <w:szCs w:val="32"/>
          <w:highlight w:val="none"/>
          <w:lang w:bidi="ar"/>
        </w:rPr>
      </w:r>
      <w:r/>
    </w:p>
    <w:p>
      <w:pPr>
        <w:pStyle w:val="101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4.售价：0元。</w:t>
      </w:r>
      <w:r>
        <w:rPr>
          <w:rFonts w:ascii="仿宋" w:hAnsi="仿宋" w:eastAsia="仿宋"/>
          <w:color w:val="000000"/>
          <w:sz w:val="32"/>
          <w:szCs w:val="32"/>
          <w:highlight w:val="none"/>
        </w:rPr>
      </w:r>
      <w:r/>
    </w:p>
    <w:p>
      <w:pPr>
        <w:pStyle w:val="1016"/>
        <w:ind w:firstLine="643"/>
        <w:jc w:val="left"/>
        <w:spacing w:before="0" w:line="360" w:lineRule="auto"/>
        <w:widowControl/>
        <w:rPr>
          <w:rFonts w:ascii="仿宋" w:hAnsi="仿宋" w:eastAsia="仿宋"/>
          <w:color w:val="000000"/>
          <w:sz w:val="32"/>
          <w:szCs w:val="32"/>
          <w:highlight w:val="none"/>
        </w:rPr>
      </w:pPr>
      <w:r/>
      <w:bookmarkStart w:id="15" w:name="_Toc35393624"/>
      <w:r/>
      <w:bookmarkStart w:id="16" w:name="_Toc28359082"/>
      <w:r/>
      <w:bookmarkStart w:id="17" w:name="_Toc28359005"/>
      <w:r/>
      <w:bookmarkStart w:id="18" w:name="_Toc35393793"/>
      <w:r>
        <w:rPr>
          <w:rFonts w:ascii="仿宋" w:hAnsi="仿宋" w:eastAsia="仿宋"/>
          <w:color w:val="000000"/>
          <w:sz w:val="32"/>
          <w:szCs w:val="32"/>
          <w:highlight w:val="none"/>
        </w:rPr>
        <w:t xml:space="preserve">四、</w:t>
      </w:r>
      <w:bookmarkEnd w:id="15"/>
      <w:r/>
      <w:bookmarkEnd w:id="16"/>
      <w:r/>
      <w:bookmarkEnd w:id="17"/>
      <w:r/>
      <w:bookmarkEnd w:id="18"/>
      <w:r>
        <w:rPr>
          <w:rFonts w:ascii="仿宋" w:hAnsi="仿宋" w:eastAsia="仿宋"/>
          <w:color w:val="000000"/>
          <w:sz w:val="32"/>
          <w:szCs w:val="32"/>
          <w:highlight w:val="none"/>
        </w:rPr>
        <w:t xml:space="preserve">响应文件提交</w:t>
      </w:r>
      <w:r>
        <w:rPr>
          <w:rFonts w:ascii="仿宋" w:hAnsi="仿宋" w:eastAsia="仿宋"/>
          <w:color w:val="000000"/>
          <w:sz w:val="32"/>
          <w:szCs w:val="32"/>
          <w:highlight w:val="none"/>
        </w:rPr>
      </w:r>
      <w:r/>
    </w:p>
    <w:p>
      <w:pPr>
        <w:pStyle w:val="101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截止时</w:t>
      </w:r>
      <w:r>
        <w:rPr>
          <w:rFonts w:ascii="仿宋" w:hAnsi="仿宋" w:eastAsia="仿宋"/>
          <w:color w:val="000000"/>
          <w:sz w:val="32"/>
          <w:szCs w:val="32"/>
          <w:highlight w:val="none"/>
          <w:lang w:bidi="ar"/>
        </w:rPr>
        <w:t xml:space="preserve">间：</w:t>
      </w:r>
      <w:r>
        <w:rPr>
          <w:rFonts w:hint="eastAsia" w:ascii="仿宋" w:hAnsi="仿宋" w:eastAsia="仿宋" w:cs="宋体"/>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14"/>
        <w:ind w:firstLine="640"/>
        <w:spacing w:line="360" w:lineRule="auto"/>
        <w:rPr>
          <w:rFonts w:ascii="仿宋" w:hAnsi="仿宋" w:eastAsia="仿宋"/>
          <w:color w:val="000000"/>
          <w:sz w:val="32"/>
          <w:szCs w:val="32"/>
          <w:highlight w:val="none"/>
          <w:lang w:val="zh-TW" w:bidi="ar"/>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lang w:val="zh-TW" w:bidi="ar"/>
        </w:rPr>
      </w:r>
      <w:r/>
    </w:p>
    <w:p>
      <w:pPr>
        <w:pStyle w:val="1016"/>
        <w:ind w:firstLine="643"/>
        <w:jc w:val="left"/>
        <w:spacing w:before="0"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五、开启</w:t>
      </w:r>
      <w:r>
        <w:rPr>
          <w:rFonts w:ascii="仿宋" w:hAnsi="仿宋" w:eastAsia="仿宋"/>
          <w:color w:val="000000"/>
          <w:sz w:val="32"/>
          <w:szCs w:val="32"/>
          <w:highlight w:val="none"/>
        </w:rPr>
      </w:r>
      <w:r/>
    </w:p>
    <w:p>
      <w:pPr>
        <w:pStyle w:val="101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时间：</w:t>
      </w:r>
      <w:r>
        <w:rPr>
          <w:rFonts w:hint="eastAsia" w:ascii="仿宋" w:hAnsi="仿宋" w:eastAsia="仿宋" w:cs="宋体"/>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14"/>
        <w:ind w:firstLine="640"/>
        <w:spacing w:line="360" w:lineRule="auto"/>
        <w:rPr>
          <w:rFonts w:ascii="仿宋" w:hAnsi="仿宋" w:eastAsia="仿宋"/>
          <w:color w:val="000000"/>
          <w:sz w:val="32"/>
          <w:szCs w:val="32"/>
          <w:highlight w:val="none"/>
          <w:lang w:val="zh-TW" w:bidi="ar"/>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lang w:val="zh-TW" w:bidi="ar"/>
        </w:rPr>
      </w:r>
      <w:r/>
    </w:p>
    <w:p>
      <w:pPr>
        <w:pStyle w:val="1016"/>
        <w:ind w:firstLine="643"/>
        <w:jc w:val="left"/>
        <w:spacing w:before="0" w:line="360" w:lineRule="auto"/>
        <w:rPr>
          <w:rFonts w:ascii="仿宋" w:hAnsi="仿宋" w:eastAsia="仿宋"/>
          <w:color w:val="000000"/>
          <w:sz w:val="32"/>
          <w:szCs w:val="32"/>
          <w:highlight w:val="none"/>
        </w:rPr>
      </w:pPr>
      <w:r/>
      <w:bookmarkStart w:id="19" w:name="_Toc28359084"/>
      <w:r/>
      <w:bookmarkStart w:id="20" w:name="_Toc35393794"/>
      <w:r/>
      <w:bookmarkStart w:id="21" w:name="_Toc28359007"/>
      <w:r/>
      <w:bookmarkStart w:id="22" w:name="_Toc35393625"/>
      <w:r>
        <w:rPr>
          <w:rFonts w:ascii="仿宋" w:hAnsi="仿宋" w:eastAsia="仿宋"/>
          <w:color w:val="000000"/>
          <w:sz w:val="32"/>
          <w:szCs w:val="32"/>
          <w:highlight w:val="none"/>
        </w:rPr>
        <w:t xml:space="preserve">六、公告期限</w:t>
      </w:r>
      <w:bookmarkEnd w:id="19"/>
      <w:r/>
      <w:bookmarkEnd w:id="20"/>
      <w:r/>
      <w:bookmarkEnd w:id="21"/>
      <w:r/>
      <w:bookmarkEnd w:id="22"/>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自本公告发布之日起3个工作日。</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color w:val="000000"/>
          <w:sz w:val="32"/>
          <w:szCs w:val="32"/>
          <w:highlight w:val="none"/>
        </w:rPr>
      </w:pPr>
      <w:r/>
      <w:bookmarkStart w:id="23" w:name="_Toc35393795"/>
      <w:r/>
      <w:bookmarkStart w:id="24" w:name="_Toc35393626"/>
      <w:r>
        <w:rPr>
          <w:rFonts w:ascii="仿宋" w:hAnsi="仿宋" w:eastAsia="仿宋"/>
          <w:color w:val="000000"/>
          <w:sz w:val="32"/>
          <w:szCs w:val="32"/>
          <w:highlight w:val="none"/>
        </w:rPr>
        <w:t xml:space="preserve">七、其他补充事宜</w:t>
      </w:r>
      <w:bookmarkEnd w:id="23"/>
      <w:r/>
      <w:bookmarkEnd w:id="24"/>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w:t>
      </w:r>
      <w:r>
        <w:rPr>
          <w:rFonts w:ascii="仿宋" w:hAnsi="仿宋" w:eastAsia="仿宋"/>
          <w:color w:val="000000"/>
          <w:sz w:val="32"/>
          <w:szCs w:val="32"/>
          <w:highlight w:val="none"/>
        </w:rPr>
        <w:t xml:space="preserve">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14"/>
        <w:ind w:firstLine="640"/>
        <w:jc w:val="left"/>
        <w:spacing w:line="360" w:lineRule="auto"/>
        <w:widowControl/>
        <w:rPr>
          <w:rFonts w:hint="eastAsia" w:ascii="仿宋" w:hAnsi="仿宋" w:eastAsia="仿宋"/>
          <w:i/>
          <w:color w:val="000000"/>
          <w:sz w:val="32"/>
          <w:szCs w:val="32"/>
          <w:highlight w:val="none"/>
        </w:rPr>
      </w:pPr>
      <w:r>
        <w:rPr>
          <w:rFonts w:hint="eastAsia" w:ascii="仿宋" w:hAnsi="仿宋" w:eastAsia="仿宋"/>
          <w:color w:val="000000"/>
          <w:sz w:val="32"/>
          <w:szCs w:val="32"/>
          <w:highlight w:val="none"/>
        </w:rPr>
        <w:t xml:space="preserve">2.本项目的采购年限为</w:t>
      </w:r>
      <w:r>
        <w:rPr>
          <w:rFonts w:hint="eastAsia" w:ascii="仿宋" w:hAnsi="仿宋" w:eastAsia="仿宋"/>
          <w:color w:val="000000"/>
          <w:sz w:val="32"/>
          <w:szCs w:val="32"/>
          <w:highlight w:val="none"/>
          <w:lang w:val="en-US" w:eastAsia="zh-CN"/>
        </w:rPr>
        <w:t xml:space="preserve">3</w:t>
      </w:r>
      <w:r>
        <w:rPr>
          <w:rFonts w:hint="eastAsia" w:ascii="仿宋" w:hAnsi="仿宋" w:eastAsia="仿宋"/>
          <w:color w:val="000000"/>
          <w:sz w:val="32"/>
          <w:szCs w:val="32"/>
          <w:highlight w:val="none"/>
        </w:rPr>
        <w:t xml:space="preserve">年、预算金额为</w:t>
      </w:r>
      <w:r>
        <w:rPr>
          <w:rFonts w:hint="eastAsia" w:ascii="仿宋" w:hAnsi="仿宋" w:eastAsia="仿宋"/>
          <w:color w:val="000000"/>
          <w:sz w:val="32"/>
          <w:szCs w:val="32"/>
          <w:highlight w:val="none"/>
          <w:lang w:val="en-US" w:eastAsia="zh-CN"/>
        </w:rPr>
        <w:t xml:space="preserve">390</w:t>
      </w:r>
      <w:r>
        <w:rPr>
          <w:rFonts w:hint="eastAsia" w:ascii="仿宋" w:hAnsi="仿宋" w:eastAsia="仿宋"/>
          <w:color w:val="000000"/>
          <w:sz w:val="32"/>
          <w:szCs w:val="32"/>
          <w:highlight w:val="none"/>
        </w:rPr>
        <w:t xml:space="preserve">万元、当年安排数为</w:t>
      </w:r>
      <w:r>
        <w:rPr>
          <w:rFonts w:hint="eastAsia" w:ascii="仿宋" w:hAnsi="仿宋" w:eastAsia="仿宋"/>
          <w:color w:val="000000"/>
          <w:sz w:val="32"/>
          <w:szCs w:val="32"/>
          <w:highlight w:val="none"/>
          <w:lang w:val="en-US" w:eastAsia="zh-CN"/>
        </w:rPr>
        <w:t xml:space="preserve">130</w:t>
      </w:r>
      <w:r>
        <w:rPr>
          <w:rFonts w:hint="eastAsia" w:ascii="仿宋" w:hAnsi="仿宋" w:eastAsia="仿宋"/>
          <w:color w:val="000000"/>
          <w:sz w:val="32"/>
          <w:szCs w:val="32"/>
          <w:highlight w:val="none"/>
        </w:rPr>
        <w:t xml:space="preserve">万元。</w:t>
      </w:r>
      <w:r>
        <w:rPr>
          <w:rFonts w:hint="eastAsia" w:ascii="仿宋" w:hAnsi="仿宋" w:eastAsia="仿宋"/>
          <w:i/>
          <w:color w:val="000000"/>
          <w:sz w:val="32"/>
          <w:szCs w:val="32"/>
          <w:highlight w:val="none"/>
        </w:rPr>
      </w:r>
      <w:r/>
    </w:p>
    <w:p>
      <w:pPr>
        <w:pStyle w:val="1014"/>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3.根据省财政厅《关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1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highlight w:val="none"/>
          <w:lang w:bidi="ar"/>
        </w:rPr>
      </w:r>
      <w:r/>
    </w:p>
    <w:p>
      <w:pPr>
        <w:pStyle w:val="1014"/>
        <w:ind w:firstLine="640"/>
        <w:jc w:val="left"/>
        <w:spacing w:line="360" w:lineRule="auto"/>
        <w:widowControl/>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1014"/>
        <w:ind w:firstLine="640"/>
        <w:jc w:val="left"/>
        <w:spacing w:line="360" w:lineRule="auto"/>
        <w:widowControl/>
        <w:rPr>
          <w:rFonts w:ascii="仿宋" w:hAnsi="仿宋" w:eastAsia="仿宋"/>
          <w:color w:val="000000"/>
          <w:sz w:val="32"/>
          <w:szCs w:val="32"/>
          <w:highlight w:val="none"/>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w:t>
      </w:r>
      <w:r>
        <w:rPr>
          <w:rFonts w:hint="eastAsia" w:ascii="仿宋" w:hAnsi="仿宋" w:eastAsia="仿宋"/>
          <w:color w:val="000000"/>
          <w:sz w:val="32"/>
          <w:szCs w:val="32"/>
          <w:highlight w:val="none"/>
          <w:lang w:val="zh-TW" w:bidi="ar"/>
        </w:rPr>
        <w:t xml:space="preserve">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color w:val="000000"/>
          <w:sz w:val="32"/>
          <w:szCs w:val="32"/>
          <w:highlight w:val="none"/>
        </w:rPr>
      </w:pPr>
      <w:r/>
      <w:bookmarkStart w:id="25" w:name="_Toc28359085"/>
      <w:r/>
      <w:bookmarkStart w:id="26" w:name="_Toc35393796"/>
      <w:r/>
      <w:bookmarkStart w:id="27" w:name="_Toc28359008"/>
      <w:r/>
      <w:bookmarkStart w:id="28" w:name="_Toc35393627"/>
      <w:r>
        <w:rPr>
          <w:rFonts w:ascii="仿宋" w:hAnsi="仿宋" w:eastAsia="仿宋"/>
          <w:color w:val="000000"/>
          <w:sz w:val="32"/>
          <w:szCs w:val="32"/>
          <w:highlight w:val="none"/>
        </w:rPr>
        <w:t xml:space="preserve">八、对本项目提出询问，请按以下方式联系。</w:t>
      </w:r>
      <w:bookmarkEnd w:id="25"/>
      <w:r/>
      <w:bookmarkEnd w:id="26"/>
      <w:r/>
      <w:bookmarkEnd w:id="27"/>
      <w:r/>
      <w:bookmarkEnd w:id="28"/>
      <w:r>
        <w:rPr>
          <w:rFonts w:ascii="仿宋" w:hAnsi="仿宋" w:eastAsia="仿宋"/>
          <w:color w:val="000000"/>
          <w:sz w:val="32"/>
          <w:szCs w:val="32"/>
          <w:highlight w:val="none"/>
        </w:rPr>
      </w:r>
      <w:r/>
    </w:p>
    <w:p>
      <w:pPr>
        <w:pStyle w:val="1014"/>
        <w:ind w:firstLine="643"/>
        <w:jc w:val="left"/>
        <w:spacing w:line="360" w:lineRule="auto"/>
        <w:widowControl/>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1.采购</w:t>
      </w:r>
      <w:r>
        <w:rPr>
          <w:rFonts w:hint="eastAsia" w:ascii="仿宋" w:hAnsi="仿宋" w:eastAsia="仿宋"/>
          <w:b/>
          <w:color w:val="000000"/>
          <w:sz w:val="32"/>
          <w:szCs w:val="32"/>
          <w:highlight w:val="none"/>
        </w:rPr>
        <w:t xml:space="preserve">人信息</w:t>
      </w:r>
      <w:r>
        <w:rPr>
          <w:rFonts w:ascii="仿宋" w:hAnsi="仿宋" w:eastAsia="仿宋"/>
          <w:b/>
          <w:color w:val="000000"/>
          <w:sz w:val="32"/>
          <w:szCs w:val="32"/>
          <w:highlight w:val="none"/>
        </w:rPr>
      </w:r>
      <w:r/>
    </w:p>
    <w:p>
      <w:pPr>
        <w:pStyle w:val="1014"/>
        <w:ind w:left="-2" w:firstLine="640"/>
        <w:jc w:val="left"/>
        <w:spacing w:line="360" w:lineRule="auto"/>
        <w:rPr>
          <w:rFonts w:hint="eastAsia" w:ascii="仿宋" w:hAnsi="仿宋" w:eastAsia="仿宋"/>
          <w:color w:val="000000"/>
          <w:sz w:val="32"/>
          <w:szCs w:val="32"/>
          <w:highlight w:val="none"/>
        </w:rPr>
      </w:pPr>
      <w:r/>
      <w:bookmarkStart w:id="29" w:name="_Toc28359009"/>
      <w:r/>
      <w:bookmarkStart w:id="30" w:name="_Toc28359086"/>
      <w:r>
        <w:rPr>
          <w:rFonts w:hint="eastAsia" w:ascii="仿宋" w:hAnsi="仿宋" w:eastAsia="仿宋"/>
          <w:color w:val="000000"/>
          <w:sz w:val="32"/>
          <w:szCs w:val="32"/>
          <w:highlight w:val="none"/>
        </w:rPr>
        <w:t xml:space="preserve">名    称：常州市武进中医医院</w:t>
      </w:r>
      <w:r>
        <w:rPr>
          <w:rFonts w:hint="eastAsia" w:ascii="仿宋" w:hAnsi="仿宋" w:eastAsia="仿宋"/>
          <w:color w:val="000000"/>
          <w:sz w:val="32"/>
          <w:szCs w:val="32"/>
          <w:highlight w:val="none"/>
        </w:rPr>
      </w:r>
      <w:r/>
    </w:p>
    <w:p>
      <w:pPr>
        <w:pStyle w:val="1014"/>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址：常州市武进区湖塘镇人民路699号</w:t>
      </w:r>
      <w:r>
        <w:rPr>
          <w:rFonts w:hint="eastAsia" w:ascii="仿宋" w:hAnsi="仿宋" w:eastAsia="仿宋"/>
          <w:color w:val="000000"/>
          <w:sz w:val="32"/>
          <w:szCs w:val="32"/>
          <w:highlight w:val="none"/>
        </w:rPr>
      </w:r>
      <w:r/>
    </w:p>
    <w:p>
      <w:pPr>
        <w:pStyle w:val="1014"/>
        <w:ind w:left="-2" w:firstLine="640"/>
        <w:jc w:val="left"/>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联系方式：</w:t>
      </w:r>
      <w:r>
        <w:rPr>
          <w:rFonts w:hint="eastAsia" w:ascii="仿宋" w:hAnsi="仿宋" w:eastAsia="仿宋"/>
          <w:color w:val="000000"/>
          <w:sz w:val="32"/>
          <w:szCs w:val="32"/>
          <w:highlight w:val="none"/>
          <w:lang w:val="en-US" w:eastAsia="zh-CN"/>
        </w:rPr>
        <w:t xml:space="preserve">王先生 </w:t>
      </w:r>
      <w:r>
        <w:rPr>
          <w:rFonts w:hint="eastAsia" w:ascii="仿宋" w:hAnsi="仿宋" w:eastAsia="仿宋"/>
          <w:color w:val="000000"/>
          <w:sz w:val="32"/>
          <w:szCs w:val="32"/>
          <w:highlight w:val="none"/>
        </w:rPr>
        <w:t xml:space="preserve">0519</w:t>
      </w:r>
      <w:r>
        <w:rPr>
          <w:rFonts w:hint="eastAsia" w:ascii="仿宋" w:hAnsi="仿宋" w:eastAsia="仿宋"/>
          <w:color w:val="000000"/>
          <w:sz w:val="32"/>
          <w:szCs w:val="32"/>
          <w:highlight w:val="none"/>
          <w:lang w:val="en-US" w:eastAsia="zh-CN"/>
        </w:rPr>
        <w:t xml:space="preserve">-</w:t>
      </w:r>
      <w:r>
        <w:rPr>
          <w:rFonts w:hint="eastAsia" w:ascii="仿宋" w:hAnsi="仿宋" w:eastAsia="仿宋"/>
          <w:color w:val="000000"/>
          <w:sz w:val="32"/>
          <w:szCs w:val="32"/>
          <w:highlight w:val="none"/>
        </w:rPr>
        <w:t xml:space="preserve">86582511</w:t>
      </w:r>
      <w:r>
        <w:rPr>
          <w:rFonts w:hint="eastAsia" w:ascii="仿宋" w:hAnsi="仿宋" w:eastAsia="仿宋"/>
          <w:color w:val="000000"/>
          <w:sz w:val="32"/>
          <w:szCs w:val="32"/>
          <w:highlight w:val="none"/>
          <w:u w:val="single"/>
        </w:rPr>
      </w:r>
      <w:r/>
    </w:p>
    <w:p>
      <w:pPr>
        <w:pStyle w:val="1014"/>
        <w:ind w:left="-2" w:firstLine="643"/>
        <w:jc w:val="left"/>
        <w:spacing w:line="360" w:lineRule="auto"/>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2.采购代理机构信息</w:t>
      </w:r>
      <w:bookmarkEnd w:id="29"/>
      <w:r/>
      <w:bookmarkEnd w:id="30"/>
      <w:r>
        <w:rPr>
          <w:rFonts w:hint="eastAsia" w:ascii="仿宋" w:hAnsi="仿宋" w:eastAsia="仿宋"/>
          <w:b/>
          <w:color w:val="000000"/>
          <w:sz w:val="32"/>
          <w:szCs w:val="32"/>
          <w:highlight w:val="none"/>
        </w:rPr>
      </w:r>
      <w:r/>
    </w:p>
    <w:p>
      <w:pPr>
        <w:pStyle w:val="1014"/>
        <w:ind w:firstLine="640"/>
        <w:jc w:val="left"/>
        <w:spacing w:line="360" w:lineRule="auto"/>
        <w:rPr>
          <w:rFonts w:hint="eastAsia" w:ascii="仿宋" w:hAnsi="仿宋" w:eastAsia="仿宋"/>
          <w:color w:val="000000"/>
          <w:sz w:val="32"/>
          <w:szCs w:val="32"/>
          <w:highlight w:val="none"/>
        </w:rPr>
      </w:pPr>
      <w:r/>
      <w:bookmarkStart w:id="31" w:name="_Toc28359010"/>
      <w:r/>
      <w:bookmarkStart w:id="32"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1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w:t>
      </w:r>
      <w:r>
        <w:rPr>
          <w:rFonts w:hint="eastAsia" w:ascii="仿宋" w:hAnsi="仿宋" w:eastAsia="仿宋"/>
          <w:color w:val="000000"/>
          <w:sz w:val="32"/>
          <w:szCs w:val="32"/>
          <w:highlight w:val="none"/>
        </w:rPr>
        <w:t xml:space="preserve">中路396号中创大厦4楼</w:t>
      </w:r>
      <w:r>
        <w:rPr>
          <w:rFonts w:hint="eastAsia" w:ascii="仿宋" w:hAnsi="仿宋" w:eastAsia="仿宋"/>
          <w:color w:val="000000"/>
          <w:sz w:val="32"/>
          <w:szCs w:val="32"/>
          <w:highlight w:val="none"/>
        </w:rPr>
      </w:r>
      <w:r/>
    </w:p>
    <w:p>
      <w:pPr>
        <w:pStyle w:val="1014"/>
        <w:ind w:firstLine="640"/>
        <w:jc w:val="left"/>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联系方式：0519-81580101</w:t>
      </w:r>
      <w:r>
        <w:rPr>
          <w:rFonts w:hint="eastAsia" w:ascii="仿宋" w:hAnsi="仿宋" w:eastAsia="仿宋"/>
          <w:color w:val="000000"/>
          <w:sz w:val="32"/>
          <w:szCs w:val="32"/>
          <w:highlight w:val="none"/>
          <w:u w:val="single"/>
        </w:rPr>
      </w:r>
      <w:r/>
    </w:p>
    <w:p>
      <w:pPr>
        <w:pStyle w:val="1014"/>
        <w:ind w:left="-2" w:firstLine="643"/>
        <w:spacing w:line="360" w:lineRule="auto"/>
        <w:rPr>
          <w:rFonts w:hint="eastAsia" w:ascii="仿宋" w:hAnsi="仿宋" w:eastAsia="仿宋"/>
          <w:b/>
          <w:color w:val="000000"/>
          <w:sz w:val="32"/>
          <w:szCs w:val="32"/>
          <w:highlight w:val="none"/>
          <w:u w:val="single"/>
        </w:rPr>
      </w:pPr>
      <w:r>
        <w:rPr>
          <w:rFonts w:hint="eastAsia" w:ascii="仿宋" w:hAnsi="仿宋" w:eastAsia="仿宋"/>
          <w:b/>
          <w:color w:val="000000"/>
          <w:sz w:val="32"/>
          <w:szCs w:val="32"/>
          <w:highlight w:val="none"/>
        </w:rPr>
        <w:t xml:space="preserve">3.项目联系方式</w:t>
      </w:r>
      <w:bookmarkEnd w:id="31"/>
      <w:r/>
      <w:bookmarkEnd w:id="32"/>
      <w:r>
        <w:rPr>
          <w:rFonts w:hint="eastAsia" w:ascii="仿宋" w:hAnsi="仿宋" w:eastAsia="仿宋"/>
          <w:b/>
          <w:color w:val="000000"/>
          <w:sz w:val="32"/>
          <w:szCs w:val="32"/>
          <w:highlight w:val="none"/>
          <w:u w:val="single"/>
        </w:rPr>
      </w:r>
      <w:r/>
    </w:p>
    <w:p>
      <w:pPr>
        <w:pStyle w:val="1053"/>
        <w:ind w:left="-2" w:firstLine="640"/>
        <w:spacing w:line="360" w:lineRule="auto"/>
        <w:rPr>
          <w:rFonts w:hint="eastAsia" w:ascii="仿宋" w:hAnsi="仿宋" w:eastAsia="仿宋"/>
          <w:color w:val="000000"/>
          <w:sz w:val="32"/>
          <w:szCs w:val="32"/>
          <w:highlight w:val="none"/>
          <w:lang w:val="en-US" w:eastAsia="zh-CN"/>
        </w:rPr>
      </w:pPr>
      <w:r>
        <w:rPr>
          <w:rFonts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53"/>
        <w:ind w:left="-2"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14"/>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14"/>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本公示信息已征得相关当事人同意后</w:t>
      </w:r>
      <w:r>
        <w:rPr>
          <w:rFonts w:hint="eastAsia" w:ascii="仿宋" w:hAnsi="仿宋" w:eastAsia="仿宋"/>
          <w:color w:val="000000"/>
          <w:sz w:val="32"/>
          <w:szCs w:val="32"/>
          <w:highlight w:val="none"/>
        </w:rPr>
        <w:t xml:space="preserve">发布。</w:t>
      </w:r>
      <w:r>
        <w:rPr>
          <w:rFonts w:hint="eastAsia" w:ascii="仿宋" w:hAnsi="仿宋" w:eastAsia="仿宋"/>
          <w:color w:val="000000"/>
          <w:sz w:val="32"/>
          <w:szCs w:val="32"/>
          <w:highlight w:val="none"/>
        </w:rPr>
      </w:r>
      <w:r/>
    </w:p>
    <w:p>
      <w:pPr>
        <w:pStyle w:val="1014"/>
        <w:jc w:val="left"/>
        <w:spacing w:line="360" w:lineRule="auto"/>
        <w:widowControl/>
        <w:rPr>
          <w:color w:val="000000"/>
          <w:sz w:val="24"/>
          <w:highlight w:val="none"/>
        </w:rPr>
      </w:pPr>
      <w:r>
        <w:rPr>
          <w:color w:val="000000"/>
          <w:sz w:val="24"/>
          <w:highlight w:val="none"/>
        </w:rPr>
      </w:r>
      <w:r/>
    </w:p>
    <w:p>
      <w:pPr>
        <w:pStyle w:val="1014"/>
        <w:jc w:val="center"/>
        <w:spacing w:line="360" w:lineRule="auto"/>
        <w:rPr>
          <w:b/>
          <w:color w:val="000000"/>
          <w:sz w:val="32"/>
          <w:szCs w:val="32"/>
          <w:highlight w:val="none"/>
        </w:rPr>
        <w:outlineLvl w:val="0"/>
      </w:pPr>
      <w:r>
        <w:rPr>
          <w:color w:val="000000"/>
          <w:sz w:val="24"/>
          <w:highlight w:val="none"/>
        </w:rPr>
        <w:br w:type="page" w:clear="all"/>
      </w:r>
      <w:bookmarkStart w:id="33" w:name="_Toc305158854"/>
      <w:r/>
      <w:bookmarkStart w:id="34" w:name="_Toc127161488"/>
      <w:r/>
      <w:bookmarkStart w:id="35" w:name="_Toc104818926"/>
      <w:r/>
      <w:bookmarkStart w:id="36" w:name="_Toc264969275"/>
      <w:r/>
      <w:bookmarkStart w:id="37" w:name="_Toc305158928"/>
      <w:r/>
      <w:bookmarkStart w:id="38" w:name="_Toc150774783"/>
      <w:r/>
      <w:bookmarkStart w:id="39" w:name="_Toc353825548"/>
      <w:r/>
      <w:bookmarkStart w:id="40" w:name="_Toc195842950"/>
      <w:r/>
      <w:bookmarkStart w:id="41" w:name="_Toc265228423"/>
      <w:r/>
      <w:bookmarkStart w:id="42" w:name="_Toc127151777"/>
      <w:r/>
      <w:bookmarkStart w:id="43" w:name="_Toc512937850"/>
      <w:r/>
      <w:bookmarkStart w:id="44" w:name="_Toc226965856"/>
      <w:r/>
      <w:bookmarkStart w:id="45" w:name="_Toc35387393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1016"/>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226965709"/>
      <w:r/>
      <w:bookmarkStart w:id="47" w:name="_Toc164608633"/>
      <w:r/>
      <w:bookmarkStart w:id="48" w:name="_Toc151190146"/>
      <w:r/>
      <w:bookmarkStart w:id="49" w:name="_Toc127151519"/>
      <w:r/>
      <w:bookmarkStart w:id="50" w:name="_Toc149720812"/>
      <w:r/>
      <w:bookmarkStart w:id="51" w:name="_Toc142311021"/>
      <w:r/>
      <w:bookmarkStart w:id="52" w:name="_Toc164351613"/>
      <w:r/>
      <w:bookmarkStart w:id="53" w:name="_Toc151193689"/>
      <w:r/>
      <w:bookmarkStart w:id="54" w:name="_Toc164608788"/>
      <w:r/>
      <w:bookmarkStart w:id="55" w:name="_Toc150509270"/>
      <w:r/>
      <w:bookmarkStart w:id="56" w:name="_Toc151193833"/>
      <w:r/>
      <w:bookmarkStart w:id="57" w:name="_Toc150774619"/>
      <w:r/>
      <w:bookmarkStart w:id="58" w:name="_Toc520356144"/>
      <w:r/>
      <w:bookmarkStart w:id="59" w:name="_Toc127151720"/>
      <w:r/>
      <w:bookmarkStart w:id="60" w:name="_Toc226337215"/>
      <w:r/>
      <w:bookmarkStart w:id="61" w:name="_Toc150774724"/>
      <w:r/>
      <w:bookmarkStart w:id="62" w:name="_Toc164229360"/>
      <w:r/>
      <w:bookmarkStart w:id="63" w:name="_Toc150480757"/>
      <w:r/>
      <w:bookmarkStart w:id="64" w:name="_Toc151193907"/>
      <w:r/>
      <w:bookmarkStart w:id="65" w:name="_Toc164229214"/>
      <w:r/>
      <w:bookmarkStart w:id="66" w:name="_Toc151193617"/>
      <w:r/>
      <w:bookmarkStart w:id="67" w:name="_Toc151193761"/>
      <w:r/>
      <w:bookmarkStart w:id="68" w:name="_Toc127161433"/>
      <w:r/>
      <w:bookmarkStart w:id="69" w:name="_Toc195842884"/>
      <w:r/>
      <w:bookmarkStart w:id="70" w:name="_Toc226965792"/>
      <w:r/>
      <w:bookmarkStart w:id="71" w:name="_Toc226309763"/>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014"/>
        <w:jc w:val="center"/>
        <w:rPr>
          <w:b/>
          <w:color w:val="000000"/>
          <w:sz w:val="28"/>
          <w:szCs w:val="28"/>
          <w:highlight w:val="none"/>
        </w:rPr>
      </w:pPr>
      <w:r>
        <w:rPr>
          <w:b/>
          <w:color w:val="000000"/>
          <w:sz w:val="28"/>
          <w:szCs w:val="28"/>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1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253" w:type="dxa"/>
            <w:vAlign w:val="center"/>
            <w:textDirection w:val="lrTb"/>
            <w:noWrap w:val="false"/>
          </w:tcPr>
          <w:p>
            <w:pPr>
              <w:pStyle w:val="101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1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05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磋商前答疑会</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1125"/>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4.2.5</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w:t>
            </w:r>
            <w:r>
              <w:rPr>
                <w:rFonts w:hint="eastAsia" w:ascii="宋体" w:hAnsi="宋体" w:cs="宋体"/>
                <w:color w:val="000000"/>
                <w:sz w:val="24"/>
                <w:highlight w:val="none"/>
              </w:rPr>
              <w:t xml:space="preserve">企业划分标准所属行业：其他未列明行业。</w:t>
            </w:r>
            <w:r>
              <w:rPr>
                <w:rFonts w:hint="eastAsia" w:ascii="宋体" w:hAnsi="宋体" w:cs="宋体"/>
                <w:color w:val="000000"/>
                <w:sz w:val="24"/>
                <w:highlight w:val="none"/>
              </w:rPr>
            </w:r>
            <w:r/>
          </w:p>
        </w:tc>
      </w:tr>
      <w:tr>
        <w:trPr>
          <w:trHeight w:val="1535"/>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4.9</w:t>
            </w:r>
            <w:r>
              <w:rPr>
                <w:rFonts w:hAnsi="宋体" w:cs="宋体"/>
                <w:color w:val="000000"/>
                <w:sz w:val="24"/>
                <w:szCs w:val="24"/>
                <w:highlight w:val="none"/>
              </w:rPr>
            </w:r>
            <w:r/>
          </w:p>
        </w:tc>
        <w:tc>
          <w:tcPr>
            <w:tcW w:w="1701" w:type="dxa"/>
            <w:vAlign w:val="center"/>
            <w:textDirection w:val="lrTb"/>
            <w:noWrap w:val="false"/>
          </w:tcPr>
          <w:p>
            <w:pPr>
              <w:pStyle w:val="1014"/>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1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16"/>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10.2</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w:t>
            </w:r>
            <w:r>
              <w:rPr>
                <w:rFonts w:hint="eastAsia" w:ascii="宋体" w:hAnsi="宋体" w:cs="宋体"/>
                <w:color w:val="000000"/>
                <w:sz w:val="24"/>
                <w:highlight w:val="none"/>
              </w:rPr>
              <w:t xml:space="preserve">结束后，磋商小组应当要求所有实质性响应的供应商在规定时间内提交最后报价，最后报价作为评分依据。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11.1</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磋商保证金</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12.1</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自提交响应文件的截止之日起算60日历天。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23.5</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 </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24.1.1</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询问送达形式：供应商对竞争性磋商文件如有疑问，请将疑问于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24.3</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w:t>
            </w:r>
            <w:r>
              <w:rPr>
                <w:rFonts w:hint="eastAsia" w:ascii="宋体" w:hAnsi="宋体" w:cs="宋体"/>
                <w:color w:val="000000"/>
                <w:sz w:val="24"/>
                <w:highlight w:val="none"/>
              </w:rPr>
              <w:t xml:space="preserve">术部；</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25</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（1）收费对象：</w:t>
            </w:r>
            <w:r>
              <w:rPr>
                <w:rFonts w:hint="eastAsia" w:ascii="宋体" w:hAnsi="宋体" w:cs="宋体"/>
                <w:b/>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成交供应商收取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r>
            <w:r/>
          </w:p>
          <w:p>
            <w:pPr>
              <w:pStyle w:val="101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（2）收费标准：</w:t>
            </w:r>
            <w:r>
              <w:rPr>
                <w:rFonts w:hint="eastAsia" w:ascii="宋体" w:hAnsi="宋体" w:cs="宋体"/>
                <w:b/>
                <w:color w:val="000000"/>
                <w:sz w:val="24"/>
                <w:highlight w:val="none"/>
              </w:rPr>
            </w:r>
            <w:r/>
          </w:p>
          <w:p>
            <w:pPr>
              <w:pStyle w:val="1014"/>
              <w:ind w:firstLine="480"/>
              <w:jc w:val="left"/>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成交供应商</w:t>
            </w:r>
            <w:r>
              <w:rPr>
                <w:rFonts w:hint="eastAsia" w:ascii="宋体" w:hAnsi="宋体" w:cs="宋体"/>
                <w:color w:val="000000"/>
                <w:sz w:val="24"/>
                <w:highlight w:val="none"/>
                <w:lang w:bidi="ar"/>
              </w:rPr>
              <w:t xml:space="preserve">须按其</w:t>
            </w:r>
            <w:r>
              <w:rPr>
                <w:rFonts w:hint="eastAsia" w:ascii="宋体" w:hAnsi="宋体" w:cs="宋体"/>
                <w:color w:val="000000"/>
                <w:sz w:val="24"/>
                <w:highlight w:val="none"/>
                <w:lang w:val="en-US" w:eastAsia="zh-CN" w:bidi="ar"/>
              </w:rPr>
              <w:t xml:space="preserve">成交</w:t>
            </w:r>
            <w:r>
              <w:rPr>
                <w:rFonts w:hint="eastAsia" w:ascii="宋体" w:hAnsi="宋体" w:cs="宋体"/>
                <w:color w:val="000000"/>
                <w:sz w:val="24"/>
                <w:highlight w:val="none"/>
                <w:lang w:bidi="ar"/>
              </w:rPr>
              <w:t xml:space="preserve">金额的0.8%计算并支付</w:t>
            </w:r>
            <w:r>
              <w:rPr>
                <w:rFonts w:hint="eastAsia" w:ascii="宋体" w:hAnsi="宋体" w:cs="宋体"/>
                <w:color w:val="000000"/>
                <w:sz w:val="24"/>
                <w:highlight w:val="none"/>
                <w:lang w:val="en-US" w:eastAsia="zh-CN" w:bidi="ar"/>
              </w:rPr>
              <w:t xml:space="preserve">成交</w:t>
            </w:r>
            <w:r>
              <w:rPr>
                <w:rFonts w:hint="eastAsia" w:ascii="宋体" w:hAnsi="宋体" w:cs="宋体"/>
                <w:color w:val="000000"/>
                <w:sz w:val="24"/>
                <w:highlight w:val="none"/>
                <w:lang w:bidi="ar"/>
              </w:rPr>
              <w:t xml:space="preserve">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成交供应商应在领取成交通知书时将</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年代理费支付至常州市城投建设工程招标有限公司账户。</w:t>
            </w:r>
            <w:r>
              <w:rPr>
                <w:rFonts w:hint="eastAsia" w:ascii="宋体" w:hAnsi="宋体" w:cs="宋体"/>
                <w:color w:val="000000"/>
                <w:sz w:val="24"/>
                <w:highlight w:val="none"/>
              </w:rPr>
            </w:r>
            <w:r/>
          </w:p>
          <w:p>
            <w:pPr>
              <w:pStyle w:val="101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1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1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highlight w:val="none"/>
              </w:rPr>
            </w:pPr>
            <w:r>
              <w:rPr>
                <w:rFonts w:hAnsi="宋体" w:cs="宋体"/>
                <w:color w:val="000000"/>
                <w:sz w:val="24"/>
                <w:szCs w:val="24"/>
                <w:highlight w:val="none"/>
              </w:rPr>
              <w:t xml:space="preserve">2</w:t>
            </w:r>
            <w:r>
              <w:rPr>
                <w:rFonts w:hAnsi="宋体" w:cs="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ascii="宋体" w:hAnsi="宋体" w:cs="宋体"/>
                <w:color w:val="000000"/>
                <w:sz w:val="24"/>
                <w:highlight w:val="none"/>
              </w:rPr>
              <w:t xml:space="preserve">纸质中标</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文件</w:t>
            </w:r>
            <w:r>
              <w:rPr>
                <w:rFonts w:hint="eastAsia" w:ascii="宋体" w:hAnsi="宋体" w:cs="宋体"/>
                <w:color w:val="000000"/>
                <w:sz w:val="24"/>
                <w:highlight w:val="none"/>
              </w:rPr>
            </w:r>
            <w:r/>
          </w:p>
        </w:tc>
        <w:tc>
          <w:tcPr>
            <w:tcW w:w="7253" w:type="dxa"/>
            <w:vAlign w:val="center"/>
            <w:textDirection w:val="lrTb"/>
            <w:noWrap w:val="false"/>
          </w:tcPr>
          <w:p>
            <w:pPr>
              <w:pStyle w:val="1014"/>
              <w:ind w:firstLine="36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sz w:val="24"/>
                <w:highlight w:val="none"/>
              </w:rPr>
              <w:t xml:space="preserve">建设工程招标有限公司</w:t>
            </w:r>
            <w:r>
              <w:rPr>
                <w:rFonts w:hint="eastAsia" w:ascii="宋体" w:hAnsi="宋体" w:cs="宋体"/>
                <w:b/>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14"/>
        <w:jc w:val="both"/>
        <w:spacing w:line="360" w:lineRule="auto"/>
        <w:tabs>
          <w:tab w:val="left" w:pos="5580" w:leader="none"/>
        </w:tabs>
        <w:rPr>
          <w:rFonts w:hint="eastAsia" w:ascii="宋体" w:hAnsi="宋体" w:cs="宋体"/>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24"/>
          <w:highlight w:val="none"/>
        </w:rPr>
      </w:r>
      <w:r/>
    </w:p>
    <w:p>
      <w:pPr>
        <w:pStyle w:val="1014"/>
        <w:jc w:val="center"/>
        <w:spacing w:before="240" w:after="240"/>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供应商须知</w:t>
      </w:r>
      <w:r>
        <w:rPr>
          <w:rFonts w:hint="eastAsia" w:ascii="宋体" w:hAnsi="宋体" w:cs="宋体"/>
          <w:b/>
          <w:color w:val="000000"/>
          <w:sz w:val="28"/>
          <w:szCs w:val="28"/>
          <w:highlight w:val="none"/>
        </w:rPr>
      </w:r>
      <w:r/>
    </w:p>
    <w:p>
      <w:pPr>
        <w:pStyle w:val="101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72" w:name="_Toc520356143"/>
      <w:r/>
      <w:bookmarkStart w:id="73" w:name="_Toc127151518"/>
      <w:r>
        <w:rPr>
          <w:rFonts w:hint="eastAsia" w:ascii="宋体" w:hAnsi="宋体" w:eastAsia="宋体" w:cs="宋体"/>
          <w:color w:val="000000"/>
          <w:sz w:val="28"/>
          <w:highlight w:val="none"/>
        </w:rPr>
        <w:tab/>
      </w:r>
      <w:bookmarkStart w:id="74" w:name="_Toc151193616"/>
      <w:r/>
      <w:bookmarkStart w:id="75" w:name="_Toc151190145"/>
      <w:r/>
      <w:bookmarkStart w:id="76" w:name="_Toc264969208"/>
      <w:r/>
      <w:bookmarkStart w:id="77" w:name="_Toc150480756"/>
      <w:r/>
      <w:bookmarkStart w:id="78" w:name="_Toc305158860"/>
      <w:r/>
      <w:bookmarkStart w:id="79" w:name="_Toc142311020"/>
      <w:r/>
      <w:bookmarkStart w:id="80" w:name="_Toc226965708"/>
      <w:r/>
      <w:bookmarkStart w:id="81" w:name="_Toc150774618"/>
      <w:r/>
      <w:bookmarkStart w:id="82" w:name="_Toc195842883"/>
      <w:r/>
      <w:bookmarkStart w:id="83" w:name="_Toc151193760"/>
      <w:r/>
      <w:bookmarkStart w:id="84" w:name="_Toc151193832"/>
      <w:r/>
      <w:bookmarkStart w:id="85" w:name="_Toc151193688"/>
      <w:r/>
      <w:bookmarkStart w:id="86" w:name="_Toc150509269"/>
      <w:r/>
      <w:bookmarkStart w:id="87" w:name="_Toc151193906"/>
      <w:r/>
      <w:bookmarkStart w:id="88" w:name="_Toc265228356"/>
      <w:r/>
      <w:bookmarkStart w:id="89" w:name="_Toc226337214"/>
      <w:r/>
      <w:bookmarkStart w:id="90" w:name="_Toc226309762"/>
      <w:r/>
      <w:bookmarkStart w:id="91" w:name="_Toc305158786"/>
      <w:r/>
      <w:bookmarkStart w:id="92" w:name="_Toc226965791"/>
      <w:r/>
      <w:bookmarkStart w:id="93" w:name="_Toc150774723"/>
      <w:r>
        <w:rPr>
          <w:rFonts w:hint="eastAsia" w:ascii="宋体" w:hAnsi="宋体" w:eastAsia="宋体" w:cs="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14"/>
        <w:numPr>
          <w:ilvl w:val="0"/>
          <w:numId w:val="8"/>
        </w:numPr>
        <w:ind w:left="0" w:firstLine="482"/>
        <w:spacing w:line="360" w:lineRule="auto"/>
        <w:tabs>
          <w:tab w:val="left" w:pos="0" w:leader="none"/>
        </w:tabs>
        <w:rPr>
          <w:rFonts w:hint="eastAsia" w:ascii="宋体" w:hAnsi="宋体" w:cs="宋体"/>
          <w:b/>
          <w:color w:val="000000"/>
          <w:sz w:val="24"/>
          <w:highlight w:val="none"/>
        </w:rPr>
        <w:outlineLvl w:val="1"/>
      </w:pPr>
      <w:r/>
      <w:bookmarkStart w:id="94" w:name="_Toc305158861"/>
      <w:r/>
      <w:bookmarkStart w:id="95" w:name="_Toc265228357"/>
      <w:r/>
      <w:bookmarkStart w:id="96" w:name="_Toc305158787"/>
      <w:r/>
      <w:bookmarkStart w:id="97" w:name="_Toc264969209"/>
      <w:r>
        <w:rPr>
          <w:rFonts w:hint="eastAsia" w:ascii="宋体" w:hAnsi="宋体" w:cs="宋体"/>
          <w:b/>
          <w:color w:val="000000"/>
          <w:sz w:val="24"/>
          <w:highlight w:val="none"/>
        </w:rPr>
        <w:t xml:space="preserve">采购人、采购代理机构、供应商</w:t>
      </w:r>
      <w:bookmarkEnd w:id="94"/>
      <w:r/>
      <w:bookmarkEnd w:id="95"/>
      <w:r/>
      <w:bookmarkEnd w:id="96"/>
      <w:r/>
      <w:bookmarkEnd w:id="97"/>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供应商（也称“申请人”）：指向采购人提供货物、工程或者服务的法人、其他组织或者自然人。</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s>
        <w:rPr>
          <w:rFonts w:hint="eastAsia" w:ascii="宋体" w:hAnsi="宋体" w:cs="宋体"/>
          <w:b/>
          <w:color w:val="000000"/>
          <w:sz w:val="24"/>
          <w:highlight w:val="none"/>
        </w:rPr>
        <w:outlineLvl w:val="1"/>
      </w:pPr>
      <w:r/>
      <w:bookmarkStart w:id="98" w:name="_Toc150774725"/>
      <w:r/>
      <w:bookmarkStart w:id="99" w:name="_Toc151193762"/>
      <w:r/>
      <w:bookmarkStart w:id="100" w:name="_Toc151193690"/>
      <w:r/>
      <w:bookmarkStart w:id="101" w:name="_Toc164229361"/>
      <w:r/>
      <w:bookmarkStart w:id="102" w:name="_Toc164608789"/>
      <w:r/>
      <w:bookmarkStart w:id="103" w:name="_Toc226337216"/>
      <w:r/>
      <w:bookmarkStart w:id="104" w:name="_Toc151190147"/>
      <w:r/>
      <w:bookmarkStart w:id="105" w:name="_Toc151193618"/>
      <w:r/>
      <w:bookmarkStart w:id="106" w:name="_Toc305158788"/>
      <w:r/>
      <w:bookmarkStart w:id="107" w:name="_Toc127151721"/>
      <w:r/>
      <w:bookmarkStart w:id="108" w:name="_Toc149720813"/>
      <w:r/>
      <w:bookmarkStart w:id="109" w:name="_Toc226309764"/>
      <w:r/>
      <w:bookmarkStart w:id="110" w:name="_Toc127151520"/>
      <w:r/>
      <w:bookmarkStart w:id="111" w:name="_Toc127161434"/>
      <w:r/>
      <w:bookmarkStart w:id="112" w:name="_Toc151193834"/>
      <w:r/>
      <w:bookmarkStart w:id="113" w:name="_Toc150774620"/>
      <w:r/>
      <w:bookmarkStart w:id="114" w:name="_Toc264969210"/>
      <w:r/>
      <w:bookmarkStart w:id="115" w:name="_Toc226965710"/>
      <w:r/>
      <w:bookmarkStart w:id="116" w:name="_Toc151193908"/>
      <w:r/>
      <w:bookmarkStart w:id="117" w:name="_Toc195842885"/>
      <w:r/>
      <w:bookmarkStart w:id="118" w:name="_Toc142311022"/>
      <w:r/>
      <w:bookmarkStart w:id="119" w:name="_Toc305158862"/>
      <w:r/>
      <w:bookmarkStart w:id="120" w:name="_Toc164351614"/>
      <w:r/>
      <w:bookmarkStart w:id="121" w:name="_Toc150480758"/>
      <w:r/>
      <w:bookmarkStart w:id="122" w:name="_Toc164229215"/>
      <w:r/>
      <w:bookmarkStart w:id="123" w:name="_Toc226965793"/>
      <w:r/>
      <w:bookmarkStart w:id="124" w:name="_Toc265228358"/>
      <w:r/>
      <w:bookmarkStart w:id="125" w:name="_Toc150509271"/>
      <w:r/>
      <w:bookmarkStart w:id="126" w:name="_Toc164608634"/>
      <w:r>
        <w:rPr>
          <w:rFonts w:hint="eastAsia" w:ascii="宋体" w:hAnsi="宋体" w:cs="宋体"/>
          <w:b/>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color w:val="000000"/>
          <w:sz w:val="24"/>
          <w:highlight w:val="none"/>
        </w:rPr>
        <w:t xml:space="preserve">、项目属性、科研仪器设备采购</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现场考察、磋商前答疑会</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若《供应商须知资料表》中规定了组织现场考察、召开磋商前答疑会，则供应商应按要求在规定的时间和地点参加。</w:t>
      </w:r>
      <w:bookmarkStart w:id="127" w:name="_Toc226965712"/>
      <w:r/>
      <w:bookmarkStart w:id="128" w:name="_Toc150480760"/>
      <w:r/>
      <w:bookmarkStart w:id="129" w:name="_Toc150774727"/>
      <w:r/>
      <w:bookmarkStart w:id="130" w:name="_Toc520356146"/>
      <w:r/>
      <w:bookmarkStart w:id="131" w:name="_Toc150509273"/>
      <w:r/>
      <w:bookmarkStart w:id="132" w:name="_Toc127151522"/>
      <w:r/>
      <w:bookmarkStart w:id="133" w:name="_Toc151193910"/>
      <w:r/>
      <w:bookmarkStart w:id="134" w:name="_Toc264969212"/>
      <w:r/>
      <w:bookmarkStart w:id="135" w:name="_Toc195842887"/>
      <w:r/>
      <w:bookmarkStart w:id="136" w:name="_Toc151190149"/>
      <w:r/>
      <w:bookmarkStart w:id="137" w:name="_Toc226965795"/>
      <w:r/>
      <w:bookmarkStart w:id="138" w:name="_Toc305158790"/>
      <w:r/>
      <w:bookmarkStart w:id="139" w:name="_Toc151193764"/>
      <w:r/>
      <w:bookmarkStart w:id="140" w:name="_Toc226309766"/>
      <w:r/>
      <w:bookmarkStart w:id="141" w:name="_Toc226337218"/>
      <w:r/>
      <w:bookmarkStart w:id="142" w:name="_Toc151193692"/>
      <w:r/>
      <w:bookmarkStart w:id="143" w:name="_Toc142311024"/>
      <w:r/>
      <w:bookmarkStart w:id="144" w:name="_Toc150774622"/>
      <w:r/>
      <w:bookmarkStart w:id="145" w:name="_Toc151193836"/>
      <w:r/>
      <w:bookmarkStart w:id="146" w:name="_Toc151193620"/>
      <w:r/>
      <w:bookmarkStart w:id="147" w:name="_Toc305158864"/>
      <w:r/>
      <w:bookmarkStart w:id="148" w:name="_Toc265228360"/>
      <w:r>
        <w:rPr>
          <w:rFonts w:hint="eastAsia" w:ascii="宋体" w:hAnsi="宋体" w:cs="宋体"/>
          <w:color w:val="000000"/>
          <w:sz w:val="28"/>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政府采购政策（包括但不限于下列具体政策要求）</w:t>
      </w:r>
      <w:r>
        <w:rPr>
          <w:rFonts w:hint="eastAsia" w:ascii="宋体" w:hAnsi="宋体" w:cs="宋体"/>
          <w:b/>
          <w:color w:val="000000"/>
          <w:sz w:val="24"/>
          <w:highlight w:val="none"/>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s>
        <w:rPr>
          <w:rFonts w:ascii="宋体" w:hAnsi="宋体" w:cs="宋体"/>
          <w:color w:val="000000"/>
          <w:sz w:val="24"/>
          <w:highlight w:val="none"/>
        </w:rPr>
      </w:pPr>
      <w:r>
        <w:rPr>
          <w:rFonts w:hint="eastAsia" w:ascii="宋体" w:hAnsi="宋体" w:cs="宋体"/>
          <w:color w:val="000000"/>
          <w:sz w:val="24"/>
          <w:highlight w:val="none"/>
        </w:rPr>
        <w:t xml:space="preserve">中小企业定义：</w:t>
      </w:r>
      <w:r>
        <w:rPr>
          <w:rFonts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w:t>
      </w:r>
      <w:r>
        <w:rPr>
          <w:rFonts w:hint="eastAsia" w:ascii="宋体" w:hAnsi="宋体" w:cs="宋体"/>
          <w:color w:val="000000"/>
          <w:sz w:val="24"/>
          <w:highlight w:val="none"/>
        </w:rPr>
        <w:t xml:space="preserve">银行</w:t>
      </w:r>
      <w:r>
        <w:rPr>
          <w:rFonts w:hint="eastAsia" w:ascii="宋体" w:hAnsi="宋体" w:cs="宋体"/>
          <w:color w:val="000000"/>
          <w:sz w:val="24"/>
          <w:highlight w:val="none"/>
        </w:rPr>
        <w:t xml:space="preserve">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小微企业价格评审优惠的政策调整：见第三章《评审方法和评审标准》。</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w:t>
      </w:r>
      <w:r>
        <w:rPr>
          <w:rFonts w:hint="eastAsia" w:ascii="宋体" w:hAnsi="宋体" w:cs="宋体"/>
          <w:color w:val="000000"/>
          <w:sz w:val="24"/>
          <w:highlight w:val="none"/>
        </w:rPr>
        <w:t xml:space="preserve">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highlight w:val="none"/>
        </w:rPr>
      </w:r>
      <w:r/>
    </w:p>
    <w:p>
      <w:pPr>
        <w:pStyle w:val="1014"/>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1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4.9采购本国产品的支持政策</w:t>
      </w:r>
      <w:r>
        <w:rPr>
          <w:rFonts w:hint="eastAsia" w:ascii="宋体" w:hAnsi="宋体"/>
          <w:b/>
          <w:bCs/>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14"/>
        <w:numPr>
          <w:ilvl w:val="0"/>
          <w:numId w:val="8"/>
        </w:numPr>
        <w:ind w:hanging="333"/>
        <w:spacing w:line="360" w:lineRule="auto"/>
        <w:tabs>
          <w:tab w:val="left" w:pos="0" w:leader="none"/>
          <w:tab w:val="left" w:pos="567" w:leader="none"/>
          <w:tab w:val="left" w:pos="900" w:leader="none"/>
        </w:tabs>
        <w:rPr>
          <w:rFonts w:hint="eastAsia" w:ascii="宋体" w:hAnsi="宋体" w:cs="宋体"/>
          <w:b/>
          <w:color w:val="000000"/>
          <w:sz w:val="24"/>
          <w:highlight w:val="none"/>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0480761"/>
      <w:r/>
      <w:bookmarkStart w:id="151" w:name="_Toc164229364"/>
      <w:r/>
      <w:bookmarkStart w:id="152" w:name="_Toc127161437"/>
      <w:r/>
      <w:bookmarkStart w:id="153" w:name="_Toc151193911"/>
      <w:r/>
      <w:bookmarkStart w:id="154" w:name="_Toc150774728"/>
      <w:r/>
      <w:bookmarkStart w:id="155" w:name="_Toc151193621"/>
      <w:r/>
      <w:bookmarkStart w:id="156" w:name="_Toc305158791"/>
      <w:r/>
      <w:bookmarkStart w:id="157" w:name="_Toc226965713"/>
      <w:r/>
      <w:bookmarkStart w:id="158" w:name="_Toc142311025"/>
      <w:r/>
      <w:bookmarkStart w:id="159" w:name="_Toc164229218"/>
      <w:r/>
      <w:bookmarkStart w:id="160" w:name="_Toc226309767"/>
      <w:r/>
      <w:bookmarkStart w:id="161" w:name="_Toc164608792"/>
      <w:r/>
      <w:bookmarkStart w:id="162" w:name="_Toc226337219"/>
      <w:r/>
      <w:bookmarkStart w:id="163" w:name="_Toc149720816"/>
      <w:r/>
      <w:bookmarkStart w:id="164" w:name="_Toc520356147"/>
      <w:r/>
      <w:bookmarkStart w:id="165" w:name="_Toc305158865"/>
      <w:r/>
      <w:bookmarkStart w:id="166" w:name="_Toc151193837"/>
      <w:r/>
      <w:bookmarkStart w:id="167" w:name="_Toc127151523"/>
      <w:r/>
      <w:bookmarkStart w:id="168" w:name="_Toc150509274"/>
      <w:r/>
      <w:bookmarkStart w:id="169" w:name="_Toc127151724"/>
      <w:r/>
      <w:bookmarkStart w:id="170" w:name="_Toc150774623"/>
      <w:r/>
      <w:bookmarkStart w:id="171" w:name="_Toc226965796"/>
      <w:r/>
      <w:bookmarkStart w:id="172" w:name="_Toc195842888"/>
      <w:r/>
      <w:bookmarkStart w:id="173" w:name="_Toc164608637"/>
      <w:r/>
      <w:bookmarkStart w:id="174" w:name="_Toc151193693"/>
      <w:r/>
      <w:bookmarkStart w:id="175" w:name="_Toc151190150"/>
      <w:r/>
      <w:bookmarkStart w:id="176" w:name="_Toc265228361"/>
      <w:r/>
      <w:bookmarkStart w:id="177" w:name="_Toc151193765"/>
      <w:r/>
      <w:bookmarkStart w:id="178" w:name="_Toc264969213"/>
      <w:r/>
      <w:bookmarkStart w:id="179" w:name="_Toc164351617"/>
      <w:r>
        <w:rPr>
          <w:rFonts w:hint="eastAsia" w:ascii="宋体" w:hAnsi="宋体" w:cs="宋体"/>
          <w:b/>
          <w:color w:val="000000"/>
          <w:sz w:val="24"/>
          <w:highlight w:val="none"/>
        </w:rPr>
        <w:t xml:space="preserve">响应费用</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w:t>
      </w:r>
      <w:r>
        <w:rPr>
          <w:rFonts w:hint="eastAsia" w:ascii="宋体" w:hAnsi="宋体" w:cs="宋体"/>
          <w:color w:val="000000"/>
          <w:sz w:val="24"/>
          <w:highlight w:val="none"/>
        </w:rPr>
        <w:t xml:space="preserve">磋商有关的费用，无论磋商的结果如何，采购人或采购代理机构在任何情况下均无承担这些费用的义务和责任。</w:t>
      </w:r>
      <w:r>
        <w:rPr>
          <w:rFonts w:hint="eastAsia" w:ascii="宋体" w:hAnsi="宋体" w:cs="宋体"/>
          <w:color w:val="000000"/>
          <w:sz w:val="24"/>
          <w:highlight w:val="none"/>
        </w:rPr>
      </w:r>
      <w:r/>
    </w:p>
    <w:p>
      <w:pPr>
        <w:pStyle w:val="1016"/>
        <w:ind w:firstLine="562"/>
        <w:spacing w:before="0" w:line="360" w:lineRule="auto"/>
        <w:tabs>
          <w:tab w:val="left" w:pos="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竞争性磋商文件</w:t>
      </w:r>
      <w:r>
        <w:rPr>
          <w:rFonts w:hint="eastAsia" w:ascii="宋体" w:hAnsi="宋体" w:eastAsia="宋体" w:cs="宋体"/>
          <w:color w:val="000000"/>
          <w:sz w:val="28"/>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竞争性磋商文件包括以下部分：</w:t>
      </w:r>
      <w:r>
        <w:rPr>
          <w:rFonts w:hint="eastAsia" w:ascii="宋体" w:hAnsi="宋体" w:cs="宋体"/>
          <w:color w:val="000000"/>
          <w:sz w:val="24"/>
          <w:highlight w:val="none"/>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采购邀请</w:t>
      </w:r>
      <w:r>
        <w:rPr>
          <w:rFonts w:hint="eastAsia" w:ascii="宋体" w:hAnsi="宋体" w:cs="宋体"/>
          <w:color w:val="000000"/>
          <w:sz w:val="24"/>
          <w:highlight w:val="none"/>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供应商须知</w:t>
      </w:r>
      <w:r>
        <w:rPr>
          <w:rFonts w:hint="eastAsia" w:ascii="宋体" w:hAnsi="宋体" w:cs="宋体"/>
          <w:color w:val="000000"/>
          <w:sz w:val="24"/>
          <w:highlight w:val="none"/>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评审程序、评审方法和评审标准</w:t>
      </w:r>
      <w:r>
        <w:rPr>
          <w:rFonts w:hint="eastAsia" w:ascii="宋体" w:hAnsi="宋体" w:cs="宋体"/>
          <w:color w:val="000000"/>
          <w:sz w:val="24"/>
          <w:highlight w:val="none"/>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合同草案条款</w:t>
      </w:r>
      <w:r>
        <w:rPr>
          <w:rFonts w:hint="eastAsia" w:ascii="宋体" w:hAnsi="宋体" w:cs="宋体"/>
          <w:color w:val="000000"/>
          <w:sz w:val="24"/>
          <w:highlight w:val="none"/>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响应文件格式</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对竞争性磋商文件的澄清或修改</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highlight w:val="none"/>
        </w:rPr>
      </w:r>
      <w:r/>
    </w:p>
    <w:p>
      <w:pPr>
        <w:pStyle w:val="1014"/>
        <w:ind w:firstLine="560"/>
        <w:spacing w:line="360" w:lineRule="auto"/>
        <w:tabs>
          <w:tab w:val="left" w:pos="0" w:leader="none"/>
          <w:tab w:val="left" w:pos="1080" w:leader="none"/>
          <w:tab w:val="left" w:pos="1561" w:leader="none"/>
        </w:tabs>
        <w:rPr>
          <w:rFonts w:hint="eastAsia" w:ascii="宋体" w:hAnsi="宋体" w:cs="宋体"/>
          <w:color w:val="000000"/>
          <w:sz w:val="28"/>
          <w:highlight w:val="none"/>
        </w:rPr>
      </w:pPr>
      <w:r/>
      <w:bookmarkStart w:id="180" w:name="_Toc151193840"/>
      <w:r/>
      <w:bookmarkStart w:id="181" w:name="_Toc150774731"/>
      <w:r/>
      <w:bookmarkStart w:id="182" w:name="_Toc195842891"/>
      <w:r/>
      <w:bookmarkStart w:id="183" w:name="_Toc151193768"/>
      <w:r/>
      <w:bookmarkStart w:id="184" w:name="_Toc226337222"/>
      <w:r/>
      <w:bookmarkStart w:id="185" w:name="_Toc142311028"/>
      <w:r/>
      <w:bookmarkStart w:id="186" w:name="_Toc151193696"/>
      <w:r/>
      <w:bookmarkStart w:id="187" w:name="_Toc265228364"/>
      <w:r/>
      <w:bookmarkStart w:id="188" w:name="_Toc226965716"/>
      <w:r/>
      <w:bookmarkStart w:id="189" w:name="_Toc305158794"/>
      <w:r/>
      <w:bookmarkStart w:id="190" w:name="_Toc150509277"/>
      <w:r/>
      <w:bookmarkStart w:id="191" w:name="_Toc151193624"/>
      <w:r/>
      <w:bookmarkStart w:id="192" w:name="_Toc516367020"/>
      <w:r/>
      <w:bookmarkStart w:id="193" w:name="_Toc151190153"/>
      <w:r/>
      <w:bookmarkStart w:id="194" w:name="_Toc150774626"/>
      <w:r/>
      <w:bookmarkStart w:id="195" w:name="_Toc226965799"/>
      <w:r/>
      <w:bookmarkStart w:id="196" w:name="_Toc226309770"/>
      <w:r/>
      <w:bookmarkStart w:id="197" w:name="_Toc264969216"/>
      <w:r/>
      <w:bookmarkStart w:id="198" w:name="_Toc520356150"/>
      <w:r/>
      <w:bookmarkStart w:id="199" w:name="_Toc151193914"/>
      <w:r/>
      <w:bookmarkStart w:id="200" w:name="_Toc127151526"/>
      <w:r/>
      <w:bookmarkStart w:id="201" w:name="_Toc305158868"/>
      <w:r/>
      <w:bookmarkStart w:id="202" w:name="_Toc150480764"/>
      <w:r>
        <w:rPr>
          <w:rFonts w:hint="eastAsia" w:ascii="宋体" w:hAnsi="宋体" w:cs="宋体"/>
          <w:color w:val="000000"/>
          <w:sz w:val="28"/>
          <w:highlight w:val="none"/>
        </w:rPr>
      </w:r>
      <w:r/>
    </w:p>
    <w:p>
      <w:pPr>
        <w:pStyle w:val="1016"/>
        <w:ind w:firstLine="562"/>
        <w:spacing w:before="0" w:line="360" w:lineRule="auto"/>
        <w:tabs>
          <w:tab w:val="left" w:pos="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响应文件</w:t>
      </w:r>
      <w:bookmarkEnd w:id="192"/>
      <w:r>
        <w:rPr>
          <w:rFonts w:hint="eastAsia" w:ascii="宋体" w:hAnsi="宋体" w:eastAsia="宋体" w:cs="宋体"/>
          <w:color w:val="000000"/>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color w:val="000000"/>
          <w:sz w:val="28"/>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203" w:name="_Toc164608796"/>
      <w:r/>
      <w:bookmarkStart w:id="204" w:name="_Toc150480765"/>
      <w:r/>
      <w:bookmarkStart w:id="205" w:name="_Toc264969217"/>
      <w:r/>
      <w:bookmarkStart w:id="206" w:name="_Toc195842892"/>
      <w:r/>
      <w:bookmarkStart w:id="207" w:name="_Toc520356151"/>
      <w:r/>
      <w:bookmarkStart w:id="208" w:name="_Toc151190154"/>
      <w:r/>
      <w:bookmarkStart w:id="209" w:name="_Toc164351621"/>
      <w:r/>
      <w:bookmarkStart w:id="210" w:name="_Toc151193625"/>
      <w:r/>
      <w:bookmarkStart w:id="211" w:name="_Toc164229368"/>
      <w:r/>
      <w:bookmarkStart w:id="212" w:name="_Toc151193915"/>
      <w:r/>
      <w:bookmarkStart w:id="213" w:name="_Toc265228365"/>
      <w:r/>
      <w:bookmarkStart w:id="214" w:name="_Toc226337223"/>
      <w:r/>
      <w:bookmarkStart w:id="215" w:name="_Toc226309771"/>
      <w:r/>
      <w:bookmarkStart w:id="216" w:name="_Toc226965800"/>
      <w:r/>
      <w:bookmarkStart w:id="217" w:name="_Toc305158795"/>
      <w:r/>
      <w:bookmarkStart w:id="218" w:name="_Toc127161441"/>
      <w:r/>
      <w:bookmarkStart w:id="219" w:name="_Toc164229222"/>
      <w:r/>
      <w:bookmarkStart w:id="220" w:name="_Toc150774732"/>
      <w:r/>
      <w:bookmarkStart w:id="221" w:name="_Toc127151527"/>
      <w:r/>
      <w:bookmarkStart w:id="222" w:name="_Toc164608641"/>
      <w:r/>
      <w:bookmarkStart w:id="223" w:name="_Toc151193841"/>
      <w:r/>
      <w:bookmarkStart w:id="224" w:name="_Toc127151728"/>
      <w:r/>
      <w:bookmarkStart w:id="225" w:name="_Toc151193697"/>
      <w:r/>
      <w:bookmarkStart w:id="226" w:name="_Toc150774627"/>
      <w:r/>
      <w:bookmarkStart w:id="227" w:name="_Toc149720820"/>
      <w:r/>
      <w:bookmarkStart w:id="228" w:name="_Toc142311029"/>
      <w:r/>
      <w:bookmarkStart w:id="229" w:name="_Toc516367021"/>
      <w:r/>
      <w:bookmarkStart w:id="230" w:name="_Toc151193769"/>
      <w:r/>
      <w:bookmarkStart w:id="231" w:name="_Toc150509278"/>
      <w:r/>
      <w:bookmarkStart w:id="232" w:name="_Toc226965717"/>
      <w:r/>
      <w:bookmarkStart w:id="233" w:name="_Toc305158869"/>
      <w:r>
        <w:rPr>
          <w:rFonts w:hint="eastAsia" w:ascii="宋体" w:hAnsi="宋体" w:cs="宋体"/>
          <w:b/>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color w:val="000000"/>
          <w:sz w:val="24"/>
          <w:highlight w:val="none"/>
        </w:rPr>
        <w:t xml:space="preserve">及磋商语言</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234" w:name="_Toc151193842"/>
      <w:r/>
      <w:bookmarkStart w:id="235" w:name="_Toc226965718"/>
      <w:r/>
      <w:bookmarkStart w:id="236" w:name="_Toc164229369"/>
      <w:r/>
      <w:bookmarkStart w:id="237" w:name="_Toc151193916"/>
      <w:r/>
      <w:bookmarkStart w:id="238" w:name="_Toc164351622"/>
      <w:r/>
      <w:bookmarkStart w:id="239" w:name="_Toc164608642"/>
      <w:r/>
      <w:bookmarkStart w:id="240" w:name="_Toc150509279"/>
      <w:r/>
      <w:bookmarkStart w:id="241" w:name="_Toc195842893"/>
      <w:r/>
      <w:bookmarkStart w:id="242" w:name="_Toc127151729"/>
      <w:r/>
      <w:bookmarkStart w:id="243" w:name="_Toc226337224"/>
      <w:r/>
      <w:bookmarkStart w:id="244" w:name="_Toc265228366"/>
      <w:r/>
      <w:bookmarkStart w:id="245" w:name="_Toc305158796"/>
      <w:r/>
      <w:bookmarkStart w:id="246" w:name="_Toc151193698"/>
      <w:r/>
      <w:bookmarkStart w:id="247" w:name="_Ref467306195"/>
      <w:r/>
      <w:bookmarkStart w:id="248" w:name="_Toc516367022"/>
      <w:r/>
      <w:bookmarkStart w:id="249" w:name="_Toc149720821"/>
      <w:r/>
      <w:bookmarkStart w:id="250" w:name="_Ref467306676"/>
      <w:r/>
      <w:bookmarkStart w:id="251" w:name="_Toc151193770"/>
      <w:r/>
      <w:bookmarkStart w:id="252" w:name="_Toc150774733"/>
      <w:r/>
      <w:bookmarkStart w:id="253" w:name="_Toc520356152"/>
      <w:r/>
      <w:bookmarkStart w:id="254" w:name="_Toc226965801"/>
      <w:r/>
      <w:bookmarkStart w:id="255" w:name="_Toc150774628"/>
      <w:r/>
      <w:bookmarkStart w:id="256" w:name="_Toc151193626"/>
      <w:r/>
      <w:bookmarkStart w:id="257" w:name="_Toc127151528"/>
      <w:r/>
      <w:bookmarkStart w:id="258" w:name="_Toc226309772"/>
      <w:r/>
      <w:bookmarkStart w:id="259" w:name="_Toc127161442"/>
      <w:r/>
      <w:bookmarkStart w:id="260" w:name="_Toc164229223"/>
      <w:r/>
      <w:bookmarkStart w:id="261" w:name="_Toc264969218"/>
      <w:r/>
      <w:bookmarkStart w:id="262" w:name="_Toc150480766"/>
      <w:r/>
      <w:bookmarkStart w:id="263" w:name="_Toc305158870"/>
      <w:r/>
      <w:bookmarkStart w:id="264" w:name="_Toc164608797"/>
      <w:r/>
      <w:bookmarkStart w:id="265" w:name="_Toc142311030"/>
      <w:r/>
      <w:bookmarkStart w:id="266" w:name="_Toc151190155"/>
      <w:r>
        <w:rPr>
          <w:rFonts w:hint="eastAsia" w:ascii="宋体" w:hAnsi="宋体" w:cs="宋体"/>
          <w:b/>
          <w:color w:val="000000"/>
          <w:sz w:val="24"/>
          <w:highlight w:val="none"/>
        </w:rPr>
        <w:t xml:space="preserve">响应文件</w:t>
      </w:r>
      <w:bookmarkEnd w:id="247"/>
      <w:r/>
      <w:bookmarkEnd w:id="248"/>
      <w:r/>
      <w:bookmarkEnd w:id="250"/>
      <w:r>
        <w:rPr>
          <w:rFonts w:hint="eastAsia" w:ascii="宋体" w:hAnsi="宋体" w:cs="宋体"/>
          <w:b/>
          <w:color w:val="000000"/>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bookmarkStart w:id="267" w:name="_Ref467052588"/>
      <w:r>
        <w:rPr>
          <w:rFonts w:hint="eastAsia" w:ascii="宋体" w:hAnsi="宋体" w:cs="宋体"/>
          <w:color w:val="000000"/>
          <w:sz w:val="24"/>
          <w:highlight w:val="none"/>
        </w:rPr>
        <w:t xml:space="preserve">供应商应当按照竞争性磋商文件的要求编制响应文件，</w:t>
      </w:r>
      <w:r>
        <w:rPr>
          <w:rFonts w:hint="eastAsia" w:ascii="宋体" w:hAnsi="宋体" w:cs="宋体"/>
          <w:color w:val="000000"/>
          <w:sz w:val="24"/>
          <w:highlight w:val="none"/>
        </w:rPr>
        <w:t xml:space="preserve">并对其提交的响应文件的真实性、合法性承担法律责任</w:t>
      </w:r>
      <w:r>
        <w:rPr>
          <w:rFonts w:hint="eastAsia" w:ascii="宋体" w:hAnsi="宋体" w:cs="宋体"/>
          <w:color w:val="000000"/>
          <w:sz w:val="24"/>
          <w:highlight w:val="none"/>
        </w:rPr>
        <w:t xml:space="preserve">。响应文件的部分格式要求，见第六章《响应文件格式》。</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对于竞争性磋商文件中标记了“实质性格式”文件的，</w:t>
      </w:r>
      <w:r>
        <w:rPr>
          <w:rFonts w:hint="eastAsia" w:ascii="宋体" w:hAnsi="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第三章《评审方法和评审标准》中涉及的证明文件。</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67"/>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268" w:name="_Toc127151530"/>
      <w:r/>
      <w:bookmarkStart w:id="269" w:name="_Toc164229371"/>
      <w:r/>
      <w:bookmarkStart w:id="270" w:name="_Toc151193772"/>
      <w:r/>
      <w:bookmarkStart w:id="271" w:name="_Toc164608644"/>
      <w:r/>
      <w:bookmarkStart w:id="272" w:name="_Toc151193628"/>
      <w:r/>
      <w:bookmarkStart w:id="273" w:name="_Toc195842895"/>
      <w:r/>
      <w:bookmarkStart w:id="274" w:name="_Toc164351624"/>
      <w:r/>
      <w:bookmarkStart w:id="275" w:name="_Toc151190157"/>
      <w:r/>
      <w:bookmarkStart w:id="276" w:name="_Toc127161444"/>
      <w:r/>
      <w:bookmarkStart w:id="277" w:name="_Toc151193844"/>
      <w:r/>
      <w:bookmarkStart w:id="278" w:name="_Toc149720823"/>
      <w:r/>
      <w:bookmarkStart w:id="279" w:name="_Toc150509281"/>
      <w:r/>
      <w:bookmarkStart w:id="280" w:name="_Toc150774630"/>
      <w:r/>
      <w:bookmarkStart w:id="281" w:name="_Toc164229225"/>
      <w:r/>
      <w:bookmarkStart w:id="282" w:name="_Toc150774735"/>
      <w:r/>
      <w:bookmarkStart w:id="283" w:name="_Toc142311032"/>
      <w:r/>
      <w:bookmarkStart w:id="284" w:name="_Toc151193700"/>
      <w:r/>
      <w:bookmarkStart w:id="285" w:name="_Toc127151731"/>
      <w:r/>
      <w:bookmarkStart w:id="286" w:name="_Toc151193918"/>
      <w:r/>
      <w:bookmarkStart w:id="287" w:name="_Toc164608799"/>
      <w:r/>
      <w:bookmarkStart w:id="288" w:name="_Toc150480768"/>
      <w:r/>
      <w:bookmarkStart w:id="289" w:name="_Toc520356155"/>
      <w:r>
        <w:rPr>
          <w:rFonts w:hint="eastAsia" w:ascii="宋体" w:hAnsi="宋体" w:cs="宋体"/>
          <w:b/>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所有响应均以人民币报价。</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按照竞争性磋商文件要求完成本项目的全部相关工程或服务费用。</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供应商不能提供任何有选择性或可调整的最终报价（</w:t>
      </w:r>
      <w:r>
        <w:rPr>
          <w:rFonts w:hint="eastAsia" w:ascii="宋体" w:hAnsi="宋体" w:cs="宋体"/>
          <w:color w:val="000000"/>
          <w:sz w:val="24"/>
          <w:highlight w:val="none"/>
        </w:rPr>
        <w:t xml:space="preserve">竞争性磋商文件</w:t>
      </w:r>
      <w:r>
        <w:rPr>
          <w:rFonts w:hint="eastAsia" w:ascii="宋体" w:hAnsi="宋体" w:cs="宋体"/>
          <w:color w:val="000000"/>
          <w:sz w:val="24"/>
          <w:highlight w:val="none"/>
        </w:rPr>
        <w:t xml:space="preserve">另有规定的除外），否则其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磋商保证金</w:t>
      </w:r>
      <w:r>
        <w:rPr>
          <w:rFonts w:hint="eastAsia" w:ascii="宋体" w:hAnsi="宋体" w:cs="宋体"/>
          <w:b/>
          <w:color w:val="000000"/>
          <w:sz w:val="24"/>
          <w:highlight w:val="none"/>
        </w:rPr>
      </w:r>
      <w:r/>
    </w:p>
    <w:p>
      <w:pPr>
        <w:pStyle w:val="1014"/>
        <w:ind w:firstLine="480"/>
        <w:spacing w:line="360" w:lineRule="auto"/>
        <w:rPr>
          <w:rFonts w:hint="eastAsia"/>
          <w:color w:val="000000"/>
          <w:sz w:val="24"/>
          <w:highlight w:val="none"/>
        </w:rPr>
      </w:pPr>
      <w:r>
        <w:rPr>
          <w:rFonts w:hint="eastAsia"/>
          <w:color w:val="000000"/>
          <w:sz w:val="24"/>
          <w:highlight w:val="none"/>
        </w:rPr>
        <w:t xml:space="preserve">根据江苏省和常州市的相关文件规定，免收保证金。</w:t>
      </w:r>
      <w:r>
        <w:rPr>
          <w:rFonts w:hint="eastAsia"/>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响应有效期</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290" w:name="_Toc150480771"/>
      <w:r/>
      <w:bookmarkStart w:id="291" w:name="_Toc127161447"/>
      <w:r/>
      <w:bookmarkStart w:id="292" w:name="_Toc151193631"/>
      <w:r/>
      <w:bookmarkStart w:id="293" w:name="_Toc150509284"/>
      <w:r/>
      <w:bookmarkStart w:id="294" w:name="_Toc226965806"/>
      <w:r/>
      <w:bookmarkStart w:id="295" w:name="_Toc164351627"/>
      <w:r/>
      <w:bookmarkStart w:id="296" w:name="_Toc164608647"/>
      <w:r/>
      <w:bookmarkStart w:id="297" w:name="_Toc127151533"/>
      <w:r/>
      <w:bookmarkStart w:id="298" w:name="_Toc127151734"/>
      <w:r/>
      <w:bookmarkStart w:id="299" w:name="_Toc195842898"/>
      <w:r/>
      <w:bookmarkStart w:id="300" w:name="_Toc164229228"/>
      <w:r/>
      <w:bookmarkStart w:id="301" w:name="_Toc151193775"/>
      <w:r/>
      <w:bookmarkStart w:id="302" w:name="_Toc520356158"/>
      <w:r/>
      <w:bookmarkStart w:id="303" w:name="_Toc151193921"/>
      <w:r/>
      <w:bookmarkStart w:id="304" w:name="_Toc150774738"/>
      <w:r/>
      <w:bookmarkStart w:id="305" w:name="_Toc305158875"/>
      <w:r/>
      <w:bookmarkStart w:id="306" w:name="_Toc164229374"/>
      <w:r/>
      <w:bookmarkStart w:id="307" w:name="_Toc164608802"/>
      <w:r/>
      <w:bookmarkStart w:id="308" w:name="_Toc151190160"/>
      <w:r/>
      <w:bookmarkStart w:id="309" w:name="_Toc226337229"/>
      <w:r/>
      <w:bookmarkStart w:id="310" w:name="_Toc150774633"/>
      <w:r/>
      <w:bookmarkStart w:id="311" w:name="_Toc226309777"/>
      <w:r/>
      <w:bookmarkStart w:id="312" w:name="_Toc151193847"/>
      <w:r/>
      <w:bookmarkStart w:id="313" w:name="_Toc265228371"/>
      <w:r/>
      <w:bookmarkStart w:id="314" w:name="_Toc305158801"/>
      <w:r/>
      <w:bookmarkStart w:id="315" w:name="_Toc151193703"/>
      <w:r/>
      <w:bookmarkStart w:id="316" w:name="_Toc142311035"/>
      <w:r/>
      <w:bookmarkStart w:id="317" w:name="_Toc149720826"/>
      <w:r/>
      <w:bookmarkStart w:id="318" w:name="_Toc264969223"/>
      <w:r/>
      <w:bookmarkStart w:id="319" w:name="_Toc226965723"/>
      <w:r>
        <w:rPr>
          <w:rFonts w:hint="eastAsia" w:ascii="宋体" w:hAnsi="宋体" w:cs="宋体"/>
          <w:b/>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highlight w:val="none"/>
        </w:rPr>
      </w:pPr>
      <w:r/>
      <w:bookmarkStart w:id="320" w:name="_Toc226337230"/>
      <w:r/>
      <w:bookmarkStart w:id="321" w:name="_Toc151190161"/>
      <w:r/>
      <w:bookmarkStart w:id="322" w:name="_Toc151193776"/>
      <w:r/>
      <w:bookmarkStart w:id="323" w:name="_Toc264969224"/>
      <w:r/>
      <w:bookmarkStart w:id="324" w:name="_Toc151193632"/>
      <w:r/>
      <w:bookmarkStart w:id="325" w:name="_Toc226965807"/>
      <w:r/>
      <w:bookmarkStart w:id="326" w:name="_Toc151193922"/>
      <w:r/>
      <w:bookmarkStart w:id="327" w:name="_Toc195842899"/>
      <w:r/>
      <w:bookmarkStart w:id="328" w:name="_Toc150774739"/>
      <w:r/>
      <w:bookmarkStart w:id="329" w:name="_Toc127151534"/>
      <w:r/>
      <w:bookmarkStart w:id="330" w:name="_Toc142311036"/>
      <w:r/>
      <w:bookmarkStart w:id="331" w:name="_Toc150509285"/>
      <w:r/>
      <w:bookmarkStart w:id="332" w:name="_Toc151193848"/>
      <w:r/>
      <w:bookmarkStart w:id="333" w:name="_Toc520356159"/>
      <w:r/>
      <w:bookmarkStart w:id="334" w:name="_Toc305158876"/>
      <w:r/>
      <w:bookmarkStart w:id="335" w:name="_Toc150480772"/>
      <w:r/>
      <w:bookmarkStart w:id="336" w:name="_Toc151193704"/>
      <w:r/>
      <w:bookmarkStart w:id="337" w:name="_Toc265228372"/>
      <w:r/>
      <w:bookmarkStart w:id="338" w:name="_Toc226309778"/>
      <w:r/>
      <w:bookmarkStart w:id="339" w:name="_Toc305158802"/>
      <w:r/>
      <w:bookmarkStart w:id="340" w:name="_Toc226965724"/>
      <w:r/>
      <w:bookmarkStart w:id="341" w:name="_Toc150774634"/>
      <w:r>
        <w:rPr>
          <w:rFonts w:hint="eastAsia" w:ascii="宋体" w:hAnsi="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竞争性磋商文件要求盖章的内容，一般通过响应文件编制工具加盖电子签章。</w:t>
      </w:r>
      <w:r>
        <w:rPr>
          <w:rFonts w:hint="eastAsia" w:ascii="宋体" w:hAnsi="宋体" w:cs="宋体"/>
          <w:color w:val="000000"/>
          <w:sz w:val="24"/>
          <w:highlight w:val="none"/>
        </w:rPr>
      </w:r>
      <w:r/>
    </w:p>
    <w:p>
      <w:pPr>
        <w:pStyle w:val="1014"/>
        <w:ind w:firstLine="420"/>
        <w:spacing w:line="360" w:lineRule="auto"/>
        <w:tabs>
          <w:tab w:val="left" w:pos="0" w:leader="none"/>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16"/>
        <w:ind w:firstLine="562"/>
        <w:spacing w:before="0" w:line="360" w:lineRule="auto"/>
        <w:tabs>
          <w:tab w:val="left" w:pos="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color w:val="000000"/>
          <w:sz w:val="28"/>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342" w:name="_Toc127161449"/>
      <w:r/>
      <w:bookmarkStart w:id="343" w:name="_Toc164608649"/>
      <w:r/>
      <w:bookmarkStart w:id="344" w:name="_Toc520356160"/>
      <w:r/>
      <w:bookmarkStart w:id="345" w:name="_Toc150774635"/>
      <w:r/>
      <w:bookmarkStart w:id="346" w:name="_Toc151193705"/>
      <w:r/>
      <w:bookmarkStart w:id="347" w:name="_Toc150480773"/>
      <w:r/>
      <w:bookmarkStart w:id="348" w:name="_Toc164229230"/>
      <w:r/>
      <w:bookmarkStart w:id="349" w:name="_Toc150774740"/>
      <w:r/>
      <w:bookmarkStart w:id="350" w:name="_Toc127151736"/>
      <w:r/>
      <w:bookmarkStart w:id="351" w:name="_Toc151190162"/>
      <w:r/>
      <w:bookmarkStart w:id="352" w:name="_Toc151193777"/>
      <w:r/>
      <w:bookmarkStart w:id="353" w:name="_Toc127151535"/>
      <w:r/>
      <w:bookmarkStart w:id="354" w:name="_Toc164608804"/>
      <w:r/>
      <w:bookmarkStart w:id="355" w:name="_Toc226309779"/>
      <w:r/>
      <w:bookmarkStart w:id="356" w:name="_Toc226965808"/>
      <w:r/>
      <w:bookmarkStart w:id="357" w:name="_Toc151193633"/>
      <w:r/>
      <w:bookmarkStart w:id="358" w:name="_Toc164229376"/>
      <w:r/>
      <w:bookmarkStart w:id="359" w:name="_Toc151193923"/>
      <w:r/>
      <w:bookmarkStart w:id="360" w:name="_Toc305158803"/>
      <w:r/>
      <w:bookmarkStart w:id="361" w:name="_Toc142311037"/>
      <w:r/>
      <w:bookmarkStart w:id="362" w:name="_Toc195842900"/>
      <w:r/>
      <w:bookmarkStart w:id="363" w:name="_Toc164351629"/>
      <w:r/>
      <w:bookmarkStart w:id="364" w:name="_Toc265228373"/>
      <w:r/>
      <w:bookmarkStart w:id="365" w:name="_Toc151193849"/>
      <w:r/>
      <w:bookmarkStart w:id="366" w:name="_Toc226337231"/>
      <w:r/>
      <w:bookmarkStart w:id="367" w:name="_Toc305158877"/>
      <w:r/>
      <w:bookmarkStart w:id="368" w:name="_Toc149720828"/>
      <w:r/>
      <w:bookmarkStart w:id="369" w:name="_Toc150509286"/>
      <w:r/>
      <w:bookmarkStart w:id="370" w:name="_Toc226965725"/>
      <w:r/>
      <w:bookmarkStart w:id="371" w:name="_Toc264969225"/>
      <w:r>
        <w:rPr>
          <w:rFonts w:hint="eastAsia" w:ascii="宋体" w:hAnsi="宋体" w:cs="宋体"/>
          <w:b/>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采购人及采购代理机构拒绝接受通过电子交易平台以外任何形式提交的响应文件，磋商保证金除外。</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372" w:name="_Toc127161450"/>
      <w:r/>
      <w:bookmarkStart w:id="373" w:name="_Toc151190163"/>
      <w:r/>
      <w:bookmarkStart w:id="374" w:name="_Toc265228374"/>
      <w:r/>
      <w:bookmarkStart w:id="375" w:name="_Toc151193634"/>
      <w:r/>
      <w:bookmarkStart w:id="376" w:name="_Toc164608805"/>
      <w:r/>
      <w:bookmarkStart w:id="377" w:name="_Toc305158878"/>
      <w:r/>
      <w:bookmarkStart w:id="378" w:name="_Toc520356161"/>
      <w:r/>
      <w:bookmarkStart w:id="379" w:name="_Toc195842901"/>
      <w:r/>
      <w:bookmarkStart w:id="380" w:name="_Toc151193850"/>
      <w:r/>
      <w:bookmarkStart w:id="381" w:name="_Toc151193778"/>
      <w:r/>
      <w:bookmarkStart w:id="382" w:name="_Toc164351630"/>
      <w:r/>
      <w:bookmarkStart w:id="383" w:name="_Toc305158804"/>
      <w:r/>
      <w:bookmarkStart w:id="384" w:name="_Toc226965809"/>
      <w:r/>
      <w:bookmarkStart w:id="385" w:name="_Toc150509287"/>
      <w:r/>
      <w:bookmarkStart w:id="386" w:name="_Toc164229231"/>
      <w:r/>
      <w:bookmarkStart w:id="387" w:name="_Toc150774741"/>
      <w:r/>
      <w:bookmarkStart w:id="388" w:name="_Toc127151737"/>
      <w:r/>
      <w:bookmarkStart w:id="389" w:name="_Toc149720829"/>
      <w:r/>
      <w:bookmarkStart w:id="390" w:name="_Toc226337232"/>
      <w:r/>
      <w:bookmarkStart w:id="391" w:name="_Toc127151536"/>
      <w:r/>
      <w:bookmarkStart w:id="392" w:name="_Toc164608650"/>
      <w:r/>
      <w:bookmarkStart w:id="393" w:name="_Toc264969226"/>
      <w:r/>
      <w:bookmarkStart w:id="394" w:name="_Toc151193706"/>
      <w:r/>
      <w:bookmarkStart w:id="395" w:name="_Toc226965726"/>
      <w:r/>
      <w:bookmarkStart w:id="396" w:name="_Toc164229377"/>
      <w:r/>
      <w:bookmarkStart w:id="397" w:name="_Toc151193924"/>
      <w:r/>
      <w:bookmarkStart w:id="398" w:name="_Toc150480774"/>
      <w:r/>
      <w:bookmarkStart w:id="399" w:name="_Toc226309780"/>
      <w:r/>
      <w:bookmarkStart w:id="400" w:name="_Toc150774636"/>
      <w:r/>
      <w:bookmarkStart w:id="401" w:name="_Toc142311038"/>
      <w:r>
        <w:rPr>
          <w:rFonts w:hint="eastAsia" w:ascii="宋体" w:hAnsi="宋体" w:cs="宋体"/>
          <w:b/>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供应商应在竞争性磋商文件要求提交响应文件截止时间前，将电子响应文件提交至政府采购一体化平台“苏采云”。</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402" w:name="_Toc150480775"/>
      <w:r/>
      <w:bookmarkStart w:id="403" w:name="_Toc264969227"/>
      <w:r/>
      <w:bookmarkStart w:id="404" w:name="_Toc151193707"/>
      <w:r/>
      <w:bookmarkStart w:id="405" w:name="_Toc151190164"/>
      <w:r/>
      <w:bookmarkStart w:id="406" w:name="_Toc226965810"/>
      <w:r/>
      <w:bookmarkStart w:id="407" w:name="_Toc305158805"/>
      <w:r/>
      <w:bookmarkStart w:id="408" w:name="_Toc142311039"/>
      <w:r/>
      <w:bookmarkStart w:id="409" w:name="_Toc226309781"/>
      <w:r/>
      <w:bookmarkStart w:id="410" w:name="_Toc195842902"/>
      <w:r/>
      <w:bookmarkStart w:id="411" w:name="_Toc151193635"/>
      <w:r/>
      <w:bookmarkStart w:id="412" w:name="_Toc149720830"/>
      <w:r/>
      <w:bookmarkStart w:id="413" w:name="_Toc127161451"/>
      <w:r/>
      <w:bookmarkStart w:id="414" w:name="_Toc151193779"/>
      <w:r/>
      <w:bookmarkStart w:id="415" w:name="_Toc164608806"/>
      <w:r/>
      <w:bookmarkStart w:id="416" w:name="_Toc164229232"/>
      <w:r/>
      <w:bookmarkStart w:id="417" w:name="_Toc164608651"/>
      <w:r/>
      <w:bookmarkStart w:id="418" w:name="_Toc164351631"/>
      <w:r/>
      <w:bookmarkStart w:id="419" w:name="_Toc265228375"/>
      <w:r/>
      <w:bookmarkStart w:id="420" w:name="_Toc151193925"/>
      <w:r/>
      <w:bookmarkStart w:id="421" w:name="_Toc127151738"/>
      <w:r/>
      <w:bookmarkStart w:id="422" w:name="_Toc164229378"/>
      <w:r/>
      <w:bookmarkStart w:id="423" w:name="_Toc151193851"/>
      <w:r/>
      <w:bookmarkStart w:id="424" w:name="_Toc127151537"/>
      <w:r/>
      <w:bookmarkStart w:id="425" w:name="_Toc150509288"/>
      <w:r/>
      <w:bookmarkStart w:id="426" w:name="_Toc305158879"/>
      <w:r/>
      <w:bookmarkStart w:id="427" w:name="_Toc226337233"/>
      <w:r/>
      <w:bookmarkStart w:id="428" w:name="_Toc150774742"/>
      <w:r/>
      <w:bookmarkStart w:id="429" w:name="_Toc520356162"/>
      <w:r/>
      <w:bookmarkStart w:id="430" w:name="_Toc150774637"/>
      <w:r/>
      <w:bookmarkStart w:id="431" w:name="_Toc226965727"/>
      <w:r>
        <w:rPr>
          <w:rFonts w:hint="eastAsia" w:ascii="宋体" w:hAnsi="宋体" w:cs="宋体"/>
          <w:b/>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提交响应文件截止时间前，供应商可以通过电子交易平台对所提交的响应文件进行补充、修改或者撤回。</w:t>
      </w:r>
      <w:r>
        <w:rPr>
          <w:rFonts w:hint="eastAsia" w:ascii="宋体" w:hAnsi="宋体" w:cs="宋体"/>
          <w:color w:val="000000"/>
          <w:sz w:val="24"/>
          <w:highlight w:val="none"/>
        </w:rPr>
        <w:t xml:space="preserve">磋商保证金的补充、修改或者撤回</w:t>
      </w:r>
      <w:r>
        <w:rPr>
          <w:rFonts w:hint="eastAsia" w:ascii="宋体" w:hAnsi="宋体" w:cs="宋体"/>
          <w:color w:val="000000"/>
          <w:sz w:val="24"/>
          <w:highlight w:val="none"/>
        </w:rPr>
        <w:t xml:space="preserve">无需通过电子交易平台，但应就其补充、修改或者撤回通知采购人或采购代理机构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供应商对响应文件的补充、修改的内容应当按照竞争性磋商文件要求签署、盖章，作为响应文件的组成部分。</w:t>
      </w:r>
      <w:r>
        <w:rPr>
          <w:rFonts w:hint="eastAsia" w:ascii="宋体" w:hAnsi="宋体" w:cs="宋体"/>
          <w:color w:val="000000"/>
          <w:sz w:val="24"/>
          <w:highlight w:val="none"/>
        </w:rPr>
        <w:t xml:space="preserve">补充、修改的内容与响应文件不一致的，以补充、修改的内容为准。</w:t>
      </w:r>
      <w:r>
        <w:rPr>
          <w:rFonts w:hint="eastAsia" w:ascii="宋体" w:hAnsi="宋体" w:cs="宋体"/>
          <w:color w:val="000000"/>
          <w:sz w:val="24"/>
          <w:highlight w:val="none"/>
        </w:rPr>
      </w: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62"/>
        <w:spacing w:before="0" w:line="360" w:lineRule="auto"/>
        <w:tabs>
          <w:tab w:val="left" w:pos="0" w:leader="none"/>
        </w:tabs>
        <w:rPr>
          <w:rFonts w:hint="eastAsia" w:ascii="宋体" w:hAnsi="宋体" w:eastAsia="宋体" w:cs="宋体"/>
          <w:color w:val="000000"/>
          <w:sz w:val="28"/>
          <w:highlight w:val="none"/>
        </w:rPr>
      </w:pPr>
      <w:r/>
      <w:bookmarkStart w:id="432" w:name="_Toc264969228"/>
      <w:r/>
      <w:bookmarkStart w:id="433" w:name="_Toc151193636"/>
      <w:r/>
      <w:bookmarkStart w:id="434" w:name="_Toc151193852"/>
      <w:r/>
      <w:bookmarkStart w:id="435" w:name="_Toc305158806"/>
      <w:r/>
      <w:bookmarkStart w:id="436" w:name="_Toc142311040"/>
      <w:r/>
      <w:bookmarkStart w:id="437" w:name="_Toc150509289"/>
      <w:r/>
      <w:bookmarkStart w:id="438" w:name="_Toc151193926"/>
      <w:r/>
      <w:bookmarkStart w:id="439" w:name="_Toc226309782"/>
      <w:r/>
      <w:bookmarkStart w:id="440" w:name="_Toc151193708"/>
      <w:r/>
      <w:bookmarkStart w:id="441" w:name="_Toc150774743"/>
      <w:r/>
      <w:bookmarkStart w:id="442" w:name="_Toc150480776"/>
      <w:r/>
      <w:bookmarkStart w:id="443" w:name="_Toc226965811"/>
      <w:r/>
      <w:bookmarkStart w:id="444" w:name="_Toc520356163"/>
      <w:r/>
      <w:bookmarkStart w:id="445" w:name="_Toc151190165"/>
      <w:r/>
      <w:bookmarkStart w:id="446" w:name="_Toc127151538"/>
      <w:r/>
      <w:bookmarkStart w:id="447" w:name="_Toc150774638"/>
      <w:r/>
      <w:bookmarkStart w:id="448" w:name="_Toc151193780"/>
      <w:r/>
      <w:bookmarkStart w:id="449" w:name="_Toc226337234"/>
      <w:r/>
      <w:bookmarkStart w:id="450" w:name="_Toc195842903"/>
      <w:r/>
      <w:bookmarkStart w:id="451" w:name="_Toc305158880"/>
      <w:r/>
      <w:bookmarkStart w:id="452" w:name="_Toc226965728"/>
      <w:r/>
      <w:bookmarkStart w:id="453" w:name="_Toc265228376"/>
      <w:r>
        <w:rPr>
          <w:rFonts w:hint="eastAsia" w:ascii="宋体" w:hAnsi="宋体" w:eastAsia="宋体" w:cs="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8"/>
          <w:highlight w:val="none"/>
        </w:rPr>
        <w:t xml:space="preserve">评审</w:t>
      </w:r>
      <w:r>
        <w:rPr>
          <w:rFonts w:hint="eastAsia" w:ascii="宋体" w:hAnsi="宋体" w:eastAsia="宋体" w:cs="宋体"/>
          <w:color w:val="000000"/>
          <w:sz w:val="28"/>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响应文件的解密与开启</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供应商不足3家的，不予解密。</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bookmarkStart w:id="454" w:name="_Toc520356165"/>
      <w:r>
        <w:rPr>
          <w:rFonts w:hint="eastAsia" w:ascii="宋体" w:hAnsi="宋体" w:cs="宋体"/>
          <w:color w:val="000000"/>
          <w:sz w:val="24"/>
          <w:highlight w:val="none"/>
        </w:rPr>
        <w:t xml:space="preserve">本项目不公开报价。</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1)平台系统发生故障而无法登录访问的；</w:t>
      </w:r>
      <w:r>
        <w:rPr>
          <w:rFonts w:hint="eastAsia" w:ascii="宋体" w:hAnsi="宋体" w:cs="宋体"/>
          <w:color w:val="000000"/>
          <w:sz w:val="24"/>
          <w:highlight w:val="none"/>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End w:id="454"/>
      <w:r>
        <w:rPr>
          <w:rFonts w:hint="eastAsia" w:ascii="宋体" w:hAnsi="宋体" w:cs="宋体"/>
          <w:b/>
          <w:color w:val="000000"/>
          <w:sz w:val="24"/>
          <w:highlight w:val="none"/>
        </w:rPr>
        <w:t xml:space="preserve">磋商小组</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评审方法和评审标准</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见第三章《评审方法和评审标准》。</w:t>
      </w:r>
      <w:r>
        <w:rPr>
          <w:rFonts w:hint="eastAsia" w:ascii="宋体" w:hAnsi="宋体" w:cs="宋体"/>
          <w:color w:val="000000"/>
          <w:sz w:val="24"/>
          <w:highlight w:val="none"/>
        </w:rPr>
      </w:r>
      <w:r/>
    </w:p>
    <w:p>
      <w:pPr>
        <w:pStyle w:val="1014"/>
        <w:ind w:firstLine="480"/>
        <w:spacing w:line="360" w:lineRule="auto"/>
        <w:tabs>
          <w:tab w:val="left" w:pos="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62"/>
        <w:spacing w:before="0" w:line="360" w:lineRule="auto"/>
        <w:tabs>
          <w:tab w:val="left" w:pos="0" w:leader="none"/>
        </w:tabs>
        <w:rPr>
          <w:rFonts w:hint="eastAsia" w:ascii="宋体" w:hAnsi="宋体" w:eastAsia="宋体" w:cs="宋体"/>
          <w:color w:val="000000"/>
          <w:sz w:val="28"/>
          <w:highlight w:val="none"/>
        </w:rPr>
      </w:pPr>
      <w:r/>
      <w:bookmarkStart w:id="457" w:name="_Toc151193787"/>
      <w:r/>
      <w:bookmarkStart w:id="458" w:name="_Toc151190172"/>
      <w:r/>
      <w:bookmarkStart w:id="459" w:name="_Toc142311047"/>
      <w:r/>
      <w:bookmarkStart w:id="460" w:name="_Toc265228383"/>
      <w:r/>
      <w:bookmarkStart w:id="461" w:name="_Toc226309789"/>
      <w:r/>
      <w:bookmarkStart w:id="462" w:name="_Toc151193643"/>
      <w:r/>
      <w:bookmarkStart w:id="463" w:name="_Toc264969235"/>
      <w:r/>
      <w:bookmarkStart w:id="464" w:name="_Toc226965818"/>
      <w:r/>
      <w:bookmarkStart w:id="465" w:name="_Toc151193933"/>
      <w:r/>
      <w:bookmarkStart w:id="466" w:name="_Toc195842910"/>
      <w:r/>
      <w:bookmarkStart w:id="467" w:name="_Toc151193859"/>
      <w:r/>
      <w:bookmarkStart w:id="468" w:name="_Toc226337241"/>
      <w:r/>
      <w:bookmarkStart w:id="469" w:name="_Toc226965735"/>
      <w:r/>
      <w:bookmarkStart w:id="470" w:name="_Toc150509296"/>
      <w:r/>
      <w:bookmarkStart w:id="471" w:name="_Toc150774645"/>
      <w:r/>
      <w:bookmarkStart w:id="472" w:name="_Toc305158813"/>
      <w:r/>
      <w:bookmarkStart w:id="473" w:name="_Toc151193715"/>
      <w:r/>
      <w:bookmarkStart w:id="474" w:name="_Toc150480783"/>
      <w:r/>
      <w:bookmarkStart w:id="475" w:name="_Toc127151545"/>
      <w:r/>
      <w:bookmarkStart w:id="476" w:name="_Toc305158887"/>
      <w:r/>
      <w:bookmarkStart w:id="477" w:name="_Toc150774750"/>
      <w:r>
        <w:rPr>
          <w:rFonts w:hint="eastAsia" w:ascii="宋体" w:hAnsi="宋体" w:eastAsia="宋体" w:cs="宋体"/>
          <w:color w:val="000000"/>
          <w:sz w:val="28"/>
          <w:highlight w:val="none"/>
        </w:rPr>
        <w:t xml:space="preserve">六   </w:t>
      </w:r>
      <w:bookmarkEnd w:id="456"/>
      <w:r>
        <w:rPr>
          <w:rFonts w:hint="eastAsia" w:ascii="宋体" w:hAnsi="宋体" w:eastAsia="宋体" w:cs="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28"/>
          <w:highlight w:val="none"/>
        </w:rPr>
        <w:t xml:space="preserve">成交</w:t>
      </w:r>
      <w:r>
        <w:rPr>
          <w:rFonts w:hint="eastAsia" w:ascii="宋体" w:hAnsi="宋体" w:eastAsia="宋体" w:cs="宋体"/>
          <w:color w:val="000000"/>
          <w:sz w:val="28"/>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478" w:name="_Toc151193717"/>
      <w:r/>
      <w:bookmarkStart w:id="479" w:name="_Toc142311049"/>
      <w:r/>
      <w:bookmarkStart w:id="480" w:name="_Toc127161461"/>
      <w:r/>
      <w:bookmarkStart w:id="481" w:name="_Toc164351641"/>
      <w:r/>
      <w:bookmarkStart w:id="482" w:name="_Toc150774647"/>
      <w:r/>
      <w:bookmarkStart w:id="483" w:name="_Toc226965737"/>
      <w:r/>
      <w:bookmarkStart w:id="484" w:name="_Toc150774752"/>
      <w:r/>
      <w:bookmarkStart w:id="485" w:name="_Toc150480785"/>
      <w:r/>
      <w:bookmarkStart w:id="486" w:name="_Toc127151547"/>
      <w:r/>
      <w:bookmarkStart w:id="487" w:name="_Toc151193861"/>
      <w:r/>
      <w:bookmarkStart w:id="488" w:name="_Toc127151748"/>
      <w:r/>
      <w:bookmarkStart w:id="489" w:name="_Toc151193935"/>
      <w:r/>
      <w:bookmarkStart w:id="490" w:name="_Toc164608816"/>
      <w:r/>
      <w:bookmarkStart w:id="491" w:name="_Toc305158889"/>
      <w:r/>
      <w:bookmarkStart w:id="492" w:name="_Toc164229242"/>
      <w:r/>
      <w:bookmarkStart w:id="493" w:name="_Toc226965820"/>
      <w:r/>
      <w:bookmarkStart w:id="494" w:name="_Toc226309791"/>
      <w:r/>
      <w:bookmarkStart w:id="495" w:name="_Toc149720840"/>
      <w:r/>
      <w:bookmarkStart w:id="496" w:name="_Toc264969237"/>
      <w:r/>
      <w:bookmarkStart w:id="497" w:name="_Toc150509298"/>
      <w:r/>
      <w:bookmarkStart w:id="498" w:name="_Toc195842912"/>
      <w:r/>
      <w:bookmarkStart w:id="499" w:name="_Toc151190174"/>
      <w:r/>
      <w:bookmarkStart w:id="500" w:name="_Toc265228385"/>
      <w:r/>
      <w:bookmarkStart w:id="501" w:name="_Toc164229388"/>
      <w:r/>
      <w:bookmarkStart w:id="502" w:name="_Toc151193789"/>
      <w:r/>
      <w:bookmarkStart w:id="503" w:name="_Toc226337243"/>
      <w:r/>
      <w:bookmarkStart w:id="504" w:name="_Toc151193645"/>
      <w:r/>
      <w:bookmarkStart w:id="505" w:name="_Toc164608661"/>
      <w:r/>
      <w:bookmarkStart w:id="506" w:name="_Toc305158815"/>
      <w:r>
        <w:rPr>
          <w:rFonts w:hint="eastAsia" w:ascii="宋体" w:hAnsi="宋体" w:cs="宋体"/>
          <w:b/>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Start w:id="507" w:name="_Toc305158891"/>
      <w:r/>
      <w:bookmarkStart w:id="508" w:name="_Toc305158817"/>
      <w:r/>
      <w:bookmarkStart w:id="509" w:name="_Toc164229244"/>
      <w:r/>
      <w:bookmarkStart w:id="510" w:name="_Toc226309793"/>
      <w:r/>
      <w:bookmarkStart w:id="511" w:name="_Toc127161463"/>
      <w:r/>
      <w:bookmarkStart w:id="512" w:name="_Toc150509300"/>
      <w:r/>
      <w:bookmarkStart w:id="513" w:name="_Toc127151750"/>
      <w:r/>
      <w:bookmarkStart w:id="514" w:name="_Toc151193719"/>
      <w:r/>
      <w:bookmarkStart w:id="515" w:name="_Toc151193647"/>
      <w:r/>
      <w:bookmarkStart w:id="516" w:name="_Toc150480787"/>
      <w:r/>
      <w:bookmarkStart w:id="517" w:name="_Ref467307090"/>
      <w:r/>
      <w:bookmarkStart w:id="518" w:name="_Ref467306425"/>
      <w:r/>
      <w:bookmarkStart w:id="519" w:name="_Toc520356176"/>
      <w:r/>
      <w:bookmarkStart w:id="520" w:name="_Toc164608818"/>
      <w:r/>
      <w:bookmarkStart w:id="521" w:name="_Toc151193791"/>
      <w:r/>
      <w:bookmarkStart w:id="522" w:name="_Toc195842914"/>
      <w:r/>
      <w:bookmarkStart w:id="523" w:name="_Toc151193937"/>
      <w:r/>
      <w:bookmarkStart w:id="524" w:name="_Toc164608663"/>
      <w:r/>
      <w:bookmarkStart w:id="525" w:name="_Toc164351643"/>
      <w:r/>
      <w:bookmarkStart w:id="526" w:name="_Toc142311051"/>
      <w:r/>
      <w:bookmarkStart w:id="527" w:name="_Toc226965822"/>
      <w:r/>
      <w:bookmarkStart w:id="528" w:name="_Toc265228387"/>
      <w:r/>
      <w:bookmarkStart w:id="529" w:name="_Toc150774754"/>
      <w:r/>
      <w:bookmarkStart w:id="530" w:name="_Toc264969239"/>
      <w:r/>
      <w:bookmarkStart w:id="531" w:name="_Toc127151549"/>
      <w:r/>
      <w:bookmarkStart w:id="532" w:name="_Toc151190176"/>
      <w:r/>
      <w:bookmarkStart w:id="533" w:name="_Toc226337245"/>
      <w:r/>
      <w:bookmarkStart w:id="534" w:name="_Toc226965739"/>
      <w:r/>
      <w:bookmarkStart w:id="535" w:name="_Toc151193863"/>
      <w:r/>
      <w:bookmarkStart w:id="536" w:name="_Toc149720842"/>
      <w:r/>
      <w:bookmarkStart w:id="537" w:name="_Toc164229390"/>
      <w:r/>
      <w:bookmarkStart w:id="538" w:name="_Toc150774649"/>
      <w:r>
        <w:rPr>
          <w:rFonts w:hint="eastAsia" w:ascii="宋体" w:hAnsi="宋体" w:cs="宋体"/>
          <w:b/>
          <w:color w:val="000000"/>
          <w:sz w:val="24"/>
          <w:highlight w:val="none"/>
        </w:rPr>
        <w:t xml:space="preserve">成交公告与成交通知书</w:t>
      </w:r>
      <w:bookmarkEnd w:id="507"/>
      <w:r/>
      <w:bookmarkEnd w:id="508"/>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w:t>
      </w:r>
      <w:r>
        <w:rPr>
          <w:rFonts w:hint="eastAsia" w:ascii="宋体" w:hAnsi="宋体" w:cs="宋体"/>
          <w:color w:val="000000"/>
          <w:sz w:val="24"/>
          <w:highlight w:val="none"/>
        </w:rPr>
        <w:t xml:space="preserve">在成交供应商确定后2个工作日内，在</w:t>
      </w:r>
      <w:r>
        <w:rPr>
          <w:rFonts w:hint="eastAsia" w:ascii="宋体" w:hAnsi="宋体" w:cs="宋体"/>
          <w:color w:val="000000"/>
          <w:sz w:val="24"/>
          <w:highlight w:val="none"/>
        </w:rPr>
        <w:t xml:space="preserve">常州市政府采购网</w:t>
      </w:r>
      <w:r>
        <w:rPr>
          <w:rFonts w:hint="eastAsia" w:ascii="宋体" w:hAnsi="宋体" w:cs="宋体"/>
          <w:color w:val="000000"/>
          <w:sz w:val="24"/>
          <w:highlight w:val="none"/>
        </w:rPr>
        <w:t xml:space="preserve">公告成交结果，同时向成交供应商发出成交通知书，</w:t>
      </w:r>
      <w:r>
        <w:rPr>
          <w:rFonts w:hint="eastAsia" w:ascii="宋体" w:hAnsi="宋体" w:cs="宋体"/>
          <w:color w:val="000000"/>
          <w:sz w:val="24"/>
          <w:highlight w:val="none"/>
        </w:rPr>
        <w:t xml:space="preserve">成交公告期限为1个工作日。</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终止</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因情况变化，不再符合规定的竞争性磋商采购方式适用情形的；</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sz w:val="24"/>
          <w:highlight w:val="none"/>
        </w:rPr>
      </w: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sz w:val="24"/>
          <w:highlight w:val="none"/>
        </w:rPr>
      </w:pPr>
      <w:r/>
      <w:bookmarkStart w:id="539" w:name="OLE_LINK5"/>
      <w:r/>
      <w:bookmarkStart w:id="540" w:name="OLE_LINK4"/>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出现序号17.7的所述情形，情况严重且影响采购活动公平、公正性的。</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226965740"/>
      <w:r/>
      <w:bookmarkStart w:id="542" w:name="_Toc520356175"/>
      <w:r/>
      <w:bookmarkStart w:id="543" w:name="_Toc151193864"/>
      <w:r/>
      <w:bookmarkStart w:id="544" w:name="_Toc164351644"/>
      <w:r/>
      <w:bookmarkStart w:id="545" w:name="_Toc149720843"/>
      <w:r/>
      <w:bookmarkStart w:id="546" w:name="_Toc150509301"/>
      <w:r/>
      <w:bookmarkStart w:id="547" w:name="_Toc127151751"/>
      <w:r/>
      <w:bookmarkStart w:id="548" w:name="_Toc151193648"/>
      <w:r/>
      <w:bookmarkStart w:id="549" w:name="_Toc164229391"/>
      <w:r/>
      <w:bookmarkStart w:id="550" w:name="_Toc264969240"/>
      <w:r/>
      <w:bookmarkStart w:id="551" w:name="_Toc127161464"/>
      <w:r/>
      <w:bookmarkStart w:id="552" w:name="_Toc151193720"/>
      <w:r/>
      <w:bookmarkStart w:id="553" w:name="_Toc151193938"/>
      <w:r/>
      <w:bookmarkStart w:id="554" w:name="_Toc265228388"/>
      <w:r/>
      <w:bookmarkStart w:id="555" w:name="_Toc226965823"/>
      <w:r/>
      <w:bookmarkStart w:id="556" w:name="_Toc164229245"/>
      <w:r/>
      <w:bookmarkStart w:id="557" w:name="_Toc150774755"/>
      <w:r/>
      <w:bookmarkStart w:id="558" w:name="_Ref467307062"/>
      <w:r/>
      <w:bookmarkStart w:id="559" w:name="_Toc164608664"/>
      <w:r/>
      <w:bookmarkStart w:id="560" w:name="_Ref467307204"/>
      <w:r/>
      <w:bookmarkStart w:id="561" w:name="_Toc150774650"/>
      <w:r/>
      <w:bookmarkStart w:id="562" w:name="_Toc127151550"/>
      <w:r/>
      <w:bookmarkStart w:id="563" w:name="_Toc226337246"/>
      <w:r/>
      <w:bookmarkStart w:id="564" w:name="_Ref467306377"/>
      <w:r/>
      <w:bookmarkStart w:id="565" w:name="_Toc151190177"/>
      <w:r/>
      <w:bookmarkStart w:id="566" w:name="_Toc226309794"/>
      <w:r/>
      <w:bookmarkStart w:id="567" w:name="_Toc151193792"/>
      <w:r/>
      <w:bookmarkStart w:id="568" w:name="_Toc195842915"/>
      <w:r/>
      <w:bookmarkStart w:id="569" w:name="_Toc305158818"/>
      <w:r/>
      <w:bookmarkStart w:id="570" w:name="_Toc305158892"/>
      <w:r/>
      <w:bookmarkStart w:id="571" w:name="_Toc150480788"/>
      <w:r/>
      <w:bookmarkStart w:id="572" w:name="_Ref467306978"/>
      <w:r/>
      <w:bookmarkStart w:id="573" w:name="_Toc164608819"/>
      <w:r/>
      <w:bookmarkStart w:id="574" w:name="_Toc142311052"/>
      <w:r>
        <w:rPr>
          <w:rFonts w:hint="eastAsia" w:ascii="宋体" w:hAnsi="宋体" w:cs="宋体"/>
          <w:b/>
          <w:color w:val="000000"/>
          <w:sz w:val="24"/>
          <w:highlight w:val="none"/>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联合体获得成交资格的，联合体各方应当共同与采购人签订合同，就成交项目向采购人承担连带责任。</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。成交供应商就采购项目和分包项目向采购人负责，分包供应商就分包项目承担责任。</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bookmarkEnd w:id="517"/>
      <w:r/>
      <w:bookmarkEnd w:id="518"/>
      <w:r/>
      <w:bookmarkEnd w:id="519"/>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询问</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质疑</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089"/>
          <w:rFonts w:hint="eastAsia" w:ascii="宋体" w:hAnsi="宋体" w:cs="宋体"/>
          <w:color w:val="000000"/>
          <w:highlight w:val="none"/>
        </w:rPr>
        <w:t xml:space="preserve">http://gk</w:t>
      </w:r>
      <w:bookmarkStart w:id="575" w:name="_Hlt100654014"/>
      <w:r>
        <w:rPr>
          <w:rStyle w:val="1089"/>
          <w:rFonts w:hint="eastAsia" w:ascii="宋体" w:hAnsi="宋体" w:cs="宋体"/>
          <w:color w:val="000000"/>
          <w:highlight w:val="none"/>
        </w:rPr>
        <w:t xml:space="preserve">s</w:t>
      </w:r>
      <w:bookmarkEnd w:id="575"/>
      <w:r>
        <w:rPr>
          <w:rStyle w:val="1089"/>
          <w:rFonts w:hint="eastAsia" w:ascii="宋体" w:hAnsi="宋体" w:cs="宋体"/>
          <w:color w:val="000000"/>
          <w:highlight w:val="none"/>
        </w:rPr>
        <w:t xml:space="preserve">.m</w:t>
      </w:r>
      <w:bookmarkStart w:id="576" w:name="_Hlt100653993"/>
      <w:r/>
      <w:bookmarkStart w:id="577" w:name="_Hlt100653994"/>
      <w:r>
        <w:rPr>
          <w:rStyle w:val="1089"/>
          <w:rFonts w:hint="eastAsia" w:ascii="宋体" w:hAnsi="宋体" w:cs="宋体"/>
          <w:color w:val="000000"/>
          <w:highlight w:val="none"/>
        </w:rPr>
        <w:t xml:space="preserve">o</w:t>
      </w:r>
      <w:bookmarkEnd w:id="576"/>
      <w:r/>
      <w:bookmarkEnd w:id="577"/>
      <w:r/>
      <w:bookmarkStart w:id="578" w:name="_Hlt101169156"/>
      <w:r>
        <w:rPr>
          <w:rStyle w:val="1089"/>
          <w:rFonts w:hint="eastAsia" w:ascii="宋体" w:hAnsi="宋体" w:cs="宋体"/>
          <w:color w:val="000000"/>
          <w:highlight w:val="none"/>
        </w:rPr>
        <w:t xml:space="preserve">f</w:t>
      </w:r>
      <w:bookmarkEnd w:id="578"/>
      <w:r>
        <w:rPr>
          <w:rStyle w:val="1089"/>
          <w:rFonts w:hint="eastAsia" w:ascii="宋体" w:hAnsi="宋体" w:cs="宋体"/>
          <w:color w:val="000000"/>
          <w:highlight w:val="none"/>
        </w:rPr>
        <w:t xml:space="preserve">.gov.cn/ztztz/zhengfucaigouguanli/201802/t20180201_2804589.htm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highlight w:val="none"/>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rPr>
          <w:rFonts w:hint="eastAsia" w:ascii="宋体" w:hAnsi="宋体" w:cs="宋体"/>
          <w:color w:val="000000"/>
          <w:sz w:val="24"/>
          <w:highlight w:val="none"/>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highlight w:val="none"/>
        </w:rPr>
      </w: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226965827"/>
      <w:r/>
      <w:bookmarkStart w:id="580" w:name="_Toc226337250"/>
      <w:r/>
      <w:bookmarkStart w:id="581" w:name="_Toc353825544"/>
      <w:r/>
      <w:bookmarkStart w:id="582" w:name="_Toc150480792"/>
      <w:r/>
      <w:bookmarkStart w:id="583" w:name="_Toc305158896"/>
      <w:r/>
      <w:bookmarkStart w:id="584" w:name="_Toc305158822"/>
      <w:r/>
      <w:bookmarkStart w:id="585" w:name="_Toc353873934"/>
      <w:r/>
      <w:bookmarkStart w:id="586" w:name="_Toc353873664"/>
      <w:r/>
      <w:bookmarkStart w:id="587" w:name="_Toc127151554"/>
      <w:r/>
      <w:bookmarkStart w:id="588" w:name="_Toc265228392"/>
      <w:r/>
      <w:bookmarkStart w:id="589" w:name="_Toc264969244"/>
      <w:r/>
      <w:bookmarkStart w:id="590" w:name="_Toc142311056"/>
      <w:r/>
      <w:bookmarkStart w:id="591" w:name="_Toc150774759"/>
      <w:r>
        <w:rPr>
          <w:rFonts w:hint="eastAsia" w:ascii="宋体" w:hAnsi="宋体" w:cs="宋体"/>
          <w:color w:val="000000"/>
          <w:sz w:val="24"/>
          <w:highlight w:val="none"/>
        </w:rPr>
      </w:r>
      <w:r/>
    </w:p>
    <w:p>
      <w:pPr>
        <w:pStyle w:val="1014"/>
        <w:jc w:val="center"/>
        <w:spacing w:line="360" w:lineRule="auto"/>
        <w:rPr>
          <w:rFonts w:hint="eastAsia" w:ascii="宋体" w:hAnsi="宋体" w:cs="宋体"/>
          <w:b/>
          <w:color w:val="000000"/>
          <w:sz w:val="36"/>
          <w:szCs w:val="36"/>
          <w:highlight w:val="none"/>
        </w:rPr>
        <w:outlineLvl w:val="0"/>
      </w:pPr>
      <w:r/>
      <w:bookmarkStart w:id="592" w:name="_Toc104818927"/>
      <w:r>
        <w:rPr>
          <w:rFonts w:hint="eastAsia" w:ascii="宋体" w:hAnsi="宋体" w:cs="宋体"/>
          <w:b/>
          <w:color w:val="000000"/>
          <w:sz w:val="36"/>
          <w:szCs w:val="36"/>
          <w:highlight w:val="none"/>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36"/>
          <w:szCs w:val="36"/>
          <w:highlight w:val="none"/>
        </w:rPr>
        <w:t xml:space="preserve">评审程序、评审方法和评审标准</w:t>
      </w:r>
      <w:bookmarkEnd w:id="592"/>
      <w:r/>
      <w:bookmarkStart w:id="593" w:name="_Toc487900382"/>
      <w:r>
        <w:rPr>
          <w:rFonts w:hint="eastAsia" w:ascii="宋体" w:hAnsi="宋体" w:cs="宋体"/>
          <w:b/>
          <w:color w:val="000000"/>
          <w:sz w:val="36"/>
          <w:szCs w:val="36"/>
          <w:highlight w:val="none"/>
        </w:rPr>
      </w:r>
      <w:r/>
    </w:p>
    <w:p>
      <w:pPr>
        <w:pStyle w:val="1016"/>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一、评审程序</w:t>
      </w:r>
      <w:r>
        <w:rPr>
          <w:rFonts w:hint="eastAsia" w:ascii="宋体" w:hAnsi="宋体" w:eastAsia="宋体" w:cs="宋体"/>
          <w:color w:val="000000"/>
          <w:sz w:val="24"/>
          <w:szCs w:val="24"/>
          <w:highlight w:val="none"/>
        </w:rPr>
      </w:r>
      <w:r/>
    </w:p>
    <w:p>
      <w:pPr>
        <w:pStyle w:val="1014"/>
        <w:jc w:val="left"/>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ab/>
      </w:r>
      <w:r>
        <w:rPr>
          <w:rFonts w:hint="eastAsia" w:ascii="宋体" w:hAnsi="宋体" w:cs="宋体"/>
          <w:b/>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27151742"/>
      <w:r/>
      <w:bookmarkStart w:id="595" w:name="_Toc226965731"/>
      <w:r/>
      <w:bookmarkStart w:id="596" w:name="_Toc164229236"/>
      <w:r/>
      <w:bookmarkStart w:id="597" w:name="_Toc151193783"/>
      <w:r/>
      <w:bookmarkStart w:id="598" w:name="_Toc127151541"/>
      <w:r/>
      <w:bookmarkStart w:id="599" w:name="_Toc150480779"/>
      <w:r/>
      <w:bookmarkStart w:id="600" w:name="_Toc164229382"/>
      <w:r/>
      <w:bookmarkStart w:id="601" w:name="_Toc226965814"/>
      <w:r/>
      <w:bookmarkStart w:id="602" w:name="_Toc305158883"/>
      <w:r/>
      <w:bookmarkStart w:id="603" w:name="_Toc151193929"/>
      <w:r/>
      <w:bookmarkStart w:id="604" w:name="_Toc164608810"/>
      <w:r/>
      <w:bookmarkStart w:id="605" w:name="_Toc150509292"/>
      <w:r/>
      <w:bookmarkStart w:id="606" w:name="_Toc226309785"/>
      <w:r/>
      <w:bookmarkStart w:id="607" w:name="_Toc164608655"/>
      <w:r/>
      <w:bookmarkStart w:id="608" w:name="_Toc151190168"/>
      <w:r/>
      <w:bookmarkStart w:id="609" w:name="_Toc127161455"/>
      <w:r/>
      <w:bookmarkStart w:id="610" w:name="_Toc264969231"/>
      <w:r/>
      <w:bookmarkStart w:id="611" w:name="_Toc305158809"/>
      <w:r/>
      <w:bookmarkStart w:id="612" w:name="_Toc142311043"/>
      <w:r/>
      <w:bookmarkStart w:id="613" w:name="_Toc226337237"/>
      <w:r/>
      <w:bookmarkStart w:id="614" w:name="_Toc164351635"/>
      <w:r/>
      <w:bookmarkStart w:id="615" w:name="_Toc151193855"/>
      <w:r/>
      <w:bookmarkStart w:id="616" w:name="_Toc151193711"/>
      <w:r/>
      <w:bookmarkStart w:id="617" w:name="_Toc265228379"/>
      <w:r/>
      <w:bookmarkStart w:id="618" w:name="_Toc150774641"/>
      <w:r/>
      <w:bookmarkStart w:id="619" w:name="_Toc195842906"/>
      <w:r/>
      <w:bookmarkStart w:id="620" w:name="_Toc151193639"/>
      <w:r/>
      <w:bookmarkStart w:id="621" w:name="_Toc150774746"/>
      <w:r/>
      <w:bookmarkStart w:id="622" w:name="_Toc149720834"/>
      <w:r/>
      <w:bookmarkStart w:id="623" w:name="_Toc353873935"/>
      <w:r/>
      <w:bookmarkStart w:id="624" w:name="_Toc265228393"/>
      <w:r/>
      <w:bookmarkStart w:id="625" w:name="_Toc150480793"/>
      <w:r/>
      <w:bookmarkStart w:id="626" w:name="_Toc353825551"/>
      <w:r/>
      <w:bookmarkStart w:id="627" w:name="_Toc353873941"/>
      <w:r/>
      <w:bookmarkStart w:id="628" w:name="_Toc226337251"/>
      <w:r/>
      <w:bookmarkStart w:id="629" w:name="_Toc353873665"/>
      <w:r/>
      <w:bookmarkStart w:id="630" w:name="_Toc142311057"/>
      <w:r/>
      <w:bookmarkStart w:id="631" w:name="_Toc305158897"/>
      <w:r/>
      <w:bookmarkStart w:id="632" w:name="_Toc127151555"/>
      <w:r/>
      <w:bookmarkStart w:id="633" w:name="_Toc264969245"/>
      <w:r/>
      <w:bookmarkStart w:id="634" w:name="_Toc353825545"/>
      <w:r/>
      <w:bookmarkStart w:id="635" w:name="_Toc150774760"/>
      <w:r/>
      <w:bookmarkStart w:id="636" w:name="_Toc195842920"/>
      <w:r/>
      <w:bookmarkStart w:id="637" w:name="_Toc305158823"/>
      <w:r/>
      <w:bookmarkStart w:id="638" w:name="_Toc226965828"/>
      <w:r>
        <w:rPr>
          <w:rFonts w:hint="eastAsia" w:ascii="宋体" w:hAnsi="宋体" w:cs="宋体"/>
          <w:b/>
          <w:color w:val="000000"/>
          <w:sz w:val="24"/>
          <w:highlight w:val="none"/>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color w:val="000000"/>
          <w:sz w:val="24"/>
          <w:highlight w:val="none"/>
        </w:rPr>
        <w:t xml:space="preserve">资格性检查和符合性审查</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《资格性检查要求》见下表：</w:t>
      </w:r>
      <w:r>
        <w:rPr>
          <w:rFonts w:hint="eastAsia" w:ascii="宋体" w:hAnsi="宋体" w:cs="宋体"/>
          <w:color w:val="000000"/>
          <w:sz w:val="24"/>
          <w:highlight w:val="none"/>
        </w:rPr>
      </w:r>
      <w:r/>
    </w:p>
    <w:p>
      <w:pPr>
        <w:pStyle w:val="1014"/>
        <w:ind w:left="1077" w:firstLine="2650"/>
        <w:spacing w:line="360" w:lineRule="auto"/>
        <w:tabs>
          <w:tab w:val="left" w:pos="900" w:leader="none"/>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资格性检查要求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color w:val="000000"/>
                <w:sz w:val="24"/>
                <w:highlight w:val="none"/>
              </w:rPr>
            </w:pPr>
            <w:r/>
            <w:bookmarkStart w:id="639" w:name="_Hlt487972895"/>
            <w:r/>
            <w:bookmarkEnd w:id="63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13" w:type="dxa"/>
            <w:vAlign w:val="center"/>
            <w:textDirection w:val="lrTb"/>
            <w:noWrap w:val="false"/>
          </w:tcPr>
          <w:p>
            <w:pPr>
              <w:pStyle w:val="101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637" w:type="dxa"/>
            <w:vAlign w:val="center"/>
            <w:textDirection w:val="lrTb"/>
            <w:noWrap w:val="false"/>
          </w:tcPr>
          <w:p>
            <w:pPr>
              <w:pStyle w:val="101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3" w:type="dxa"/>
            <w:vAlign w:val="center"/>
            <w:textDirection w:val="lrTb"/>
            <w:noWrap w:val="false"/>
          </w:tcPr>
          <w:p>
            <w:pPr>
              <w:pStyle w:val="101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具体规定见第一章《采购邀请》</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p>
          <w:p>
            <w:pPr>
              <w:pStyle w:val="101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101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rPr>
                <w:rFonts w:hint="eastAsia" w:ascii="宋体" w:hAnsi="宋体" w:cs="宋体"/>
                <w:color w:val="000000"/>
                <w:sz w:val="24"/>
                <w:highlight w:val="none"/>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具体要求见第一章《采购邀请》</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如有，见第一章《采购邀请》</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如有，见第一章《采购邀请》</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第一章《采购邀请》</w:t>
            </w:r>
            <w:r>
              <w:rPr>
                <w:rFonts w:hint="eastAsia" w:ascii="宋体" w:hAnsi="宋体" w:cs="宋体"/>
                <w:color w:val="000000"/>
                <w:sz w:val="24"/>
                <w:highlight w:val="none"/>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14"/>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《符合性审查要求》见下表：</w:t>
      </w:r>
      <w:r>
        <w:rPr>
          <w:rFonts w:hint="eastAsia" w:ascii="宋体" w:hAnsi="宋体" w:cs="宋体"/>
          <w:color w:val="000000"/>
          <w:sz w:val="24"/>
          <w:highlight w:val="none"/>
        </w:rPr>
      </w:r>
      <w:r/>
    </w:p>
    <w:p>
      <w:pPr>
        <w:pStyle w:val="1014"/>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1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1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按磋商文件要求提供响应函、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未将一个采购包中的内容拆开响应；</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响应报价</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响应报价未</w:t>
            </w:r>
            <w:r>
              <w:rPr>
                <w:rFonts w:hint="eastAsia" w:ascii="宋体" w:hAnsi="宋体" w:cs="宋体"/>
                <w:color w:val="000000"/>
                <w:sz w:val="24"/>
                <w:highlight w:val="none"/>
              </w:rPr>
              <w:t xml:space="preserve">超过磋商文件中规定的项目/采购包预算金额或者项目/采购包最高限价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响应文件未</w:t>
            </w:r>
            <w:r>
              <w:rPr>
                <w:rFonts w:hint="eastAsia" w:ascii="宋体" w:hAnsi="宋体" w:cs="宋体"/>
                <w:color w:val="000000"/>
                <w:sz w:val="24"/>
                <w:highlight w:val="none"/>
              </w:rPr>
              <w:t xml:space="preserve">出现可选择性或可调整的报价（磋商文件另有规定的除外）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响应文件中承诺的响应有效期满足磋商文件中载明的响应有效期的；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按照磋商文件要求签署、加盖公章的；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标记为“实质性格式”的文件均按磋商文件要求提供；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响应文件满足磋商文件</w:t>
            </w:r>
            <w:r>
              <w:rPr>
                <w:rFonts w:hint="eastAsia" w:ascii="宋体" w:hAnsi="宋体" w:cs="宋体"/>
                <w:color w:val="000000"/>
                <w:sz w:val="24"/>
                <w:highlight w:val="none"/>
              </w:rPr>
              <w:t xml:space="preserve">第四章《采购需求》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分包承担主体具备《供应商须知资料表》载明的资质条件且提供了资质证书电子件（如有）；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按磋商文件规定签订并提供分包意向协议原件的电子件的；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不涉及报价修正，或响应文件报价出现前后不一致时，供应商对修正后的报价予以确认；（如有）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磋商文件不接受进口产品响应的内容时，供应商所投产品非进口产品的；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2）响应产品如涉及计算机信息系统安全专用产品的，须提供公安部颁发的计算机信息系统安全专用产品销售许可证；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不存在《政府采购货物和服务招标响应管理办法》视为供应商串通响应的情形：</w:t>
            </w:r>
            <w:r>
              <w:rPr>
                <w:rFonts w:ascii="宋体" w:hAnsi="宋体" w:cs="宋体"/>
                <w:color w:val="000000"/>
                <w:sz w:val="24"/>
                <w:highlight w:val="none"/>
              </w:rPr>
            </w:r>
            <w:r/>
          </w:p>
          <w:p>
            <w:pPr>
              <w:pStyle w:val="1014"/>
              <w:jc w:val="left"/>
              <w:widowControl/>
              <w:rPr>
                <w:rFonts w:ascii="宋体" w:hAnsi="宋体" w:cs="宋体"/>
                <w:color w:val="000000"/>
                <w:sz w:val="24"/>
                <w:highlight w:val="none"/>
              </w:rPr>
            </w:pPr>
            <w:r>
              <w:rPr>
                <w:rFonts w:hint="eastAsia" w:ascii="宋体" w:hAnsi="宋体" w:cs="宋体"/>
                <w:color w:val="000000"/>
                <w:sz w:val="24"/>
                <w:highlight w:val="none"/>
              </w:rPr>
              <w:t xml:space="preserve">（一）不同供应商的响应文件由同一单位或者个人编制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4"/>
              <w:jc w:val="left"/>
              <w:widowControl/>
              <w:rPr>
                <w:rFonts w:ascii="宋体" w:hAnsi="宋体" w:cs="宋体"/>
                <w:color w:val="000000"/>
                <w:sz w:val="24"/>
                <w:highlight w:val="none"/>
              </w:rPr>
            </w:pPr>
            <w:r>
              <w:rPr>
                <w:rFonts w:hint="eastAsia" w:ascii="宋体" w:hAnsi="宋体" w:cs="宋体"/>
                <w:color w:val="000000"/>
                <w:sz w:val="24"/>
                <w:highlight w:val="none"/>
              </w:rPr>
              <w:t xml:space="preserve">（二）不同供应商委托同一单位或者个人办理响应事宜</w:t>
            </w:r>
            <w:bookmarkStart w:id="640" w:name="OLE_LINK8"/>
            <w:r/>
            <w:bookmarkStart w:id="641" w:name="OLE_LINK9"/>
            <w:r>
              <w:rPr>
                <w:rFonts w:hint="eastAsia" w:ascii="宋体" w:hAnsi="宋体" w:cs="宋体"/>
                <w:color w:val="000000"/>
                <w:sz w:val="24"/>
                <w:highlight w:val="none"/>
              </w:rPr>
              <w:t xml:space="preserve">（包含使用同一MAC地址的计算机提交或者解密电子响应文件的情形）</w:t>
            </w:r>
            <w:bookmarkEnd w:id="640"/>
            <w:r/>
            <w:bookmarkEnd w:id="641"/>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4"/>
              <w:jc w:val="left"/>
              <w:widowControl/>
              <w:rPr>
                <w:rFonts w:ascii="宋体" w:hAnsi="宋体" w:cs="宋体"/>
                <w:color w:val="000000"/>
                <w:sz w:val="24"/>
                <w:highlight w:val="none"/>
              </w:rPr>
            </w:pPr>
            <w:r>
              <w:rPr>
                <w:rFonts w:hint="eastAsia" w:ascii="宋体" w:hAnsi="宋体" w:cs="宋体"/>
                <w:color w:val="000000"/>
                <w:sz w:val="24"/>
                <w:highlight w:val="none"/>
              </w:rPr>
              <w:t xml:space="preserve">（三）不同供应商的响应文件载明的项目管理成员或者联系人员为同一人；</w:t>
            </w:r>
            <w:r>
              <w:rPr>
                <w:rFonts w:ascii="宋体" w:hAnsi="宋体" w:cs="宋体"/>
                <w:color w:val="000000"/>
                <w:sz w:val="24"/>
                <w:highlight w:val="none"/>
              </w:rPr>
            </w:r>
            <w:r/>
          </w:p>
          <w:p>
            <w:pPr>
              <w:pStyle w:val="1014"/>
              <w:jc w:val="left"/>
              <w:widowControl/>
              <w:rPr>
                <w:rFonts w:ascii="宋体" w:hAnsi="宋体" w:cs="宋体"/>
                <w:color w:val="000000"/>
                <w:sz w:val="24"/>
                <w:highlight w:val="none"/>
              </w:rPr>
            </w:pPr>
            <w:r>
              <w:rPr>
                <w:rFonts w:hint="eastAsia" w:ascii="宋体" w:hAnsi="宋体" w:cs="宋体"/>
                <w:color w:val="000000"/>
                <w:sz w:val="24"/>
                <w:highlight w:val="none"/>
              </w:rPr>
              <w:t xml:space="preserve">（四）不同供应商的响应文件异常一致或者响应报价呈规律性差异；（五）不同供应商的响应文件相互混装；</w:t>
            </w:r>
            <w:r>
              <w:rPr>
                <w:rFonts w:ascii="宋体" w:hAnsi="宋体" w:cs="宋体"/>
                <w:color w:val="000000"/>
                <w:sz w:val="24"/>
                <w:highlight w:val="none"/>
              </w:rPr>
            </w:r>
            <w:r/>
          </w:p>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（六）不同供应商的响应保证金从同一单位或者个人的账户转出；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1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供应商、响应文件不存在不符合法律、法规和磋商文件规定的其他无效情形。</w:t>
            </w:r>
            <w:r>
              <w:rPr>
                <w:rFonts w:hint="eastAsia" w:ascii="宋体" w:hAnsi="宋体" w:cs="宋体"/>
                <w:color w:val="000000"/>
                <w:sz w:val="24"/>
                <w:highlight w:val="none"/>
              </w:rPr>
            </w: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磋商、响应文件有关事项的澄清、说明或者更正和最终报价</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磋商小组所有成员应当集中与单一供应商分别进行磋商，并给予所有参加磋商的供应商平等的磋商机会。</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对磋商文件作出的实质性变动是磋商文件的有效组成部分，磋商小组应当及时</w:t>
      </w:r>
      <w:r>
        <w:rPr>
          <w:rFonts w:hint="eastAsia" w:ascii="宋体" w:hAnsi="宋体" w:cs="宋体"/>
          <w:color w:val="000000"/>
          <w:sz w:val="24"/>
          <w:highlight w:val="none"/>
        </w:rPr>
        <w:t xml:space="preserve">通过政府采购一体化平台“苏采云”系统</w:t>
      </w:r>
      <w:r>
        <w:rPr>
          <w:rFonts w:hint="eastAsia" w:ascii="宋体" w:hAnsi="宋体" w:cs="宋体"/>
          <w:color w:val="000000"/>
          <w:sz w:val="24"/>
          <w:highlight w:val="none"/>
        </w:rPr>
        <w:t xml:space="preserve">以书面形式同时通知所有参加磋商的供应商。</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响应文件的澄清、说明或者更正：</w:t>
      </w:r>
      <w:r>
        <w:rPr>
          <w:rFonts w:hint="eastAsia" w:ascii="宋体" w:hAnsi="宋体" w:cs="宋体"/>
          <w:color w:val="000000"/>
          <w:sz w:val="24"/>
          <w:highlight w:val="none"/>
        </w:rPr>
      </w: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color w:val="000000"/>
          <w:sz w:val="24"/>
          <w:highlight w:val="none"/>
        </w:rPr>
      </w: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磋商结束后，磋商小组将要求所有实质性响应的供应商在规定时间内通过政府采购一体化平台“苏采云”系统提交最终报价。</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bookmarkStart w:id="642" w:name="OLE_LINK11"/>
      <w:r/>
      <w:bookmarkStart w:id="643" w:name="OLE_LINK10"/>
      <w:r>
        <w:rPr>
          <w:rFonts w:hint="eastAsia" w:ascii="宋体" w:hAnsi="宋体" w:cs="宋体"/>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bookmarkEnd w:id="642"/>
      <w:r/>
      <w:bookmarkEnd w:id="643"/>
      <w:r>
        <w:rPr>
          <w:rFonts w:hint="eastAsia" w:ascii="宋体" w:hAnsi="宋体" w:cs="宋体"/>
          <w:color w:val="000000"/>
          <w:sz w:val="24"/>
          <w:highlight w:val="none"/>
        </w:rPr>
        <w:t xml:space="preserve">最终报价是供</w:t>
      </w:r>
      <w:r>
        <w:rPr>
          <w:rFonts w:hint="eastAsia" w:ascii="宋体" w:hAnsi="宋体" w:cs="宋体"/>
          <w:color w:val="000000"/>
          <w:sz w:val="24"/>
          <w:highlight w:val="none"/>
        </w:rPr>
        <w:t xml:space="preserve">应商响应文件的有效组成部分。</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已提交响应文件的供应商，在提交最终报价之前，可以根据磋商情况退出磋商。</w:t>
      </w:r>
      <w:r>
        <w:rPr>
          <w:rFonts w:hint="eastAsia" w:ascii="宋体" w:hAnsi="宋体" w:cs="宋体"/>
          <w:color w:val="000000"/>
          <w:sz w:val="24"/>
          <w:highlight w:val="none"/>
        </w:rPr>
      </w:r>
      <w:r/>
    </w:p>
    <w:p>
      <w:pPr>
        <w:pStyle w:val="1014"/>
        <w:numPr>
          <w:ilvl w:val="1"/>
          <w:numId w:val="10"/>
        </w:numPr>
        <w:ind w:left="0" w:firstLine="420"/>
        <w:spacing w:line="360" w:lineRule="auto"/>
        <w:tabs>
          <w:tab w:val="left" w:pos="0" w:leader="none"/>
          <w:tab w:val="left" w:pos="420" w:leader="none"/>
        </w:tabs>
        <w:rPr>
          <w:rFonts w:ascii="宋体" w:hAnsi="宋体" w:cs="宋体"/>
          <w:color w:val="000000"/>
          <w:sz w:val="24"/>
          <w:highlight w:val="none"/>
        </w:rPr>
      </w:pPr>
      <w:r>
        <w:rPr>
          <w:rFonts w:hint="eastAsia" w:ascii="宋体" w:hAnsi="宋体" w:cs="宋体"/>
          <w:color w:val="000000"/>
          <w:sz w:val="24"/>
          <w:highlight w:val="none"/>
        </w:rPr>
        <w:t xml:space="preserve">评审过程中出现下列情形之一的，磋商小组应当启动异常低价响应审查程序：</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响应报价低于全部通过符合性审查供应商响应报价平均值50%的，即响应报价＜全部通过符合性审查供应商响应报价平均值×50%；</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响应报价低于采购项目最高限价45%的，即响应报价＜采购项目最高限价×45%；</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磋商小组基于专业判断，认为供应商报价过低，有可能影响产品质量或者不能诚信履约的其他情形。</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磋商小组启动异常低价响应审查后，</w:t>
      </w:r>
      <w:r>
        <w:rPr>
          <w:rFonts w:hint="eastAsia" w:ascii="宋体" w:hAnsi="宋体" w:cs="宋体"/>
          <w:color w:val="000000"/>
          <w:sz w:val="24"/>
          <w:highlight w:val="none"/>
        </w:rPr>
        <w:t xml:space="preserve">属于前述第1项至第4项情形的，应当要求</w:t>
      </w:r>
      <w:r>
        <w:rPr>
          <w:rFonts w:hint="eastAsia" w:ascii="宋体" w:hAnsi="宋体" w:cs="宋体"/>
          <w:color w:val="000000"/>
          <w:sz w:val="24"/>
          <w:highlight w:val="none"/>
        </w:rPr>
        <w:t xml:space="preserve">相关</w:t>
      </w:r>
      <w:r>
        <w:rPr>
          <w:rFonts w:hint="eastAsia" w:ascii="宋体" w:hAnsi="宋体" w:cs="宋体"/>
          <w:color w:val="000000"/>
          <w:sz w:val="24"/>
          <w:highlight w:val="none"/>
        </w:rPr>
        <w:t xml:space="preserve">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磋商小组依据专业经验，参考同类项目中标（成交）价格、类似产品市场价格</w:t>
      </w:r>
      <w:r>
        <w:rPr>
          <w:rFonts w:hint="eastAsia" w:ascii="宋体" w:hAnsi="宋体" w:cs="宋体"/>
          <w:color w:val="000000"/>
          <w:sz w:val="24"/>
          <w:highlight w:val="none"/>
        </w:rPr>
        <w:t xml:space="preserve">水平</w:t>
      </w:r>
      <w:r>
        <w:rPr>
          <w:rFonts w:hint="eastAsia" w:ascii="宋体" w:hAnsi="宋体" w:cs="宋体"/>
          <w:color w:val="000000"/>
          <w:sz w:val="24"/>
          <w:highlight w:val="none"/>
        </w:rPr>
        <w:t xml:space="preserve">、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最终报价的算术修正及政策调整</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w:t>
      </w:r>
      <w:r>
        <w:rPr>
          <w:rFonts w:hint="eastAsia" w:ascii="宋体" w:hAnsi="宋体" w:cs="宋体"/>
          <w:color w:val="000000"/>
          <w:sz w:val="24"/>
          <w:highlight w:val="none"/>
        </w:rPr>
        <w:t xml:space="preserve">，供应商不确认的，视为将一个采购包中的内容拆开响应，其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■无，按下述3.2.2-3.2.5项规定修正。</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w:t>
      </w:r>
      <w:r>
        <w:rPr>
          <w:rFonts w:hint="eastAsia" w:ascii="宋体" w:hAnsi="宋体" w:cs="宋体"/>
          <w:color w:val="000000"/>
          <w:sz w:val="24"/>
          <w:highlight w:val="none"/>
        </w:rPr>
        <w:t xml:space="preserve">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落实政府采购政策的价格调整：只有符合第二章《供应商须知》4.2、4.9条规定情形的，可以享受政府采购价格扶持政策，用扣除后的价格参加评审；否则，评审时价格不予扣除。</w:t>
      </w:r>
      <w:r>
        <w:rPr>
          <w:rFonts w:hint="eastAsia" w:ascii="宋体" w:hAnsi="宋体" w:cs="宋体"/>
          <w:color w:val="000000"/>
          <w:sz w:val="24"/>
          <w:highlight w:val="none"/>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w:t>
      </w:r>
      <w:r>
        <w:rPr>
          <w:rFonts w:hint="eastAsia" w:ascii="宋体" w:hAnsi="宋体" w:cs="宋体"/>
          <w:b/>
          <w:bCs/>
          <w:color w:val="000000"/>
          <w:sz w:val="24"/>
          <w:highlight w:val="none"/>
        </w:rPr>
        <w:t xml:space="preserve">扣除</w:t>
      </w:r>
      <w:r>
        <w:rPr>
          <w:rFonts w:hint="eastAsia" w:ascii="宋体" w:hAnsi="宋体" w:cs="宋体"/>
          <w:b/>
          <w:bCs/>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30%以上的联合体或者大中型企业的报价给予3%的扣除，用扣除后的价格参加评审。</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残疾人福利性单位按竞争性磋商文件要求提供了《残疾人福利性单位声明函》（见附件）的，视同小微企业。</w:t>
      </w:r>
      <w:r>
        <w:rPr>
          <w:rFonts w:hint="eastAsia" w:ascii="宋体" w:hAnsi="宋体" w:cs="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若供应商同时属于小型或微型企业、监狱企业、残疾人福利性单位中的两种及以</w:t>
      </w:r>
      <w:r>
        <w:rPr>
          <w:rFonts w:hint="eastAsia" w:ascii="宋体" w:hAnsi="宋体" w:cs="宋体"/>
          <w:color w:val="000000"/>
          <w:sz w:val="24"/>
          <w:highlight w:val="none"/>
        </w:rPr>
        <w:t xml:space="preserve">上，将不重复享受小微企业价格扣减的优惠政策。</w:t>
      </w:r>
      <w:r>
        <w:rPr>
          <w:rFonts w:hint="eastAsia" w:ascii="宋体" w:hAnsi="宋体" w:cs="宋体"/>
          <w:color w:val="000000"/>
          <w:sz w:val="24"/>
          <w:highlight w:val="none"/>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sz w:val="24"/>
          <w:highlight w:val="none"/>
        </w:rPr>
      </w:pPr>
      <w:r>
        <w:rPr>
          <w:rFonts w:hint="eastAsia" w:ascii="宋体" w:hAnsi="宋体"/>
          <w:b/>
          <w:bCs/>
          <w:color w:val="000000"/>
          <w:sz w:val="24"/>
          <w:highlight w:val="none"/>
        </w:rPr>
        <w:t xml:space="preserve"> </w:t>
      </w:r>
      <w:bookmarkStart w:id="644" w:name="_Hlk231817212"/>
      <w:r>
        <w:rPr>
          <w:rFonts w:hint="eastAsia" w:ascii="宋体" w:hAnsi="宋体"/>
          <w:b/>
          <w:bCs/>
          <w:color w:val="000000"/>
          <w:sz w:val="24"/>
          <w:highlight w:val="none"/>
        </w:rPr>
        <w:t xml:space="preserve">采购本国产品的支持政策</w:t>
      </w:r>
      <w:bookmarkEnd w:id="644"/>
      <w:r>
        <w:rPr>
          <w:rFonts w:hint="eastAsia" w:ascii="宋体" w:hAnsi="宋体"/>
          <w:b/>
          <w:bCs/>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 供应商需按照招标文件的要求提供《关于符合本国产品标准的声明函》（以下简称《声明函》），如不提供将不享受本国产品价格评审优惠。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其他为落实政府采购政策实施的优先采购：</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磋商环节及提交最终报价后如出现以下情况的</w:t>
      </w:r>
      <w:r>
        <w:rPr>
          <w:rFonts w:hint="eastAsia" w:ascii="宋体" w:hAnsi="宋体" w:cs="宋体"/>
          <w:color w:val="000000"/>
          <w:sz w:val="24"/>
          <w:highlight w:val="none"/>
        </w:rPr>
        <w:t xml:space="preserve">，供应商的</w:t>
      </w:r>
      <w:r>
        <w:rPr>
          <w:rFonts w:hint="eastAsia" w:ascii="宋体" w:hAnsi="宋体" w:cs="宋体"/>
          <w:b/>
          <w:color w:val="000000"/>
          <w:sz w:val="24"/>
          <w:highlight w:val="none"/>
        </w:rPr>
        <w:t xml:space="preserve">响应文件无效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bookmarkEnd w:id="626"/>
      <w:r/>
      <w:bookmarkEnd w:id="627"/>
      <w:r>
        <w:rPr>
          <w:rFonts w:hint="eastAsia" w:ascii="宋体" w:hAnsi="宋体" w:cs="宋体"/>
          <w:b/>
          <w:color w:val="000000"/>
          <w:sz w:val="24"/>
          <w:highlight w:val="none"/>
        </w:rPr>
        <w:t xml:space="preserve">评审方法和评审标准</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645" w:name="_Toc127151747"/>
      <w:r/>
      <w:bookmarkStart w:id="646" w:name="_Toc164351640"/>
      <w:r/>
      <w:bookmarkStart w:id="647" w:name="_Toc520356170"/>
      <w:r/>
      <w:bookmarkStart w:id="648" w:name="_Toc150509297"/>
      <w:r/>
      <w:bookmarkStart w:id="649" w:name="_Toc151190173"/>
      <w:r/>
      <w:bookmarkStart w:id="650" w:name="_Toc127151546"/>
      <w:r/>
      <w:bookmarkStart w:id="651" w:name="_Toc164229241"/>
      <w:r/>
      <w:bookmarkStart w:id="652" w:name="_Toc264969236"/>
      <w:r/>
      <w:bookmarkStart w:id="653" w:name="_Toc151193644"/>
      <w:r/>
      <w:bookmarkStart w:id="654" w:name="_Toc127161460"/>
      <w:r/>
      <w:bookmarkStart w:id="655" w:name="_Toc142311048"/>
      <w:r/>
      <w:bookmarkStart w:id="656" w:name="_Toc164229387"/>
      <w:r/>
      <w:bookmarkStart w:id="657" w:name="_Toc150774646"/>
      <w:r/>
      <w:bookmarkStart w:id="658" w:name="_Toc226337242"/>
      <w:r/>
      <w:bookmarkStart w:id="659" w:name="_Toc305158888"/>
      <w:r/>
      <w:bookmarkStart w:id="660" w:name="_Ref467307010"/>
      <w:r/>
      <w:bookmarkStart w:id="661" w:name="_Toc164608815"/>
      <w:r/>
      <w:bookmarkStart w:id="662" w:name="_Toc226309790"/>
      <w:r/>
      <w:bookmarkStart w:id="663" w:name="_Toc226965819"/>
      <w:r/>
      <w:bookmarkStart w:id="664" w:name="_Toc151193860"/>
      <w:r/>
      <w:bookmarkStart w:id="665" w:name="_Toc150480784"/>
      <w:r/>
      <w:bookmarkStart w:id="666" w:name="_Toc226965736"/>
      <w:r/>
      <w:bookmarkStart w:id="667" w:name="_Toc151193716"/>
      <w:r/>
      <w:bookmarkStart w:id="668" w:name="_Toc164608660"/>
      <w:r/>
      <w:bookmarkStart w:id="669" w:name="_Toc150774751"/>
      <w:r/>
      <w:bookmarkStart w:id="670" w:name="_Toc195842911"/>
      <w:r/>
      <w:bookmarkStart w:id="671" w:name="_Toc151193934"/>
      <w:r/>
      <w:bookmarkStart w:id="672" w:name="_Toc151193788"/>
      <w:r/>
      <w:bookmarkStart w:id="673" w:name="_Toc305158814"/>
      <w:r/>
      <w:bookmarkStart w:id="674" w:name="_Toc149720839"/>
      <w:r/>
      <w:bookmarkStart w:id="675" w:name="_Toc265228384"/>
      <w:r>
        <w:rPr>
          <w:rFonts w:hint="eastAsia" w:ascii="宋体" w:hAnsi="宋体" w:cs="宋体"/>
          <w:b/>
          <w:color w:val="000000"/>
          <w:sz w:val="24"/>
          <w:highlight w:val="none"/>
        </w:rPr>
        <w:t xml:space="preserve">成交候选人名单</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sz w:val="24"/>
          <w:highlight w:val="none"/>
        </w:rPr>
        <w:br w:type="page" w:clear="all"/>
      </w:r>
      <w:r>
        <w:rPr>
          <w:b/>
          <w:color w:val="000000"/>
          <w:sz w:val="24"/>
          <w:highlight w:val="none"/>
        </w:rPr>
      </w:r>
      <w:r/>
    </w:p>
    <w:p>
      <w:pPr>
        <w:pStyle w:val="1016"/>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p>
      <w:pPr>
        <w:pStyle w:val="1014"/>
        <w:spacing w:line="360" w:lineRule="auto"/>
        <w:tabs>
          <w:tab w:val="left" w:pos="360" w:leader="none"/>
          <w:tab w:val="left" w:pos="900" w:leader="none"/>
          <w:tab w:val="left" w:pos="1080" w:leader="none"/>
          <w:tab w:val="left" w:pos="2014" w:leader="none"/>
        </w:tabs>
        <w:rPr>
          <w:color w:val="000000"/>
          <w:sz w:val="24"/>
          <w:highlight w:val="none"/>
        </w:rPr>
      </w:pPr>
      <w:r>
        <w:rPr>
          <w:color w:val="000000"/>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415"/>
        <w:gridCol w:w="873"/>
        <w:gridCol w:w="3838"/>
        <w:gridCol w:w="2366"/>
      </w:tblGrid>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ascii="宋体" w:hAnsi="宋体" w:eastAsia="宋体" w:cs="宋体"/>
                <w:b/>
                <w:color w:val="000000"/>
                <w:sz w:val="24"/>
                <w:highlight w:val="none"/>
              </w:rPr>
            </w:r>
            <w:r/>
          </w:p>
        </w:tc>
        <w:tc>
          <w:tcPr>
            <w:tcW w:w="762" w:type="dxa"/>
            <w:vAlign w:val="center"/>
            <w:textDirection w:val="lrTb"/>
            <w:noWrap w:val="false"/>
          </w:tcPr>
          <w:p>
            <w:pPr>
              <w:pStyle w:val="1014"/>
              <w:ind w:firstLine="28"/>
              <w:jc w:val="center"/>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评分因素</w:t>
            </w:r>
            <w:r>
              <w:rPr>
                <w:rFonts w:ascii="宋体" w:hAnsi="宋体" w:eastAsia="宋体" w:cs="宋体"/>
                <w:b/>
                <w:color w:val="000000"/>
                <w:sz w:val="24"/>
                <w:highlight w:val="none"/>
              </w:rPr>
            </w:r>
            <w:r/>
          </w:p>
        </w:tc>
        <w:tc>
          <w:tcPr>
            <w:tcW w:w="470" w:type="dxa"/>
            <w:vAlign w:val="center"/>
            <w:textDirection w:val="lrTb"/>
            <w:noWrap w:val="false"/>
          </w:tcPr>
          <w:p>
            <w:pPr>
              <w:pStyle w:val="1014"/>
              <w:ind w:firstLine="28"/>
              <w:jc w:val="center"/>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rPr>
                <w:rFonts w:ascii="宋体" w:hAnsi="宋体" w:eastAsia="宋体" w:cs="宋体"/>
                <w:b/>
                <w:color w:val="000000"/>
                <w:sz w:val="24"/>
                <w:highlight w:val="none"/>
              </w:rPr>
            </w:r>
            <w:r/>
          </w:p>
        </w:tc>
        <w:tc>
          <w:tcPr>
            <w:tcW w:w="2067" w:type="dxa"/>
            <w:vAlign w:val="center"/>
            <w:textDirection w:val="lrTb"/>
            <w:noWrap w:val="false"/>
          </w:tcPr>
          <w:p>
            <w:pPr>
              <w:pStyle w:val="1014"/>
              <w:ind w:firstLine="28"/>
              <w:jc w:val="center"/>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评分标准</w:t>
            </w:r>
            <w:r>
              <w:rPr>
                <w:rFonts w:ascii="宋体" w:hAnsi="宋体" w:eastAsia="宋体" w:cs="宋体"/>
                <w:b/>
                <w:color w:val="000000"/>
                <w:sz w:val="24"/>
                <w:highlight w:val="none"/>
              </w:rPr>
            </w:r>
            <w:r/>
          </w:p>
        </w:tc>
        <w:tc>
          <w:tcPr>
            <w:tcW w:w="1274" w:type="dxa"/>
            <w:vAlign w:val="center"/>
            <w:textDirection w:val="lrTb"/>
            <w:noWrap w:val="false"/>
          </w:tcPr>
          <w:p>
            <w:pPr>
              <w:pStyle w:val="1260"/>
              <w:spacing w:before="0" w:after="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rPr>
                <w:rFonts w:ascii="宋体" w:hAnsi="宋体" w:eastAsia="宋体" w:cs="宋体"/>
                <w:color w:val="000000"/>
                <w:szCs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ascii="宋体" w:hAnsi="宋体" w:eastAsia="宋体" w:cs="宋体"/>
                <w:b/>
                <w:color w:val="000000"/>
                <w:sz w:val="24"/>
                <w:highlight w:val="none"/>
              </w:rPr>
            </w:r>
            <w:r/>
          </w:p>
        </w:tc>
        <w:tc>
          <w:tcPr>
            <w:tcW w:w="762"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价格分</w:t>
            </w:r>
            <w:r>
              <w:rPr>
                <w:rFonts w:ascii="宋体" w:hAnsi="宋体" w:eastAsia="宋体" w:cs="宋体"/>
                <w:color w:val="000000"/>
                <w:sz w:val="24"/>
                <w:highlight w:val="none"/>
              </w:rPr>
            </w:r>
            <w:r/>
          </w:p>
        </w:tc>
        <w:tc>
          <w:tcPr>
            <w:tcW w:w="470"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10</w:t>
            </w:r>
            <w:r>
              <w:rPr>
                <w:rFonts w:ascii="宋体" w:hAnsi="宋体" w:eastAsia="宋体" w:cs="宋体"/>
                <w:color w:val="000000"/>
                <w:sz w:val="24"/>
                <w:highlight w:val="none"/>
              </w:rPr>
            </w:r>
            <w:r/>
          </w:p>
        </w:tc>
        <w:tc>
          <w:tcPr>
            <w:tcW w:w="2067" w:type="dxa"/>
            <w:vAlign w:val="center"/>
            <w:textDirection w:val="lrTb"/>
            <w:noWrap w:val="false"/>
          </w:tcPr>
          <w:p>
            <w:pPr>
              <w:pStyle w:val="1014"/>
              <w:rPr>
                <w:rFonts w:ascii="宋体" w:hAnsi="宋体"/>
                <w:color w:val="000000"/>
                <w:sz w:val="24"/>
                <w:highlight w:val="none"/>
              </w:rPr>
            </w:pPr>
            <w:r>
              <w:rPr>
                <w:rFonts w:ascii="宋体" w:hAnsi="宋体"/>
                <w:color w:val="000000"/>
                <w:sz w:val="24"/>
                <w:highlight w:val="none"/>
              </w:rPr>
              <w:t xml:space="preserve">满足磋商文件要求且</w:t>
            </w:r>
            <w:r>
              <w:rPr>
                <w:rFonts w:hint="eastAsia" w:ascii="宋体" w:hAnsi="宋体"/>
                <w:color w:val="000000"/>
                <w:sz w:val="24"/>
                <w:highlight w:val="none"/>
              </w:rPr>
              <w:t xml:space="preserve">最终报价</w:t>
            </w:r>
            <w:r>
              <w:rPr>
                <w:rFonts w:ascii="宋体" w:hAnsi="宋体"/>
                <w:color w:val="000000"/>
                <w:sz w:val="24"/>
                <w:highlight w:val="none"/>
              </w:rPr>
              <w:t xml:space="preserve">最低的为评标基准价，其价格分为满分。其他供应商的价格分统一按照下列公式计算：</w:t>
            </w:r>
            <w:r>
              <w:rPr>
                <w:rFonts w:ascii="宋体" w:hAnsi="宋体"/>
                <w:color w:val="000000"/>
                <w:sz w:val="24"/>
                <w:highlight w:val="none"/>
              </w:rPr>
            </w:r>
            <w:r/>
          </w:p>
          <w:p>
            <w:pPr>
              <w:pStyle w:val="1014"/>
              <w:rPr>
                <w:rFonts w:ascii="宋体" w:hAnsi="宋体" w:eastAsia="宋体" w:cs="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t xml:space="preserve">得分＝（评标基准价/</w:t>
            </w:r>
            <w:r>
              <w:rPr>
                <w:rFonts w:hint="eastAsia" w:ascii="宋体" w:hAnsi="宋体"/>
                <w:color w:val="000000"/>
                <w:sz w:val="24"/>
                <w:highlight w:val="none"/>
              </w:rPr>
              <w:t xml:space="preserve">最终报价</w:t>
            </w:r>
            <w:r>
              <w:rPr>
                <w:rFonts w:ascii="宋体" w:hAnsi="宋体"/>
                <w:color w:val="000000"/>
                <w:sz w:val="24"/>
                <w:highlight w:val="none"/>
              </w:rPr>
              <w:t xml:space="preserve">）×分值。</w:t>
            </w:r>
            <w:r>
              <w:rPr>
                <w:rFonts w:ascii="宋体" w:hAnsi="宋体" w:eastAsia="宋体" w:cs="宋体"/>
                <w:color w:val="000000"/>
                <w:sz w:val="24"/>
                <w:highlight w:val="none"/>
              </w:rPr>
            </w:r>
            <w:r/>
          </w:p>
        </w:tc>
        <w:tc>
          <w:tcPr>
            <w:tcW w:w="1274" w:type="dxa"/>
            <w:vAlign w:val="center"/>
            <w:textDirection w:val="lrTb"/>
            <w:noWrap w:val="false"/>
          </w:tcPr>
          <w:p>
            <w:pPr>
              <w:pStyle w:val="1014"/>
              <w:ind w:left="-38"/>
              <w:rPr>
                <w:rFonts w:ascii="宋体" w:hAnsi="宋体" w:eastAsia="宋体" w:cs="宋体"/>
                <w:color w:val="000000"/>
                <w:sz w:val="24"/>
                <w:highlight w:val="none"/>
              </w:rPr>
            </w:pPr>
            <w:r>
              <w:rPr>
                <w:rFonts w:hint="eastAsia" w:ascii="宋体" w:hAnsi="宋体"/>
                <w:color w:val="000000"/>
                <w:sz w:val="24"/>
                <w:highlight w:val="none"/>
              </w:rPr>
              <w:t xml:space="preserve">此处最终报价指经过报价修正，及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最终报价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762"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主观分</w:t>
            </w:r>
            <w:r>
              <w:rPr>
                <w:rFonts w:ascii="宋体" w:hAnsi="宋体" w:eastAsia="宋体" w:cs="宋体"/>
                <w:color w:val="000000"/>
                <w:sz w:val="24"/>
                <w:highlight w:val="none"/>
              </w:rPr>
            </w:r>
            <w:r/>
          </w:p>
        </w:tc>
        <w:tc>
          <w:tcPr>
            <w:tcW w:w="470"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38</w:t>
            </w:r>
            <w:r>
              <w:rPr>
                <w:rFonts w:ascii="宋体" w:hAnsi="宋体" w:eastAsia="宋体" w:cs="宋体"/>
                <w:color w:val="000000"/>
                <w:sz w:val="24"/>
                <w:highlight w:val="none"/>
                <w:lang w:val="en-US" w:eastAsia="zh-CN"/>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ascii="宋体" w:hAnsi="宋体" w:eastAsia="宋体" w:cs="宋体"/>
                <w:color w:val="000000"/>
                <w:sz w:val="24"/>
                <w:highlight w:val="none"/>
              </w:rPr>
            </w:r>
            <w:r/>
          </w:p>
        </w:tc>
        <w:tc>
          <w:tcPr>
            <w:tcW w:w="762" w:type="dxa"/>
            <w:vAlign w:val="center"/>
            <w:textDirection w:val="lrTb"/>
            <w:noWrap w:val="false"/>
          </w:tcPr>
          <w:p>
            <w:pPr>
              <w:pStyle w:val="1014"/>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整体服务方案</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2067" w:type="dxa"/>
            <w:vAlign w:val="center"/>
            <w:textDirection w:val="lrTb"/>
            <w:noWrap w:val="false"/>
          </w:tcPr>
          <w:p>
            <w:pPr>
              <w:pStyle w:val="1014"/>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根据各供应商提供的整体服务方案（洗涤服务内容及范围、服务质量、更换标准等）进行综合评分</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内容科学合理、完整、切实可行的得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分；内容完整但科学合理及可行性欠缺的得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t xml:space="preserve">方案不全面，不具备可执行性的得</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w:t>
            </w:r>
            <w:r>
              <w:rPr>
                <w:rFonts w:ascii="宋体" w:hAnsi="宋体" w:eastAsia="宋体" w:cs="宋体"/>
                <w:color w:val="000000"/>
                <w:sz w:val="24"/>
                <w:highlight w:val="none"/>
              </w:rPr>
            </w:r>
            <w:r/>
          </w:p>
        </w:tc>
        <w:tc>
          <w:tcPr>
            <w:tcW w:w="762"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洗涤服务方案</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根据供应商提供的洗涤服务方案（清洗流程、高温消毒步骤等）进行综合评分</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内容科学合理、完整、切实可行的得</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分；内容完整但科学合理及可行性欠缺的得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t xml:space="preserve">方案不全面，不具备可执行性的得2分；</w:t>
            </w:r>
            <w:r>
              <w:rPr>
                <w:rFonts w:hint="eastAsia"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762"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质量保证</w:t>
            </w:r>
            <w:r>
              <w:rPr>
                <w:rFonts w:ascii="宋体" w:hAnsi="宋体" w:eastAsia="宋体" w:cs="宋体"/>
                <w:color w:val="000000"/>
                <w:sz w:val="24"/>
                <w:highlight w:val="none"/>
              </w:rPr>
              <w:t xml:space="preserve">措施</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根据各供应商提供的</w:t>
            </w:r>
            <w:r>
              <w:rPr>
                <w:rFonts w:hint="eastAsia" w:ascii="宋体" w:hAnsi="宋体" w:eastAsia="宋体" w:cs="宋体"/>
                <w:color w:val="000000"/>
                <w:sz w:val="24"/>
                <w:highlight w:val="none"/>
              </w:rPr>
              <w:t xml:space="preserve">质量保证</w:t>
            </w:r>
            <w:r>
              <w:rPr>
                <w:rFonts w:ascii="宋体" w:hAnsi="宋体" w:eastAsia="宋体" w:cs="宋体"/>
                <w:color w:val="000000"/>
                <w:sz w:val="24"/>
                <w:highlight w:val="none"/>
              </w:rPr>
              <w:t xml:space="preserve">措施</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针对本项目服务质量要求、日常工作要求等所作出的服务质量管理目标及承诺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进行综合评分</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内容科学合理、完整、切实可行的得</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分；内容完整但科学合理及可行性欠缺的得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t xml:space="preserve">方案不全面，不具备可执行性的得2分；</w:t>
            </w:r>
            <w:r>
              <w:rPr>
                <w:rFonts w:hint="eastAsia"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W w:w="762"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项目组织管理体系及管理规章制度</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根据各供应商提供的项目组织管理体系及管理规章制度进行综合评分</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方案全面、合理，具有针对性，科学合理具备可执行性的</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分；方案考虑的相对不够全面，但依旧具备可行性的得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分；方案不全面，不具备可执行性的得</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分；未提供不得分。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W w:w="762"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项目人员管理方案</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根据各供应商提供的</w:t>
            </w:r>
            <w:r>
              <w:rPr>
                <w:rFonts w:hint="eastAsia" w:ascii="宋体" w:hAnsi="宋体" w:eastAsia="宋体" w:cs="宋体"/>
                <w:color w:val="000000"/>
                <w:sz w:val="24"/>
                <w:highlight w:val="none"/>
              </w:rPr>
              <w:t xml:space="preserve">项目人员管理方案（</w:t>
            </w:r>
            <w:r>
              <w:rPr>
                <w:rFonts w:hint="eastAsia" w:ascii="宋体" w:hAnsi="宋体" w:eastAsia="宋体" w:cs="宋体"/>
                <w:color w:val="000000"/>
                <w:sz w:val="24"/>
                <w:highlight w:val="none"/>
              </w:rPr>
              <w:t xml:space="preserve">人员配备方案（从人员学历、职业资格、从业经验、年龄、劳动关系等方面考察）、人员录用、解聘、培训及考核方案）进行综合评分：人员岗位设置合理，专业技术力量强，组织架构清晰，职责划分合理到位的得 6分；岗位较合理，专业技术能力较强，组织架构比较清晰得4分；岗位设置简单，组织架构较清晰，职责划分含糊的得2分；未提供不得分。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w:t>
            </w:r>
            <w:r>
              <w:rPr>
                <w:rFonts w:ascii="宋体" w:hAnsi="宋体" w:eastAsia="宋体" w:cs="宋体"/>
                <w:color w:val="000000"/>
                <w:sz w:val="24"/>
                <w:highlight w:val="none"/>
              </w:rPr>
            </w:r>
            <w:r/>
          </w:p>
        </w:tc>
        <w:tc>
          <w:tcPr>
            <w:tcW w:w="762"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应急预案</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tabs>
                <w:tab w:val="left" w:pos="1200" w:leader="none"/>
              </w:tabs>
              <w:rPr>
                <w:rFonts w:ascii="宋体" w:hAnsi="宋体" w:eastAsia="宋体" w:cs="宋体"/>
                <w:color w:val="000000"/>
                <w:sz w:val="24"/>
                <w:highlight w:val="none"/>
              </w:rPr>
            </w:pPr>
            <w:r>
              <w:rPr>
                <w:rFonts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供应商针对本项目自行拟定方案，至少应包含紧急使用时的配送方案：对可能发生的应急情况分析深</w:t>
            </w:r>
            <w:r>
              <w:rPr>
                <w:rFonts w:ascii="宋体" w:hAnsi="宋体" w:eastAsia="宋体" w:cs="宋体"/>
                <w:color w:val="000000"/>
                <w:sz w:val="24"/>
                <w:highlight w:val="none"/>
              </w:rPr>
            </w:r>
            <w:r/>
          </w:p>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入，见解到位、全面、完善、防范及应对措施精细、准确，整体针对</w:t>
            </w:r>
            <w:r>
              <w:rPr>
                <w:rFonts w:ascii="宋体" w:hAnsi="宋体" w:eastAsia="宋体" w:cs="宋体"/>
                <w:color w:val="000000"/>
                <w:sz w:val="24"/>
                <w:highlight w:val="none"/>
              </w:rPr>
            </w:r>
            <w:r/>
          </w:p>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性强，得</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分；问题分析较为深入，应对措施可行，针对性较强得</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分；方案笼统、简单，应对措施缺乏合理性，针对性差得</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分；未提供不得分。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762"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客观分</w:t>
            </w:r>
            <w:r>
              <w:rPr>
                <w:rFonts w:ascii="宋体" w:hAnsi="宋体" w:eastAsia="宋体" w:cs="宋体"/>
                <w:color w:val="000000"/>
                <w:sz w:val="24"/>
                <w:highlight w:val="none"/>
              </w:rPr>
            </w:r>
            <w:r/>
          </w:p>
        </w:tc>
        <w:tc>
          <w:tcPr>
            <w:tcW w:w="470"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52</w:t>
            </w:r>
            <w:r>
              <w:rPr>
                <w:rFonts w:ascii="宋体" w:hAnsi="宋体" w:eastAsia="宋体" w:cs="宋体"/>
                <w:color w:val="000000"/>
                <w:sz w:val="24"/>
                <w:highlight w:val="none"/>
                <w:lang w:val="en-US" w:eastAsia="zh-CN"/>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认证情况</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供应商具有有效的质量管理体系认证证书、环境管理体系认证证书和职业健康安全管理体系认证证书的，每有一个证书得</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分，最高得</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提供证书复印件和国家认监委网站查询为有效状态的网页截图</w:t>
            </w: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感控</w:t>
            </w:r>
            <w:r>
              <w:rPr>
                <w:rFonts w:ascii="宋体" w:hAnsi="宋体" w:eastAsia="宋体" w:cs="宋体"/>
                <w:color w:val="000000"/>
                <w:sz w:val="24"/>
                <w:highlight w:val="none"/>
              </w:rPr>
              <w:t xml:space="preserve">管理</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ascii="宋体" w:hAnsi="宋体" w:eastAsia="宋体" w:cs="宋体"/>
                <w:color w:val="000000"/>
                <w:sz w:val="24"/>
                <w:highlight w:val="none"/>
              </w:rPr>
            </w:r>
            <w:r/>
          </w:p>
        </w:tc>
        <w:tc>
          <w:tcPr>
            <w:tcW w:w="2067" w:type="dxa"/>
            <w:vAlign w:val="center"/>
            <w:textDirection w:val="lrTb"/>
            <w:noWrap w:val="false"/>
          </w:tcPr>
          <w:p>
            <w:pPr>
              <w:pStyle w:val="1014"/>
              <w:spacing w:line="400" w:lineRule="exact"/>
              <w:rPr>
                <w:rFonts w:ascii="宋体" w:hAnsi="宋体" w:eastAsia="宋体"/>
                <w:color w:val="000000"/>
                <w:sz w:val="24"/>
                <w:highlight w:val="none"/>
              </w:rPr>
            </w:pPr>
            <w:r>
              <w:rPr>
                <w:rFonts w:hint="eastAsia" w:ascii="宋体" w:hAnsi="宋体" w:eastAsia="宋体" w:cs="宋体"/>
                <w:color w:val="000000"/>
                <w:sz w:val="24"/>
                <w:highlight w:val="none"/>
              </w:rPr>
              <w:t xml:space="preserve">提供</w:t>
            </w:r>
            <w:r>
              <w:rPr>
                <w:rFonts w:hint="eastAsia" w:ascii="宋体" w:hAnsi="宋体" w:eastAsia="宋体" w:cs="宋体"/>
                <w:b/>
                <w:bCs/>
                <w:color w:val="000000"/>
                <w:sz w:val="24"/>
                <w:highlight w:val="none"/>
              </w:rPr>
              <w:t xml:space="preserve">2</w:t>
            </w:r>
            <w:r>
              <w:rPr>
                <w:rFonts w:ascii="宋体" w:hAnsi="宋体" w:eastAsia="宋体" w:cs="宋体"/>
                <w:b/>
                <w:bCs/>
                <w:color w:val="000000"/>
                <w:sz w:val="24"/>
                <w:highlight w:val="none"/>
              </w:rPr>
              <w:t xml:space="preserve">02</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color w:val="000000"/>
                <w:sz w:val="24"/>
                <w:highlight w:val="none"/>
              </w:rPr>
              <w:t xml:space="preserve">年度</w:t>
            </w:r>
            <w:r>
              <w:rPr>
                <w:rFonts w:ascii="宋体" w:hAnsi="宋体" w:eastAsia="宋体"/>
                <w:color w:val="000000"/>
                <w:sz w:val="24"/>
                <w:highlight w:val="none"/>
              </w:rPr>
              <w:t xml:space="preserve">第三方检测机构出具的</w:t>
            </w:r>
            <w:r>
              <w:rPr>
                <w:rFonts w:hint="eastAsia" w:ascii="宋体" w:hAnsi="宋体" w:eastAsia="宋体"/>
                <w:color w:val="000000"/>
                <w:sz w:val="24"/>
                <w:highlight w:val="none"/>
              </w:rPr>
              <w:t xml:space="preserve">“医用纺织品检测报告” ，检测项目包括 </w:t>
            </w:r>
            <w:r>
              <w:rPr>
                <w:rFonts w:hint="eastAsia" w:ascii="宋体" w:hAnsi="宋体" w:eastAsia="宋体"/>
                <w:color w:val="000000"/>
                <w:sz w:val="24"/>
                <w:highlight w:val="none"/>
                <w:lang w:val="en-US" w:eastAsia="zh-CN"/>
              </w:rPr>
              <w:t xml:space="preserve">①</w:t>
            </w:r>
            <w:r>
              <w:rPr>
                <w:rFonts w:hint="eastAsia" w:ascii="宋体" w:hAnsi="宋体" w:eastAsia="宋体"/>
                <w:color w:val="000000"/>
                <w:sz w:val="24"/>
                <w:highlight w:val="none"/>
              </w:rPr>
              <w:t xml:space="preserve">PH 值</w:t>
            </w:r>
            <w:r>
              <w:rPr>
                <w:rFonts w:hint="eastAsia" w:ascii="宋体" w:hAnsi="宋体" w:eastAsia="宋体"/>
                <w:color w:val="000000"/>
                <w:sz w:val="24"/>
                <w:highlight w:val="none"/>
                <w:lang w:val="en-US" w:eastAsia="zh-CN"/>
              </w:rPr>
              <w:t xml:space="preserve">②</w:t>
            </w:r>
            <w:r>
              <w:rPr>
                <w:rFonts w:hint="eastAsia" w:ascii="宋体" w:hAnsi="宋体" w:eastAsia="宋体"/>
                <w:color w:val="000000"/>
                <w:sz w:val="24"/>
                <w:highlight w:val="none"/>
              </w:rPr>
              <w:t xml:space="preserve">细菌</w:t>
            </w:r>
            <w:r>
              <w:rPr>
                <w:rFonts w:hint="eastAsia" w:ascii="宋体" w:hAnsi="宋体" w:eastAsia="宋体"/>
                <w:color w:val="000000"/>
                <w:sz w:val="24"/>
                <w:highlight w:val="none"/>
                <w:lang w:val="en-US" w:eastAsia="zh-CN"/>
              </w:rPr>
              <w:t xml:space="preserve">菌落</w:t>
            </w:r>
            <w:r>
              <w:rPr>
                <w:rFonts w:hint="eastAsia" w:ascii="宋体" w:hAnsi="宋体" w:eastAsia="宋体"/>
                <w:color w:val="000000"/>
                <w:sz w:val="24"/>
                <w:highlight w:val="none"/>
              </w:rPr>
              <w:t xml:space="preserve">总数/大肠杆菌</w:t>
            </w:r>
            <w:r>
              <w:rPr>
                <w:rFonts w:hint="eastAsia" w:ascii="宋体" w:hAnsi="宋体" w:eastAsia="宋体"/>
                <w:color w:val="000000"/>
                <w:sz w:val="24"/>
                <w:highlight w:val="none"/>
                <w:lang w:val="en-US" w:eastAsia="zh-CN"/>
              </w:rPr>
              <w:t xml:space="preserve">/真菌菌落总数/金黄色葡萄球菌③</w:t>
            </w:r>
            <w:r>
              <w:rPr>
                <w:rFonts w:hint="eastAsia" w:ascii="宋体" w:hAnsi="宋体" w:eastAsia="宋体"/>
                <w:color w:val="000000"/>
                <w:sz w:val="24"/>
                <w:highlight w:val="none"/>
              </w:rPr>
              <w:t xml:space="preserve">空气/桌面/手表</w:t>
            </w:r>
            <w:r>
              <w:rPr>
                <w:rFonts w:hint="eastAsia" w:ascii="宋体" w:hAnsi="宋体" w:eastAsia="宋体"/>
                <w:color w:val="000000"/>
                <w:sz w:val="24"/>
                <w:highlight w:val="none"/>
                <w:lang w:val="en-US" w:eastAsia="zh-CN"/>
              </w:rPr>
              <w:t xml:space="preserve">菌落数</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val="en-US" w:eastAsia="zh-CN"/>
              </w:rPr>
              <w:t xml:space="preserve">全部满足得9分，每缺1项扣3分，扣完为止</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1014"/>
              <w:spacing w:line="400" w:lineRule="exact"/>
              <w:rPr>
                <w:rFonts w:hint="eastAsia" w:ascii="宋体" w:hAnsi="宋体" w:eastAsia="宋体" w:cs="宋体"/>
                <w:color w:val="000000"/>
                <w:sz w:val="24"/>
                <w:highlight w:val="none"/>
                <w:lang w:eastAsia="zh-CN"/>
              </w:rPr>
            </w:pPr>
            <w:r>
              <w:rPr>
                <w:rFonts w:hint="eastAsia" w:ascii="宋体" w:hAnsi="宋体" w:eastAsia="宋体"/>
                <w:color w:val="000000"/>
                <w:sz w:val="24"/>
                <w:highlight w:val="none"/>
              </w:rPr>
              <w:t xml:space="preserve">备注</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val="en-US" w:eastAsia="zh-CN"/>
              </w:rPr>
              <w:t xml:space="preserve">检测符合</w:t>
            </w:r>
            <w:r>
              <w:rPr>
                <w:rFonts w:hint="eastAsia" w:ascii="宋体" w:hAnsi="宋体" w:eastAsia="宋体"/>
                <w:color w:val="000000"/>
                <w:sz w:val="24"/>
                <w:highlight w:val="none"/>
              </w:rPr>
              <w:t xml:space="preserve">WS/T508-2025《医院医用织物洗涤消毒技术规范》要求</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274" w:type="dxa"/>
            <w:vAlign w:val="center"/>
            <w:textDirection w:val="lrTb"/>
            <w:noWrap w:val="false"/>
          </w:tcPr>
          <w:p>
            <w:pPr>
              <w:pStyle w:val="1014"/>
              <w:spacing w:line="400" w:lineRule="exact"/>
              <w:widowControl/>
              <w:rPr>
                <w:rFonts w:ascii="宋体" w:hAnsi="宋体" w:eastAsia="宋体" w:cs="宋体"/>
                <w:color w:val="000000"/>
                <w:sz w:val="24"/>
                <w:highlight w:val="none"/>
              </w:rPr>
            </w:pPr>
            <w:r>
              <w:rPr>
                <w:rFonts w:ascii="宋体" w:hAnsi="宋体" w:eastAsia="宋体"/>
                <w:color w:val="000000"/>
                <w:sz w:val="24"/>
                <w:highlight w:val="none"/>
              </w:rPr>
              <w:t xml:space="preserve">提供检验报告</w:t>
            </w:r>
            <w:r>
              <w:rPr>
                <w:rFonts w:hint="eastAsia" w:ascii="宋体" w:hAnsi="宋体" w:eastAsia="宋体"/>
                <w:color w:val="000000"/>
                <w:sz w:val="24"/>
                <w:highlight w:val="none"/>
              </w:rPr>
              <w:t xml:space="preserve">复印件</w:t>
            </w: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w:t>
            </w:r>
            <w:r>
              <w:rPr>
                <w:rFonts w:ascii="宋体" w:hAnsi="宋体" w:eastAsia="宋体" w:cs="宋体"/>
                <w:color w:val="000000"/>
                <w:sz w:val="24"/>
                <w:highlight w:val="none"/>
                <w:lang w:val="en-US" w:eastAsia="zh-CN"/>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提供</w:t>
            </w:r>
            <w:r>
              <w:rPr>
                <w:rFonts w:ascii="宋体" w:hAnsi="宋体" w:eastAsia="宋体" w:cs="宋体"/>
                <w:color w:val="000000"/>
                <w:sz w:val="24"/>
                <w:highlight w:val="none"/>
              </w:rPr>
              <w:t xml:space="preserve">自</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w:t>
            </w:r>
            <w:r>
              <w:rPr>
                <w:rFonts w:ascii="宋体" w:hAnsi="宋体" w:eastAsia="宋体" w:cs="宋体"/>
                <w:color w:val="000000"/>
                <w:sz w:val="24"/>
                <w:highlight w:val="none"/>
              </w:rPr>
              <w:t xml:space="preserve">起承接的医疗机构布草清洗项目业绩，每有</w:t>
            </w:r>
            <w:r>
              <w:rPr>
                <w:rFonts w:hint="eastAsia" w:ascii="宋体" w:hAnsi="宋体" w:eastAsia="宋体" w:cs="宋体"/>
                <w:color w:val="000000"/>
                <w:sz w:val="24"/>
                <w:highlight w:val="none"/>
              </w:rPr>
              <w:t xml:space="preserve">1份</w:t>
            </w:r>
            <w:r>
              <w:rPr>
                <w:rFonts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最高得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widowControl/>
              <w:rPr>
                <w:rFonts w:ascii="宋体" w:hAnsi="宋体" w:eastAsia="宋体"/>
                <w:color w:val="000000"/>
                <w:sz w:val="24"/>
                <w:highlight w:val="none"/>
              </w:rPr>
            </w:pPr>
            <w:r>
              <w:rPr>
                <w:rFonts w:hint="eastAsia" w:ascii="宋体" w:hAnsi="宋体" w:eastAsia="宋体"/>
                <w:color w:val="000000"/>
                <w:sz w:val="24"/>
                <w:highlight w:val="none"/>
              </w:rPr>
              <w:t xml:space="preserve">提供</w:t>
            </w:r>
            <w:r>
              <w:rPr>
                <w:rFonts w:ascii="宋体" w:hAnsi="宋体" w:eastAsia="宋体"/>
                <w:color w:val="000000"/>
                <w:sz w:val="24"/>
                <w:highlight w:val="none"/>
              </w:rPr>
              <w:t xml:space="preserve">合同</w:t>
            </w:r>
            <w:r>
              <w:rPr>
                <w:rFonts w:hint="eastAsia" w:ascii="宋体" w:hAnsi="宋体" w:eastAsia="宋体"/>
                <w:color w:val="000000"/>
                <w:sz w:val="24"/>
                <w:highlight w:val="none"/>
              </w:rPr>
              <w:t xml:space="preserve">复印件（须有</w:t>
            </w:r>
            <w:r>
              <w:rPr>
                <w:rFonts w:ascii="宋体" w:hAnsi="宋体" w:eastAsia="宋体"/>
                <w:color w:val="000000"/>
                <w:sz w:val="24"/>
                <w:highlight w:val="none"/>
              </w:rPr>
              <w:t xml:space="preserve">双方清晰盖章页</w:t>
            </w:r>
            <w:r>
              <w:rPr>
                <w:rFonts w:hint="eastAsia" w:ascii="宋体" w:hAnsi="宋体" w:eastAsia="宋体"/>
                <w:color w:val="000000"/>
                <w:sz w:val="24"/>
                <w:highlight w:val="none"/>
              </w:rPr>
              <w:t xml:space="preserve">）</w:t>
            </w:r>
            <w:r>
              <w:rPr>
                <w:rFonts w:ascii="宋体" w:hAnsi="宋体" w:eastAsia="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洗涤设施配备</w:t>
            </w:r>
            <w:r>
              <w:rPr>
                <w:rFonts w:ascii="宋体" w:hAnsi="宋体" w:eastAsia="宋体" w:cs="宋体"/>
                <w:color w:val="000000"/>
                <w:sz w:val="24"/>
                <w:highlight w:val="none"/>
              </w:rPr>
              <w:t xml:space="preserve">情况</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2067" w:type="dxa"/>
            <w:vAlign w:val="center"/>
            <w:textDirection w:val="lrTb"/>
            <w:noWrap w:val="false"/>
          </w:tcPr>
          <w:p>
            <w:pPr>
              <w:pStyle w:val="1014"/>
              <w:ind w:right="149"/>
              <w:spacing w:before="30" w:line="239"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①洗涤场所污染区和清洁区完全隔离，</w:t>
            </w:r>
            <w:r>
              <w:rPr>
                <w:rFonts w:hint="eastAsia" w:ascii="宋体" w:hAnsi="宋体" w:eastAsia="宋体" w:cs="宋体"/>
                <w:color w:val="000000"/>
                <w:sz w:val="24"/>
                <w:highlight w:val="none"/>
              </w:rPr>
              <w:t xml:space="preserve">感染织物单独设立洗涤区，得 </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014"/>
              <w:ind w:right="149"/>
              <w:spacing w:before="30" w:line="239"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②供应商</w:t>
            </w:r>
            <w:r>
              <w:rPr>
                <w:rFonts w:hint="eastAsia" w:ascii="宋体" w:hAnsi="宋体" w:eastAsia="宋体" w:cs="宋体"/>
                <w:color w:val="000000"/>
                <w:sz w:val="24"/>
                <w:highlight w:val="none"/>
                <w:lang w:val="en-US" w:eastAsia="zh-CN"/>
              </w:rPr>
              <w:t xml:space="preserve">具有1条洗衣龙（连续式洗衣机）生产流水线</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每增加1条洗衣龙（连续式洗衣机）生产流水线得2分，最高得6分。</w:t>
            </w:r>
            <w:r>
              <w:rPr>
                <w:rFonts w:ascii="宋体" w:hAnsi="宋体" w:eastAsia="宋体" w:cs="宋体"/>
                <w:color w:val="000000"/>
                <w:sz w:val="24"/>
                <w:highlight w:val="none"/>
                <w:lang w:val="en-US" w:eastAsia="zh-CN"/>
              </w:rPr>
            </w:r>
            <w:r/>
          </w:p>
          <w:p>
            <w:pPr>
              <w:pStyle w:val="1014"/>
              <w:ind w:right="149"/>
              <w:spacing w:before="30" w:line="239"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en-US" w:eastAsia="zh-CN"/>
              </w:rPr>
              <w:t xml:space="preserve">供应商具有洗衣龙配套的</w:t>
            </w:r>
            <w:r>
              <w:rPr>
                <w:rFonts w:hint="eastAsia" w:ascii="宋体" w:hAnsi="宋体" w:eastAsia="宋体" w:cs="宋体"/>
                <w:color w:val="000000"/>
                <w:sz w:val="24"/>
                <w:highlight w:val="none"/>
              </w:rPr>
              <w:t xml:space="preserve">弹性叁槽烫平机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吊挂系统</w:t>
            </w:r>
            <w:r>
              <w:rPr>
                <w:rFonts w:hint="eastAsia" w:ascii="宋体" w:hAnsi="宋体" w:eastAsia="宋体" w:cs="宋体"/>
                <w:color w:val="000000"/>
                <w:sz w:val="24"/>
                <w:highlight w:val="none"/>
                <w:lang w:val="en-US" w:eastAsia="zh-CN"/>
              </w:rPr>
              <w:t xml:space="preserve">得</w:t>
            </w:r>
            <w:r>
              <w:rPr>
                <w:rFonts w:hint="eastAsia" w:ascii="宋体" w:hAnsi="宋体" w:eastAsia="宋体" w:cs="宋体"/>
                <w:color w:val="000000"/>
                <w:sz w:val="24"/>
                <w:highlight w:val="none"/>
              </w:rPr>
              <w:t xml:space="preserve">2 分。</w:t>
            </w:r>
            <w:r>
              <w:rPr>
                <w:rFonts w:hint="eastAsia" w:ascii="宋体" w:hAnsi="宋体" w:eastAsia="宋体" w:cs="宋体"/>
                <w:color w:val="000000"/>
                <w:sz w:val="24"/>
                <w:highlight w:val="none"/>
              </w:rPr>
            </w:r>
            <w:r/>
          </w:p>
          <w:p>
            <w:pPr>
              <w:pStyle w:val="1014"/>
              <w:ind w:right="149"/>
              <w:spacing w:before="30" w:line="239" w:lineRule="auto"/>
              <w:rPr>
                <w:rFonts w:hint="eastAsia"/>
                <w:color w:val="000000"/>
                <w:highlight w:val="none"/>
                <w:lang w:val="en-US" w:eastAsia="zh-CN"/>
              </w:rPr>
            </w:pPr>
            <w:r>
              <w:rPr>
                <w:rFonts w:hint="eastAsia" w:ascii="宋体" w:hAnsi="宋体" w:eastAsia="宋体" w:cs="宋体"/>
                <w:color w:val="000000"/>
                <w:sz w:val="24"/>
                <w:highlight w:val="none"/>
              </w:rPr>
              <w:t xml:space="preserve">④提供工作人员工作服及值班室被服、婴儿、重污等织物独立洗涤专机得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color w:val="000000"/>
                <w:highlight w:val="none"/>
                <w:lang w:val="en-US" w:eastAsia="zh-CN"/>
              </w:rPr>
            </w:r>
            <w:r/>
          </w:p>
        </w:tc>
        <w:tc>
          <w:tcPr>
            <w:tcW w:w="1274" w:type="dxa"/>
            <w:vAlign w:val="center"/>
            <w:textDirection w:val="lrTb"/>
            <w:noWrap w:val="false"/>
          </w:tcPr>
          <w:p>
            <w:pPr>
              <w:pStyle w:val="1014"/>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提供①</w:t>
            </w:r>
            <w:r>
              <w:rPr>
                <w:rFonts w:ascii="宋体" w:hAnsi="宋体" w:eastAsia="宋体" w:cs="宋体"/>
                <w:color w:val="000000"/>
                <w:sz w:val="24"/>
                <w:highlight w:val="none"/>
              </w:rPr>
              <w:t xml:space="preserve">厂房布局平面图、</w:t>
            </w:r>
            <w:r>
              <w:rPr>
                <w:rFonts w:hint="eastAsia" w:ascii="宋体" w:hAnsi="宋体" w:eastAsia="宋体" w:cs="宋体"/>
                <w:color w:val="000000"/>
                <w:sz w:val="24"/>
                <w:highlight w:val="none"/>
              </w:rPr>
              <w:t xml:space="preserve">②设备</w:t>
            </w:r>
            <w:r>
              <w:rPr>
                <w:rFonts w:ascii="宋体" w:hAnsi="宋体" w:eastAsia="宋体" w:cs="宋体"/>
                <w:color w:val="000000"/>
                <w:sz w:val="24"/>
                <w:highlight w:val="none"/>
              </w:rPr>
              <w:t xml:space="preserve">清单、</w:t>
            </w:r>
            <w:r>
              <w:rPr>
                <w:rFonts w:hint="eastAsia" w:ascii="宋体" w:hAnsi="宋体" w:eastAsia="宋体" w:cs="宋体"/>
                <w:color w:val="000000"/>
                <w:sz w:val="24"/>
                <w:highlight w:val="none"/>
                <w:lang w:val="en-US" w:eastAsia="zh-CN"/>
              </w:rPr>
              <w:t xml:space="preserve">现场</w:t>
            </w:r>
            <w:r>
              <w:rPr>
                <w:rFonts w:ascii="宋体" w:hAnsi="宋体" w:eastAsia="宋体" w:cs="宋体"/>
                <w:color w:val="000000"/>
                <w:sz w:val="24"/>
                <w:highlight w:val="none"/>
              </w:rPr>
              <w:t xml:space="preserve">照片</w:t>
            </w:r>
            <w:r>
              <w:rPr>
                <w:rFonts w:hint="eastAsia" w:ascii="宋体" w:hAnsi="宋体" w:eastAsia="宋体" w:cs="宋体"/>
                <w:color w:val="000000"/>
                <w:sz w:val="24"/>
                <w:highlight w:val="none"/>
              </w:rPr>
              <w:t xml:space="preserve">；③购买设备发票等证明材料</w:t>
            </w: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拟派项目负责人</w:t>
            </w:r>
            <w:r>
              <w:rPr>
                <w:rFonts w:ascii="宋体" w:hAnsi="宋体" w:eastAsia="宋体" w:cs="宋体"/>
                <w:color w:val="000000"/>
                <w:sz w:val="24"/>
                <w:highlight w:val="none"/>
                <w:lang w:val="en-US" w:eastAsia="zh-CN"/>
              </w:rPr>
            </w:r>
            <w:r/>
          </w:p>
        </w:tc>
        <w:tc>
          <w:tcPr>
            <w:tcW w:w="470" w:type="dxa"/>
            <w:vAlign w:val="center"/>
            <w:textDirection w:val="lrTb"/>
            <w:noWrap w:val="false"/>
          </w:tcPr>
          <w:p>
            <w:pPr>
              <w:pStyle w:val="1014"/>
              <w:jc w:val="center"/>
              <w:spacing w:line="4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2067" w:type="dxa"/>
            <w:vAlign w:val="center"/>
            <w:textDirection w:val="lrTb"/>
            <w:noWrap w:val="false"/>
          </w:tcPr>
          <w:p>
            <w:pPr>
              <w:pStyle w:val="101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拟派项目负责人：</w:t>
            </w:r>
            <w:r>
              <w:rPr>
                <w:rFonts w:hint="eastAsia" w:ascii="宋体" w:hAnsi="宋体" w:eastAsia="宋体" w:cs="宋体"/>
                <w:color w:val="000000"/>
                <w:sz w:val="24"/>
                <w:highlight w:val="none"/>
              </w:rPr>
            </w:r>
            <w:r/>
          </w:p>
          <w:p>
            <w:pPr>
              <w:pStyle w:val="1014"/>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①具有洗衣师高级技师洗衣师证书得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分，具有洗衣师二级/技师洗衣师证书得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92"/>
              <w:ind w:left="0" w:firstLine="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②具有本科及以上学历得2分。</w:t>
            </w:r>
            <w:r>
              <w:rPr>
                <w:rFonts w:hint="eastAsia" w:ascii="宋体" w:hAnsi="宋体" w:eastAsia="宋体" w:cs="宋体"/>
                <w:color w:val="000000"/>
                <w:sz w:val="24"/>
                <w:highlight w:val="none"/>
                <w:lang w:val="en-US" w:eastAsia="zh-CN"/>
              </w:rPr>
            </w:r>
            <w:r/>
          </w:p>
          <w:p>
            <w:pPr>
              <w:pStyle w:val="1092"/>
              <w:ind w:left="0" w:firstLine="0"/>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本项最高得4分。</w:t>
            </w:r>
            <w:r>
              <w:rPr>
                <w:rFonts w:ascii="宋体" w:hAnsi="宋体" w:eastAsia="宋体" w:cs="宋体"/>
                <w:color w:val="000000"/>
                <w:sz w:val="24"/>
                <w:highlight w:val="none"/>
              </w:rPr>
            </w:r>
            <w:r/>
          </w:p>
        </w:tc>
        <w:tc>
          <w:tcPr>
            <w:tcW w:w="1274" w:type="dxa"/>
            <w:vAlign w:val="center"/>
            <w:vMerge w:val="restart"/>
            <w:textDirection w:val="lrTb"/>
            <w:noWrap w:val="false"/>
          </w:tcPr>
          <w:p>
            <w:pPr>
              <w:pStyle w:val="1014"/>
              <w:spacing w:line="400" w:lineRule="exact"/>
              <w:widowControl/>
              <w:tabs>
                <w:tab w:val="left" w:pos="12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人员证书复印件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②供应商为其缴纳的近半年内任意一个月（投标截止之日往前推）的社保缴纳证明扫描件，不提供或提供不全不得分。</w:t>
            </w:r>
            <w:r>
              <w:rPr>
                <w:rFonts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3.6</w:t>
            </w:r>
            <w:r>
              <w:rPr>
                <w:rFonts w:ascii="宋体" w:hAnsi="宋体" w:eastAsia="宋体" w:cs="宋体"/>
                <w:color w:val="000000"/>
                <w:sz w:val="24"/>
                <w:highlight w:val="none"/>
                <w:lang w:val="en-US"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拟派团队人员</w:t>
            </w:r>
            <w:r>
              <w:rPr>
                <w:rFonts w:ascii="宋体" w:hAnsi="宋体" w:eastAsia="宋体" w:cs="宋体"/>
                <w:color w:val="000000"/>
                <w:sz w:val="24"/>
                <w:highlight w:val="none"/>
                <w:lang w:val="en-US" w:eastAsia="zh-CN"/>
              </w:rPr>
            </w:r>
            <w:r/>
          </w:p>
        </w:tc>
        <w:tc>
          <w:tcPr>
            <w:tcW w:w="470" w:type="dxa"/>
            <w:vAlign w:val="center"/>
            <w:textDirection w:val="lrTb"/>
            <w:noWrap w:val="false"/>
          </w:tcPr>
          <w:p>
            <w:pPr>
              <w:pStyle w:val="1014"/>
              <w:jc w:val="center"/>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2067" w:type="dxa"/>
            <w:vAlign w:val="center"/>
            <w:textDirection w:val="lrTb"/>
            <w:noWrap w:val="false"/>
          </w:tcPr>
          <w:p>
            <w:pPr>
              <w:pStyle w:val="1014"/>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拟派团队人员</w:t>
            </w:r>
            <w:r>
              <w:rPr>
                <w:rFonts w:hint="eastAsia" w:ascii="宋体" w:hAnsi="宋体" w:eastAsia="宋体" w:cs="宋体"/>
                <w:color w:val="000000"/>
                <w:sz w:val="24"/>
                <w:highlight w:val="none"/>
              </w:rPr>
              <w:t xml:space="preserve">（不含项目负责人）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92"/>
              <w:ind w:left="0" w:firstLine="0"/>
              <w:rPr>
                <w:rFonts w:eastAsia="宋体"/>
                <w:color w:val="000000"/>
                <w:highlight w:val="none"/>
                <w:lang w:val="en-US" w:eastAsia="zh-CN"/>
              </w:rPr>
            </w:pPr>
            <w:r>
              <w:rPr>
                <w:rFonts w:hint="eastAsia" w:ascii="宋体" w:hAnsi="宋体" w:eastAsia="宋体" w:cs="宋体"/>
                <w:color w:val="000000"/>
                <w:sz w:val="24"/>
                <w:highlight w:val="none"/>
              </w:rPr>
              <w:t xml:space="preserve">具有洗衣师高级技师洗衣师证书得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分，具有洗衣师二级/技师洗衣师证书得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最高得4分。</w:t>
            </w:r>
            <w:r>
              <w:rPr>
                <w:rFonts w:eastAsia="宋体"/>
                <w:color w:val="000000"/>
                <w:highlight w:val="none"/>
                <w:lang w:val="en-US" w:eastAsia="zh-CN"/>
              </w:rPr>
            </w:r>
            <w:r/>
          </w:p>
        </w:tc>
        <w:tc>
          <w:tcPr>
            <w:tcW w:w="1274" w:type="dxa"/>
            <w:vAlign w:val="center"/>
            <w:vMerge w:val="continue"/>
            <w:textDirection w:val="lrTb"/>
            <w:noWrap w:val="false"/>
          </w:tcPr>
          <w:p>
            <w:pPr>
              <w:pStyle w:val="1014"/>
              <w:spacing w:line="400" w:lineRule="exact"/>
              <w:widowControl/>
              <w:tabs>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70"/>
        </w:trPr>
        <w:tc>
          <w:tcPr>
            <w:tcW w:w="425" w:type="dxa"/>
            <w:vAlign w:val="center"/>
            <w:textDirection w:val="lrTb"/>
            <w:noWrap w:val="false"/>
          </w:tcPr>
          <w:p>
            <w:pPr>
              <w:pStyle w:val="1014"/>
              <w:ind w:firstLine="28"/>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762" w:type="dxa"/>
            <w:vAlign w:val="center"/>
            <w:textDirection w:val="lrTb"/>
            <w:noWrap w:val="false"/>
          </w:tcPr>
          <w:p>
            <w:pPr>
              <w:pStyle w:val="1014"/>
              <w:jc w:val="center"/>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承诺</w:t>
            </w:r>
            <w:r>
              <w:rPr>
                <w:rFonts w:ascii="宋体" w:hAnsi="宋体" w:eastAsia="宋体" w:cs="宋体"/>
                <w:color w:val="000000"/>
                <w:sz w:val="24"/>
                <w:highlight w:val="none"/>
              </w:rPr>
            </w:r>
            <w:r/>
          </w:p>
        </w:tc>
        <w:tc>
          <w:tcPr>
            <w:tcW w:w="470" w:type="dxa"/>
            <w:vAlign w:val="center"/>
            <w:textDirection w:val="lrTb"/>
            <w:noWrap w:val="false"/>
          </w:tcPr>
          <w:p>
            <w:pPr>
              <w:pStyle w:val="1014"/>
              <w:jc w:val="center"/>
              <w:spacing w:line="4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2067" w:type="dxa"/>
            <w:vAlign w:val="center"/>
            <w:textDirection w:val="lrTb"/>
            <w:noWrap w:val="false"/>
          </w:tcPr>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供应商提供承诺：</w:t>
            </w:r>
            <w:r>
              <w:rPr>
                <w:rFonts w:ascii="宋体" w:hAnsi="宋体" w:eastAsia="宋体" w:cs="宋体"/>
                <w:color w:val="000000"/>
                <w:sz w:val="24"/>
                <w:highlight w:val="none"/>
              </w:rPr>
            </w:r>
            <w:r/>
          </w:p>
          <w:p>
            <w:pPr>
              <w:pStyle w:val="1014"/>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如成交，在服务期间内发生洗涤物品破损、遗失，由此产生的一切损失自行承担，得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r>
            <w:r/>
          </w:p>
        </w:tc>
        <w:tc>
          <w:tcPr>
            <w:tcW w:w="1274" w:type="dxa"/>
            <w:vAlign w:val="center"/>
            <w:textDirection w:val="lrTb"/>
            <w:noWrap w:val="false"/>
          </w:tcPr>
          <w:p>
            <w:pPr>
              <w:pStyle w:val="1014"/>
              <w:spacing w:line="400" w:lineRule="exact"/>
              <w:widowControl/>
              <w:tabs>
                <w:tab w:val="left" w:pos="12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提供</w:t>
            </w:r>
            <w:r>
              <w:rPr>
                <w:rFonts w:ascii="宋体" w:hAnsi="宋体" w:eastAsia="宋体" w:cs="宋体"/>
                <w:color w:val="000000"/>
                <w:sz w:val="24"/>
                <w:highlight w:val="none"/>
              </w:rPr>
              <w:t xml:space="preserve">承诺函</w:t>
            </w:r>
            <w:r>
              <w:rPr>
                <w:rFonts w:hint="eastAsia" w:ascii="宋体" w:hAnsi="宋体" w:eastAsia="宋体" w:cs="宋体"/>
                <w:color w:val="000000"/>
                <w:sz w:val="24"/>
                <w:highlight w:val="none"/>
                <w:lang w:val="en-US" w:eastAsia="zh-CN"/>
              </w:rPr>
            </w:r>
            <w:r/>
          </w:p>
        </w:tc>
      </w:tr>
      <w:tr>
        <w:trPr>
          <w:trHeight w:val="170"/>
        </w:trPr>
        <w:tc>
          <w:tcPr>
            <w:gridSpan w:val="2"/>
            <w:tcW w:w="2204"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ascii="宋体" w:hAnsi="宋体" w:eastAsia="宋体" w:cs="宋体"/>
                <w:color w:val="000000"/>
                <w:sz w:val="24"/>
                <w:highlight w:val="none"/>
              </w:rPr>
            </w:r>
            <w:r/>
          </w:p>
        </w:tc>
        <w:tc>
          <w:tcPr>
            <w:tcW w:w="470" w:type="dxa"/>
            <w:vAlign w:val="center"/>
            <w:textDirection w:val="lrTb"/>
            <w:noWrap w:val="false"/>
          </w:tcPr>
          <w:p>
            <w:pPr>
              <w:pStyle w:val="1014"/>
              <w:ind w:firstLine="28"/>
              <w:jc w:val="center"/>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ascii="宋体" w:hAnsi="宋体" w:eastAsia="宋体" w:cs="宋体"/>
                <w:color w:val="000000"/>
                <w:sz w:val="24"/>
                <w:highlight w:val="none"/>
              </w:rPr>
            </w:r>
            <w:r/>
          </w:p>
        </w:tc>
        <w:tc>
          <w:tcPr>
            <w:gridSpan w:val="2"/>
            <w:tcW w:w="6204" w:type="dxa"/>
            <w:vAlign w:val="center"/>
            <w:textDirection w:val="lrTb"/>
            <w:noWrap w:val="false"/>
          </w:tcPr>
          <w:p>
            <w:pPr>
              <w:pStyle w:val="1014"/>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1014"/>
        <w:spacing w:line="360" w:lineRule="auto"/>
        <w:tabs>
          <w:tab w:val="left" w:pos="360" w:leader="none"/>
          <w:tab w:val="left" w:pos="900" w:leader="none"/>
          <w:tab w:val="left" w:pos="1080" w:leader="none"/>
          <w:tab w:val="left" w:pos="2014" w:leader="none"/>
        </w:tabs>
        <w:rPr>
          <w:color w:val="000000"/>
          <w:sz w:val="24"/>
          <w:highlight w:val="none"/>
        </w:rPr>
      </w:pPr>
      <w:r>
        <w:rPr>
          <w:color w:val="000000"/>
          <w:sz w:val="24"/>
          <w:highlight w:val="none"/>
        </w:rPr>
      </w:r>
      <w:r/>
    </w:p>
    <w:p>
      <w:pPr>
        <w:pStyle w:val="1014"/>
        <w:spacing w:line="360" w:lineRule="auto"/>
        <w:tabs>
          <w:tab w:val="left" w:pos="360" w:leader="none"/>
          <w:tab w:val="left" w:pos="900" w:leader="none"/>
          <w:tab w:val="left" w:pos="1080" w:leader="none"/>
          <w:tab w:val="left" w:pos="2014" w:leader="none"/>
        </w:tabs>
        <w:rPr>
          <w:color w:val="000000"/>
          <w:sz w:val="24"/>
          <w:highlight w:val="none"/>
        </w:rPr>
      </w:pPr>
      <w:r>
        <w:rPr>
          <w:color w:val="000000"/>
          <w:sz w:val="24"/>
          <w:highlight w:val="none"/>
        </w:rPr>
      </w:r>
      <w:r/>
    </w:p>
    <w:p>
      <w:pPr>
        <w:pStyle w:val="101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14"/>
        <w:jc w:val="left"/>
        <w:widowControl/>
        <w:rPr>
          <w:b/>
          <w:color w:val="000000"/>
          <w:sz w:val="36"/>
          <w:szCs w:val="36"/>
          <w:highlight w:val="none"/>
        </w:rPr>
      </w:pPr>
      <w:r>
        <w:rPr>
          <w:b/>
          <w:color w:val="000000"/>
          <w:sz w:val="36"/>
          <w:szCs w:val="36"/>
          <w:highlight w:val="none"/>
        </w:rPr>
      </w:r>
      <w:r/>
    </w:p>
    <w:p>
      <w:pPr>
        <w:pStyle w:val="1014"/>
        <w:jc w:val="center"/>
        <w:spacing w:line="360" w:lineRule="auto"/>
        <w:rPr>
          <w:b/>
          <w:color w:val="000000"/>
          <w:sz w:val="36"/>
          <w:szCs w:val="36"/>
          <w:highlight w:val="none"/>
        </w:rPr>
        <w:outlineLvl w:val="0"/>
      </w:pPr>
      <w:r>
        <w:rPr>
          <w:b/>
          <w:color w:val="000000"/>
          <w:sz w:val="36"/>
          <w:szCs w:val="36"/>
          <w:highlight w:val="none"/>
        </w:rPr>
        <w:br w:type="page" w:clear="all"/>
      </w:r>
      <w:bookmarkStart w:id="676" w:name="_Toc104818928"/>
      <w:r>
        <w:rPr>
          <w:b/>
          <w:color w:val="000000"/>
          <w:sz w:val="36"/>
          <w:szCs w:val="36"/>
          <w:highlight w:val="none"/>
        </w:rPr>
        <w:t xml:space="preserve">第四章   采购需求</w:t>
      </w:r>
      <w:bookmarkEnd w:id="676"/>
      <w:r>
        <w:rPr>
          <w:b/>
          <w:color w:val="000000"/>
          <w:sz w:val="36"/>
          <w:szCs w:val="36"/>
          <w:highlight w:val="none"/>
        </w:rPr>
      </w:r>
      <w:r/>
    </w:p>
    <w:p>
      <w:pPr>
        <w:pStyle w:val="1014"/>
        <w:contextualSpacing/>
        <w:spacing w:line="360" w:lineRule="auto"/>
        <w:rPr>
          <w:color w:val="000000"/>
          <w:sz w:val="24"/>
          <w:highlight w:val="none"/>
        </w:rPr>
      </w:pPr>
      <w:r>
        <w:rPr>
          <w:color w:val="000000"/>
          <w:sz w:val="24"/>
          <w:highlight w:val="none"/>
        </w:rPr>
      </w:r>
      <w:r/>
    </w:p>
    <w:p>
      <w:pPr>
        <w:pStyle w:val="1110"/>
        <w:contextualSpacing/>
        <w:ind w:firstLine="482"/>
        <w:jc w:val="left"/>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一、项目概况</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常州市武进中医医院布草清洗服务采购项目，包括各类临床医用布草及手术敷料的洗涤、高温消毒、清点交接、运输、缝补、报损以及其它洗涤服务范围内的工作，全天24小时不间断服务。采购人现有被服仓库辅房，作为双方的交接点。双方每天按约定时间到各层交接站清点交接，并签字认可。对于手术室及个别污物严重的洗涤物品，或太脏无法现场清点的，按服务公司洗涤后的洁物计数。</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二、工作条件： </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为防止交叉感染，确保病人安全，对于烈性传染病人的医用被服物品和其他卫生部门要求的特殊医用被服物品，不流入供应商。（具体依据现行的洗涤服务卫生行业标准，从20</w:t>
      </w:r>
      <w:r>
        <w:rPr>
          <w:rFonts w:hint="eastAsia" w:ascii="宋体" w:hAnsi="宋体"/>
          <w:color w:val="000000"/>
          <w:sz w:val="24"/>
          <w:szCs w:val="24"/>
          <w:highlight w:val="none"/>
          <w:lang w:val="en-US" w:eastAsia="zh-CN"/>
        </w:rPr>
        <w:t xml:space="preserve">26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月1 日起需依据“医院医用织物洗涤消毒技术规范”（中华人民共和国卫生行业标准 WS/T 508-2025）。</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为避免交叉感染，承担疾控的社会责任。供应商必须承诺不与宾馆、饭店类行业的洗涤物在同一车间内洗涤，供应商同时承诺，不将传染病医院（传染病病区）的洗涤物与采购</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rPr>
        <w:t xml:space="preserve">的洗涤物在同一洗衣设备内消毒洗涤，实行专机洗涤。</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三、年度临床布草及手术敷料洗涤品种和数量</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床单元病员服年度总件数为：</w:t>
      </w:r>
      <w:r>
        <w:rPr>
          <w:rFonts w:hint="eastAsia" w:ascii="宋体" w:hAnsi="宋体" w:eastAsia="宋体" w:cs="宋体"/>
          <w:i w:val="0"/>
          <w:iCs w:val="0"/>
          <w:color w:val="000000"/>
          <w:sz w:val="22"/>
          <w:szCs w:val="22"/>
          <w:highlight w:val="none"/>
          <w:u w:val="none"/>
          <w:lang w:val="en-US" w:eastAsia="zh-CN" w:bidi="ar"/>
        </w:rPr>
        <w:t xml:space="preserve">472497</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件；手术敷料年度总件数为：</w:t>
      </w:r>
      <w:r>
        <w:rPr>
          <w:rFonts w:hint="eastAsia" w:ascii="宋体" w:hAnsi="宋体" w:eastAsia="宋体" w:cs="宋体"/>
          <w:b w:val="0"/>
          <w:bCs/>
          <w:i w:val="0"/>
          <w:iCs w:val="0"/>
          <w:color w:val="000000"/>
          <w:sz w:val="24"/>
          <w:szCs w:val="24"/>
          <w:highlight w:val="none"/>
          <w:u w:val="none"/>
          <w:lang w:val="en-US" w:eastAsia="zh-CN" w:bidi="ar"/>
        </w:rPr>
        <w:t xml:space="preserve">148360</w:t>
      </w:r>
      <w:r>
        <w:rPr>
          <w:rFonts w:hint="eastAsia" w:ascii="宋体" w:hAnsi="宋体"/>
          <w:color w:val="000000"/>
          <w:sz w:val="24"/>
          <w:szCs w:val="24"/>
          <w:highlight w:val="none"/>
        </w:rPr>
        <w:t xml:space="preserve">件。明细如下表：</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表一：床单元病员服年洗涤数量表</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610"/>
        <w:gridCol w:w="2358"/>
        <w:gridCol w:w="3320"/>
      </w:tblGrid>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品种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规格</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年洗涤数量（件）</w:t>
            </w:r>
            <w:r>
              <w:rPr>
                <w:rFonts w:ascii="宋体" w:hAnsi="宋体" w:eastAsia="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被套</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床</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103995</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床单</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床</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100746</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枕套</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126106</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枕芯</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婴儿服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件</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10086</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工作服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件</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34683</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工作裤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31820</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蚊帐</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病员衣</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件</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31367</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病员裤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27775</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棉被</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床</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3554</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羽绒服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床</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窗帘（隔帘）</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center"/>
              <w:widowControl/>
              <w:rPr>
                <w:rFonts w:ascii="宋体" w:hAnsi="宋体" w:eastAsia="宋体" w:cs="宋体"/>
                <w:color w:val="000000"/>
                <w:sz w:val="24"/>
                <w:highlight w:val="none"/>
              </w:rPr>
            </w:pPr>
            <w:r>
              <w:rPr>
                <w:rStyle w:val="1271"/>
                <w:rFonts w:ascii="宋体" w:hAnsi="宋体" w:eastAsia="宋体"/>
                <w:color w:val="000000"/>
                <w:highlight w:val="none"/>
                <w:lang w:bidi="ar"/>
              </w:rPr>
              <w:t xml:space="preserve">块</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4"/>
              <w:jc w:val="center"/>
              <w:widowControl/>
              <w:rPr>
                <w:rFonts w:ascii="宋体" w:hAnsi="宋体" w:eastAsia="宋体" w:cs="宋体"/>
                <w:color w:val="000000"/>
                <w:sz w:val="24"/>
                <w:highlight w:val="none"/>
              </w:rPr>
            </w:pPr>
            <w:r>
              <w:rPr>
                <w:rFonts w:hint="eastAsia" w:ascii="宋体" w:hAnsi="宋体" w:eastAsia="宋体" w:cs="宋体"/>
                <w:i w:val="0"/>
                <w:iCs w:val="0"/>
                <w:color w:val="000000"/>
                <w:sz w:val="24"/>
                <w:szCs w:val="24"/>
                <w:highlight w:val="none"/>
                <w:u w:val="none"/>
                <w:lang w:val="en-US" w:eastAsia="zh-CN" w:bidi="ar"/>
              </w:rPr>
              <w:t xml:space="preserve">1730</w:t>
            </w:r>
            <w:r>
              <w:rPr>
                <w:rFonts w:ascii="宋体" w:hAnsi="宋体" w:eastAsia="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943" w:type="dxa"/>
            <w:vAlign w:val="center"/>
            <w:textDirection w:val="lrTb"/>
            <w:noWrap w:val="false"/>
          </w:tcPr>
          <w:p>
            <w:pPr>
              <w:pStyle w:val="1014"/>
              <w:jc w:val="center"/>
              <w:widowControl/>
              <w:rPr>
                <w:rFonts w:ascii="宋体" w:hAnsi="宋体" w:eastAsia="宋体" w:cs="宋体"/>
                <w:b/>
                <w:bCs/>
                <w:color w:val="000000"/>
                <w:sz w:val="24"/>
                <w:highlight w:val="none"/>
              </w:rPr>
            </w:pPr>
            <w:r>
              <w:rPr>
                <w:rStyle w:val="1272"/>
                <w:rFonts w:ascii="宋体" w:hAnsi="宋体" w:eastAsia="宋体"/>
                <w:color w:val="000000"/>
                <w:highlight w:val="none"/>
                <w:lang w:bidi="ar"/>
              </w:rPr>
              <w:t xml:space="preserve">合计</w:t>
            </w:r>
            <w:r>
              <w:rPr>
                <w:rFonts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1014"/>
              <w:jc w:val="left"/>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4"/>
              <w:jc w:val="center"/>
              <w:widowControl/>
              <w:rPr>
                <w:rFonts w:ascii="宋体" w:hAnsi="宋体" w:eastAsia="宋体" w:cs="宋体"/>
                <w:b/>
                <w:bCs/>
                <w:color w:val="000000"/>
                <w:sz w:val="24"/>
                <w:highlight w:val="none"/>
              </w:rPr>
            </w:pPr>
            <w:r>
              <w:rPr>
                <w:rFonts w:hint="eastAsia" w:ascii="宋体" w:hAnsi="宋体" w:eastAsia="宋体" w:cs="宋体"/>
                <w:i w:val="0"/>
                <w:iCs w:val="0"/>
                <w:color w:val="000000"/>
                <w:sz w:val="22"/>
                <w:szCs w:val="22"/>
                <w:highlight w:val="none"/>
                <w:u w:val="none"/>
                <w:lang w:val="en-US" w:eastAsia="zh-CN" w:bidi="ar"/>
              </w:rPr>
              <w:t xml:space="preserve">472497</w:t>
            </w:r>
            <w:r>
              <w:rPr>
                <w:rFonts w:ascii="宋体" w:hAnsi="宋体" w:eastAsia="宋体" w:cs="宋体"/>
                <w:b/>
                <w:bCs/>
                <w:color w:val="000000"/>
                <w:sz w:val="24"/>
                <w:highlight w:val="none"/>
              </w:rPr>
            </w:r>
            <w:r/>
          </w:p>
        </w:tc>
      </w:tr>
    </w:tbl>
    <w:p>
      <w:pPr>
        <w:pStyle w:val="1110"/>
        <w:contextualSpacing/>
        <w:ind w:firstLine="480"/>
        <w:jc w:val="left"/>
        <w:spacing w:line="360" w:lineRule="auto"/>
        <w:rPr>
          <w:rFonts w:ascii="宋体" w:hAnsi="宋体"/>
          <w:color w:val="000000"/>
          <w:szCs w:val="21"/>
          <w:highlight w:val="none"/>
        </w:rPr>
      </w:pPr>
      <w:r>
        <w:rPr>
          <w:rFonts w:hint="eastAsia" w:ascii="宋体" w:hAnsi="宋体"/>
          <w:color w:val="000000"/>
          <w:sz w:val="24"/>
          <w:szCs w:val="24"/>
          <w:highlight w:val="none"/>
        </w:rPr>
        <w:t xml:space="preserve">表二：手术敷料年洗涤数量表</w:t>
      </w:r>
      <w:r>
        <w:rPr>
          <w:rFonts w:ascii="宋体" w:hAnsi="宋体"/>
          <w:color w:val="000000"/>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59"/>
        <w:gridCol w:w="2232"/>
        <w:gridCol w:w="2159"/>
        <w:gridCol w:w="1938"/>
      </w:tblGrid>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名称</w:t>
            </w:r>
            <w:r>
              <w:rPr>
                <w:rFonts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规格</w:t>
            </w:r>
            <w:r>
              <w:rPr>
                <w:rFonts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单位</w:t>
            </w:r>
            <w:r>
              <w:rPr>
                <w:rFonts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101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年洗涤数量（件）</w:t>
            </w:r>
            <w:r>
              <w:rPr>
                <w:rFonts w:ascii="宋体" w:hAnsi="宋体" w:eastAsia="宋体" w:cs="宋体"/>
                <w:b/>
                <w:bCs/>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墨绿纱卡大包布（本白大包布）</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140*140cm、双层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11418</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墨绿纱卡中包布（本白中包布）</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120*120cm、双层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6732</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墨绿纱卡小包布（本白小包布）</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100*100cm、双层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10427</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墨绿纱卡治疗巾</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55*80cm、双层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36873</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墨绿纱卡大桌布</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150*220cm、双层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床</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16937</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墨绿纱卡手术衣</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长122cm、胸围137cm、单层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件</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17230</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墨绿纱卡洗手衣、裤</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M、L、XL</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件</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30325</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墨绿纱卡脚套、围脖、边用</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常规</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只</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5335</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墨绿纱卡大洞巾</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220*320cm、单层</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center"/>
              <w:spacing w:line="3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条</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014"/>
              <w:ind w:left="0" w:right="0" w:firstLine="0"/>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13083</w:t>
            </w:r>
            <w:r>
              <w:rPr>
                <w:rFonts w:ascii="宋体" w:hAnsi="宋体" w:eastAsia="宋体" w:cs="宋体"/>
                <w:color w:val="000000"/>
                <w:sz w:val="24"/>
                <w:szCs w:val="24"/>
                <w:highlight w:val="none"/>
                <w:lang w:val="en-US" w:eastAsia="zh-CN" w:bidi="ar-SA"/>
              </w:rPr>
            </w:r>
            <w:r/>
          </w:p>
        </w:tc>
      </w:tr>
      <w:tr>
        <w:trPr>
          <w:trHeight w:val="170"/>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101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合计</w:t>
            </w:r>
            <w:r>
              <w:rPr>
                <w:rFonts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14"/>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4"/>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1014"/>
              <w:jc w:val="center"/>
              <w:spacing w:line="360" w:lineRule="exact"/>
              <w:widowControl/>
              <w:rPr>
                <w:rFonts w:ascii="宋体" w:hAnsi="宋体" w:eastAsia="宋体" w:cs="宋体"/>
                <w:b/>
                <w:bCs/>
                <w:color w:val="000000"/>
                <w:sz w:val="24"/>
                <w:highlight w:val="none"/>
              </w:rPr>
            </w:pPr>
            <w:r>
              <w:rPr>
                <w:rFonts w:hint="eastAsia" w:ascii="宋体" w:hAnsi="宋体" w:eastAsia="宋体" w:cs="宋体"/>
                <w:b/>
                <w:i w:val="0"/>
                <w:iCs w:val="0"/>
                <w:color w:val="000000"/>
                <w:sz w:val="24"/>
                <w:szCs w:val="24"/>
                <w:highlight w:val="none"/>
                <w:u w:val="none"/>
                <w:lang w:val="en-US" w:eastAsia="zh-CN" w:bidi="ar"/>
              </w:rPr>
              <w:t xml:space="preserve">148360</w:t>
            </w:r>
            <w:r>
              <w:rPr>
                <w:rFonts w:ascii="宋体" w:hAnsi="宋体" w:eastAsia="宋体" w:cs="宋体"/>
                <w:b/>
                <w:bCs/>
                <w:color w:val="000000"/>
                <w:sz w:val="24"/>
                <w:highlight w:val="none"/>
              </w:rPr>
            </w:r>
            <w:r/>
          </w:p>
        </w:tc>
      </w:tr>
    </w:tbl>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3.2上述年度洗涤数量为采购人202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年度用量（共计</w:t>
      </w:r>
      <w:r>
        <w:rPr>
          <w:rFonts w:hint="eastAsia" w:ascii="宋体" w:hAnsi="宋体"/>
          <w:color w:val="000000"/>
          <w:sz w:val="24"/>
          <w:szCs w:val="24"/>
          <w:highlight w:val="none"/>
          <w:lang w:val="en-US" w:eastAsia="zh-CN"/>
        </w:rPr>
        <w:t xml:space="preserve">620857</w:t>
      </w:r>
      <w:r>
        <w:rPr>
          <w:rFonts w:hint="eastAsia" w:ascii="宋体" w:hAnsi="宋体"/>
          <w:color w:val="000000"/>
          <w:sz w:val="24"/>
          <w:szCs w:val="24"/>
          <w:highlight w:val="none"/>
        </w:rPr>
        <w:t xml:space="preserve">件），仅用于本项目报价计算。</w:t>
      </w:r>
      <w:r>
        <w:rPr>
          <w:rFonts w:ascii="宋体" w:hAnsi="宋体"/>
          <w:color w:val="000000"/>
          <w:sz w:val="24"/>
          <w:szCs w:val="24"/>
          <w:highlight w:val="none"/>
        </w:rPr>
      </w:r>
      <w:r/>
    </w:p>
    <w:p>
      <w:pPr>
        <w:pStyle w:val="1110"/>
        <w:contextualSpacing/>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如需现场踏勘，踏勘前可与采购人提前联系预约。未勘察现场的投标方对现场的误差及错误估算负责，采购人概不负责，由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自行承担全部责任。</w:t>
      </w:r>
      <w:r>
        <w:rPr>
          <w:rFonts w:hint="eastAsia" w:ascii="宋体" w:hAnsi="宋体" w:eastAsia="宋体"/>
          <w:color w:val="000000"/>
          <w:sz w:val="24"/>
          <w:szCs w:val="24"/>
          <w:highlight w:val="none"/>
          <w:lang w:eastAsia="zh-CN"/>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四、洗涤服务等相关要求：</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（一）洗涤服务总体要求</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1、每天及时按医院规定时间准时进行接收和下发，保证清洗布类数量，不拖欠病房布类。</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2、使用后的布类由洗涤单位收发人员进行分类和清点。普通污脏布类和感染性布类分类收集。收集时减少抖动。</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3、在指定地点清点污脏布类，应直接放置污衣袋内运送洗衣房的污物间清点。</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盛装使用后医用布类的包装袋应扎带封口，包装箱（桶）应加盖密闭，并一用一清洗消毒。</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运送使用后医用布类和清洁布类的专用运输工具应分别配置，不交叉使用。运输工具根据污染情况定期清洗消毒，运输工具送感染性布类后应一用一清洗消毒。</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4、非治疗性布类发现破损，及时修补，再发放；治疗性布类发现破损按报损程序处理。</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5、工作人员工作服发现有破损、纽扣脱落、皮筋松开等及时修补，尽可能熨烫平整。</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6、洗涤服务公司建立有效沟通机制，定期到布类使用部门征求使用的意见和建议。</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（二）洗涤过程的卫生要求</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1、洗涤流程分为分检、洗涤、烘干、熨烫、修补、折叠等六个程序。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2、分检时应依布类的来源不同，分为病人布类和工作人员布类。病人布类包括一般布类、有明显污染的布类和婴儿布类。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医院医用布类洗涤消毒技术规范》（中华人民共和国卫生行业标准 WS/T 508-2025）。</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（三）洗涤周期要求</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洗涤周期包括预洗、主洗、漂洗、中和、整理等五个步骤。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1、装载程度：医用布类洗涤时的装载量不应超过洗涤设备最大洗涤量的90%，即每100kg洗涤设备的洗涤量不超过90kg布类。</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2、预洗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预洗是用温度不超过40℃的水去除水溶性污垢的冲洗过程。预洗采用低温、高水位。预洗时间不宜少于10分钟。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 感染性布类的预洗：</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2.1.1 对不耐热感染性布类宜选择在预洗环节同时作消毒处理；</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2.1.2 对被朊病毒、气性坏疽、突发不明原因传染病的病原体污染或其他有明确规定的传染病病原体污染的感染性布类，若需重复使用应遵循先消毒后洗涤的原则；</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2.1.3 应根据感染性布类使用对象和污渍性质、程度不同，在密闭状态下选择下列适宜的消毒（灭菌）方法进行处理：</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⑴对于被细菌繁殖体污染的感染性布类，可使用</w:t>
      </w:r>
      <w:r>
        <w:rPr>
          <w:rFonts w:ascii="宋体" w:hAnsi="宋体"/>
          <w:color w:val="000000"/>
          <w:sz w:val="24"/>
          <w:szCs w:val="24"/>
          <w:highlight w:val="none"/>
        </w:rPr>
        <w:t xml:space="preserve">250 mg/L</w:t>
      </w:r>
      <w:r>
        <w:rPr>
          <w:rFonts w:hint="eastAsia" w:ascii="MS Mincho" w:hAnsi="MS Mincho" w:eastAsia="MS Mincho" w:cs="MS Mincho"/>
          <w:color w:val="000000"/>
          <w:sz w:val="24"/>
          <w:szCs w:val="24"/>
          <w:highlight w:val="none"/>
        </w:rPr>
        <w:t xml:space="preserve">〜</w:t>
      </w:r>
      <w:r>
        <w:rPr>
          <w:rFonts w:ascii="宋体" w:hAnsi="宋体"/>
          <w:color w:val="000000"/>
          <w:sz w:val="24"/>
          <w:szCs w:val="24"/>
          <w:highlight w:val="none"/>
        </w:rPr>
        <w:t xml:space="preserve">500 mg/L</w:t>
      </w:r>
      <w:r>
        <w:rPr>
          <w:rFonts w:hint="eastAsia" w:ascii="宋体" w:hAnsi="宋体"/>
          <w:color w:val="000000"/>
          <w:sz w:val="24"/>
          <w:szCs w:val="24"/>
          <w:highlight w:val="none"/>
        </w:rPr>
        <w:t xml:space="preserve">的含氯消毒剂或</w:t>
      </w:r>
      <w:r>
        <w:rPr>
          <w:rFonts w:ascii="宋体" w:hAnsi="宋体"/>
          <w:color w:val="000000"/>
          <w:sz w:val="24"/>
          <w:szCs w:val="24"/>
          <w:highlight w:val="none"/>
        </w:rPr>
        <w:t xml:space="preserve"> 100mg/L</w:t>
      </w:r>
      <w:r>
        <w:rPr>
          <w:rFonts w:hint="eastAsia" w:ascii="MS Mincho" w:hAnsi="MS Mincho" w:eastAsia="MS Mincho" w:cs="MS Mincho"/>
          <w:color w:val="000000"/>
          <w:sz w:val="24"/>
          <w:szCs w:val="24"/>
          <w:highlight w:val="none"/>
        </w:rPr>
        <w:t xml:space="preserve">〜</w:t>
      </w:r>
      <w:r>
        <w:rPr>
          <w:rFonts w:ascii="宋体" w:hAnsi="宋体"/>
          <w:color w:val="000000"/>
          <w:sz w:val="24"/>
          <w:szCs w:val="24"/>
          <w:highlight w:val="none"/>
        </w:rPr>
        <w:t xml:space="preserve">250 mg/L</w:t>
      </w:r>
      <w:r>
        <w:rPr>
          <w:rFonts w:hint="eastAsia" w:ascii="宋体" w:hAnsi="宋体"/>
          <w:color w:val="000000"/>
          <w:sz w:val="24"/>
          <w:szCs w:val="24"/>
          <w:highlight w:val="none"/>
        </w:rPr>
        <w:t xml:space="preserve">的二氧化氯消毒剂或相当剂量的其他消毒剂，洗涤消毒应不少于</w:t>
      </w:r>
      <w:r>
        <w:rPr>
          <w:rFonts w:ascii="宋体" w:hAnsi="宋体"/>
          <w:color w:val="000000"/>
          <w:sz w:val="24"/>
          <w:szCs w:val="24"/>
          <w:highlight w:val="none"/>
        </w:rPr>
        <w:t xml:space="preserve"> 10min;</w:t>
      </w:r>
      <w:r>
        <w:rPr>
          <w:rFonts w:hint="eastAsia" w:ascii="宋体" w:hAnsi="宋体"/>
          <w:color w:val="000000"/>
          <w:sz w:val="24"/>
          <w:szCs w:val="24"/>
          <w:highlight w:val="none"/>
        </w:rPr>
        <w:t xml:space="preserve">也可选用煮沸消毒（</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时间</w:t>
      </w:r>
      <w:r>
        <w:rPr>
          <w:rFonts w:ascii="宋体" w:hAnsi="宋体"/>
          <w:color w:val="000000"/>
          <w:sz w:val="24"/>
          <w:szCs w:val="24"/>
          <w:highlight w:val="none"/>
        </w:rPr>
        <w:t xml:space="preserve">&gt;15min)</w:t>
      </w:r>
      <w:r>
        <w:rPr>
          <w:rFonts w:hint="eastAsia" w:ascii="宋体" w:hAnsi="宋体"/>
          <w:color w:val="000000"/>
          <w:sz w:val="24"/>
          <w:szCs w:val="24"/>
          <w:highlight w:val="none"/>
        </w:rPr>
        <w:t xml:space="preserve">和蒸汽消毒（</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时间</w:t>
      </w:r>
      <w:r>
        <w:rPr>
          <w:rFonts w:ascii="宋体" w:hAnsi="宋体"/>
          <w:color w:val="000000"/>
          <w:sz w:val="24"/>
          <w:szCs w:val="24"/>
          <w:highlight w:val="none"/>
        </w:rPr>
        <w:t xml:space="preserve">15min</w:t>
      </w:r>
      <w:r>
        <w:rPr>
          <w:rFonts w:hint="eastAsia" w:ascii="MS Mincho" w:hAnsi="MS Mincho" w:eastAsia="MS Mincho" w:cs="MS Mincho"/>
          <w:color w:val="000000"/>
          <w:sz w:val="24"/>
          <w:szCs w:val="24"/>
          <w:highlight w:val="none"/>
        </w:rPr>
        <w:t xml:space="preserve">〜</w:t>
      </w:r>
      <w:r>
        <w:rPr>
          <w:rFonts w:ascii="宋体" w:hAnsi="宋体"/>
          <w:color w:val="000000"/>
          <w:sz w:val="24"/>
          <w:szCs w:val="24"/>
          <w:highlight w:val="none"/>
        </w:rPr>
        <w:t xml:space="preserve"> 30 mm)</w:t>
      </w:r>
      <w:r>
        <w:rPr>
          <w:rFonts w:hint="eastAsia" w:ascii="宋体" w:hAnsi="宋体"/>
          <w:color w:val="000000"/>
          <w:sz w:val="24"/>
          <w:szCs w:val="24"/>
          <w:highlight w:val="none"/>
        </w:rPr>
        <w:t xml:space="preserve">等湿热消毒方法；</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⑵对已明确被气性坏疽、经血传播病原体、突发不明原因传染病的病原体或分枝杆菌、细菌芽孢引起的传染病污染的感染性布类，可使用</w:t>
      </w:r>
      <w:r>
        <w:rPr>
          <w:rFonts w:ascii="宋体" w:hAnsi="宋体"/>
          <w:color w:val="000000"/>
          <w:sz w:val="24"/>
          <w:szCs w:val="24"/>
          <w:highlight w:val="none"/>
        </w:rPr>
        <w:t xml:space="preserve">2000 mg/L</w:t>
      </w:r>
      <w:r>
        <w:rPr>
          <w:rFonts w:hint="eastAsia" w:ascii="MS Mincho" w:hAnsi="MS Mincho" w:eastAsia="MS Mincho" w:cs="MS Mincho"/>
          <w:color w:val="000000"/>
          <w:sz w:val="24"/>
          <w:szCs w:val="24"/>
          <w:highlight w:val="none"/>
        </w:rPr>
        <w:t xml:space="preserve">〜</w:t>
      </w:r>
      <w:r>
        <w:rPr>
          <w:rFonts w:ascii="宋体" w:hAnsi="宋体"/>
          <w:color w:val="000000"/>
          <w:sz w:val="24"/>
          <w:szCs w:val="24"/>
          <w:highlight w:val="none"/>
        </w:rPr>
        <w:t xml:space="preserve">5000 mg/L</w:t>
      </w:r>
      <w:r>
        <w:rPr>
          <w:rFonts w:hint="eastAsia" w:ascii="宋体" w:hAnsi="宋体"/>
          <w:color w:val="000000"/>
          <w:sz w:val="24"/>
          <w:szCs w:val="24"/>
          <w:highlight w:val="none"/>
        </w:rPr>
        <w:t xml:space="preserve">的含氯消毒剂</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或</w:t>
      </w:r>
      <w:r>
        <w:rPr>
          <w:rFonts w:ascii="宋体" w:hAnsi="宋体"/>
          <w:color w:val="000000"/>
          <w:sz w:val="24"/>
          <w:szCs w:val="24"/>
          <w:highlight w:val="none"/>
        </w:rPr>
        <w:t xml:space="preserve">500 mg/L</w:t>
      </w:r>
      <w:r>
        <w:rPr>
          <w:rFonts w:hint="eastAsia" w:ascii="MS Mincho" w:hAnsi="MS Mincho" w:eastAsia="MS Mincho" w:cs="MS Mincho"/>
          <w:color w:val="000000"/>
          <w:sz w:val="24"/>
          <w:szCs w:val="24"/>
          <w:highlight w:val="none"/>
        </w:rPr>
        <w:t xml:space="preserve">〜</w:t>
      </w:r>
      <w:r>
        <w:rPr>
          <w:rFonts w:ascii="宋体" w:hAnsi="宋体"/>
          <w:color w:val="000000"/>
          <w:sz w:val="24"/>
          <w:szCs w:val="24"/>
          <w:highlight w:val="none"/>
        </w:rPr>
        <w:t xml:space="preserve">1000 mg/L</w:t>
      </w:r>
      <w:r>
        <w:rPr>
          <w:rFonts w:hint="eastAsia" w:ascii="宋体" w:hAnsi="宋体"/>
          <w:color w:val="000000"/>
          <w:sz w:val="24"/>
          <w:szCs w:val="24"/>
          <w:highlight w:val="none"/>
        </w:rPr>
        <w:t xml:space="preserve">的二氧化氯消毒剂或相当剂量的其他消毒剂，洗涤消毒应不少于</w:t>
      </w:r>
      <w:r>
        <w:rPr>
          <w:rFonts w:ascii="宋体" w:hAnsi="宋体"/>
          <w:color w:val="000000"/>
          <w:sz w:val="24"/>
          <w:szCs w:val="24"/>
          <w:highlight w:val="none"/>
        </w:rPr>
        <w:t xml:space="preserve">30min</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⑶对外观有明显血液、体液、分泌物、排泄物等污渍的感染性布类，应选择以上两种方法之一，在密闭状态下进行洗涤消毒。</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3、主洗：可根据洗涤的布类的污染情况加入碱、清洁剂或乳化剂。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 洗涤方法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① 热洗涤方法：75℃30分钟、90℃10分钟或A0值&gt;600，洗涤时间在确保消毒时间的基础上，根据布类污脏程度的需要而延长。</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② 冷洗涤方法：用有效氯含量250mg-400mg/l的消毒液浸泡20min以上，冷洗去掉有机物。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③ 不能确定污渍种类，局部的污渍处理则应采取下列程序。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a) 使用洗涤剂。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b) 使用有机溶剂，如丙酮或酒精。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c) 使用酸性溶液，如氟化氢钠、氟化氢氨；若为小块斑渍，使用实验室等级的氢氯酸溶液。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d) 使用还原剂或剥色剂的温溶液，如连二亚硫酸钠或亚硫酸氢钠。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e) 使用氧化剂，如次氯酸钠（液体漂白剂）或过氧化氢。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该洗涤程序应按所给顺序进行。每一步之间都应将布类充分过水。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4、漂洗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通过稀释的方法去除布类中所有悬浮污渍和残留化学洗剂，每次漂洗时间不应低于3分钟，一般温度为65℃-70℃， 每次漂洗间隔应进行一次脱水，漂洗次数应不低于3次。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5、中和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酸在最后一次过水时用于中和残留的碱。一般温度为45℃-55℃，时间为5min，中和后水中的pH值应达5.8-6.5。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6、整理过程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熨烫、修补、折叠过程严防清洗后的布类污染。烘干温度应不低于60℃，为避免布类损伤和过度缩水，平烫机底面温度不应超过180℃。烘干和整理过程中应进行质量控制，如烘干前应目测检查洗涤后的医用布类是否干净，发现仍有污渍时需重新进行洗涤等。</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7、洗涤后的布类要求</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92"/>
        <w:gridCol w:w="3537"/>
        <w:gridCol w:w="1525"/>
        <w:gridCol w:w="152"/>
        <w:gridCol w:w="1525"/>
        <w:gridCol w:w="2057"/>
      </w:tblGrid>
      <w:tr>
        <w:trPr>
          <w:trHeight w:val="170"/>
        </w:trPr>
        <w:tc>
          <w:tcPr>
            <w:gridSpan w:val="2"/>
            <w:tcBorders>
              <w:top w:val="single" w:color="000000" w:sz="8" w:space="0"/>
              <w:left w:val="single" w:color="000000" w:sz="8" w:space="0"/>
              <w:bottom w:val="single" w:color="000000" w:sz="4" w:space="0"/>
              <w:right w:val="single" w:color="000000" w:sz="4" w:space="0"/>
            </w:tcBorders>
            <w:tcW w:w="4029" w:type="dxa"/>
            <w:vAlign w:val="center"/>
            <w:vMerge w:val="restart"/>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项目</w:t>
            </w:r>
            <w:r>
              <w:rPr>
                <w:rFonts w:ascii="宋体" w:cs="宋体"/>
                <w:color w:val="000000"/>
                <w:sz w:val="24"/>
                <w:highlight w:val="none"/>
              </w:rPr>
            </w:r>
            <w:r/>
          </w:p>
        </w:tc>
        <w:tc>
          <w:tcPr>
            <w:gridSpan w:val="3"/>
            <w:tcBorders>
              <w:top w:val="single" w:color="000000" w:sz="8" w:space="0"/>
              <w:left w:val="none" w:color="000000" w:sz="4" w:space="0"/>
              <w:bottom w:val="single" w:color="000000" w:sz="4" w:space="0"/>
              <w:right w:val="single" w:color="000000" w:sz="4" w:space="0"/>
            </w:tcBorders>
            <w:tcW w:w="3202"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指标</w:t>
            </w:r>
            <w:r>
              <w:rPr>
                <w:rFonts w:ascii="宋体" w:cs="宋体"/>
                <w:color w:val="000000"/>
                <w:sz w:val="24"/>
                <w:highlight w:val="none"/>
              </w:rPr>
            </w:r>
            <w:r/>
          </w:p>
        </w:tc>
        <w:tc>
          <w:tcPr>
            <w:tcBorders>
              <w:top w:val="single" w:color="000000" w:sz="8" w:space="0"/>
              <w:left w:val="single" w:color="000000" w:sz="4" w:space="0"/>
              <w:bottom w:val="single" w:color="000000" w:sz="4" w:space="0"/>
              <w:right w:val="single" w:color="000000" w:sz="8" w:space="0"/>
            </w:tcBorders>
            <w:tcW w:w="1108" w:type="dxa"/>
            <w:vAlign w:val="center"/>
            <w:vMerge w:val="restart"/>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备注</w:t>
            </w:r>
            <w:r>
              <w:rPr>
                <w:rFonts w:ascii="宋体" w:cs="宋体"/>
                <w:color w:val="000000"/>
                <w:sz w:val="24"/>
                <w:highlight w:val="none"/>
              </w:rPr>
            </w:r>
            <w:r/>
          </w:p>
        </w:tc>
      </w:tr>
      <w:tr>
        <w:trPr>
          <w:trHeight w:val="170"/>
        </w:trPr>
        <w:tc>
          <w:tcPr>
            <w:gridSpan w:val="2"/>
            <w:tcBorders>
              <w:top w:val="single" w:color="000000" w:sz="8" w:space="0"/>
              <w:left w:val="single" w:color="000000" w:sz="8" w:space="0"/>
              <w:bottom w:val="single" w:color="000000" w:sz="4" w:space="0"/>
              <w:right w:val="single" w:color="000000" w:sz="4" w:space="0"/>
            </w:tcBorders>
            <w:tcW w:w="4029" w:type="dxa"/>
            <w:vAlign w:val="center"/>
            <w:vMerge w:val="continue"/>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医疗用</w:t>
            </w:r>
            <w:r>
              <w:rPr>
                <w:rFonts w:ascii="宋体" w:cs="宋体"/>
                <w:color w:val="000000"/>
                <w:sz w:val="24"/>
                <w:highlight w:val="none"/>
              </w:rPr>
            </w:r>
            <w:r/>
          </w:p>
        </w:tc>
        <w:tc>
          <w:tcPr>
            <w:gridSpan w:val="2"/>
            <w:tcBorders>
              <w:top w:val="none" w:color="000000" w:sz="4" w:space="0"/>
              <w:left w:val="none" w:color="000000" w:sz="4" w:space="0"/>
              <w:bottom w:val="single" w:color="000000" w:sz="4" w:space="0"/>
              <w:right w:val="single" w:color="000000" w:sz="4" w:space="0"/>
            </w:tcBorders>
            <w:tcW w:w="1677"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非医疗用</w:t>
            </w:r>
            <w:r>
              <w:rPr>
                <w:rFonts w:ascii="宋体" w:cs="宋体"/>
                <w:color w:val="000000"/>
                <w:sz w:val="24"/>
                <w:highlight w:val="none"/>
              </w:rPr>
            </w:r>
            <w:r/>
          </w:p>
        </w:tc>
        <w:tc>
          <w:tcPr>
            <w:tcBorders>
              <w:top w:val="single" w:color="000000" w:sz="8" w:space="0"/>
              <w:left w:val="single" w:color="000000" w:sz="4" w:space="0"/>
              <w:bottom w:val="single" w:color="000000" w:sz="4" w:space="0"/>
              <w:right w:val="single" w:color="000000" w:sz="8" w:space="0"/>
            </w:tcBorders>
            <w:tcW w:w="1108" w:type="dxa"/>
            <w:vAlign w:val="center"/>
            <w:vMerge w:val="continue"/>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r>
      <w:tr>
        <w:trPr>
          <w:trHeight w:val="170"/>
        </w:trPr>
        <w:tc>
          <w:tcPr>
            <w:tcBorders>
              <w:top w:val="none" w:color="000000" w:sz="4" w:space="0"/>
              <w:left w:val="single" w:color="000000" w:sz="8" w:space="0"/>
              <w:bottom w:val="single" w:color="000000" w:sz="4" w:space="0"/>
              <w:right w:val="single" w:color="000000" w:sz="4" w:space="0"/>
            </w:tcBorders>
            <w:tcW w:w="265" w:type="dxa"/>
            <w:vAlign w:val="center"/>
            <w:vMerge w:val="restart"/>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细菌</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菌落总数，cfu/100cm² ≤</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50</w:t>
            </w:r>
            <w:r>
              <w:rPr>
                <w:rFonts w:ascii="宋体" w:cs="宋体"/>
                <w:color w:val="000000"/>
                <w:sz w:val="24"/>
                <w:highlight w:val="none"/>
              </w:rPr>
            </w:r>
            <w:r/>
          </w:p>
        </w:tc>
        <w:tc>
          <w:tcPr>
            <w:gridSpan w:val="2"/>
            <w:tcBorders>
              <w:top w:val="none" w:color="000000" w:sz="4" w:space="0"/>
              <w:left w:val="none" w:color="000000" w:sz="4" w:space="0"/>
              <w:bottom w:val="single" w:color="000000" w:sz="4" w:space="0"/>
              <w:right w:val="single" w:color="000000" w:sz="4" w:space="0"/>
            </w:tcBorders>
            <w:tcW w:w="1677"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200</w:t>
            </w:r>
            <w:r>
              <w:rPr>
                <w:rFonts w:ascii="宋体" w:cs="宋体"/>
                <w:color w:val="000000"/>
                <w:sz w:val="24"/>
                <w:highlight w:val="none"/>
              </w:rPr>
            </w:r>
            <w:r/>
          </w:p>
        </w:tc>
        <w:tc>
          <w:tcPr>
            <w:tcBorders>
              <w:top w:val="none" w:color="000000" w:sz="4" w:space="0"/>
              <w:left w:val="single" w:color="000000" w:sz="4" w:space="0"/>
              <w:bottom w:val="single" w:color="000000" w:sz="4" w:space="0"/>
              <w:right w:val="single" w:color="000000" w:sz="8" w:space="0"/>
            </w:tcBorders>
            <w:tcW w:w="1108" w:type="dxa"/>
            <w:vAlign w:val="center"/>
            <w:vMerge w:val="restart"/>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　</w:t>
            </w:r>
            <w:r>
              <w:rPr>
                <w:rFonts w:ascii="宋体" w:cs="宋体"/>
                <w:color w:val="000000"/>
                <w:sz w:val="24"/>
                <w:highlight w:val="none"/>
              </w:rPr>
            </w:r>
            <w:r/>
          </w:p>
        </w:tc>
      </w:tr>
      <w:tr>
        <w:trPr>
          <w:trHeight w:val="170"/>
        </w:trPr>
        <w:tc>
          <w:tcPr>
            <w:tcBorders>
              <w:top w:val="none" w:color="000000" w:sz="4" w:space="0"/>
              <w:left w:val="single" w:color="000000" w:sz="8" w:space="0"/>
              <w:bottom w:val="single" w:color="000000" w:sz="4" w:space="0"/>
              <w:right w:val="single" w:color="000000" w:sz="4" w:space="0"/>
            </w:tcBorders>
            <w:tcW w:w="265" w:type="dxa"/>
            <w:vAlign w:val="center"/>
            <w:vMerge w:val="continue"/>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大肠菌群</w:t>
            </w:r>
            <w:r>
              <w:rPr>
                <w:rFonts w:ascii="宋体" w:cs="宋体"/>
                <w:color w:val="000000"/>
                <w:sz w:val="24"/>
                <w:highlight w:val="none"/>
              </w:rPr>
            </w:r>
            <w:r/>
          </w:p>
        </w:tc>
        <w:tc>
          <w:tcPr>
            <w:gridSpan w:val="3"/>
            <w:tcBorders>
              <w:top w:val="single" w:color="000000" w:sz="4" w:space="0"/>
              <w:left w:val="none" w:color="000000" w:sz="4" w:space="0"/>
              <w:bottom w:val="single" w:color="000000" w:sz="4" w:space="0"/>
              <w:right w:val="single" w:color="000000" w:sz="4" w:space="0"/>
            </w:tcBorders>
            <w:tcW w:w="3202"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不得检出</w:t>
            </w:r>
            <w:r>
              <w:rPr>
                <w:rFonts w:ascii="宋体" w:cs="宋体"/>
                <w:color w:val="000000"/>
                <w:sz w:val="24"/>
                <w:highlight w:val="none"/>
              </w:rPr>
            </w:r>
            <w:r/>
          </w:p>
        </w:tc>
        <w:tc>
          <w:tcPr>
            <w:tcBorders>
              <w:top w:val="none" w:color="000000" w:sz="4" w:space="0"/>
              <w:left w:val="single" w:color="000000" w:sz="4" w:space="0"/>
              <w:bottom w:val="single" w:color="000000" w:sz="4" w:space="0"/>
              <w:right w:val="single" w:color="000000" w:sz="8" w:space="0"/>
            </w:tcBorders>
            <w:tcW w:w="1108" w:type="dxa"/>
            <w:vAlign w:val="center"/>
            <w:vMerge w:val="continue"/>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r>
      <w:tr>
        <w:trPr>
          <w:trHeight w:val="170"/>
        </w:trPr>
        <w:tc>
          <w:tcPr>
            <w:tcBorders>
              <w:top w:val="none" w:color="000000" w:sz="4" w:space="0"/>
              <w:left w:val="single" w:color="000000" w:sz="8" w:space="0"/>
              <w:bottom w:val="single" w:color="000000" w:sz="4" w:space="0"/>
              <w:right w:val="single" w:color="000000" w:sz="4" w:space="0"/>
            </w:tcBorders>
            <w:tcW w:w="265" w:type="dxa"/>
            <w:vAlign w:val="center"/>
            <w:vMerge w:val="continue"/>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致病菌，如金黄色葡萄球菌</w:t>
            </w:r>
            <w:r>
              <w:rPr>
                <w:rFonts w:ascii="宋体" w:cs="宋体"/>
                <w:color w:val="000000"/>
                <w:sz w:val="24"/>
                <w:highlight w:val="none"/>
              </w:rPr>
            </w:r>
            <w:r/>
          </w:p>
        </w:tc>
        <w:tc>
          <w:tcPr>
            <w:gridSpan w:val="3"/>
            <w:tcBorders>
              <w:top w:val="single" w:color="000000" w:sz="4" w:space="0"/>
              <w:left w:val="none" w:color="000000" w:sz="4" w:space="0"/>
              <w:bottom w:val="single" w:color="000000" w:sz="4" w:space="0"/>
              <w:right w:val="single" w:color="000000" w:sz="4" w:space="0"/>
            </w:tcBorders>
            <w:tcW w:w="3202"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不得检出</w:t>
            </w:r>
            <w:r>
              <w:rPr>
                <w:rFonts w:ascii="宋体" w:cs="宋体"/>
                <w:color w:val="000000"/>
                <w:sz w:val="24"/>
                <w:highlight w:val="none"/>
              </w:rPr>
            </w:r>
            <w:r/>
          </w:p>
        </w:tc>
        <w:tc>
          <w:tcPr>
            <w:tcBorders>
              <w:top w:val="none" w:color="000000" w:sz="4" w:space="0"/>
              <w:left w:val="single" w:color="000000" w:sz="4" w:space="0"/>
              <w:bottom w:val="single" w:color="000000" w:sz="4" w:space="0"/>
              <w:right w:val="single" w:color="000000" w:sz="8" w:space="0"/>
            </w:tcBorders>
            <w:tcW w:w="1108" w:type="dxa"/>
            <w:vAlign w:val="center"/>
            <w:vMerge w:val="continue"/>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4029"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真菌菌落总数，cfu/100cm² ≤</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不得检出</w:t>
            </w:r>
            <w:r>
              <w:rPr>
                <w:rFonts w:ascii="宋体" w:cs="宋体"/>
                <w:color w:val="000000"/>
                <w:sz w:val="24"/>
                <w:highlight w:val="none"/>
              </w:rPr>
            </w:r>
            <w:r/>
          </w:p>
        </w:tc>
        <w:tc>
          <w:tcPr>
            <w:gridSpan w:val="2"/>
            <w:tcBorders>
              <w:top w:val="none" w:color="000000" w:sz="4" w:space="0"/>
              <w:left w:val="none" w:color="000000" w:sz="4" w:space="0"/>
              <w:bottom w:val="single" w:color="000000" w:sz="4" w:space="0"/>
              <w:right w:val="single" w:color="000000" w:sz="4" w:space="0"/>
            </w:tcBorders>
            <w:tcW w:w="1677"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100</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1108" w:type="dxa"/>
            <w:vAlign w:val="center"/>
            <w:textDirection w:val="lrTb"/>
            <w:noWrap w:val="false"/>
          </w:tcPr>
          <w:p>
            <w:pPr>
              <w:pStyle w:val="1014"/>
              <w:jc w:val="left"/>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　</w:t>
            </w:r>
            <w:r>
              <w:rPr>
                <w:rFonts w:ascii="宋体" w:cs="宋体"/>
                <w:color w:val="000000"/>
                <w:sz w:val="24"/>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4029"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异味</w:t>
            </w:r>
            <w:r>
              <w:rPr>
                <w:rFonts w:ascii="宋体" w:cs="宋体"/>
                <w:color w:val="000000"/>
                <w:sz w:val="24"/>
                <w:highlight w:val="none"/>
              </w:rPr>
            </w:r>
            <w:r/>
          </w:p>
        </w:tc>
        <w:tc>
          <w:tcPr>
            <w:gridSpan w:val="3"/>
            <w:tcBorders>
              <w:top w:val="single" w:color="000000" w:sz="4" w:space="0"/>
              <w:left w:val="none" w:color="000000" w:sz="4" w:space="0"/>
              <w:bottom w:val="single" w:color="000000" w:sz="4" w:space="0"/>
              <w:right w:val="single" w:color="000000" w:sz="4" w:space="0"/>
            </w:tcBorders>
            <w:tcW w:w="3202"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无</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1108" w:type="dxa"/>
            <w:vAlign w:val="center"/>
            <w:textDirection w:val="lrTb"/>
            <w:noWrap w:val="false"/>
          </w:tcPr>
          <w:p>
            <w:pPr>
              <w:pStyle w:val="1014"/>
              <w:jc w:val="left"/>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　</w:t>
            </w:r>
            <w:r>
              <w:rPr>
                <w:rFonts w:ascii="宋体" w:cs="宋体"/>
                <w:color w:val="000000"/>
                <w:sz w:val="24"/>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4029"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色污渍</w:t>
            </w:r>
            <w:r>
              <w:rPr>
                <w:rFonts w:ascii="宋体" w:cs="宋体"/>
                <w:color w:val="000000"/>
                <w:sz w:val="24"/>
                <w:highlight w:val="none"/>
              </w:rPr>
            </w:r>
            <w:r/>
          </w:p>
        </w:tc>
        <w:tc>
          <w:tcPr>
            <w:gridSpan w:val="2"/>
            <w:tcBorders>
              <w:top w:val="none" w:color="000000" w:sz="4" w:space="0"/>
              <w:left w:val="none" w:color="000000" w:sz="4" w:space="0"/>
              <w:bottom w:val="single" w:color="000000" w:sz="4" w:space="0"/>
              <w:right w:val="single" w:color="000000" w:sz="4" w:space="0"/>
            </w:tcBorders>
            <w:tcW w:w="1677"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好于等于4</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1108" w:type="dxa"/>
            <w:vAlign w:val="center"/>
            <w:textDirection w:val="lrTb"/>
            <w:noWrap w:val="false"/>
          </w:tcPr>
          <w:p>
            <w:pPr>
              <w:pStyle w:val="1014"/>
              <w:jc w:val="left"/>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　</w:t>
            </w:r>
            <w:r>
              <w:rPr>
                <w:rFonts w:ascii="宋体" w:cs="宋体"/>
                <w:color w:val="000000"/>
                <w:sz w:val="24"/>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4029"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人体掉落物</w:t>
            </w:r>
            <w:r>
              <w:rPr>
                <w:rFonts w:ascii="宋体" w:cs="宋体"/>
                <w:color w:val="000000"/>
                <w:sz w:val="24"/>
                <w:highlight w:val="none"/>
              </w:rPr>
            </w:r>
            <w:r/>
          </w:p>
        </w:tc>
        <w:tc>
          <w:tcPr>
            <w:gridSpan w:val="3"/>
            <w:tcBorders>
              <w:top w:val="single" w:color="000000" w:sz="4" w:space="0"/>
              <w:left w:val="none" w:color="000000" w:sz="4" w:space="0"/>
              <w:bottom w:val="single" w:color="000000" w:sz="4" w:space="0"/>
              <w:right w:val="single" w:color="000000" w:sz="4" w:space="0"/>
            </w:tcBorders>
            <w:tcW w:w="3202"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无</w:t>
            </w:r>
            <w:r>
              <w:rPr>
                <w:rFonts w:asci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1108" w:type="dxa"/>
            <w:vAlign w:val="center"/>
            <w:textDirection w:val="lrTb"/>
            <w:noWrap w:val="false"/>
          </w:tcPr>
          <w:p>
            <w:pPr>
              <w:pStyle w:val="1014"/>
              <w:jc w:val="left"/>
              <w:spacing w:line="360" w:lineRule="exact"/>
              <w:widowControl/>
              <w:rPr>
                <w:rFonts w:ascii="宋体" w:cs="宋体"/>
                <w:color w:val="000000"/>
                <w:sz w:val="24"/>
                <w:highlight w:val="none"/>
              </w:rPr>
            </w:pPr>
            <w:r>
              <w:rPr>
                <w:rFonts w:ascii="宋体" w:cs="宋体"/>
                <w:color w:val="000000"/>
                <w:sz w:val="24"/>
                <w:highlight w:val="none"/>
              </w:rPr>
            </w:r>
            <w:r/>
          </w:p>
        </w:tc>
      </w:tr>
      <w:tr>
        <w:trPr>
          <w:trHeight w:val="170"/>
        </w:trPr>
        <w:tc>
          <w:tcPr>
            <w:gridSpan w:val="2"/>
            <w:tcBorders>
              <w:top w:val="single" w:color="000000" w:sz="4" w:space="0"/>
              <w:left w:val="single" w:color="000000" w:sz="8" w:space="0"/>
              <w:bottom w:val="single" w:color="000000" w:sz="8" w:space="0"/>
              <w:right w:val="single" w:color="000000" w:sz="4" w:space="0"/>
            </w:tcBorders>
            <w:tcW w:w="4029"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吸水性，S ≤</w:t>
            </w:r>
            <w:r>
              <w:rPr>
                <w:rFonts w:ascii="宋体" w:cs="宋体"/>
                <w:color w:val="000000"/>
                <w:sz w:val="24"/>
                <w:highlight w:val="none"/>
              </w:rPr>
            </w:r>
            <w:r/>
          </w:p>
        </w:tc>
        <w:tc>
          <w:tcPr>
            <w:gridSpan w:val="3"/>
            <w:tcBorders>
              <w:top w:val="single" w:color="000000" w:sz="4" w:space="0"/>
              <w:left w:val="none" w:color="000000" w:sz="4" w:space="0"/>
              <w:bottom w:val="single" w:color="000000" w:sz="8" w:space="0"/>
              <w:right w:val="single" w:color="000000" w:sz="4" w:space="0"/>
            </w:tcBorders>
            <w:tcW w:w="3202" w:type="dxa"/>
            <w:vAlign w:val="center"/>
            <w:textDirection w:val="lrTb"/>
            <w:noWrap w:val="false"/>
          </w:tcPr>
          <w:p>
            <w:pPr>
              <w:pStyle w:val="1014"/>
              <w:jc w:val="center"/>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20</w:t>
            </w:r>
            <w:r>
              <w:rPr>
                <w:rFonts w:asci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1108" w:type="dxa"/>
            <w:vAlign w:val="center"/>
            <w:textDirection w:val="lrTb"/>
            <w:noWrap w:val="false"/>
          </w:tcPr>
          <w:p>
            <w:pPr>
              <w:pStyle w:val="1014"/>
              <w:jc w:val="left"/>
              <w:spacing w:line="360" w:lineRule="exact"/>
              <w:widowControl/>
              <w:rPr>
                <w:rFonts w:ascii="宋体" w:cs="宋体"/>
                <w:color w:val="000000"/>
                <w:sz w:val="24"/>
                <w:highlight w:val="none"/>
              </w:rPr>
            </w:pPr>
            <w:r>
              <w:rPr>
                <w:rFonts w:hint="eastAsia" w:ascii="宋体" w:hAnsi="宋体" w:cs="宋体"/>
                <w:color w:val="000000"/>
                <w:sz w:val="24"/>
                <w:highlight w:val="none"/>
              </w:rPr>
              <w:t xml:space="preserve">只适用毛巾、浴巾</w:t>
            </w:r>
            <w:r>
              <w:rPr>
                <w:rFonts w:ascii="宋体" w:cs="宋体"/>
                <w:color w:val="000000"/>
                <w:sz w:val="24"/>
                <w:highlight w:val="none"/>
              </w:rPr>
            </w:r>
            <w:r/>
          </w:p>
        </w:tc>
      </w:tr>
    </w:tbl>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（四）缝补和报损要求</w:t>
      </w:r>
      <w:r>
        <w:rPr>
          <w:rFonts w:ascii="宋体" w:hAnsi="宋体"/>
          <w:color w:val="000000"/>
          <w:sz w:val="24"/>
          <w:szCs w:val="24"/>
          <w:highlight w:val="none"/>
        </w:rPr>
      </w:r>
      <w:r/>
    </w:p>
    <w:p>
      <w:pPr>
        <w:pStyle w:val="1110"/>
        <w:contextualSpacing/>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1、供应商应对采购人委托洗涤物的轻度破损被服（缺钮扣、少带子、脱线缝、撕裂……）进行免费缝补,缝补完好后方能发出。</w:t>
      </w:r>
      <w:r>
        <w:rPr>
          <w:rFonts w:hint="eastAsia"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2、床上用品洗涤破损更换标准如下，达到标准，供应商负责报损和更换，更换费用由供应商承担。</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2.1更换的常规标准：</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2224"/>
        <w:gridCol w:w="1573"/>
        <w:gridCol w:w="2224"/>
        <w:gridCol w:w="1809"/>
      </w:tblGrid>
      <w:tr>
        <w:trPr>
          <w:trHeight w:val="170"/>
        </w:trPr>
        <w:tc>
          <w:tcPr>
            <w:tcW w:w="785" w:type="dxa"/>
            <w:vAlign w:val="center"/>
            <w:vMerge w:val="restart"/>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分类</w:t>
            </w:r>
            <w:r>
              <w:rPr>
                <w:rFonts w:ascii="宋体" w:hAnsi="宋体" w:cs="宋体"/>
                <w:color w:val="000000"/>
                <w:sz w:val="24"/>
                <w:highlight w:val="none"/>
              </w:rPr>
            </w:r>
            <w:r/>
          </w:p>
        </w:tc>
        <w:tc>
          <w:tcPr>
            <w:gridSpan w:val="4"/>
            <w:tcW w:w="7830"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更换标准</w:t>
            </w:r>
            <w:r>
              <w:rPr>
                <w:rFonts w:ascii="宋体" w:hAnsi="宋体" w:cs="宋体"/>
                <w:color w:val="000000"/>
                <w:sz w:val="24"/>
                <w:highlight w:val="none"/>
              </w:rPr>
            </w:r>
            <w:r/>
          </w:p>
        </w:tc>
      </w:tr>
      <w:tr>
        <w:trPr>
          <w:trHeight w:val="170"/>
        </w:trPr>
        <w:tc>
          <w:tcPr>
            <w:tcW w:w="785" w:type="dxa"/>
            <w:vAlign w:val="center"/>
            <w:vMerge w:val="continue"/>
            <w:textDirection w:val="lrTb"/>
            <w:noWrap w:val="false"/>
          </w:tcPr>
          <w:p>
            <w:pPr>
              <w:pStyle w:val="1014"/>
              <w:jc w:val="left"/>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W w:w="1197"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破损程度</w:t>
            </w:r>
            <w:r>
              <w:rPr>
                <w:rFonts w:ascii="宋体" w:hAnsi="宋体" w:cs="宋体"/>
                <w:color w:val="000000"/>
                <w:sz w:val="24"/>
                <w:highlight w:val="none"/>
              </w:rPr>
            </w:r>
            <w:r/>
          </w:p>
        </w:tc>
        <w:tc>
          <w:tcPr>
            <w:tcW w:w="847"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污迹斑块</w:t>
            </w:r>
            <w:r>
              <w:rPr>
                <w:rFonts w:ascii="宋体" w:hAnsi="宋体" w:cs="宋体"/>
                <w:color w:val="000000"/>
                <w:sz w:val="24"/>
                <w:highlight w:val="none"/>
              </w:rPr>
            </w:r>
            <w:r/>
          </w:p>
        </w:tc>
        <w:tc>
          <w:tcPr>
            <w:tcW w:w="1197"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反复洗涤后状况</w:t>
            </w:r>
            <w:r>
              <w:rPr>
                <w:rFonts w:ascii="宋体" w:hAnsi="宋体" w:cs="宋体"/>
                <w:color w:val="000000"/>
                <w:sz w:val="24"/>
                <w:highlight w:val="none"/>
              </w:rPr>
            </w:r>
            <w:r/>
          </w:p>
        </w:tc>
        <w:tc>
          <w:tcPr>
            <w:tcW w:w="975"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传染病患者使用后</w:t>
            </w:r>
            <w:r>
              <w:rPr>
                <w:rFonts w:ascii="宋体" w:hAnsi="宋体" w:cs="宋体"/>
                <w:color w:val="000000"/>
                <w:sz w:val="24"/>
                <w:highlight w:val="none"/>
              </w:rPr>
            </w:r>
            <w:r/>
          </w:p>
        </w:tc>
      </w:tr>
      <w:tr>
        <w:trPr>
          <w:trHeight w:val="170"/>
        </w:trPr>
        <w:tc>
          <w:tcPr>
            <w:tcW w:w="785"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床单</w:t>
            </w:r>
            <w:r>
              <w:rPr>
                <w:rFonts w:ascii="宋体" w:hAnsi="宋体" w:cs="宋体"/>
                <w:color w:val="000000"/>
                <w:sz w:val="24"/>
                <w:highlight w:val="none"/>
              </w:rPr>
            </w:r>
            <w:r/>
          </w:p>
        </w:tc>
        <w:tc>
          <w:tcPr>
            <w:tcW w:w="119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1、床单、被套、枕套中心有破损，有洞面积未达到2cm</w:t>
            </w:r>
            <w:r>
              <w:rPr>
                <w:rFonts w:hint="eastAsia" w:ascii="宋体" w:hAnsi="宋体" w:cs="宋体"/>
                <w:color w:val="000000"/>
                <w:sz w:val="24"/>
                <w:highlight w:val="none"/>
                <w:vertAlign w:val="superscript"/>
              </w:rPr>
              <w:t xml:space="preserve">2</w:t>
            </w:r>
            <w:r>
              <w:rPr>
                <w:rFonts w:hint="eastAsia" w:ascii="宋体" w:hAnsi="宋体" w:cs="宋体"/>
                <w:color w:val="000000"/>
                <w:sz w:val="24"/>
                <w:highlight w:val="none"/>
              </w:rPr>
              <w:t xml:space="preserve">进行修补，超过2 cm</w:t>
            </w:r>
            <w:r>
              <w:rPr>
                <w:rFonts w:hint="eastAsia" w:ascii="宋体" w:hAnsi="宋体" w:cs="宋体"/>
                <w:color w:val="000000"/>
                <w:sz w:val="24"/>
                <w:highlight w:val="none"/>
                <w:vertAlign w:val="superscript"/>
              </w:rPr>
              <w:t xml:space="preserve">2</w:t>
            </w:r>
            <w:r>
              <w:rPr>
                <w:rFonts w:hint="eastAsia" w:ascii="宋体" w:hAnsi="宋体" w:cs="宋体"/>
                <w:color w:val="000000"/>
                <w:sz w:val="24"/>
                <w:highlight w:val="none"/>
              </w:rPr>
              <w:t xml:space="preserve">以上进行更换</w:t>
            </w:r>
            <w:r>
              <w:rPr>
                <w:rFonts w:ascii="宋体" w:hAnsi="宋体" w:cs="宋体"/>
                <w:color w:val="000000"/>
                <w:sz w:val="24"/>
                <w:highlight w:val="none"/>
              </w:rPr>
            </w:r>
            <w:r/>
          </w:p>
        </w:tc>
        <w:tc>
          <w:tcPr>
            <w:tcW w:w="84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1、直径≥2cm、有色斑块1个，≤2cm的斑块2个或以上；</w:t>
            </w:r>
            <w:r>
              <w:rPr>
                <w:rFonts w:ascii="宋体" w:hAnsi="宋体" w:cs="宋体"/>
                <w:color w:val="000000"/>
                <w:sz w:val="24"/>
                <w:highlight w:val="none"/>
              </w:rPr>
            </w:r>
            <w:r/>
          </w:p>
        </w:tc>
        <w:tc>
          <w:tcPr>
            <w:tcW w:w="119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1、薄且闷/洗涤后致密度松散</w:t>
            </w:r>
            <w:r>
              <w:rPr>
                <w:rFonts w:ascii="宋体" w:hAnsi="宋体" w:cs="宋体"/>
                <w:color w:val="000000"/>
                <w:sz w:val="24"/>
                <w:highlight w:val="none"/>
              </w:rPr>
            </w:r>
            <w:r/>
          </w:p>
        </w:tc>
        <w:tc>
          <w:tcPr>
            <w:tcW w:w="975"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1、甲类传染病</w:t>
            </w:r>
            <w:r>
              <w:rPr>
                <w:rFonts w:ascii="宋体" w:hAnsi="宋体" w:cs="宋体"/>
                <w:color w:val="000000"/>
                <w:sz w:val="24"/>
                <w:highlight w:val="none"/>
              </w:rPr>
            </w:r>
            <w:r/>
          </w:p>
        </w:tc>
      </w:tr>
      <w:tr>
        <w:trPr>
          <w:trHeight w:val="170"/>
        </w:trPr>
        <w:tc>
          <w:tcPr>
            <w:tcW w:w="785"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被套</w:t>
            </w:r>
            <w:r>
              <w:rPr>
                <w:rFonts w:ascii="宋体" w:hAnsi="宋体" w:cs="宋体"/>
                <w:color w:val="000000"/>
                <w:sz w:val="24"/>
                <w:highlight w:val="none"/>
              </w:rPr>
            </w:r>
            <w:r/>
          </w:p>
        </w:tc>
        <w:tc>
          <w:tcPr>
            <w:tcW w:w="119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有破损并存在不同颜色补丁</w:t>
            </w:r>
            <w:r>
              <w:rPr>
                <w:rFonts w:ascii="宋体" w:hAnsi="宋体" w:cs="宋体"/>
                <w:color w:val="000000"/>
                <w:sz w:val="24"/>
                <w:highlight w:val="none"/>
              </w:rPr>
            </w:r>
            <w:r/>
          </w:p>
        </w:tc>
        <w:tc>
          <w:tcPr>
            <w:tcW w:w="84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2、有较多污迹</w:t>
            </w:r>
            <w:r>
              <w:rPr>
                <w:rFonts w:ascii="宋体" w:hAnsi="宋体" w:cs="宋体"/>
                <w:color w:val="000000"/>
                <w:sz w:val="24"/>
                <w:highlight w:val="none"/>
              </w:rPr>
            </w:r>
            <w:r/>
          </w:p>
        </w:tc>
        <w:tc>
          <w:tcPr>
            <w:tcW w:w="119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2、棉布变薄，铺上后能印出棉布下的字迹、颜色或其他物体等</w:t>
            </w:r>
            <w:r>
              <w:rPr>
                <w:rFonts w:ascii="宋体" w:hAnsi="宋体" w:cs="宋体"/>
                <w:color w:val="000000"/>
                <w:sz w:val="24"/>
                <w:highlight w:val="none"/>
              </w:rPr>
            </w:r>
            <w:r/>
          </w:p>
        </w:tc>
        <w:tc>
          <w:tcPr>
            <w:tcW w:w="975"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2、乙类传染病中的传染性非典型肺炎、人感染高致病性禽流感及甲型HINI患者使用过的床单</w:t>
            </w:r>
            <w:r>
              <w:rPr>
                <w:rFonts w:ascii="宋体" w:hAnsi="宋体" w:cs="宋体"/>
                <w:color w:val="000000"/>
                <w:sz w:val="24"/>
                <w:highlight w:val="none"/>
              </w:rPr>
            </w:r>
            <w:r/>
          </w:p>
        </w:tc>
      </w:tr>
      <w:tr>
        <w:trPr>
          <w:trHeight w:val="170"/>
        </w:trPr>
        <w:tc>
          <w:tcPr>
            <w:tcW w:w="785" w:type="dxa"/>
            <w:vAlign w:val="center"/>
            <w:textDirection w:val="lrTb"/>
            <w:noWrap w:val="false"/>
          </w:tcPr>
          <w:p>
            <w:pPr>
              <w:pStyle w:val="101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枕套</w:t>
            </w:r>
            <w:r>
              <w:rPr>
                <w:rFonts w:ascii="宋体" w:hAnsi="宋体" w:cs="宋体"/>
                <w:color w:val="000000"/>
                <w:sz w:val="24"/>
                <w:highlight w:val="none"/>
              </w:rPr>
            </w:r>
            <w:r/>
          </w:p>
        </w:tc>
        <w:tc>
          <w:tcPr>
            <w:tcW w:w="119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2、有破洞、刮伤或划痕≥3处，每处≥3 cm</w:t>
            </w:r>
            <w:r>
              <w:rPr>
                <w:rFonts w:hint="eastAsia" w:ascii="宋体" w:hAnsi="宋体" w:cs="宋体"/>
                <w:color w:val="000000"/>
                <w:sz w:val="24"/>
                <w:highlight w:val="none"/>
                <w:vertAlign w:val="superscript"/>
              </w:rPr>
              <w:t xml:space="preserve">2</w:t>
            </w:r>
            <w:r>
              <w:rPr>
                <w:rFonts w:ascii="宋体" w:hAnsi="宋体" w:cs="宋体"/>
                <w:color w:val="000000"/>
                <w:sz w:val="24"/>
                <w:highlight w:val="none"/>
              </w:rPr>
            </w:r>
            <w:r/>
          </w:p>
        </w:tc>
        <w:tc>
          <w:tcPr>
            <w:tcW w:w="84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3、头枕部位有黄色油斑</w:t>
            </w:r>
            <w:r>
              <w:rPr>
                <w:rFonts w:ascii="宋体" w:hAnsi="宋体" w:cs="宋体"/>
                <w:color w:val="000000"/>
                <w:sz w:val="24"/>
                <w:highlight w:val="none"/>
              </w:rPr>
            </w:r>
            <w:r/>
          </w:p>
        </w:tc>
        <w:tc>
          <w:tcPr>
            <w:tcW w:w="1197"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3、思乐扣不粘</w:t>
            </w:r>
            <w:r>
              <w:rPr>
                <w:rFonts w:ascii="宋体" w:hAnsi="宋体" w:cs="宋体"/>
                <w:color w:val="000000"/>
                <w:sz w:val="24"/>
                <w:highlight w:val="none"/>
              </w:rPr>
            </w:r>
            <w:r/>
          </w:p>
        </w:tc>
        <w:tc>
          <w:tcPr>
            <w:tcW w:w="975"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170"/>
        </w:trPr>
        <w:tc>
          <w:tcPr>
            <w:gridSpan w:val="5"/>
            <w:tcW w:w="9288" w:type="dxa"/>
            <w:vAlign w:val="center"/>
            <w:textDirection w:val="lrTb"/>
            <w:noWrap w:val="false"/>
          </w:tcPr>
          <w:p>
            <w:pPr>
              <w:pStyle w:val="1014"/>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备注：1.床单统一换成床罩（省布料、便于护理工作）；2.物品如有遗失需补齐；3.缝线脱落要进行缝合</w:t>
            </w:r>
            <w:r>
              <w:rPr>
                <w:rFonts w:ascii="宋体" w:hAnsi="宋体" w:cs="宋体"/>
                <w:color w:val="000000"/>
                <w:sz w:val="24"/>
                <w:highlight w:val="none"/>
              </w:rPr>
            </w:r>
            <w:r/>
          </w:p>
        </w:tc>
      </w:tr>
    </w:tbl>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 手术室敷料淘汰的标准：</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--有不可去除的污渍，如血迹、胶痕等；</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--有肉眼可见的破损</w:t>
      </w:r>
      <w:r>
        <w:rPr>
          <w:rFonts w:hint="eastAsia" w:ascii="宋体" w:hAnsi="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沙眼洞不予报损</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五、布类的储存、运输要求：</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1、供应商至医院的运输车辆由供应商自行提供，医院内至各病区收集被服的车辆由供应商提供。根据医院时间要求，将洗净物品送至各病区，并清点数量，由双方签字确认。送洗物品交接也同样处理。</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2、污染布类与清洁布类不能用同一车辆同时运输。运送完污染布类的车辆应及时进行消毒。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3、污染布类应密闭运输，防止环境的污染。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4、污染布类运输应有包装，包装材料必须无毒、无害。污染布类与清洁布类包装不应混用，清洁布类包装运输过程必须防止污染。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5、清洁布类应储存在清洁干燥处，储存过程中应防止污染（即烟雾、灰尘、湿气和寄生虫等）。</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六、人员要求</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1、污染区工作人员进行分检和装机清洗过程中，要严格执行标准预防。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2、清洁区工作人员进行烘干、压熨、折叠、发放等过程中，应保持手清洁卫生，防止布类污染。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3、痢疾、伤寒、肺结核、各类肠道传染病及化脓性或渗出性皮肤病患者不应参与直接与布类接触的工作。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4、从事洗涤的工作人员，应定期（每年一次）进行洗涤消毒服务的卫生知识培训，考核合格者方可上岗。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5、设洗涤项目经理1人，现场设驻点项目负责人1人，本项目服务的工作人员不少于9人。</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七、场地和设备</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1、洗涤单位的布局要求</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 洗涤部门应严格按功能分区，包括污染区（清点、分类、清洗和污车存放处）和清洁区（烘干、熨烫、修补、折叠、储存、发放以及洁车存放处），两区应有实际隔离屏障，应有明显标识。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 工作流程合理：人流、物流应洁、污分开。物流由洗涤区→烘干熨烫区→清洁衣物存放处，由污到洁，顺行通过，不得逆流。</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2、洗涤单位环境卫生要求</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 洗涤部门的设立周围环境无蚊蝇等害虫孳生地；工作区内应无蟑螂等有害生物。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 工作区内地面、墙面和工作台面应平整、不起尘，便于清洁。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 洗涤部门（房）应保持良好空气流通，保持空气从清洁区向污染区流动,其要求参照GBZ 2.1-2019、GBZ 2.2-2007</w:t>
      </w:r>
      <w:r>
        <w:rPr>
          <w:rFonts w:hint="eastAsia" w:ascii="宋体" w:hAnsi="宋体"/>
          <w:color w:val="000000"/>
          <w:sz w:val="24"/>
          <w:szCs w:val="24"/>
          <w:highlight w:val="none"/>
          <w:lang w:val="en-US" w:eastAsia="zh-CN"/>
        </w:rPr>
        <w:t xml:space="preserve">和</w:t>
      </w:r>
      <w:r>
        <w:rPr>
          <w:rFonts w:hint="eastAsia" w:ascii="宋体" w:hAnsi="宋体"/>
          <w:color w:val="000000"/>
          <w:sz w:val="24"/>
          <w:szCs w:val="24"/>
          <w:highlight w:val="none"/>
        </w:rPr>
        <w:t xml:space="preserve">GB/T 18883-2022执行。 </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 当物表和地面有明显血液、体液或分泌物污染时，应及时进行遮盖，消毒60min后收集，清理，然后用有效氯含量500mg-700mg/l的消毒液擦拭。</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八、质量要求</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1、洗涤服务需依据现行的卫生行业标准，从20</w:t>
      </w:r>
      <w:r>
        <w:rPr>
          <w:rFonts w:hint="eastAsia" w:ascii="宋体" w:hAnsi="宋体"/>
          <w:color w:val="000000"/>
          <w:sz w:val="24"/>
          <w:szCs w:val="24"/>
          <w:highlight w:val="none"/>
          <w:lang w:val="en-US" w:eastAsia="zh-CN"/>
        </w:rPr>
        <w:t xml:space="preserve">26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月1 日起需依据“医院医用织物洗涤消毒技术规范”（中华人民共和国卫生行业标准 WS/T 508-2025）。</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2、为确保服务数据的高质量，</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应制定相关服务期间的质量保证计划，包括仪器设备质量保证、技术人员资质及管理等。</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供应商应认真做好洗涤质量监测，根据医院的反馈意见和要求及时改进洗涤质量。确保洗涤质量合格率大于95%，临床综合满意度不低于90%，以上两项考核每降低一个百分点则扣除当月洗涤费的1%，临床满意度连续3个月低于80%，采购人有权利提前解约。</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4、如洗涤或熨烫质量不佳，采购人有权退回，要求供应商重洗，重洗费用由供应商自负。</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5、供应商定期接受当地卫生监督部门的专家进行布草消毒检验，以确保布草的安全卫生，每三月向甲方提供一份</w:t>
      </w:r>
      <w:r>
        <w:rPr>
          <w:rFonts w:hint="eastAsia" w:ascii="宋体" w:hAnsi="宋体"/>
          <w:color w:val="000000"/>
          <w:sz w:val="24"/>
          <w:szCs w:val="24"/>
          <w:highlight w:val="none"/>
          <w:lang w:val="en-US" w:eastAsia="zh-CN"/>
        </w:rPr>
        <w:t xml:space="preserve">第三方检测机构出具检验报告，</w:t>
      </w:r>
      <w:r>
        <w:rPr>
          <w:rFonts w:hint="eastAsia" w:ascii="宋体" w:hAnsi="宋体"/>
          <w:color w:val="000000"/>
          <w:sz w:val="24"/>
          <w:szCs w:val="24"/>
          <w:highlight w:val="none"/>
        </w:rPr>
        <w:t xml:space="preserve">检测依据WS/T508-2025《医院医用织物洗涤消毒技术规范》要求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以上标准如有更新以最新国家标准要求为准。</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10000元，并强令整改，并且供应商应当承担造成损害程度的相应法律责任，在一年内累计三次发现消毒不达标的现象，对供应商处以罚款当月应付洗涤费用总额，，并有权终止合约，并且供应商应承担造成损害程度的相应法律责任。</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7、每发生一次不及时送达，影响医院工作正常运行，服务公司按月洗涤费用总额的1%向采购方支付违约金；严重影响医院正常运行时，采购方有权终止合同。</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九、报价方式</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本项目报价为</w:t>
      </w:r>
      <w:r>
        <w:rPr>
          <w:rFonts w:hint="eastAsia" w:ascii="宋体" w:hAnsi="宋体"/>
          <w:b/>
          <w:bCs/>
          <w:color w:val="000000"/>
          <w:sz w:val="24"/>
          <w:szCs w:val="24"/>
          <w:highlight w:val="none"/>
          <w:u w:val="single"/>
        </w:rPr>
        <w:t xml:space="preserve">固定单价</w:t>
      </w:r>
      <w:r>
        <w:rPr>
          <w:rFonts w:hint="eastAsia" w:ascii="宋体" w:hAnsi="宋体"/>
          <w:color w:val="000000"/>
          <w:sz w:val="24"/>
          <w:szCs w:val="24"/>
          <w:highlight w:val="none"/>
        </w:rPr>
        <w:t xml:space="preserve">，磋商</w:t>
      </w:r>
      <w:r>
        <w:rPr>
          <w:rFonts w:hint="eastAsia" w:ascii="宋体" w:hAnsi="宋体"/>
          <w:color w:val="000000"/>
          <w:sz w:val="24"/>
          <w:szCs w:val="24"/>
          <w:highlight w:val="none"/>
          <w:lang w:val="en-US" w:eastAsia="zh-CN"/>
        </w:rPr>
        <w:t xml:space="preserve">报价</w:t>
      </w:r>
      <w:r>
        <w:rPr>
          <w:rFonts w:hint="eastAsia" w:ascii="宋体" w:hAnsi="宋体"/>
          <w:color w:val="000000"/>
          <w:sz w:val="24"/>
          <w:szCs w:val="24"/>
          <w:highlight w:val="none"/>
        </w:rPr>
        <w:t xml:space="preserve">应包括竞争性磋商文件所确定的采购范围相应服务（布草洗涤、高温消毒、清点交接、运输、缝补、报损等）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供应商年度报价由两部分组成：第一部分是洗涤费用，请按项目需求“三、年度临床布草及手术敷料洗涤品种和数量”报出洗涤费用；第二部分是报损更换费用，请按项目需求“缝补和报损要求”报出报损费用；</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报价货币为人民币，评审时以人民币为准。</w:t>
      </w:r>
      <w:r>
        <w:rPr>
          <w:rFonts w:ascii="宋体" w:hAnsi="宋体"/>
          <w:color w:val="000000"/>
          <w:sz w:val="24"/>
          <w:szCs w:val="24"/>
          <w:highlight w:val="none"/>
        </w:rPr>
      </w:r>
      <w:r/>
    </w:p>
    <w:p>
      <w:pPr>
        <w:pStyle w:val="1110"/>
        <w:contextualSpacing/>
        <w:ind w:firstLine="482"/>
        <w:jc w:val="left"/>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十、服务期限</w:t>
      </w:r>
      <w:r>
        <w:rPr>
          <w:rFonts w:hint="eastAsia" w:ascii="宋体" w:hAnsi="宋体"/>
          <w:color w:val="000000"/>
          <w:sz w:val="24"/>
          <w:szCs w:val="24"/>
          <w:highlight w:val="none"/>
        </w:rPr>
        <w:t xml:space="preserve">：服务期限为三年，合同一年一签。每年合同期满经采购人考核合格</w:t>
      </w:r>
      <w:r>
        <w:rPr>
          <w:rFonts w:hint="eastAsia" w:ascii="宋体" w:hAnsi="宋体"/>
          <w:color w:val="000000"/>
          <w:sz w:val="24"/>
          <w:szCs w:val="24"/>
          <w:highlight w:val="none"/>
        </w:rPr>
        <w:t xml:space="preserve">（年平均考核分数不低于70分）</w:t>
      </w:r>
      <w:r>
        <w:rPr>
          <w:rFonts w:hint="eastAsia" w:ascii="宋体" w:hAnsi="宋体"/>
          <w:color w:val="000000"/>
          <w:sz w:val="24"/>
          <w:szCs w:val="24"/>
          <w:highlight w:val="none"/>
        </w:rPr>
        <w:t xml:space="preserve">后续签下一年度合同。</w:t>
      </w:r>
      <w:r>
        <w:rPr>
          <w:rFonts w:ascii="宋体" w:hAnsi="宋体"/>
          <w:color w:val="000000"/>
          <w:sz w:val="24"/>
          <w:szCs w:val="24"/>
          <w:highlight w:val="none"/>
        </w:rPr>
      </w:r>
      <w:r/>
    </w:p>
    <w:p>
      <w:pPr>
        <w:pStyle w:val="1110"/>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十一、付款方式</w:t>
      </w:r>
      <w:r>
        <w:rPr>
          <w:rFonts w:ascii="宋体" w:hAnsi="宋体"/>
          <w:b/>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1.合同生效后，采购人支付合同总额的30%作为预付款给成交供应商（签订合同时，供应商明确表示无需预付款或者主动要求降低预付款比例的，采购人可不适用前述规定）；</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.洗涤</w:t>
      </w:r>
      <w:r>
        <w:rPr>
          <w:rFonts w:ascii="宋体" w:hAnsi="宋体"/>
          <w:color w:val="000000"/>
          <w:sz w:val="24"/>
          <w:szCs w:val="24"/>
          <w:highlight w:val="none"/>
        </w:rPr>
        <w:t xml:space="preserve">费用</w:t>
      </w:r>
      <w:r>
        <w:rPr>
          <w:rFonts w:hint="eastAsia" w:ascii="宋体" w:hAnsi="宋体"/>
          <w:color w:val="000000"/>
          <w:sz w:val="24"/>
          <w:szCs w:val="24"/>
          <w:highlight w:val="none"/>
        </w:rPr>
        <w:t xml:space="preserve">根据成交后的洗涤单价乘以实际洗涤件数后按月结算，当月20号前结算并支付上个月的洗涤费用。</w:t>
      </w:r>
      <w:r>
        <w:rPr>
          <w:rFonts w:ascii="宋体" w:hAnsi="宋体"/>
          <w:color w:val="000000"/>
          <w:sz w:val="24"/>
          <w:szCs w:val="24"/>
          <w:highlight w:val="none"/>
        </w:rPr>
      </w:r>
      <w:r/>
    </w:p>
    <w:p>
      <w:pPr>
        <w:pStyle w:val="1110"/>
        <w:contextualSpacing/>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3.报损</w:t>
      </w:r>
      <w:r>
        <w:rPr>
          <w:rFonts w:ascii="宋体" w:hAnsi="宋体"/>
          <w:color w:val="000000"/>
          <w:sz w:val="24"/>
          <w:szCs w:val="24"/>
          <w:highlight w:val="none"/>
        </w:rPr>
        <w:t xml:space="preserve">费</w:t>
      </w:r>
      <w:r>
        <w:rPr>
          <w:rFonts w:hint="eastAsia" w:ascii="宋体" w:hAnsi="宋体"/>
          <w:color w:val="000000"/>
          <w:sz w:val="24"/>
          <w:szCs w:val="24"/>
          <w:highlight w:val="none"/>
        </w:rPr>
        <w:t xml:space="preserve">用</w:t>
      </w:r>
      <w:r>
        <w:rPr>
          <w:rFonts w:ascii="宋体" w:hAnsi="宋体"/>
          <w:color w:val="000000"/>
          <w:sz w:val="24"/>
          <w:szCs w:val="24"/>
          <w:highlight w:val="none"/>
        </w:rPr>
        <w:t xml:space="preserve">每半年支付一次，合同签订当月支付合同报损费用的</w:t>
      </w:r>
      <w:r>
        <w:rPr>
          <w:rFonts w:hint="eastAsia" w:ascii="宋体" w:hAnsi="宋体"/>
          <w:color w:val="000000"/>
          <w:sz w:val="24"/>
          <w:szCs w:val="24"/>
          <w:highlight w:val="none"/>
        </w:rPr>
        <w:t xml:space="preserve">50%，服务期</w:t>
      </w:r>
      <w:r>
        <w:rPr>
          <w:rFonts w:ascii="宋体" w:hAnsi="宋体"/>
          <w:color w:val="000000"/>
          <w:sz w:val="24"/>
          <w:szCs w:val="24"/>
          <w:highlight w:val="none"/>
        </w:rPr>
        <w:t xml:space="preserve">满半年后</w:t>
      </w:r>
      <w:r>
        <w:rPr>
          <w:rFonts w:hint="eastAsia" w:ascii="宋体" w:hAnsi="宋体"/>
          <w:color w:val="000000"/>
          <w:sz w:val="24"/>
          <w:szCs w:val="24"/>
          <w:highlight w:val="none"/>
        </w:rPr>
        <w:t xml:space="preserve">支付</w:t>
      </w:r>
      <w:r>
        <w:rPr>
          <w:rFonts w:ascii="宋体" w:hAnsi="宋体"/>
          <w:color w:val="000000"/>
          <w:sz w:val="24"/>
          <w:szCs w:val="24"/>
          <w:highlight w:val="none"/>
        </w:rPr>
        <w:t xml:space="preserve">合同报损费用的</w:t>
      </w:r>
      <w:r>
        <w:rPr>
          <w:rFonts w:hint="eastAsia" w:ascii="宋体" w:hAnsi="宋体"/>
          <w:color w:val="000000"/>
          <w:sz w:val="24"/>
          <w:szCs w:val="24"/>
          <w:highlight w:val="none"/>
        </w:rPr>
        <w:t xml:space="preserve">50%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110"/>
        <w:contextualSpacing/>
        <w:ind w:firstLine="480"/>
        <w:jc w:val="left"/>
        <w:spacing w:line="360" w:lineRule="auto"/>
        <w:rPr>
          <w:rFonts w:hint="eastAsia" w:ascii="宋体" w:hAnsi="宋体" w:cs="宋体"/>
          <w:color w:val="000000"/>
          <w:sz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洗涤</w:t>
      </w:r>
      <w:r>
        <w:rPr>
          <w:rFonts w:ascii="宋体" w:hAnsi="宋体"/>
          <w:color w:val="000000"/>
          <w:sz w:val="24"/>
          <w:szCs w:val="24"/>
          <w:highlight w:val="none"/>
        </w:rPr>
        <w:t xml:space="preserve">费用</w:t>
      </w:r>
      <w:r>
        <w:rPr>
          <w:rFonts w:hint="eastAsia" w:ascii="宋体" w:hAnsi="宋体"/>
          <w:color w:val="000000"/>
          <w:sz w:val="24"/>
          <w:szCs w:val="24"/>
          <w:highlight w:val="none"/>
        </w:rPr>
        <w:t xml:space="preserve">、报损</w:t>
      </w:r>
      <w:r>
        <w:rPr>
          <w:rFonts w:ascii="宋体" w:hAnsi="宋体"/>
          <w:color w:val="000000"/>
          <w:sz w:val="24"/>
          <w:szCs w:val="24"/>
          <w:highlight w:val="none"/>
        </w:rPr>
        <w:t xml:space="preserve">费</w:t>
      </w:r>
      <w:r>
        <w:rPr>
          <w:rFonts w:hint="eastAsia" w:ascii="宋体" w:hAnsi="宋体"/>
          <w:color w:val="000000"/>
          <w:sz w:val="24"/>
          <w:szCs w:val="24"/>
          <w:highlight w:val="none"/>
        </w:rPr>
        <w:t xml:space="preserve">用支付前需</w:t>
      </w:r>
      <w:r>
        <w:rPr>
          <w:rFonts w:ascii="宋体" w:hAnsi="宋体"/>
          <w:color w:val="000000"/>
          <w:sz w:val="24"/>
          <w:szCs w:val="24"/>
          <w:highlight w:val="none"/>
        </w:rPr>
        <w:t xml:space="preserve">扣除已支付的预付款，</w:t>
      </w:r>
      <w:r>
        <w:rPr>
          <w:rFonts w:hint="eastAsia" w:ascii="宋体" w:hAnsi="宋体" w:cs="宋体"/>
          <w:color w:val="000000"/>
          <w:sz w:val="24"/>
          <w:highlight w:val="none"/>
        </w:rPr>
        <w:t xml:space="preserve">预付款金额累计支付扣除结束后，后续支付根据结算流程按实结算。</w:t>
      </w:r>
      <w:r>
        <w:rPr>
          <w:rFonts w:hint="eastAsia" w:ascii="宋体" w:hAnsi="宋体" w:cs="宋体"/>
          <w:color w:val="000000"/>
          <w:sz w:val="24"/>
          <w:highlight w:val="none"/>
        </w:rPr>
      </w:r>
      <w:r/>
    </w:p>
    <w:p>
      <w:pPr>
        <w:pStyle w:val="1110"/>
        <w:numPr>
          <w:ilvl w:val="0"/>
          <w:numId w:val="0"/>
        </w:numPr>
        <w:contextualSpacing/>
        <w:ind w:firstLine="482"/>
        <w:jc w:val="left"/>
        <w:spacing w:line="360" w:lineRule="auto"/>
        <w:rPr>
          <w:rFonts w:hint="eastAsia" w:ascii="宋体" w:hAnsi="宋体" w:cs="宋体"/>
          <w:b/>
          <w:bCs/>
          <w:color w:val="000000"/>
          <w:sz w:val="24"/>
          <w:szCs w:val="22"/>
          <w:highlight w:val="none"/>
          <w:lang w:val="en-US" w:eastAsia="zh-CN" w:bidi="ar-SA"/>
        </w:rPr>
      </w:pPr>
      <w:r>
        <w:rPr>
          <w:rFonts w:hint="eastAsia" w:ascii="宋体" w:hAnsi="宋体" w:cs="宋体"/>
          <w:b/>
          <w:bCs/>
          <w:color w:val="000000"/>
          <w:sz w:val="24"/>
          <w:szCs w:val="22"/>
          <w:highlight w:val="none"/>
          <w:lang w:val="en-US" w:eastAsia="zh-CN" w:bidi="ar-SA"/>
        </w:rPr>
      </w:r>
      <w:r/>
    </w:p>
    <w:p>
      <w:pPr>
        <w:pStyle w:val="1110"/>
        <w:numPr>
          <w:ilvl w:val="0"/>
          <w:numId w:val="0"/>
        </w:numPr>
        <w:contextualSpacing/>
        <w:ind w:firstLine="482"/>
        <w:jc w:val="left"/>
        <w:spacing w:line="360" w:lineRule="auto"/>
        <w:rPr>
          <w:rFonts w:ascii="宋体" w:hAnsi="宋体" w:cs="宋体"/>
          <w:b/>
          <w:bCs/>
          <w:color w:val="000000"/>
          <w:sz w:val="24"/>
          <w:highlight w:val="none"/>
          <w:lang w:val="en-US" w:eastAsia="zh-CN"/>
        </w:rPr>
      </w:pPr>
      <w:r>
        <w:rPr>
          <w:rFonts w:hint="eastAsia" w:ascii="宋体" w:hAnsi="宋体" w:cs="宋体"/>
          <w:b/>
          <w:bCs/>
          <w:color w:val="000000"/>
          <w:sz w:val="24"/>
          <w:szCs w:val="22"/>
          <w:highlight w:val="none"/>
          <w:lang w:val="en-US" w:eastAsia="zh-CN" w:bidi="ar-SA"/>
        </w:rPr>
        <w:t xml:space="preserve">十二、</w:t>
      </w:r>
      <w:r>
        <w:rPr>
          <w:rFonts w:hint="eastAsia" w:ascii="宋体" w:hAnsi="宋体" w:cs="宋体"/>
          <w:b/>
          <w:bCs/>
          <w:color w:val="000000"/>
          <w:sz w:val="24"/>
          <w:highlight w:val="none"/>
          <w:lang w:val="en-US" w:eastAsia="zh-CN"/>
        </w:rPr>
        <w:t xml:space="preserve">考核标准</w:t>
      </w:r>
      <w:r>
        <w:rPr>
          <w:rFonts w:hint="eastAsia" w:ascii="宋体" w:hAnsi="宋体" w:eastAsia="宋体" w:cs="宋体"/>
          <w:b/>
          <w:bCs/>
          <w:color w:val="000000"/>
          <w:sz w:val="24"/>
          <w:szCs w:val="24"/>
          <w:highlight w:val="none"/>
          <w:lang w:val="en-US" w:eastAsia="zh-CN" w:bidi="ar"/>
        </w:rPr>
        <w:t xml:space="preserve">                                             </w:t>
      </w:r>
      <w:r>
        <w:rPr>
          <w:rFonts w:ascii="宋体" w:hAnsi="宋体" w:cs="宋体"/>
          <w:b/>
          <w:bCs/>
          <w:color w:val="000000"/>
          <w:sz w:val="24"/>
          <w:highlight w:val="none"/>
          <w:lang w:val="en-US" w:eastAsia="zh-CN"/>
        </w:rPr>
      </w:r>
      <w:r/>
    </w:p>
    <w:p>
      <w:pPr>
        <w:pStyle w:val="1014"/>
        <w:jc w:val="center"/>
        <w:keepLines w:val="0"/>
        <w:keepNext w:val="0"/>
        <w:widowControl/>
        <w:rPr>
          <w:rFonts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t xml:space="preserve">病区        月份</w:t>
      </w:r>
      <w:r>
        <w:rPr>
          <w:rFonts w:ascii="宋体" w:hAnsi="宋体" w:eastAsia="宋体" w:cs="宋体"/>
          <w:b/>
          <w:bCs/>
          <w:color w:val="000000"/>
          <w:sz w:val="28"/>
          <w:szCs w:val="28"/>
          <w:highlight w:val="none"/>
          <w:lang w:val="en-US" w:eastAsia="zh-CN" w:bidi="ar"/>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20" w:type="dxa"/>
          <w:right w:w="120" w:type="dxa"/>
          <w:bottom w:w="120" w:type="dxa"/>
        </w:tblCellMar>
        <w:tblLook w:val="04A0" w:firstRow="1" w:lastRow="0" w:firstColumn="1" w:lastColumn="0" w:noHBand="0" w:noVBand="1"/>
      </w:tblPr>
      <w:tblGrid>
        <w:gridCol w:w="842"/>
        <w:gridCol w:w="4838"/>
        <w:gridCol w:w="1266"/>
        <w:gridCol w:w="1266"/>
      </w:tblGrid>
      <w:tr>
        <w:trPr>
          <w:trHeight w:val="1029"/>
          <w:tblHeader/>
        </w:trPr>
        <w:tc>
          <w:tcPr>
            <w:tcMar>
              <w:left w:w="120" w:type="dxa"/>
              <w:top w:w="120" w:type="dxa"/>
              <w:right w:w="120" w:type="dxa"/>
              <w:bottom w:w="120" w:type="dxa"/>
            </w:tcMar>
            <w:tcW w:w="842" w:type="dxa"/>
            <w:vAlign w:val="center"/>
            <w:textDirection w:val="lrTb"/>
            <w:noWrap w:val="false"/>
          </w:tcPr>
          <w:p>
            <w:pPr>
              <w:pStyle w:val="1014"/>
              <w:jc w:val="center"/>
              <w:keepLines w:val="0"/>
              <w:keepNext w:val="0"/>
              <w:widowControl/>
              <w:rPr>
                <w:b/>
                <w:bCs/>
                <w:color w:val="000000"/>
                <w:sz w:val="28"/>
                <w:szCs w:val="28"/>
                <w:highlight w:val="none"/>
              </w:rPr>
              <w:suppressLineNumbers w:val="0"/>
            </w:pPr>
            <w:r>
              <w:rPr>
                <w:rFonts w:ascii="宋体" w:hAnsi="宋体" w:eastAsia="宋体" w:cs="宋体"/>
                <w:b/>
                <w:bCs/>
                <w:color w:val="000000"/>
                <w:sz w:val="28"/>
                <w:szCs w:val="28"/>
                <w:highlight w:val="none"/>
                <w:lang w:val="en-US" w:eastAsia="zh-CN" w:bidi="ar"/>
              </w:rPr>
              <w:t xml:space="preserve">序号</w:t>
            </w:r>
            <w:r>
              <w:rPr>
                <w:b/>
                <w:bCs/>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center"/>
              <w:keepLines w:val="0"/>
              <w:keepNext w:val="0"/>
              <w:widowControl/>
              <w:rPr>
                <w:b/>
                <w:bCs/>
                <w:color w:val="000000"/>
                <w:sz w:val="28"/>
                <w:szCs w:val="28"/>
                <w:highlight w:val="none"/>
              </w:rPr>
              <w:suppressLineNumbers w:val="0"/>
            </w:pPr>
            <w:r>
              <w:rPr>
                <w:rFonts w:ascii="宋体" w:hAnsi="宋体" w:eastAsia="宋体" w:cs="宋体"/>
                <w:b/>
                <w:bCs/>
                <w:color w:val="000000"/>
                <w:sz w:val="28"/>
                <w:szCs w:val="28"/>
                <w:highlight w:val="none"/>
                <w:lang w:val="en-US" w:eastAsia="zh-CN" w:bidi="ar"/>
              </w:rPr>
              <w:t xml:space="preserve">项目</w:t>
            </w:r>
            <w:r>
              <w:rPr>
                <w:b/>
                <w:bCs/>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center"/>
              <w:keepLines w:val="0"/>
              <w:keepNext w:val="0"/>
              <w:widowControl/>
              <w:rPr>
                <w:rFonts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t xml:space="preserve">分值</w:t>
            </w:r>
            <w:r>
              <w:rPr>
                <w:rFonts w:ascii="宋体" w:hAnsi="宋体" w:eastAsia="宋体" w:cs="宋体"/>
                <w:b/>
                <w:bCs/>
                <w:color w:val="000000"/>
                <w:sz w:val="28"/>
                <w:szCs w:val="28"/>
                <w:highlight w:val="none"/>
                <w:lang w:val="en-US" w:eastAsia="zh-CN" w:bidi="ar"/>
              </w:rPr>
            </w:r>
            <w:r/>
          </w:p>
        </w:tc>
        <w:tc>
          <w:tcPr>
            <w:tcMar>
              <w:left w:w="120" w:type="dxa"/>
              <w:top w:w="120" w:type="dxa"/>
              <w:right w:w="120" w:type="dxa"/>
              <w:bottom w:w="120" w:type="dxa"/>
            </w:tcMar>
            <w:tcW w:w="1266" w:type="dxa"/>
            <w:vAlign w:val="center"/>
            <w:textDirection w:val="lrTb"/>
            <w:noWrap w:val="false"/>
          </w:tcPr>
          <w:p>
            <w:pPr>
              <w:pStyle w:val="1014"/>
              <w:jc w:val="center"/>
              <w:keepLines w:val="0"/>
              <w:keepNext w:val="0"/>
              <w:widowControl/>
              <w:rPr>
                <w:b/>
                <w:bCs/>
                <w:color w:val="000000"/>
                <w:sz w:val="28"/>
                <w:szCs w:val="28"/>
                <w:highlight w:val="none"/>
              </w:rPr>
              <w:suppressLineNumbers w:val="0"/>
            </w:pPr>
            <w:r>
              <w:rPr>
                <w:rFonts w:hint="eastAsia" w:ascii="宋体" w:hAnsi="宋体" w:eastAsia="宋体" w:cs="宋体"/>
                <w:b/>
                <w:bCs/>
                <w:color w:val="000000"/>
                <w:sz w:val="28"/>
                <w:szCs w:val="28"/>
                <w:highlight w:val="none"/>
                <w:lang w:val="en-US" w:eastAsia="zh-CN" w:bidi="ar"/>
              </w:rPr>
              <w:t xml:space="preserve">扣分</w:t>
            </w:r>
            <w:r>
              <w:rPr>
                <w:b/>
                <w:bCs/>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1</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对被服织物洗涤服务的总体评价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2</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对污衣物、织物收洗服务评价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3</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对洁衣物配送服务评价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4</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对收送品种、数量点数准确性评价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5</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对被服、衣物、织物洗涤洁净度评价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6</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对纽扣、破洞修补的及时性</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7</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衣服、被单等折叠、熨烫平整度</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8</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对洗涤服务问题整改及时性评价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9</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对洗涤服务应急响应的评价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10</w:t>
            </w: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Fonts w:ascii="宋体" w:hAnsi="宋体" w:eastAsia="宋体" w:cs="宋体"/>
                <w:color w:val="000000"/>
                <w:sz w:val="28"/>
                <w:szCs w:val="28"/>
                <w:highlight w:val="none"/>
                <w:lang w:val="en-US" w:eastAsia="zh-CN" w:bidi="ar"/>
              </w:rPr>
              <w:t xml:space="preserve">对洗涤服务驻场人员的服务态度评价</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r>
        <w:trPr>
          <w:trHeight w:val="538"/>
        </w:trPr>
        <w:tc>
          <w:tcPr>
            <w:tcMar>
              <w:left w:w="120" w:type="dxa"/>
              <w:top w:w="120" w:type="dxa"/>
              <w:right w:w="120" w:type="dxa"/>
              <w:bottom w:w="120" w:type="dxa"/>
            </w:tcMar>
            <w:tcW w:w="842" w:type="dxa"/>
            <w:vAlign w:val="center"/>
            <w:textDirection w:val="lrTb"/>
            <w:noWrap w:val="false"/>
          </w:tcPr>
          <w:p>
            <w:pPr>
              <w:pStyle w:val="1014"/>
              <w:jc w:val="left"/>
              <w:keepLines w:val="0"/>
              <w:keepNext w:val="0"/>
              <w:widowControl/>
              <w:rPr>
                <w:color w:val="000000"/>
                <w:sz w:val="28"/>
                <w:szCs w:val="28"/>
                <w:highlight w:val="none"/>
              </w:rPr>
              <w:suppressLineNumbers w:val="0"/>
            </w:pPr>
            <w:r>
              <w:rPr>
                <w:color w:val="000000"/>
                <w:sz w:val="28"/>
                <w:szCs w:val="28"/>
                <w:highlight w:val="none"/>
              </w:rPr>
            </w:r>
            <w:r/>
          </w:p>
        </w:tc>
        <w:tc>
          <w:tcPr>
            <w:tcMar>
              <w:left w:w="120" w:type="dxa"/>
              <w:top w:w="120" w:type="dxa"/>
              <w:right w:w="120" w:type="dxa"/>
              <w:bottom w:w="120" w:type="dxa"/>
            </w:tcMar>
            <w:tcW w:w="4838" w:type="dxa"/>
            <w:vAlign w:val="center"/>
            <w:textDirection w:val="lrTb"/>
            <w:noWrap w:val="false"/>
          </w:tcPr>
          <w:p>
            <w:pPr>
              <w:pStyle w:val="1014"/>
              <w:jc w:val="left"/>
              <w:keepLines w:val="0"/>
              <w:keepNext w:val="0"/>
              <w:widowControl/>
              <w:rPr>
                <w:color w:val="000000"/>
                <w:sz w:val="28"/>
                <w:szCs w:val="28"/>
                <w:highlight w:val="none"/>
              </w:rPr>
              <w:suppressLineNumbers w:val="0"/>
            </w:pPr>
            <w:r>
              <w:rPr>
                <w:rStyle w:val="1085"/>
                <w:rFonts w:ascii="宋体" w:hAnsi="宋体" w:eastAsia="宋体" w:cs="宋体"/>
                <w:color w:val="000000"/>
                <w:sz w:val="28"/>
                <w:szCs w:val="28"/>
                <w:highlight w:val="none"/>
                <w:lang w:val="en-US" w:eastAsia="zh-CN" w:bidi="ar"/>
              </w:rPr>
              <w:t xml:space="preserve">总分</w:t>
            </w:r>
            <w:r>
              <w:rPr>
                <w:color w:val="000000"/>
                <w:sz w:val="28"/>
                <w:szCs w:val="28"/>
                <w:highlight w:val="none"/>
              </w:rPr>
            </w:r>
            <w:r/>
          </w:p>
        </w:tc>
        <w:tc>
          <w:tcPr>
            <w:tcMar>
              <w:left w:w="120" w:type="dxa"/>
              <w:top w:w="120" w:type="dxa"/>
              <w:right w:w="120" w:type="dxa"/>
              <w:bottom w:w="120" w:type="dxa"/>
            </w:tcMar>
            <w:tcW w:w="1266" w:type="dxa"/>
            <w:vAlign w:val="center"/>
            <w:textDirection w:val="lrTb"/>
            <w:noWrap w:val="false"/>
          </w:tcPr>
          <w:p>
            <w:pPr>
              <w:pStyle w:val="1014"/>
              <w:jc w:val="left"/>
              <w:rPr>
                <w:rFonts w:ascii="宋体" w:eastAsia="宋体"/>
                <w:color w:val="000000"/>
                <w:sz w:val="28"/>
                <w:szCs w:val="28"/>
                <w:highlight w:val="none"/>
                <w:lang w:val="en-US" w:eastAsia="zh-CN"/>
              </w:rPr>
            </w:pPr>
            <w:r>
              <w:rPr>
                <w:rFonts w:hint="eastAsia" w:ascii="宋体"/>
                <w:color w:val="000000"/>
                <w:sz w:val="28"/>
                <w:szCs w:val="28"/>
                <w:highlight w:val="none"/>
                <w:lang w:val="en-US" w:eastAsia="zh-CN"/>
              </w:rPr>
              <w:t xml:space="preserve">100</w:t>
            </w:r>
            <w:r>
              <w:rPr>
                <w:rFonts w:ascii="宋体" w:eastAsia="宋体"/>
                <w:color w:val="000000"/>
                <w:sz w:val="28"/>
                <w:szCs w:val="28"/>
                <w:highlight w:val="none"/>
                <w:lang w:val="en-US" w:eastAsia="zh-CN"/>
              </w:rPr>
            </w:r>
            <w:r/>
          </w:p>
        </w:tc>
        <w:tc>
          <w:tcPr>
            <w:tcMar>
              <w:left w:w="120" w:type="dxa"/>
              <w:top w:w="120" w:type="dxa"/>
              <w:right w:w="120" w:type="dxa"/>
              <w:bottom w:w="120" w:type="dxa"/>
            </w:tcMar>
            <w:tcW w:w="1266" w:type="dxa"/>
            <w:vAlign w:val="center"/>
            <w:textDirection w:val="lrTb"/>
            <w:noWrap w:val="false"/>
          </w:tcPr>
          <w:p>
            <w:pPr>
              <w:pStyle w:val="1014"/>
              <w:jc w:val="left"/>
              <w:rPr>
                <w:rFonts w:hint="eastAsia" w:ascii="宋体"/>
                <w:color w:val="000000"/>
                <w:sz w:val="28"/>
                <w:szCs w:val="28"/>
                <w:highlight w:val="none"/>
              </w:rPr>
            </w:pPr>
            <w:r>
              <w:rPr>
                <w:rFonts w:hint="eastAsia" w:ascii="宋体"/>
                <w:color w:val="000000"/>
                <w:sz w:val="28"/>
                <w:szCs w:val="28"/>
                <w:highlight w:val="none"/>
              </w:rPr>
            </w:r>
            <w:r/>
          </w:p>
        </w:tc>
      </w:tr>
    </w:tbl>
    <w:p>
      <w:pPr>
        <w:pStyle w:val="1110"/>
        <w:contextualSpacing/>
        <w:ind w:firstLine="480"/>
        <w:jc w:val="left"/>
        <w:spacing w:line="360" w:lineRule="auto"/>
        <w:rPr>
          <w:rFonts w:hint="eastAsia" w:ascii="宋体" w:hAnsi="宋体" w:eastAsia="宋体" w:cs="Times New Roman"/>
          <w:color w:val="000000"/>
          <w:sz w:val="24"/>
          <w:szCs w:val="24"/>
          <w:highlight w:val="none"/>
        </w:rPr>
      </w:pPr>
      <w:r>
        <w:rPr>
          <w:rFonts w:hint="eastAsia"/>
          <w:color w:val="000000"/>
          <w:sz w:val="28"/>
          <w:szCs w:val="28"/>
          <w:highlight w:val="none"/>
          <w:lang w:val="en-US" w:eastAsia="zh-CN"/>
        </w:rPr>
        <w:t xml:space="preserve">                                        签名：</w:t>
      </w:r>
      <w:r>
        <w:rPr>
          <w:rFonts w:hint="eastAsia" w:ascii="宋体" w:hAnsi="宋体" w:eastAsia="宋体" w:cs="Times New Roman"/>
          <w:color w:val="000000"/>
          <w:sz w:val="24"/>
          <w:szCs w:val="24"/>
          <w:highlight w:val="none"/>
        </w:rPr>
      </w:r>
      <w:r/>
    </w:p>
    <w:p>
      <w:pPr>
        <w:pStyle w:val="1110"/>
        <w:contextualSpacing/>
        <w:ind w:firstLine="48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r>
      <w:r/>
    </w:p>
    <w:p>
      <w:pPr>
        <w:pStyle w:val="1014"/>
        <w:jc w:val="center"/>
        <w:spacing w:line="360" w:lineRule="auto"/>
        <w:rPr>
          <w:b/>
          <w:color w:val="000000"/>
          <w:sz w:val="36"/>
          <w:szCs w:val="36"/>
          <w:highlight w:val="none"/>
        </w:rPr>
        <w:outlineLvl w:val="0"/>
      </w:pPr>
      <w:r/>
      <w:bookmarkStart w:id="677" w:name="_Toc104818929"/>
      <w:r>
        <w:rPr>
          <w:b/>
          <w:color w:val="000000"/>
          <w:sz w:val="36"/>
          <w:szCs w:val="36"/>
          <w:highlight w:val="none"/>
        </w:rPr>
        <w:br w:type="page" w:clear="all"/>
      </w:r>
      <w:r>
        <w:rPr>
          <w:b/>
          <w:color w:val="000000"/>
          <w:sz w:val="36"/>
          <w:szCs w:val="36"/>
          <w:highlight w:val="none"/>
        </w:rPr>
        <w:t xml:space="preserve">第五章   合同草案条款</w:t>
      </w:r>
      <w:bookmarkEnd w:id="677"/>
      <w:r>
        <w:rPr>
          <w:b/>
          <w:color w:val="000000"/>
          <w:sz w:val="36"/>
          <w:szCs w:val="36"/>
          <w:highlight w:val="none"/>
        </w:rPr>
      </w:r>
      <w:r/>
    </w:p>
    <w:p>
      <w:pPr>
        <w:pStyle w:val="1053"/>
        <w:spacing w:line="360" w:lineRule="auto"/>
        <w:rPr>
          <w:rFonts w:cs="宋体"/>
          <w:color w:val="000000"/>
          <w:sz w:val="24"/>
          <w:szCs w:val="24"/>
          <w:highlight w:val="none"/>
        </w:rPr>
      </w:pPr>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053"/>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028"/>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053"/>
        <w:ind w:firstLine="484"/>
        <w:spacing w:line="360" w:lineRule="auto"/>
        <w:rPr>
          <w:rFonts w:cs="宋体"/>
          <w:color w:val="000000"/>
          <w:sz w:val="24"/>
          <w:szCs w:val="24"/>
          <w:highlight w:val="none"/>
        </w:rPr>
      </w:pPr>
      <w:r>
        <w:rPr>
          <w:rFonts w:cs="宋体"/>
          <w:color w:val="000000"/>
          <w:sz w:val="24"/>
          <w:szCs w:val="24"/>
          <w:highlight w:val="none"/>
        </w:rPr>
        <w:t xml:space="preserve">甲乙双方依据《中华人民共和国民法典》以及有关法律、法规的规定，经协商一致，订立本合同，以便共同遵守。</w:t>
      </w:r>
      <w:r>
        <w:rPr>
          <w:rFonts w:cs="宋体"/>
          <w:color w:val="000000"/>
          <w:sz w:val="24"/>
          <w:szCs w:val="24"/>
          <w:highlight w:val="none"/>
        </w:rPr>
      </w:r>
      <w:r/>
    </w:p>
    <w:p>
      <w:pPr>
        <w:pStyle w:val="1053"/>
        <w:ind w:firstLine="487"/>
        <w:spacing w:line="360" w:lineRule="auto"/>
        <w:rPr>
          <w:rFonts w:cs="宋体"/>
          <w:b/>
          <w:color w:val="000000"/>
          <w:sz w:val="24"/>
          <w:szCs w:val="24"/>
          <w:highlight w:val="none"/>
        </w:rPr>
      </w:pPr>
      <w:r>
        <w:rPr>
          <w:rFonts w:cs="宋体"/>
          <w:b/>
          <w:color w:val="000000"/>
          <w:sz w:val="24"/>
          <w:szCs w:val="24"/>
          <w:highlight w:val="none"/>
        </w:rPr>
        <w:t xml:space="preserve">第一条 合同标的</w:t>
      </w:r>
      <w:r>
        <w:rPr>
          <w:rFonts w:cs="宋体"/>
          <w:b/>
          <w:color w:val="000000"/>
          <w:sz w:val="24"/>
          <w:szCs w:val="24"/>
          <w:highlight w:val="none"/>
        </w:rPr>
      </w:r>
      <w:r/>
    </w:p>
    <w:p>
      <w:pPr>
        <w:pStyle w:val="1014"/>
        <w:ind w:firstLine="484"/>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w:t>
      </w:r>
      <w:r>
        <w:rPr>
          <w:rFonts w:hint="eastAsia" w:ascii="宋体" w:hAnsi="宋体" w:cs="宋体"/>
          <w:b/>
          <w:bCs/>
          <w:color w:val="000000"/>
          <w:sz w:val="24"/>
          <w:highlight w:val="none"/>
          <w:lang w:val="zh-CN"/>
        </w:rPr>
        <w:t xml:space="preserve">布草清洗服务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53"/>
        <w:ind w:firstLine="484"/>
        <w:spacing w:line="360" w:lineRule="auto"/>
        <w:rPr>
          <w:rFonts w:hint="eastAsia" w:ascii="宋体" w:hAnsi="宋体"/>
          <w:b w:val="0"/>
          <w:bCs/>
          <w:color w:val="000000"/>
          <w:sz w:val="24"/>
          <w:szCs w:val="24"/>
          <w:highlight w:val="none"/>
        </w:rPr>
      </w:pPr>
      <w:r>
        <w:rPr>
          <w:rFonts w:hint="eastAsia" w:cs="宋体"/>
          <w:b w:val="0"/>
          <w:bCs/>
          <w:color w:val="000000"/>
          <w:sz w:val="24"/>
          <w:szCs w:val="24"/>
          <w:highlight w:val="none"/>
          <w:lang w:eastAsia="zh-CN"/>
        </w:rPr>
        <w:t xml:space="preserve">（</w:t>
      </w:r>
      <w:r>
        <w:rPr>
          <w:rFonts w:hint="eastAsia" w:cs="宋体"/>
          <w:b w:val="0"/>
          <w:bCs/>
          <w:color w:val="000000"/>
          <w:sz w:val="24"/>
          <w:szCs w:val="24"/>
          <w:highlight w:val="none"/>
          <w:lang w:val="en-US" w:eastAsia="zh-CN"/>
        </w:rPr>
        <w:t xml:space="preserve">一</w:t>
      </w:r>
      <w:r>
        <w:rPr>
          <w:rFonts w:hint="eastAsia" w:cs="宋体"/>
          <w:b w:val="0"/>
          <w:bCs/>
          <w:color w:val="000000"/>
          <w:sz w:val="24"/>
          <w:szCs w:val="24"/>
          <w:highlight w:val="none"/>
          <w:lang w:eastAsia="zh-CN"/>
        </w:rPr>
        <w:t xml:space="preserve">）</w:t>
      </w:r>
      <w:r>
        <w:rPr>
          <w:rFonts w:hint="eastAsia" w:cs="宋体"/>
          <w:b w:val="0"/>
          <w:bCs/>
          <w:color w:val="000000"/>
          <w:sz w:val="24"/>
          <w:szCs w:val="24"/>
          <w:highlight w:val="none"/>
          <w:lang w:val="en-US" w:eastAsia="zh-CN"/>
        </w:rPr>
        <w:t xml:space="preserve">服务内容：</w:t>
      </w:r>
      <w:r>
        <w:rPr>
          <w:rFonts w:hint="eastAsia" w:ascii="宋体" w:hAnsi="宋体"/>
          <w:b w:val="0"/>
          <w:bCs/>
          <w:color w:val="000000"/>
          <w:sz w:val="24"/>
          <w:szCs w:val="24"/>
          <w:highlight w:val="none"/>
        </w:rPr>
        <w:t xml:space="preserve">各类临床医用布草及手术敷料的洗涤、高温消毒、清点交接、运输、缝补、报损以及其它洗涤服务范围内的工作，全天24小时不间断服务。</w:t>
      </w:r>
      <w:r>
        <w:rPr>
          <w:rFonts w:hint="eastAsia" w:ascii="宋体" w:hAnsi="宋体"/>
          <w:b w:val="0"/>
          <w:bCs/>
          <w:color w:val="000000"/>
          <w:sz w:val="24"/>
          <w:szCs w:val="24"/>
          <w:highlight w:val="none"/>
          <w:lang w:val="en-US" w:eastAsia="zh-CN"/>
        </w:rPr>
        <w:t xml:space="preserve">甲方</w:t>
      </w:r>
      <w:r>
        <w:rPr>
          <w:rFonts w:hint="eastAsia" w:ascii="宋体" w:hAnsi="宋体"/>
          <w:b w:val="0"/>
          <w:bCs/>
          <w:color w:val="000000"/>
          <w:sz w:val="24"/>
          <w:szCs w:val="24"/>
          <w:highlight w:val="none"/>
        </w:rPr>
        <w:t xml:space="preserve">现有被服仓库辅房，作为双方的交接点。双方每天按约定时间到各层交接站清点交接，并签字认可。对于手术室及个别污物严重的洗涤物品，或太脏无法现场清点的，按</w:t>
      </w:r>
      <w:r>
        <w:rPr>
          <w:rFonts w:hint="eastAsia" w:ascii="宋体" w:hAnsi="宋体"/>
          <w:b w:val="0"/>
          <w:bCs/>
          <w:color w:val="000000"/>
          <w:sz w:val="24"/>
          <w:szCs w:val="24"/>
          <w:highlight w:val="none"/>
          <w:lang w:val="en-US" w:eastAsia="zh-CN"/>
        </w:rPr>
        <w:t xml:space="preserve">乙方</w:t>
      </w:r>
      <w:r>
        <w:rPr>
          <w:rFonts w:hint="eastAsia" w:ascii="宋体" w:hAnsi="宋体"/>
          <w:b w:val="0"/>
          <w:bCs/>
          <w:color w:val="000000"/>
          <w:sz w:val="24"/>
          <w:szCs w:val="24"/>
          <w:highlight w:val="none"/>
        </w:rPr>
        <w:t xml:space="preserve">洗涤后的洁物计数。</w:t>
      </w:r>
      <w:r>
        <w:rPr>
          <w:rFonts w:hint="eastAsia" w:ascii="宋体" w:hAnsi="宋体"/>
          <w:b w:val="0"/>
          <w:bCs/>
          <w:color w:val="000000"/>
          <w:sz w:val="24"/>
          <w:szCs w:val="24"/>
          <w:highlight w:val="none"/>
        </w:rPr>
      </w:r>
      <w:r/>
    </w:p>
    <w:p>
      <w:pPr>
        <w:pStyle w:val="1110"/>
        <w:contextualSpacing/>
        <w:ind w:firstLine="480"/>
        <w:jc w:val="left"/>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二</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服务要求：</w:t>
      </w:r>
      <w:r>
        <w:rPr>
          <w:rFonts w:hint="eastAsia" w:ascii="宋体" w:hAnsi="宋体"/>
          <w:b w:val="0"/>
          <w:bCs/>
          <w:color w:val="000000"/>
          <w:sz w:val="24"/>
          <w:szCs w:val="24"/>
          <w:highlight w:val="none"/>
          <w:lang w:val="en-US" w:eastAsia="zh-CN"/>
        </w:rPr>
      </w:r>
      <w:r/>
    </w:p>
    <w:p>
      <w:pPr>
        <w:pStyle w:val="1110"/>
        <w:contextualSpacing/>
        <w:ind w:firstLine="480"/>
        <w:jc w:val="left"/>
        <w:spacing w:line="360" w:lineRule="auto"/>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为防止交叉感染，确保病人安全，对于烈性传染病人的医用被服物品和其他卫生部门要求的特殊医用被服物品，不流入</w:t>
      </w:r>
      <w:r>
        <w:rPr>
          <w:rFonts w:hint="eastAsia" w:ascii="宋体" w:hAnsi="宋体"/>
          <w:b w:val="0"/>
          <w:bCs/>
          <w:color w:val="000000"/>
          <w:sz w:val="24"/>
          <w:szCs w:val="24"/>
          <w:highlight w:val="none"/>
          <w:lang w:val="en-US" w:eastAsia="zh-CN"/>
        </w:rPr>
        <w:t xml:space="preserve">乙方</w:t>
      </w:r>
      <w:r>
        <w:rPr>
          <w:rFonts w:hint="eastAsia" w:ascii="宋体" w:hAnsi="宋体"/>
          <w:b w:val="0"/>
          <w:bCs/>
          <w:color w:val="000000"/>
          <w:sz w:val="24"/>
          <w:szCs w:val="24"/>
          <w:highlight w:val="none"/>
        </w:rPr>
        <w:t xml:space="preserve">。（具体依据现行的洗涤服务卫生行业标准，从20</w:t>
      </w:r>
      <w:r>
        <w:rPr>
          <w:rFonts w:hint="eastAsia" w:ascii="宋体" w:hAnsi="宋体"/>
          <w:b w:val="0"/>
          <w:bCs/>
          <w:color w:val="000000"/>
          <w:sz w:val="24"/>
          <w:szCs w:val="24"/>
          <w:highlight w:val="none"/>
          <w:lang w:val="en-US" w:eastAsia="zh-CN"/>
        </w:rPr>
        <w:t xml:space="preserve">26</w:t>
      </w:r>
      <w:r>
        <w:rPr>
          <w:rFonts w:hint="eastAsia" w:ascii="宋体" w:hAnsi="宋体"/>
          <w:b w:val="0"/>
          <w:bCs/>
          <w:color w:val="000000"/>
          <w:sz w:val="24"/>
          <w:szCs w:val="24"/>
          <w:highlight w:val="none"/>
        </w:rPr>
        <w:t xml:space="preserve">年</w:t>
      </w:r>
      <w:r>
        <w:rPr>
          <w:rFonts w:hint="eastAsia" w:ascii="宋体" w:hAnsi="宋体"/>
          <w:b w:val="0"/>
          <w:bCs/>
          <w:color w:val="000000"/>
          <w:sz w:val="24"/>
          <w:szCs w:val="24"/>
          <w:highlight w:val="none"/>
          <w:lang w:val="en-US" w:eastAsia="zh-CN"/>
        </w:rPr>
        <w:t xml:space="preserve">2</w:t>
      </w:r>
      <w:r>
        <w:rPr>
          <w:rFonts w:hint="eastAsia" w:ascii="宋体" w:hAnsi="宋体"/>
          <w:b w:val="0"/>
          <w:bCs/>
          <w:color w:val="000000"/>
          <w:sz w:val="24"/>
          <w:szCs w:val="24"/>
          <w:highlight w:val="none"/>
        </w:rPr>
        <w:t xml:space="preserve">月1 日起需依据“医院医用织物洗涤消毒技术规范”（中华人民共和国卫生行业标准 WS/T 508-2025）。</w:t>
      </w:r>
      <w:r>
        <w:rPr>
          <w:rFonts w:ascii="宋体" w:hAnsi="宋体"/>
          <w:b w:val="0"/>
          <w:bCs/>
          <w:color w:val="000000"/>
          <w:sz w:val="24"/>
          <w:szCs w:val="24"/>
          <w:highlight w:val="none"/>
        </w:rPr>
      </w:r>
      <w:r/>
    </w:p>
    <w:p>
      <w:pPr>
        <w:pStyle w:val="1053"/>
        <w:ind w:firstLine="484"/>
        <w:spacing w:line="360" w:lineRule="auto"/>
        <w:rPr>
          <w:rFonts w:ascii="宋体" w:hAnsi="宋体" w:eastAsia="宋体"/>
          <w:b w:val="0"/>
          <w:bCs/>
          <w:color w:val="000000"/>
          <w:sz w:val="24"/>
          <w:szCs w:val="24"/>
          <w:highlight w:val="none"/>
          <w:lang w:val="en-US" w:eastAsia="zh-CN"/>
        </w:rPr>
      </w:pPr>
      <w:r>
        <w:rPr>
          <w:rFonts w:hint="eastAsia" w:ascii="宋体" w:hAnsi="宋体"/>
          <w:b w:val="0"/>
          <w:bCs/>
          <w:color w:val="000000"/>
          <w:sz w:val="24"/>
          <w:szCs w:val="24"/>
          <w:highlight w:val="none"/>
        </w:rPr>
        <w:t xml:space="preserve"> 为避免交叉感染，承担疾控的社会责任。</w:t>
      </w:r>
      <w:r>
        <w:rPr>
          <w:rFonts w:hint="eastAsia" w:ascii="宋体" w:hAnsi="宋体"/>
          <w:b w:val="0"/>
          <w:bCs/>
          <w:color w:val="000000"/>
          <w:sz w:val="24"/>
          <w:szCs w:val="24"/>
          <w:highlight w:val="none"/>
          <w:lang w:val="en-US" w:eastAsia="zh-CN"/>
        </w:rPr>
        <w:t xml:space="preserve">乙方</w:t>
      </w:r>
      <w:r>
        <w:rPr>
          <w:rFonts w:hint="eastAsia" w:ascii="宋体" w:hAnsi="宋体"/>
          <w:b w:val="0"/>
          <w:bCs/>
          <w:color w:val="000000"/>
          <w:sz w:val="24"/>
          <w:szCs w:val="24"/>
          <w:highlight w:val="none"/>
        </w:rPr>
        <w:t xml:space="preserve">不与宾馆、饭店类行业的洗涤物在同一车间内洗涤，不将传染病医院（传染病病区）的洗涤物与</w:t>
      </w:r>
      <w:r>
        <w:rPr>
          <w:rFonts w:hint="eastAsia" w:ascii="宋体" w:hAnsi="宋体"/>
          <w:b w:val="0"/>
          <w:bCs/>
          <w:color w:val="000000"/>
          <w:sz w:val="24"/>
          <w:szCs w:val="24"/>
          <w:highlight w:val="none"/>
          <w:lang w:val="en-US" w:eastAsia="zh-CN"/>
        </w:rPr>
        <w:t xml:space="preserve">甲方</w:t>
      </w:r>
      <w:r>
        <w:rPr>
          <w:rFonts w:hint="eastAsia" w:ascii="宋体" w:hAnsi="宋体"/>
          <w:b w:val="0"/>
          <w:bCs/>
          <w:color w:val="000000"/>
          <w:sz w:val="24"/>
          <w:szCs w:val="24"/>
          <w:highlight w:val="none"/>
        </w:rPr>
        <w:t xml:space="preserve">的洗涤物在同一洗衣设备内消毒洗涤，实行专机洗涤。</w:t>
      </w:r>
      <w:r>
        <w:rPr>
          <w:rFonts w:ascii="宋体" w:hAnsi="宋体" w:eastAsia="宋体"/>
          <w:b w:val="0"/>
          <w:bCs/>
          <w:color w:val="000000"/>
          <w:sz w:val="24"/>
          <w:szCs w:val="24"/>
          <w:highlight w:val="none"/>
          <w:lang w:val="en-US" w:eastAsia="zh-CN"/>
        </w:rPr>
      </w:r>
      <w:r/>
    </w:p>
    <w:p>
      <w:pPr>
        <w:pStyle w:val="1053"/>
        <w:ind w:firstLine="487"/>
        <w:spacing w:line="360" w:lineRule="auto"/>
        <w:rPr>
          <w:rFonts w:cs="宋体"/>
          <w:b/>
          <w:color w:val="000000"/>
          <w:sz w:val="24"/>
          <w:szCs w:val="24"/>
          <w:highlight w:val="none"/>
        </w:rPr>
      </w:pPr>
      <w:r>
        <w:rPr>
          <w:rFonts w:cs="宋体"/>
          <w:b/>
          <w:color w:val="000000"/>
          <w:sz w:val="24"/>
          <w:szCs w:val="24"/>
          <w:highlight w:val="none"/>
        </w:rPr>
        <w:t xml:space="preserve">第二条 合同价格</w:t>
      </w:r>
      <w:r>
        <w:rPr>
          <w:rFonts w:cs="宋体"/>
          <w:b/>
          <w:color w:val="000000"/>
          <w:sz w:val="24"/>
          <w:szCs w:val="24"/>
          <w:highlight w:val="none"/>
        </w:rPr>
      </w:r>
      <w:r/>
    </w:p>
    <w:p>
      <w:pPr>
        <w:pStyle w:val="1053"/>
        <w:ind w:firstLine="487"/>
        <w:jc w:val="left"/>
        <w:spacing w:line="360" w:lineRule="auto"/>
        <w:rPr>
          <w:rFonts w:cs="宋体"/>
          <w:b/>
          <w:color w:val="000000"/>
          <w:sz w:val="24"/>
          <w:szCs w:val="24"/>
          <w:highlight w:val="none"/>
        </w:rPr>
      </w:pPr>
      <w:r>
        <w:rPr>
          <w:rFonts w:cs="宋体"/>
          <w:b/>
          <w:color w:val="000000"/>
          <w:sz w:val="24"/>
          <w:szCs w:val="24"/>
          <w:highlight w:val="none"/>
        </w:rPr>
        <w:t xml:space="preserve">签约合同</w:t>
      </w:r>
      <w:r>
        <w:rPr>
          <w:rFonts w:hint="eastAsia" w:cs="宋体"/>
          <w:b/>
          <w:color w:val="000000"/>
          <w:sz w:val="24"/>
          <w:szCs w:val="24"/>
          <w:highlight w:val="none"/>
          <w:lang w:val="en-US" w:eastAsia="zh-CN"/>
        </w:rPr>
        <w:t xml:space="preserve">价格</w:t>
      </w:r>
      <w:r>
        <w:rPr>
          <w:rFonts w:cs="宋体"/>
          <w:b/>
          <w:color w:val="000000"/>
          <w:sz w:val="24"/>
          <w:szCs w:val="24"/>
          <w:highlight w:val="none"/>
        </w:rPr>
        <w:t xml:space="preserve">（人民币，下同）：</w:t>
      </w:r>
      <w:r>
        <w:rPr>
          <w:rFonts w:hAnsi="宋体" w:cs="宋体"/>
          <w:b/>
          <w:color w:val="000000"/>
          <w:sz w:val="24"/>
          <w:szCs w:val="24"/>
          <w:highlight w:val="none"/>
          <w:u w:val="single"/>
        </w:rPr>
        <w:t xml:space="preserve">临床布草及手术敷料洗涤单价</w:t>
      </w:r>
      <w:r>
        <w:rPr>
          <w:rFonts w:hAnsi="宋体" w:cs="宋体"/>
          <w:b/>
          <w:color w:val="000000"/>
          <w:sz w:val="24"/>
          <w:szCs w:val="24"/>
          <w:highlight w:val="none"/>
          <w:u w:val="single"/>
        </w:rPr>
        <w:t xml:space="preserve">   </w:t>
      </w:r>
      <w:r>
        <w:rPr>
          <w:rFonts w:hAnsi="宋体" w:cs="宋体"/>
          <w:b/>
          <w:color w:val="000000"/>
          <w:sz w:val="24"/>
          <w:szCs w:val="24"/>
          <w:highlight w:val="none"/>
          <w:u w:val="single"/>
        </w:rPr>
        <w:t xml:space="preserve">元/件；报损费</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u w:val="single"/>
        </w:rPr>
        <w:t xml:space="preserve">万元/年</w:t>
      </w:r>
      <w:r>
        <w:rPr>
          <w:rFonts w:cs="宋体"/>
          <w:b/>
          <w:color w:val="000000"/>
          <w:sz w:val="24"/>
          <w:szCs w:val="24"/>
          <w:highlight w:val="none"/>
        </w:rPr>
        <w:t xml:space="preserve">。 </w:t>
      </w:r>
      <w:r>
        <w:rPr>
          <w:rFonts w:cs="宋体"/>
          <w:b/>
          <w:color w:val="000000"/>
          <w:sz w:val="24"/>
          <w:szCs w:val="24"/>
          <w:highlight w:val="none"/>
        </w:rPr>
      </w:r>
      <w:r/>
    </w:p>
    <w:p>
      <w:pPr>
        <w:pStyle w:val="1053"/>
        <w:ind w:firstLine="484"/>
        <w:spacing w:line="360" w:lineRule="auto"/>
        <w:rPr>
          <w:rFonts w:cs="宋体"/>
          <w:color w:val="000000"/>
          <w:sz w:val="24"/>
          <w:szCs w:val="24"/>
          <w:highlight w:val="none"/>
        </w:rPr>
      </w:pPr>
      <w:r>
        <w:rPr>
          <w:rFonts w:cs="宋体"/>
          <w:color w:val="000000"/>
          <w:sz w:val="24"/>
          <w:szCs w:val="24"/>
          <w:highlight w:val="none"/>
        </w:rPr>
        <w:t xml:space="preserve">本合同</w:t>
      </w:r>
      <w:r>
        <w:rPr>
          <w:rFonts w:hint="eastAsia" w:cs="宋体"/>
          <w:color w:val="000000"/>
          <w:sz w:val="24"/>
          <w:szCs w:val="24"/>
          <w:highlight w:val="none"/>
          <w:lang w:val="en-US" w:eastAsia="zh-CN"/>
        </w:rPr>
        <w:t xml:space="preserve">报价</w:t>
      </w:r>
      <w:r>
        <w:rPr>
          <w:rFonts w:hint="eastAsia" w:ascii="宋体" w:hAnsi="宋体"/>
          <w:color w:val="000000"/>
          <w:sz w:val="24"/>
          <w:szCs w:val="24"/>
          <w:highlight w:val="none"/>
        </w:rPr>
        <w:t xml:space="preserve">应包括竞</w:t>
      </w:r>
      <w:r>
        <w:rPr>
          <w:rFonts w:hint="eastAsia" w:ascii="宋体" w:hAnsi="宋体"/>
          <w:color w:val="000000"/>
          <w:sz w:val="24"/>
          <w:szCs w:val="24"/>
          <w:highlight w:val="none"/>
        </w:rPr>
        <w:t xml:space="preserve">争性磋商文件所确定的采购范围相应服务（布草洗涤、高温消毒、清点交接、运输、缝补、报损等）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cs="宋体"/>
          <w:color w:val="000000"/>
          <w:sz w:val="24"/>
          <w:szCs w:val="24"/>
          <w:highlight w:val="none"/>
        </w:rPr>
      </w:r>
      <w:r/>
    </w:p>
    <w:p>
      <w:pPr>
        <w:pStyle w:val="1053"/>
        <w:ind w:firstLine="484"/>
        <w:spacing w:line="360" w:lineRule="auto"/>
        <w:rPr>
          <w:rFonts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rPr>
          <w:rFonts w:cs="宋体"/>
          <w:color w:val="000000"/>
          <w:sz w:val="24"/>
          <w:szCs w:val="24"/>
          <w:highlight w:val="none"/>
        </w:rPr>
      </w:r>
      <w:r/>
    </w:p>
    <w:p>
      <w:pPr>
        <w:pStyle w:val="1053"/>
        <w:ind w:firstLine="487"/>
        <w:spacing w:line="360" w:lineRule="auto"/>
        <w:rPr>
          <w:rFonts w:eastAsia="宋体" w:cs="宋体"/>
          <w:b/>
          <w:color w:val="000000"/>
          <w:sz w:val="24"/>
          <w:szCs w:val="24"/>
          <w:highlight w:val="none"/>
          <w:lang w:val="en-US" w:eastAsia="zh-CN"/>
        </w:rPr>
      </w:pPr>
      <w:r>
        <w:rPr>
          <w:rFonts w:hint="eastAsia" w:cs="宋体"/>
          <w:b/>
          <w:color w:val="000000"/>
          <w:sz w:val="24"/>
          <w:szCs w:val="24"/>
          <w:highlight w:val="none"/>
          <w:lang w:val="en-US" w:eastAsia="zh-CN"/>
        </w:rPr>
        <w:t xml:space="preserve">第三条 合同履行期限</w:t>
      </w:r>
      <w:r>
        <w:rPr>
          <w:rFonts w:eastAsia="宋体" w:cs="宋体"/>
          <w:b/>
          <w:color w:val="000000"/>
          <w:sz w:val="24"/>
          <w:szCs w:val="24"/>
          <w:highlight w:val="none"/>
          <w:lang w:val="en-US" w:eastAsia="zh-CN"/>
        </w:rPr>
      </w:r>
      <w:r/>
    </w:p>
    <w:p>
      <w:pPr>
        <w:pStyle w:val="1053"/>
        <w:ind w:firstLine="484"/>
        <w:spacing w:line="360" w:lineRule="auto"/>
        <w:rPr>
          <w:rFonts w:cs="宋体"/>
          <w:b/>
          <w:color w:val="000000"/>
          <w:sz w:val="24"/>
          <w:szCs w:val="24"/>
          <w:highlight w:val="none"/>
        </w:rPr>
      </w:pPr>
      <w:r>
        <w:rPr>
          <w:rFonts w:hint="eastAsia" w:ascii="宋体" w:hAnsi="宋体" w:cs="宋体"/>
          <w:color w:val="000000"/>
          <w:sz w:val="24"/>
          <w:highlight w:val="none"/>
        </w:rPr>
        <w:t xml:space="preserve">本项目服务期限为三年（   年  月   日-   年  月  日），合同一年一签。本合同履行期限自    年  月  日至   年  月  日。每年合同期满经甲方考核合格</w:t>
      </w:r>
      <w:r>
        <w:rPr>
          <w:rFonts w:hint="eastAsia" w:ascii="宋体" w:hAnsi="宋体" w:eastAsia="宋体" w:cs="宋体"/>
          <w:color w:val="000000"/>
          <w:sz w:val="24"/>
          <w:highlight w:val="none"/>
        </w:rPr>
        <w:t xml:space="preserve">（年平均考核分数不低于</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0分）</w:t>
      </w:r>
      <w:r>
        <w:rPr>
          <w:rFonts w:hint="eastAsia" w:ascii="宋体" w:hAnsi="宋体" w:cs="宋体"/>
          <w:color w:val="000000"/>
          <w:sz w:val="24"/>
          <w:highlight w:val="none"/>
        </w:rPr>
        <w:t xml:space="preserve">后续签下一年度合同。</w:t>
      </w:r>
      <w:r>
        <w:rPr>
          <w:rFonts w:cs="宋体"/>
          <w:b/>
          <w:color w:val="000000"/>
          <w:sz w:val="24"/>
          <w:szCs w:val="24"/>
          <w:highlight w:val="none"/>
        </w:rPr>
      </w:r>
      <w:r/>
    </w:p>
    <w:p>
      <w:pPr>
        <w:pStyle w:val="1053"/>
        <w:ind w:firstLine="487"/>
        <w:spacing w:line="360" w:lineRule="auto"/>
        <w:rPr>
          <w:rFonts w:cs="宋体"/>
          <w:b/>
          <w:color w:val="000000"/>
          <w:sz w:val="24"/>
          <w:szCs w:val="24"/>
          <w:highlight w:val="none"/>
        </w:rPr>
      </w:pPr>
      <w:r>
        <w:rPr>
          <w:rFonts w:cs="宋体"/>
          <w:b/>
          <w:color w:val="000000"/>
          <w:sz w:val="24"/>
          <w:szCs w:val="24"/>
          <w:highlight w:val="none"/>
        </w:rPr>
        <w:t xml:space="preserve">第</w:t>
      </w:r>
      <w:r>
        <w:rPr>
          <w:rFonts w:hint="eastAsia" w:cs="宋体"/>
          <w:b/>
          <w:color w:val="000000"/>
          <w:sz w:val="24"/>
          <w:szCs w:val="24"/>
          <w:highlight w:val="none"/>
          <w:lang w:val="en-US" w:eastAsia="zh-CN"/>
        </w:rPr>
        <w:t xml:space="preserve">四</w:t>
      </w:r>
      <w:r>
        <w:rPr>
          <w:rFonts w:cs="宋体"/>
          <w:b/>
          <w:color w:val="000000"/>
          <w:sz w:val="24"/>
          <w:szCs w:val="24"/>
          <w:highlight w:val="none"/>
        </w:rPr>
        <w:t xml:space="preserve">条 组成本合同的有关文件</w:t>
      </w:r>
      <w:r>
        <w:rPr>
          <w:rFonts w:cs="宋体"/>
          <w:b/>
          <w:color w:val="000000"/>
          <w:sz w:val="24"/>
          <w:szCs w:val="24"/>
          <w:highlight w:val="none"/>
        </w:rPr>
      </w:r>
      <w:r/>
    </w:p>
    <w:p>
      <w:pPr>
        <w:pStyle w:val="1053"/>
        <w:ind w:firstLine="484"/>
        <w:spacing w:line="360" w:lineRule="auto"/>
        <w:rPr>
          <w:rFonts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cs="宋体"/>
          <w:color w:val="000000"/>
          <w:sz w:val="24"/>
          <w:szCs w:val="24"/>
          <w:highlight w:val="none"/>
        </w:rPr>
      </w:r>
      <w:r/>
    </w:p>
    <w:p>
      <w:pPr>
        <w:pStyle w:val="1053"/>
        <w:ind w:firstLine="484"/>
        <w:spacing w:line="360" w:lineRule="auto"/>
        <w:rPr>
          <w:rFonts w:cs="宋体"/>
          <w:color w:val="000000"/>
          <w:sz w:val="24"/>
          <w:szCs w:val="24"/>
          <w:highlight w:val="none"/>
        </w:rPr>
      </w:pPr>
      <w:r>
        <w:rPr>
          <w:rFonts w:cs="宋体"/>
          <w:color w:val="000000"/>
          <w:sz w:val="24"/>
          <w:szCs w:val="24"/>
          <w:highlight w:val="none"/>
        </w:rPr>
        <w:t xml:space="preserve">（1）竞争性磋商文件（编号：   ）          （2）乙方提供的磋商响应文件； </w:t>
      </w:r>
      <w:r>
        <w:rPr>
          <w:rFonts w:cs="宋体"/>
          <w:color w:val="000000"/>
          <w:sz w:val="24"/>
          <w:szCs w:val="24"/>
          <w:highlight w:val="none"/>
        </w:rPr>
      </w:r>
      <w:r/>
    </w:p>
    <w:p>
      <w:pPr>
        <w:pStyle w:val="1053"/>
        <w:ind w:firstLine="484"/>
        <w:spacing w:line="360" w:lineRule="auto"/>
        <w:rPr>
          <w:rFonts w:cs="宋体"/>
          <w:color w:val="000000"/>
          <w:sz w:val="24"/>
          <w:szCs w:val="24"/>
          <w:highlight w:val="none"/>
        </w:rPr>
      </w:pPr>
      <w:r>
        <w:rPr>
          <w:rFonts w:cs="宋体"/>
          <w:color w:val="000000"/>
          <w:sz w:val="24"/>
          <w:szCs w:val="24"/>
          <w:highlight w:val="none"/>
        </w:rPr>
        <w:t xml:space="preserve">（3）成交通知书；                         （4）甲乙双方商定的其他文件等。</w:t>
      </w:r>
      <w:r>
        <w:rPr>
          <w:rFonts w:cs="宋体"/>
          <w:color w:val="000000"/>
          <w:sz w:val="24"/>
          <w:szCs w:val="24"/>
          <w:highlight w:val="none"/>
        </w:rPr>
      </w:r>
      <w:r/>
    </w:p>
    <w:p>
      <w:pPr>
        <w:pStyle w:val="1014"/>
        <w:ind w:firstLine="487"/>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第五条 质量要求</w:t>
      </w:r>
      <w:r>
        <w:rPr>
          <w:rFonts w:ascii="宋体" w:hAnsi="宋体" w:eastAsia="宋体" w:cs="宋体"/>
          <w:b/>
          <w:color w:val="000000"/>
          <w:sz w:val="24"/>
          <w:highlight w:val="none"/>
          <w:lang w:val="en-US" w:eastAsia="zh-CN"/>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应认真做好洗涤质量监测，根据</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的反馈意见和要求及时改进洗涤质量。确保洗涤质量合格率大于95%，临床综合满意度不低于90%，以上两项考核每降低一个百分点则扣除当月洗涤费的1%，临床满意度连续3个月低于80%，</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有权利提前解约。</w:t>
      </w:r>
      <w:r>
        <w:rPr>
          <w:rFonts w:ascii="宋体" w:hAnsi="宋体"/>
          <w:color w:val="000000"/>
          <w:sz w:val="24"/>
          <w:szCs w:val="24"/>
          <w:highlight w:val="none"/>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、如洗涤或熨烫质量不佳，</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有权退回，要求</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重洗，重洗费用由</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自负。</w:t>
      </w:r>
      <w:r>
        <w:rPr>
          <w:rFonts w:ascii="宋体" w:hAnsi="宋体"/>
          <w:color w:val="000000"/>
          <w:sz w:val="24"/>
          <w:szCs w:val="24"/>
          <w:highlight w:val="none"/>
        </w:rPr>
      </w:r>
      <w:r/>
    </w:p>
    <w:p>
      <w:pPr>
        <w:pStyle w:val="1110"/>
        <w:contextualSpacing/>
        <w:ind w:firstLine="480"/>
        <w:jc w:val="left"/>
        <w:spacing w:line="360" w:lineRule="auto"/>
        <w:rPr>
          <w:rFonts w:hint="eastAsia" w:eastAsia="宋体"/>
          <w:color w:val="000000"/>
          <w:highlight w:val="none"/>
          <w:lang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定期接受当地卫生监督部门的专家进行布草消毒检验，以确保布草的安全卫生，每三月向甲方提供一份</w:t>
      </w:r>
      <w:r>
        <w:rPr>
          <w:rFonts w:hint="eastAsia" w:ascii="宋体" w:hAnsi="宋体"/>
          <w:color w:val="000000"/>
          <w:sz w:val="24"/>
          <w:szCs w:val="24"/>
          <w:highlight w:val="none"/>
          <w:lang w:val="en-US" w:eastAsia="zh-CN"/>
        </w:rPr>
        <w:t xml:space="preserve">第三方检测机构出具检验报告，</w:t>
      </w:r>
      <w:r>
        <w:rPr>
          <w:rFonts w:hint="eastAsia" w:ascii="宋体" w:hAnsi="宋体"/>
          <w:color w:val="000000"/>
          <w:sz w:val="24"/>
          <w:szCs w:val="24"/>
          <w:highlight w:val="none"/>
        </w:rPr>
        <w:t xml:space="preserve">检测依据WS/T508-2025《医院医用织物洗涤消毒技术规范》要求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以上标准如有更新以最新国家标准要求为准</w:t>
      </w:r>
      <w:r>
        <w:rPr>
          <w:rFonts w:hint="eastAsia" w:ascii="宋体" w:hAnsi="宋体"/>
          <w:color w:val="000000"/>
          <w:sz w:val="24"/>
          <w:szCs w:val="24"/>
          <w:highlight w:val="none"/>
          <w:lang w:eastAsia="zh-CN"/>
        </w:rPr>
        <w:t xml:space="preserve">。</w:t>
      </w:r>
      <w:r>
        <w:rPr>
          <w:rFonts w:hint="eastAsia" w:eastAsia="宋体"/>
          <w:color w:val="000000"/>
          <w:highlight w:val="none"/>
          <w:lang w:eastAsia="zh-CN"/>
        </w:rPr>
      </w:r>
      <w:r/>
    </w:p>
    <w:p>
      <w:pPr>
        <w:pStyle w:val="1110"/>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有权随时抽检供应商洗涤消毒的全过程，</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应积极配合，不得以任何借口拖延或阻挠，抽查发现</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有消毒不达标的现象，每发现一次对</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处以2000元罚款，并且</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应当承担造成损害程度的相应法律责任，并责令</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整改，抽查连续两次发现消毒不达标的现象，对</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处以罚款10000元，并强令整改，并且</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应当承担造成损害程度的相应法律责任，在一年内累计三次发现消毒不达标的现象，对</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处以罚款当月应付洗涤费用总额，并有权终止合约，并且</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应承担造成损害程度的相应法律责任。</w:t>
      </w:r>
      <w:r>
        <w:rPr>
          <w:rFonts w:ascii="宋体" w:hAnsi="宋体"/>
          <w:color w:val="000000"/>
          <w:sz w:val="24"/>
          <w:szCs w:val="24"/>
          <w:highlight w:val="none"/>
        </w:rPr>
      </w:r>
      <w:r/>
    </w:p>
    <w:p>
      <w:pPr>
        <w:pStyle w:val="1014"/>
        <w:ind w:firstLine="484"/>
        <w:spacing w:line="360" w:lineRule="auto"/>
        <w:rPr>
          <w:rFonts w:hint="eastAsia" w:ascii="宋体" w:hAnsi="宋体" w:cs="宋体"/>
          <w:b/>
          <w:color w:val="000000"/>
          <w:sz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、每发生一次不及时送达，影响医院工作正常运行，</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按月洗涤费用总额的1%向采购方支付违约金；严重影响医院正常运行时，</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有权终止合同。</w:t>
      </w:r>
      <w:r>
        <w:rPr>
          <w:rFonts w:hint="eastAsia" w:ascii="宋体" w:hAnsi="宋体" w:cs="宋体"/>
          <w:b/>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条 合同款结算及支付</w:t>
      </w:r>
      <w:r>
        <w:rPr>
          <w:rFonts w:hint="eastAsia" w:ascii="宋体" w:hAnsi="宋体" w:cs="宋体"/>
          <w:b/>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w:t>
      </w:r>
      <w:r>
        <w:rPr>
          <w:rFonts w:hint="eastAsia" w:ascii="宋体" w:hAnsi="宋体" w:cs="宋体"/>
          <w:color w:val="000000"/>
          <w:sz w:val="24"/>
          <w:highlight w:val="none"/>
        </w:rPr>
        <w:t xml:space="preserve">项下的采购资金由甲方自行支付，乙方向甲方开具发票。</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w:t>
      </w:r>
      <w:r>
        <w:rPr>
          <w:rFonts w:hint="eastAsia" w:ascii="宋体" w:hAnsi="宋体" w:cs="宋体"/>
          <w:color w:val="000000"/>
          <w:sz w:val="24"/>
          <w:highlight w:val="none"/>
          <w:lang w:val="en-US" w:eastAsia="zh-CN"/>
        </w:rPr>
        <w:t xml:space="preserve">固定单价，</w:t>
      </w:r>
      <w:r>
        <w:rPr>
          <w:rFonts w:hint="eastAsia" w:ascii="宋体" w:hAnsi="宋体" w:cs="宋体"/>
          <w:color w:val="000000"/>
          <w:sz w:val="24"/>
          <w:highlight w:val="none"/>
        </w:rPr>
        <w:t xml:space="preserve">按实结算。</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r>
      <w:r/>
    </w:p>
    <w:p>
      <w:pPr>
        <w:pStyle w:val="1110"/>
        <w:contextualSpacing/>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①合同生效后，</w:t>
      </w:r>
      <w:r>
        <w:rPr>
          <w:rFonts w:hint="eastAsia" w:ascii="宋体" w:hAnsi="宋体" w:cs="宋体"/>
          <w:bCs/>
          <w:color w:val="000000"/>
          <w:sz w:val="24"/>
          <w:szCs w:val="24"/>
          <w:highlight w:val="none"/>
          <w:lang w:val="en-US" w:eastAsia="zh-CN"/>
        </w:rPr>
        <w:t xml:space="preserve">甲方</w:t>
      </w:r>
      <w:r>
        <w:rPr>
          <w:rFonts w:hint="eastAsia" w:ascii="宋体" w:hAnsi="宋体" w:cs="宋体"/>
          <w:bCs/>
          <w:color w:val="000000"/>
          <w:sz w:val="24"/>
          <w:szCs w:val="24"/>
          <w:highlight w:val="none"/>
        </w:rPr>
        <w:t xml:space="preserve">支付合同总额的30%作为预付款给</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（签订合同时，</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明确表示无需预付款或者</w:t>
      </w:r>
      <w:r>
        <w:rPr>
          <w:rFonts w:hint="eastAsia" w:ascii="宋体" w:hAnsi="宋体" w:cs="宋体"/>
          <w:bCs/>
          <w:color w:val="000000"/>
          <w:sz w:val="24"/>
          <w:szCs w:val="24"/>
          <w:highlight w:val="none"/>
        </w:rPr>
        <w:t xml:space="preserve">主动要求降低预付款比例的，</w:t>
      </w:r>
      <w:r>
        <w:rPr>
          <w:rFonts w:hint="eastAsia" w:ascii="宋体" w:hAnsi="宋体" w:cs="宋体"/>
          <w:bCs/>
          <w:color w:val="000000"/>
          <w:sz w:val="24"/>
          <w:szCs w:val="24"/>
          <w:highlight w:val="none"/>
          <w:lang w:val="en-US" w:eastAsia="zh-CN"/>
        </w:rPr>
        <w:t xml:space="preserve">甲方</w:t>
      </w:r>
      <w:r>
        <w:rPr>
          <w:rFonts w:hint="eastAsia" w:ascii="宋体" w:hAnsi="宋体" w:cs="宋体"/>
          <w:bCs/>
          <w:color w:val="000000"/>
          <w:sz w:val="24"/>
          <w:szCs w:val="24"/>
          <w:highlight w:val="none"/>
        </w:rPr>
        <w:t xml:space="preserve">可不适用前述规定）；</w:t>
      </w:r>
      <w:r>
        <w:rPr>
          <w:rFonts w:ascii="宋体" w:hAnsi="宋体" w:cs="宋体"/>
          <w:bCs/>
          <w:color w:val="000000"/>
          <w:sz w:val="24"/>
          <w:szCs w:val="24"/>
          <w:highlight w:val="none"/>
        </w:rPr>
      </w:r>
      <w:r/>
    </w:p>
    <w:p>
      <w:pPr>
        <w:pStyle w:val="1110"/>
        <w:contextualSpacing/>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②洗涤费用根据成交后的洗涤单价乘以实际洗涤件数后按月结算，当月20号前结算并支付上个月的洗涤费用。</w:t>
      </w:r>
      <w:r>
        <w:rPr>
          <w:rFonts w:ascii="宋体" w:hAnsi="宋体" w:cs="宋体"/>
          <w:bCs/>
          <w:color w:val="000000"/>
          <w:sz w:val="24"/>
          <w:szCs w:val="24"/>
          <w:highlight w:val="none"/>
        </w:rPr>
      </w:r>
      <w:r/>
    </w:p>
    <w:p>
      <w:pPr>
        <w:pStyle w:val="1110"/>
        <w:contextualSpacing/>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③报损费用每半年支付一次，合同签订当月支付合同报损费用的50%，服务期满半年后支付合同报损费用的50%</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14"/>
        <w:ind w:firstLine="484"/>
        <w:spacing w:line="360" w:lineRule="auto"/>
        <w:rPr>
          <w:rFonts w:hint="eastAsia" w:ascii="宋体" w:hAnsi="宋体" w:cs="宋体"/>
          <w:b/>
          <w:color w:val="000000"/>
          <w:sz w:val="24"/>
          <w:highlight w:val="none"/>
        </w:rPr>
      </w:pPr>
      <w:r>
        <w:rPr>
          <w:rFonts w:hint="eastAsia" w:ascii="宋体" w:hAnsi="宋体" w:cs="宋体"/>
          <w:bCs/>
          <w:color w:val="000000"/>
          <w:sz w:val="24"/>
          <w:szCs w:val="24"/>
          <w:highlight w:val="none"/>
        </w:rPr>
        <w:t xml:space="preserve">注：洗涤费用、报损费用支付前需扣除已支付的预付款，预付款金额累计支付扣除结束后，后续支付根据结算流程按实结算。</w:t>
      </w:r>
      <w:r>
        <w:rPr>
          <w:rFonts w:hint="eastAsia" w:ascii="宋体" w:hAnsi="宋体" w:cs="宋体"/>
          <w:b/>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违约责任</w:t>
      </w:r>
      <w:r>
        <w:rPr>
          <w:rFonts w:hint="eastAsia" w:ascii="宋体" w:hAnsi="宋体" w:cs="宋体"/>
          <w:b/>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.乙方未按本合同的规定和“服务承诺”提供伴随服务的，甲方有权提前解除本合同，同时乙方应按合同总价款的5%向甲方承担违约责任。</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hint="eastAsia" w:ascii="宋体" w:hAnsi="宋体" w:cs="宋体"/>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合同的变更和终止</w:t>
      </w:r>
      <w:r>
        <w:rPr>
          <w:rFonts w:hint="eastAsia" w:ascii="宋体" w:hAnsi="宋体" w:cs="宋体"/>
          <w:b/>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14"/>
        <w:ind w:firstLine="487"/>
        <w:spacing w:line="360" w:lineRule="auto"/>
        <w:rPr>
          <w:rFonts w:ascii="宋体" w:hAnsi="宋体" w:cs="宋体"/>
          <w:b/>
          <w:bCs/>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bCs/>
          <w:color w:val="000000"/>
          <w:sz w:val="24"/>
          <w:highlight w:val="none"/>
        </w:rPr>
        <w:t xml:space="preserve">违约终止合同</w:t>
      </w:r>
      <w:r>
        <w:rPr>
          <w:rFonts w:ascii="宋体" w:hAnsi="宋体" w:cs="宋体"/>
          <w:b/>
          <w:bCs/>
          <w:color w:val="000000"/>
          <w:sz w:val="24"/>
          <w:highlight w:val="none"/>
        </w:rPr>
      </w:r>
      <w:r/>
    </w:p>
    <w:p>
      <w:pPr>
        <w:pStyle w:val="1014"/>
        <w:ind w:firstLine="487"/>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（1）在乙方收到甲方发出的违约通知后30天内，乙方仍未纠正其下述任何一种违约行为，甲方可向乙方发出终止合同通知，终止部分或全部合同，由此带来的一切损失由乙方承担：</w:t>
      </w:r>
      <w:r>
        <w:rPr>
          <w:rFonts w:ascii="宋体" w:hAnsi="宋体" w:cs="宋体"/>
          <w:b/>
          <w:bCs/>
          <w:color w:val="000000"/>
          <w:sz w:val="24"/>
          <w:highlight w:val="none"/>
        </w:rPr>
      </w:r>
      <w:r/>
    </w:p>
    <w:p>
      <w:pPr>
        <w:pStyle w:val="1014"/>
        <w:ind w:firstLine="487"/>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①乙方未能在合同规定的期限内及时进场；</w:t>
      </w:r>
      <w:r>
        <w:rPr>
          <w:rFonts w:ascii="宋体" w:hAnsi="宋体" w:cs="宋体"/>
          <w:b/>
          <w:bCs/>
          <w:color w:val="000000"/>
          <w:sz w:val="24"/>
          <w:highlight w:val="none"/>
        </w:rPr>
      </w:r>
      <w:r/>
    </w:p>
    <w:p>
      <w:pPr>
        <w:pStyle w:val="1014"/>
        <w:ind w:firstLine="487"/>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②乙方提供的服务质量不符合合同规定，且未及时纠正的；</w:t>
      </w:r>
      <w:r>
        <w:rPr>
          <w:rFonts w:ascii="宋体" w:hAnsi="宋体" w:cs="宋体"/>
          <w:b/>
          <w:bCs/>
          <w:color w:val="000000"/>
          <w:sz w:val="24"/>
          <w:highlight w:val="none"/>
        </w:rPr>
      </w:r>
      <w:r/>
    </w:p>
    <w:p>
      <w:pPr>
        <w:pStyle w:val="1014"/>
        <w:ind w:firstLine="487"/>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③乙方未能履行合同项下的任何其它义务的。</w:t>
      </w:r>
      <w:r>
        <w:rPr>
          <w:rFonts w:ascii="宋体" w:hAnsi="宋体" w:cs="宋体"/>
          <w:b/>
          <w:bCs/>
          <w:color w:val="000000"/>
          <w:sz w:val="24"/>
          <w:highlight w:val="none"/>
        </w:rPr>
      </w:r>
      <w:r/>
    </w:p>
    <w:p>
      <w:pPr>
        <w:pStyle w:val="1014"/>
        <w:ind w:firstLine="487"/>
        <w:spacing w:line="360" w:lineRule="auto"/>
        <w:rPr>
          <w:rFonts w:ascii="宋体" w:hAnsi="宋体" w:eastAsia="宋体" w:cs="宋体"/>
          <w:b/>
          <w:color w:val="000000"/>
          <w:sz w:val="24"/>
          <w:highlight w:val="none"/>
          <w:lang w:val="en-US" w:eastAsia="zh-CN"/>
        </w:rPr>
      </w:pPr>
      <w:r>
        <w:rPr>
          <w:rFonts w:hint="eastAsia" w:ascii="宋体" w:hAnsi="宋体" w:cs="宋体"/>
          <w:b/>
          <w:bCs/>
          <w:color w:val="000000"/>
          <w:sz w:val="24"/>
          <w:highlight w:val="none"/>
        </w:rPr>
        <w:t xml:space="preserve">（2）甲方终止部分合同，甲方可以按适当的条件和方式采购类似的由于乙方未交付部分的服务；乙方应承担甲方购买类似服务的额外费用并继续履行合同中未终止的部分。</w:t>
      </w:r>
      <w:r>
        <w:rPr>
          <w:rFonts w:ascii="宋体" w:hAnsi="宋体" w:eastAsia="宋体" w:cs="宋体"/>
          <w:b/>
          <w:color w:val="000000"/>
          <w:sz w:val="24"/>
          <w:highlight w:val="none"/>
          <w:lang w:val="en-US" w:eastAsia="zh-CN"/>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合同的转让</w:t>
      </w:r>
      <w:r>
        <w:rPr>
          <w:rFonts w:hint="eastAsia" w:ascii="宋体" w:hAnsi="宋体" w:cs="宋体"/>
          <w:b/>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不可抗</w:t>
      </w:r>
      <w:r>
        <w:rPr>
          <w:rFonts w:hint="eastAsia" w:ascii="宋体" w:hAnsi="宋体" w:cs="宋体"/>
          <w:b/>
          <w:color w:val="000000"/>
          <w:sz w:val="24"/>
          <w:highlight w:val="none"/>
        </w:rPr>
        <w:t xml:space="preserve">力</w:t>
      </w:r>
      <w:r>
        <w:rPr>
          <w:rFonts w:hint="eastAsia" w:ascii="宋体" w:hAnsi="宋体" w:cs="宋体"/>
          <w:b/>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w:t>
      </w:r>
      <w:r>
        <w:rPr>
          <w:rFonts w:hint="eastAsia" w:ascii="宋体" w:hAnsi="宋体" w:cs="宋体"/>
          <w:color w:val="000000"/>
          <w:sz w:val="24"/>
          <w:highlight w:val="none"/>
        </w:rPr>
        <w:t xml:space="preserve">。确定为不可抗力原因造成的损失，免予承担责任。</w:t>
      </w:r>
      <w:r>
        <w:rPr>
          <w:rFonts w:hint="eastAsia" w:ascii="宋体" w:hAnsi="宋体" w:cs="宋体"/>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争议的解决</w:t>
      </w:r>
      <w:r>
        <w:rPr>
          <w:rFonts w:hint="eastAsia" w:ascii="宋体" w:hAnsi="宋体" w:cs="宋体"/>
          <w:b/>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hint="eastAsia" w:ascii="宋体" w:hAnsi="宋体" w:cs="宋体"/>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诚实信用 </w:t>
      </w:r>
      <w:r>
        <w:rPr>
          <w:rFonts w:hint="eastAsia" w:ascii="宋体" w:hAnsi="宋体" w:cs="宋体"/>
          <w:b/>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乙方应诚实信用，严格按照竞争性磋商文件要求和磋商承诺履行合同，不向甲方进行商业贿赂或者提供不正当利益。</w:t>
      </w:r>
      <w:r>
        <w:rPr>
          <w:rFonts w:hint="eastAsia" w:ascii="宋体" w:hAnsi="宋体" w:cs="宋体"/>
          <w:color w:val="000000"/>
          <w:sz w:val="24"/>
          <w:highlight w:val="none"/>
        </w:rPr>
      </w:r>
      <w:r/>
    </w:p>
    <w:p>
      <w:pPr>
        <w:pStyle w:val="1014"/>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合同生效及其他</w:t>
      </w:r>
      <w:r>
        <w:rPr>
          <w:rFonts w:hint="eastAsia" w:ascii="宋体" w:hAnsi="宋体" w:cs="宋体"/>
          <w:b/>
          <w:color w:val="000000"/>
          <w:sz w:val="24"/>
          <w:highlight w:val="none"/>
        </w:rPr>
      </w:r>
      <w:r/>
    </w:p>
    <w:p>
      <w:pPr>
        <w:pStyle w:val="1014"/>
        <w:ind w:firstLine="48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hint="eastAsia" w:ascii="宋体" w:hAnsi="宋体" w:cs="宋体"/>
          <w:color w:val="000000"/>
          <w:sz w:val="24"/>
          <w:highlight w:val="none"/>
        </w:rPr>
      </w:r>
      <w:r/>
    </w:p>
    <w:p>
      <w:pPr>
        <w:pStyle w:val="1014"/>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14"/>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4"/>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hint="eastAsia" w:ascii="宋体" w:hAnsi="宋体" w:cs="宋体"/>
          <w:color w:val="000000"/>
          <w:sz w:val="24"/>
          <w:highlight w:val="none"/>
          <w:u w:val="single"/>
        </w:rPr>
      </w:r>
      <w:r/>
    </w:p>
    <w:p>
      <w:pPr>
        <w:pStyle w:val="1014"/>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hint="eastAsia" w:ascii="宋体" w:hAnsi="宋体" w:cs="宋体"/>
          <w:color w:val="000000"/>
          <w:sz w:val="24"/>
          <w:highlight w:val="none"/>
          <w:u w:val="single"/>
        </w:rPr>
      </w:r>
      <w:r/>
    </w:p>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hint="eastAsia" w:ascii="宋体" w:hAnsi="宋体" w:cs="宋体"/>
          <w:color w:val="000000"/>
          <w:sz w:val="24"/>
          <w:highlight w:val="none"/>
        </w:rPr>
      </w:r>
      <w:r/>
    </w:p>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电话：            传真：</w:t>
      </w:r>
      <w:r>
        <w:rPr>
          <w:rFonts w:hint="eastAsia" w:ascii="宋体" w:hAnsi="宋体" w:cs="宋体"/>
          <w:color w:val="000000"/>
          <w:sz w:val="24"/>
          <w:highlight w:val="none"/>
        </w:rPr>
      </w:r>
      <w:r/>
    </w:p>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01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4"/>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14"/>
        <w:jc w:val="center"/>
        <w:spacing w:line="360" w:lineRule="auto"/>
        <w:rPr>
          <w:b/>
          <w:color w:val="000000"/>
          <w:sz w:val="36"/>
          <w:szCs w:val="36"/>
          <w:highlight w:val="none"/>
        </w:rPr>
        <w:outlineLvl w:val="0"/>
      </w:pPr>
      <w:r>
        <w:rPr>
          <w:rFonts w:hint="eastAsia" w:ascii="宋体" w:hAnsi="宋体"/>
          <w:b/>
          <w:color w:val="000000"/>
          <w:sz w:val="36"/>
          <w:szCs w:val="36"/>
          <w:highlight w:val="none"/>
        </w:rPr>
        <w:br w:type="page" w:clear="all"/>
      </w:r>
      <w:bookmarkStart w:id="678" w:name="_Toc104818930"/>
      <w:r>
        <w:rPr>
          <w:b/>
          <w:color w:val="000000"/>
          <w:sz w:val="36"/>
          <w:szCs w:val="36"/>
          <w:highlight w:val="none"/>
        </w:rPr>
        <w:t xml:space="preserve">第六章   响应文件格式</w:t>
      </w:r>
      <w:bookmarkEnd w:id="678"/>
      <w:r>
        <w:rPr>
          <w:b/>
          <w:color w:val="000000"/>
          <w:sz w:val="36"/>
          <w:szCs w:val="36"/>
          <w:highlight w:val="none"/>
        </w:rPr>
      </w:r>
      <w:r/>
    </w:p>
    <w:p>
      <w:pPr>
        <w:pStyle w:val="1014"/>
        <w:jc w:val="left"/>
        <w:spacing w:line="360" w:lineRule="auto"/>
        <w:widowControl/>
        <w:rPr>
          <w:b/>
          <w:color w:val="000000"/>
          <w:sz w:val="24"/>
          <w:highlight w:val="none"/>
        </w:rPr>
      </w:pPr>
      <w:r>
        <w:rPr>
          <w:b/>
          <w:color w:val="000000"/>
          <w:sz w:val="24"/>
          <w:highlight w:val="none"/>
        </w:rPr>
      </w:r>
      <w:r/>
    </w:p>
    <w:p>
      <w:pPr>
        <w:pStyle w:val="1014"/>
        <w:jc w:val="left"/>
        <w:spacing w:line="360" w:lineRule="auto"/>
        <w:widowControl/>
        <w:rPr>
          <w:b/>
          <w:color w:val="000000"/>
          <w:sz w:val="24"/>
          <w:highlight w:val="none"/>
        </w:rPr>
      </w:pPr>
      <w:r>
        <w:rPr>
          <w:b/>
          <w:color w:val="000000"/>
          <w:sz w:val="24"/>
          <w:highlight w:val="none"/>
        </w:rPr>
      </w:r>
      <w:r/>
    </w:p>
    <w:p>
      <w:pPr>
        <w:pStyle w:val="1014"/>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14"/>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1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14"/>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14"/>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014"/>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14"/>
        <w:jc w:val="left"/>
        <w:widowControl/>
        <w:rPr>
          <w:color w:val="000000"/>
          <w:sz w:val="24"/>
          <w:highlight w:val="none"/>
        </w:rPr>
      </w:pPr>
      <w:r>
        <w:rPr>
          <w:color w:val="000000"/>
          <w:sz w:val="24"/>
          <w:highlight w:val="none"/>
        </w:rPr>
        <w:br w:type="page" w:clear="all"/>
      </w:r>
      <w:r>
        <w:rPr>
          <w:color w:val="000000"/>
          <w:sz w:val="24"/>
          <w:highlight w:val="none"/>
        </w:rPr>
      </w:r>
      <w:r/>
    </w:p>
    <w:p>
      <w:pPr>
        <w:pStyle w:val="1014"/>
        <w:rPr>
          <w:b/>
          <w:color w:val="000000"/>
          <w:spacing w:val="20"/>
          <w:szCs w:val="21"/>
          <w:highlight w:val="none"/>
        </w:rPr>
      </w:pPr>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color w:val="000000"/>
          <w:spacing w:val="20"/>
          <w:szCs w:val="21"/>
          <w:highlight w:val="none"/>
        </w:rPr>
      </w:r>
      <w:r/>
    </w:p>
    <w:p>
      <w:pPr>
        <w:pStyle w:val="1014"/>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14"/>
        <w:jc w:val="center"/>
        <w:rPr>
          <w:color w:val="000000"/>
          <w:szCs w:val="21"/>
          <w:highlight w:val="none"/>
        </w:rPr>
      </w:pPr>
      <w:r>
        <w:rPr>
          <w:color w:val="000000"/>
          <w:szCs w:val="21"/>
          <w:highlight w:val="none"/>
        </w:rPr>
      </w:r>
      <w:r/>
    </w:p>
    <w:p>
      <w:pPr>
        <w:pStyle w:val="1014"/>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14"/>
        <w:jc w:val="center"/>
        <w:rPr>
          <w:b/>
          <w:color w:val="000000"/>
          <w:spacing w:val="60"/>
          <w:sz w:val="52"/>
          <w:szCs w:val="52"/>
          <w:highlight w:val="none"/>
        </w:rPr>
      </w:pPr>
      <w:r>
        <w:rPr>
          <w:b/>
          <w:color w:val="000000"/>
          <w:spacing w:val="60"/>
          <w:sz w:val="52"/>
          <w:szCs w:val="52"/>
          <w:highlight w:val="none"/>
        </w:rPr>
      </w:r>
      <w:r/>
    </w:p>
    <w:p>
      <w:pPr>
        <w:pStyle w:val="1014"/>
        <w:ind w:firstLine="542"/>
        <w:rPr>
          <w:b/>
          <w:color w:val="000000"/>
          <w:spacing w:val="20"/>
          <w:sz w:val="32"/>
          <w:szCs w:val="32"/>
          <w:highlight w:val="none"/>
        </w:rPr>
      </w:pPr>
      <w:r>
        <w:rPr>
          <w:b/>
          <w:color w:val="000000"/>
          <w:spacing w:val="20"/>
          <w:sz w:val="32"/>
          <w:szCs w:val="32"/>
          <w:highlight w:val="none"/>
        </w:rPr>
      </w:r>
      <w:r/>
    </w:p>
    <w:p>
      <w:pPr>
        <w:pStyle w:val="1014"/>
        <w:ind w:firstLine="542"/>
        <w:rPr>
          <w:b/>
          <w:color w:val="000000"/>
          <w:spacing w:val="20"/>
          <w:sz w:val="32"/>
          <w:szCs w:val="32"/>
          <w:highlight w:val="none"/>
        </w:rPr>
      </w:pPr>
      <w:r>
        <w:rPr>
          <w:b/>
          <w:color w:val="000000"/>
          <w:spacing w:val="20"/>
          <w:sz w:val="32"/>
          <w:szCs w:val="32"/>
          <w:highlight w:val="none"/>
        </w:rPr>
      </w:r>
      <w:r/>
    </w:p>
    <w:p>
      <w:pPr>
        <w:pStyle w:val="101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4"/>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4"/>
        <w:jc w:val="center"/>
        <w:rPr>
          <w:b/>
          <w:color w:val="000000"/>
          <w:sz w:val="32"/>
          <w:szCs w:val="32"/>
          <w:highlight w:val="none"/>
        </w:rPr>
      </w:pPr>
      <w:r>
        <w:rPr>
          <w:b/>
          <w:color w:val="000000"/>
          <w:sz w:val="32"/>
          <w:szCs w:val="32"/>
          <w:highlight w:val="none"/>
        </w:rPr>
      </w:r>
      <w:r/>
    </w:p>
    <w:p>
      <w:pPr>
        <w:pStyle w:val="1014"/>
        <w:rPr>
          <w:b/>
          <w:color w:val="000000"/>
          <w:highlight w:val="none"/>
        </w:rPr>
      </w:pPr>
      <w:r>
        <w:rPr>
          <w:b/>
          <w:color w:val="000000"/>
          <w:spacing w:val="20"/>
          <w:sz w:val="32"/>
          <w:szCs w:val="32"/>
          <w:highlight w:val="none"/>
        </w:rPr>
        <w:br w:type="page" w:clear="all"/>
      </w:r>
      <w:r>
        <w:rPr>
          <w:b/>
          <w:color w:val="000000"/>
          <w:highlight w:val="none"/>
        </w:rPr>
      </w:r>
      <w:r/>
    </w:p>
    <w:p>
      <w:pPr>
        <w:pStyle w:val="101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17"/>
        <w:rPr>
          <w:rFonts w:hAnsi="宋体"/>
          <w:bCs/>
          <w:color w:val="000000"/>
          <w:highlight w:val="none"/>
          <w:u w:val="none"/>
        </w:rPr>
      </w:pPr>
      <w:r>
        <w:rPr>
          <w:rFonts w:hAnsi="宋体"/>
          <w:color w:val="000000"/>
          <w:highlight w:val="none"/>
          <w:u w:val="none"/>
        </w:rPr>
        <w:t xml:space="preserve">1-</w:t>
      </w:r>
      <w:r>
        <w:rPr>
          <w:rFonts w:hint="eastAsia" w:hAnsi="宋体"/>
          <w:color w:val="000000"/>
          <w:highlight w:val="none"/>
          <w:u w:val="none"/>
        </w:rPr>
        <w:t xml:space="preserve">1</w:t>
      </w:r>
      <w:r>
        <w:rPr>
          <w:rFonts w:hAnsi="宋体"/>
          <w:color w:val="000000"/>
          <w:highlight w:val="none"/>
          <w:u w:val="none"/>
        </w:rPr>
        <w:t xml:space="preserve"> 供应商资格声明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Cs/>
          <w:color w:val="000000"/>
          <w:highlight w:val="none"/>
          <w:u w:val="none"/>
        </w:rPr>
      </w:r>
      <w:r/>
    </w:p>
    <w:p>
      <w:pPr>
        <w:pStyle w:val="101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28"/>
        <w:ind w:firstLine="480"/>
        <w:spacing w:line="460" w:lineRule="exact"/>
        <w:rPr>
          <w:color w:val="000000"/>
          <w:highlight w:val="none"/>
        </w:rPr>
      </w:pPr>
      <w:r>
        <w:rPr>
          <w:color w:val="000000"/>
          <w:highlight w:val="none"/>
        </w:rPr>
      </w:r>
      <w:r/>
    </w:p>
    <w:p>
      <w:pPr>
        <w:pStyle w:val="1028"/>
        <w:ind w:firstLine="0"/>
        <w:spacing w:line="460" w:lineRule="exact"/>
        <w:rPr>
          <w:color w:val="000000"/>
          <w:highlight w:val="none"/>
        </w:rPr>
      </w:pPr>
      <w:r>
        <w:rPr>
          <w:rFonts w:hint="eastAsia"/>
          <w:color w:val="000000"/>
          <w:highlight w:val="none"/>
        </w:rPr>
        <w:t xml:space="preserve">致：</w:t>
      </w:r>
      <w:r>
        <w:rPr>
          <w:rFonts w:hint="eastAsia" w:hAnsi="宋体"/>
          <w:color w:val="000000"/>
          <w:highlight w:val="none"/>
        </w:rPr>
        <w:t xml:space="preserve">常州市城投建设工程招标有限公司</w:t>
      </w:r>
      <w:r>
        <w:rPr>
          <w:color w:val="000000"/>
          <w:highlight w:val="none"/>
        </w:rPr>
      </w:r>
      <w:r/>
    </w:p>
    <w:p>
      <w:pPr>
        <w:pStyle w:val="1028"/>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28"/>
        <w:ind w:firstLine="480"/>
        <w:spacing w:line="460" w:lineRule="exact"/>
        <w:rPr>
          <w:color w:val="000000"/>
          <w:highlight w:val="none"/>
        </w:rPr>
      </w:pP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2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2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2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28"/>
        <w:ind w:firstLine="480"/>
        <w:spacing w:line="460" w:lineRule="exact"/>
        <w:rPr>
          <w:color w:val="000000"/>
          <w:highlight w:val="none"/>
        </w:rPr>
      </w:pP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28"/>
        <w:ind w:firstLine="480"/>
        <w:spacing w:line="460" w:lineRule="exact"/>
        <w:rPr>
          <w:color w:val="000000"/>
          <w:highlight w:val="none"/>
        </w:rPr>
      </w:pPr>
      <w:r>
        <w:rPr>
          <w:color w:val="000000"/>
          <w:highlight w:val="none"/>
        </w:rPr>
      </w:r>
      <w:r/>
    </w:p>
    <w:p>
      <w:pPr>
        <w:pStyle w:val="1028"/>
        <w:ind w:firstLine="480"/>
        <w:spacing w:line="460" w:lineRule="exact"/>
        <w:rPr>
          <w:color w:val="000000"/>
          <w:highlight w:val="none"/>
        </w:rPr>
      </w:pP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28"/>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28"/>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4"/>
        <w:spacing w:line="360" w:lineRule="auto"/>
        <w:rPr>
          <w:rFonts w:hint="eastAsia"/>
          <w:color w:val="000000"/>
          <w:sz w:val="24"/>
          <w:highlight w:val="none"/>
        </w:rPr>
      </w:pPr>
      <w:r>
        <w:rPr>
          <w:rFonts w:hint="eastAsia"/>
          <w:color w:val="000000"/>
          <w:sz w:val="24"/>
          <w:highlight w:val="none"/>
        </w:rPr>
      </w:r>
      <w:r/>
    </w:p>
    <w:p>
      <w:pPr>
        <w:pStyle w:val="101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14"/>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1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w:t>
      </w:r>
      <w:r>
        <w:rPr>
          <w:rFonts w:ascii="宋体" w:hAnsi="宋体"/>
          <w:b/>
          <w:color w:val="000000"/>
          <w:sz w:val="24"/>
          <w:szCs w:val="20"/>
          <w:highlight w:val="none"/>
        </w:rPr>
      </w:r>
      <w:r/>
    </w:p>
    <w:p>
      <w:pPr>
        <w:pStyle w:val="101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14"/>
        <w:jc w:val="left"/>
        <w:widowControl/>
        <w:rPr>
          <w:color w:val="000000"/>
          <w:sz w:val="24"/>
          <w:highlight w:val="none"/>
        </w:rPr>
      </w:pPr>
      <w:r>
        <w:rPr>
          <w:color w:val="000000"/>
          <w:sz w:val="24"/>
          <w:highlight w:val="none"/>
        </w:rPr>
      </w:r>
      <w:r/>
    </w:p>
    <w:p>
      <w:pPr>
        <w:pStyle w:val="1014"/>
        <w:jc w:val="left"/>
        <w:widowControl/>
        <w:rPr>
          <w:color w:val="000000"/>
          <w:sz w:val="24"/>
          <w:highlight w:val="none"/>
        </w:rPr>
      </w:pPr>
      <w:r>
        <w:rPr>
          <w:color w:val="000000"/>
          <w:sz w:val="24"/>
          <w:highlight w:val="none"/>
        </w:rPr>
      </w:r>
      <w:r/>
    </w:p>
    <w:p>
      <w:pPr>
        <w:pStyle w:val="101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3 </w:t>
      </w:r>
      <w:r>
        <w:rPr>
          <w:rFonts w:ascii="宋体" w:hAnsi="宋体"/>
          <w:b/>
          <w:color w:val="000000"/>
          <w:sz w:val="24"/>
          <w:highlight w:val="none"/>
        </w:rPr>
        <w:t xml:space="preserve">本项目的特定资格要求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1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ascii="宋体" w:hAnsi="宋体"/>
          <w:b/>
          <w:color w:val="000000"/>
          <w:sz w:val="24"/>
          <w:szCs w:val="20"/>
          <w:highlight w:val="none"/>
        </w:rPr>
      </w:r>
      <w:r/>
    </w:p>
    <w:p>
      <w:pPr>
        <w:pStyle w:val="1014"/>
        <w:spacing w:line="360" w:lineRule="auto"/>
        <w:tabs>
          <w:tab w:val="left" w:pos="5580" w:leader="none"/>
        </w:tabs>
        <w:rPr>
          <w:color w:val="000000"/>
          <w:sz w:val="24"/>
          <w:szCs w:val="20"/>
          <w:highlight w:val="none"/>
        </w:rPr>
      </w:pPr>
      <w:r>
        <w:rPr>
          <w:color w:val="000000"/>
          <w:sz w:val="24"/>
          <w:szCs w:val="20"/>
          <w:highlight w:val="none"/>
        </w:rPr>
      </w:r>
      <w:r/>
    </w:p>
    <w:p>
      <w:pPr>
        <w:pStyle w:val="1014"/>
        <w:spacing w:line="360" w:lineRule="auto"/>
        <w:rPr>
          <w:b/>
          <w:color w:val="000000"/>
          <w:sz w:val="24"/>
          <w:szCs w:val="20"/>
          <w:highlight w:val="none"/>
        </w:rPr>
        <w:outlineLvl w:val="2"/>
      </w:pPr>
      <w:r>
        <w:rPr>
          <w:b/>
          <w:color w:val="000000"/>
          <w:sz w:val="24"/>
          <w:highlight w:val="none"/>
        </w:rPr>
        <w:br w:type="page" w:clear="all"/>
      </w:r>
      <w:bookmarkStart w:id="679" w:name="_Toc127151557"/>
      <w:r/>
      <w:bookmarkStart w:id="680" w:name="_Toc305158825"/>
      <w:r/>
      <w:bookmarkStart w:id="681" w:name="_Toc226309801"/>
      <w:r/>
      <w:bookmarkStart w:id="682" w:name="_Toc226337253"/>
      <w:r/>
      <w:bookmarkStart w:id="683" w:name="_Toc520356218"/>
      <w:r/>
      <w:bookmarkStart w:id="684" w:name="_Toc150480795"/>
      <w:r/>
      <w:bookmarkStart w:id="685" w:name="_Ref467988705"/>
      <w:r/>
      <w:bookmarkStart w:id="686" w:name="_Toc264969247"/>
      <w:r/>
      <w:bookmarkStart w:id="687" w:name="_Toc150774762"/>
      <w:r/>
      <w:bookmarkStart w:id="688" w:name="_Toc305158899"/>
      <w:r/>
      <w:bookmarkStart w:id="689" w:name="_Toc480942350"/>
      <w:r/>
      <w:bookmarkStart w:id="690" w:name="_Toc226965747"/>
      <w:r/>
      <w:bookmarkStart w:id="691" w:name="_Toc142311059"/>
      <w:r/>
      <w:bookmarkStart w:id="692" w:name="_Toc265228395"/>
      <w:r/>
      <w:bookmarkStart w:id="693" w:name="_Toc195842922"/>
      <w:r/>
      <w:bookmarkStart w:id="694" w:name="_Toc226965830"/>
      <w:r>
        <w:rPr>
          <w:rFonts w:hint="eastAsia"/>
          <w:b/>
          <w:color w:val="000000"/>
          <w:sz w:val="24"/>
          <w:highlight w:val="none"/>
        </w:rPr>
        <w:t xml:space="preserve">4</w:t>
      </w:r>
      <w:r>
        <w:rPr>
          <w:b/>
          <w:color w:val="000000"/>
          <w:sz w:val="24"/>
          <w:szCs w:val="20"/>
          <w:highlight w:val="none"/>
        </w:rPr>
        <w:t xml:space="preserve">  </w:t>
      </w:r>
      <w:r>
        <w:rPr>
          <w:b/>
          <w:color w:val="000000"/>
          <w:sz w:val="24"/>
          <w:highlight w:val="none"/>
        </w:rPr>
        <w:t xml:space="preserve">响应</w:t>
      </w:r>
      <w:r>
        <w:rPr>
          <w:rFonts w:hint="eastAsia"/>
          <w:b/>
          <w:color w:val="000000"/>
          <w:sz w:val="24"/>
          <w:highlight w:val="none"/>
        </w:rPr>
        <w:t xml:space="preserve">函</w:t>
      </w:r>
      <w:r>
        <w:rPr>
          <w:b/>
          <w:color w:val="000000"/>
          <w:sz w:val="24"/>
          <w:szCs w:val="20"/>
          <w:highlight w:val="none"/>
        </w:rPr>
        <w:t xml:space="preserve">（实质性格式）</w:t>
      </w:r>
      <w:r>
        <w:rPr>
          <w:b/>
          <w:color w:val="000000"/>
          <w:sz w:val="24"/>
          <w:szCs w:val="20"/>
          <w:highlight w:val="none"/>
        </w:rPr>
      </w:r>
      <w:r/>
    </w:p>
    <w:p>
      <w:pPr>
        <w:pStyle w:val="1014"/>
        <w:spacing w:line="360" w:lineRule="auto"/>
        <w:tabs>
          <w:tab w:val="left" w:pos="5580" w:leader="none"/>
        </w:tabs>
        <w:rPr>
          <w:color w:val="000000"/>
          <w:sz w:val="24"/>
          <w:highlight w:val="none"/>
        </w:rPr>
      </w:pPr>
      <w:r>
        <w:rPr>
          <w:color w:val="000000"/>
          <w:sz w:val="24"/>
          <w:highlight w:val="none"/>
        </w:rPr>
      </w:r>
      <w:r/>
    </w:p>
    <w:p>
      <w:pPr>
        <w:pStyle w:val="1014"/>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1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14"/>
        <w:spacing w:line="360" w:lineRule="auto"/>
        <w:tabs>
          <w:tab w:val="left" w:pos="5580" w:leader="none"/>
        </w:tabs>
        <w:rPr>
          <w:color w:val="000000"/>
          <w:sz w:val="24"/>
          <w:szCs w:val="20"/>
          <w:highlight w:val="none"/>
        </w:rPr>
      </w:pPr>
      <w:r>
        <w:rPr>
          <w:color w:val="000000"/>
          <w:sz w:val="24"/>
          <w:szCs w:val="20"/>
          <w:highlight w:val="none"/>
        </w:rPr>
      </w:r>
      <w:r/>
    </w:p>
    <w:p>
      <w:pPr>
        <w:pStyle w:val="1014"/>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14"/>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1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1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14"/>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14"/>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014"/>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14"/>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14"/>
        <w:ind w:left="420"/>
        <w:spacing w:line="360" w:lineRule="auto"/>
        <w:tabs>
          <w:tab w:val="left" w:pos="5580" w:leader="none"/>
        </w:tabs>
        <w:rPr>
          <w:color w:val="000000"/>
          <w:sz w:val="24"/>
          <w:szCs w:val="20"/>
          <w:highlight w:val="none"/>
        </w:rPr>
      </w:pPr>
      <w:r>
        <w:rPr>
          <w:color w:val="000000"/>
          <w:sz w:val="24"/>
          <w:szCs w:val="20"/>
          <w:highlight w:val="none"/>
        </w:rPr>
      </w:r>
      <w:r/>
    </w:p>
    <w:p>
      <w:pPr>
        <w:pStyle w:val="1014"/>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14"/>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14"/>
        <w:ind w:left="420"/>
        <w:spacing w:line="360" w:lineRule="auto"/>
        <w:tabs>
          <w:tab w:val="left" w:pos="5580" w:leader="none"/>
        </w:tabs>
        <w:rPr>
          <w:color w:val="000000"/>
          <w:sz w:val="24"/>
          <w:szCs w:val="20"/>
          <w:highlight w:val="none"/>
        </w:rPr>
      </w:pPr>
      <w:r>
        <w:rPr>
          <w:color w:val="000000"/>
          <w:sz w:val="24"/>
          <w:szCs w:val="20"/>
          <w:highlight w:val="none"/>
        </w:rPr>
      </w:r>
      <w:r/>
    </w:p>
    <w:p>
      <w:pPr>
        <w:pStyle w:val="1014"/>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14"/>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1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4"/>
        <w:jc w:val="left"/>
        <w:widowControl/>
        <w:rPr>
          <w:rFonts w:hint="eastAsia"/>
          <w:color w:val="000000"/>
          <w:sz w:val="24"/>
          <w:highlight w:val="none"/>
        </w:rPr>
      </w:pPr>
      <w:r/>
      <w:bookmarkStart w:id="695" w:name="_Hlt520355938"/>
      <w:r/>
      <w:bookmarkEnd w:id="695"/>
      <w:r/>
      <w:bookmarkStart w:id="696" w:name="_Hlt520356243"/>
      <w:r/>
      <w:bookmarkEnd w:id="696"/>
      <w:r>
        <w:rPr>
          <w:color w:val="000000"/>
          <w:sz w:val="24"/>
          <w:highlight w:val="none"/>
        </w:rPr>
        <w:br w:type="page" w:clear="all"/>
      </w:r>
      <w:r>
        <w:rPr>
          <w:rFonts w:hint="eastAsia"/>
          <w:color w:val="000000"/>
          <w:sz w:val="24"/>
          <w:highlight w:val="none"/>
        </w:rPr>
      </w:r>
      <w:r/>
    </w:p>
    <w:p>
      <w:pPr>
        <w:pStyle w:val="1014"/>
        <w:spacing w:line="360" w:lineRule="auto"/>
        <w:rPr>
          <w:rFonts w:hint="eastAsia"/>
          <w:b/>
          <w:color w:val="000000"/>
          <w:sz w:val="24"/>
          <w:highlight w:val="none"/>
        </w:rPr>
        <w:outlineLvl w:val="2"/>
      </w:pPr>
      <w:r>
        <w:rPr>
          <w:rFonts w:hint="eastAsia"/>
          <w:b/>
          <w:color w:val="000000"/>
          <w:sz w:val="24"/>
          <w:highlight w:val="none"/>
        </w:rPr>
        <w:t xml:space="preserve">5</w:t>
      </w:r>
      <w:r>
        <w:rPr>
          <w:b/>
          <w:color w:val="000000"/>
          <w:sz w:val="24"/>
          <w:highlight w:val="none"/>
        </w:rPr>
        <w:t xml:space="preserve">  </w:t>
      </w:r>
      <w:r>
        <w:rPr>
          <w:rFonts w:hint="eastAsia"/>
          <w:b/>
          <w:color w:val="000000"/>
          <w:sz w:val="24"/>
          <w:highlight w:val="none"/>
        </w:rPr>
        <w:t xml:space="preserve">法定代表人资格证明书</w:t>
      </w:r>
      <w:r>
        <w:rPr>
          <w:b/>
          <w:color w:val="000000"/>
          <w:sz w:val="24"/>
          <w:highlight w:val="none"/>
        </w:rPr>
        <w:t xml:space="preserve">（实质性格式）</w:t>
      </w:r>
      <w:r>
        <w:rPr>
          <w:rFonts w:hint="eastAsia"/>
          <w:b/>
          <w:color w:val="000000"/>
          <w:sz w:val="24"/>
          <w:highlight w:val="none"/>
        </w:rPr>
      </w:r>
      <w:r/>
    </w:p>
    <w:p>
      <w:pPr>
        <w:pStyle w:val="101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14"/>
        <w:spacing w:line="560" w:lineRule="exact"/>
        <w:rPr>
          <w:rFonts w:ascii="宋体" w:hAnsi="宋体"/>
          <w:color w:val="000000"/>
          <w:sz w:val="24"/>
          <w:highlight w:val="none"/>
        </w:rPr>
      </w:pPr>
      <w:r>
        <w:rPr>
          <w:rFonts w:ascii="宋体" w:hAnsi="宋体"/>
          <w:color w:val="000000"/>
          <w:sz w:val="24"/>
          <w:highlight w:val="none"/>
        </w:rPr>
      </w:r>
      <w:r/>
    </w:p>
    <w:p>
      <w:pPr>
        <w:pStyle w:val="104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1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1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14"/>
        <w:jc w:val="left"/>
        <w:widowControl/>
        <w:rPr>
          <w:rFonts w:hint="eastAsia"/>
          <w:color w:val="000000"/>
          <w:sz w:val="24"/>
          <w:highlight w:val="none"/>
        </w:rPr>
      </w:pPr>
      <w:r>
        <w:rPr>
          <w:rFonts w:hint="eastAsia"/>
          <w:color w:val="000000"/>
          <w:sz w:val="24"/>
          <w:highlight w:val="none"/>
        </w:rPr>
      </w:r>
      <w:r/>
    </w:p>
    <w:p>
      <w:pPr>
        <w:pStyle w:val="1014"/>
        <w:jc w:val="left"/>
        <w:widowControl/>
        <w:rPr>
          <w:rFonts w:hint="eastAsia"/>
          <w:color w:val="000000"/>
          <w:sz w:val="24"/>
          <w:highlight w:val="none"/>
        </w:rPr>
      </w:pPr>
      <w:r>
        <w:rPr>
          <w:rFonts w:hint="eastAsia"/>
          <w:color w:val="000000"/>
          <w:sz w:val="24"/>
          <w:highlight w:val="none"/>
        </w:rPr>
      </w:r>
      <w:r/>
    </w:p>
    <w:p>
      <w:pPr>
        <w:pStyle w:val="1014"/>
        <w:jc w:val="left"/>
        <w:widowControl/>
        <w:rPr>
          <w:rFonts w:hint="eastAsia"/>
          <w:color w:val="000000"/>
          <w:sz w:val="24"/>
          <w:highlight w:val="none"/>
        </w:rPr>
      </w:pPr>
      <w:r>
        <w:rPr>
          <w:rFonts w:hint="eastAsia"/>
          <w:color w:val="000000"/>
          <w:sz w:val="24"/>
          <w:highlight w:val="none"/>
        </w:rPr>
      </w:r>
      <w:r/>
    </w:p>
    <w:p>
      <w:pPr>
        <w:pStyle w:val="101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1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14"/>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14"/>
        <w:jc w:val="left"/>
        <w:widowControl/>
        <w:rPr>
          <w:rFonts w:hint="eastAsia"/>
          <w:color w:val="000000"/>
          <w:sz w:val="24"/>
          <w:highlight w:val="none"/>
        </w:rPr>
      </w:pPr>
      <w:r>
        <w:rPr>
          <w:rFonts w:hint="eastAsia"/>
          <w:color w:val="000000"/>
          <w:sz w:val="24"/>
          <w:highlight w:val="none"/>
        </w:rPr>
      </w:r>
      <w:r/>
    </w:p>
    <w:p>
      <w:pPr>
        <w:pStyle w:val="1014"/>
        <w:jc w:val="left"/>
        <w:widowControl/>
        <w:rPr>
          <w:rFonts w:hint="eastAsia"/>
          <w:color w:val="000000"/>
          <w:sz w:val="24"/>
          <w:highlight w:val="none"/>
        </w:rPr>
      </w:pPr>
      <w:r>
        <w:rPr>
          <w:rFonts w:hint="eastAsia"/>
          <w:color w:val="000000"/>
          <w:sz w:val="24"/>
          <w:highlight w:val="none"/>
        </w:rPr>
      </w:r>
      <w:r/>
    </w:p>
    <w:p>
      <w:pPr>
        <w:pStyle w:val="1014"/>
        <w:jc w:val="left"/>
        <w:widowControl/>
        <w:rPr>
          <w:rFonts w:hint="eastAsia"/>
          <w:color w:val="000000"/>
          <w:sz w:val="24"/>
          <w:highlight w:val="none"/>
        </w:rPr>
      </w:pPr>
      <w:r>
        <w:rPr>
          <w:rFonts w:hint="eastAsia"/>
          <w:color w:val="000000"/>
          <w:sz w:val="24"/>
          <w:highlight w:val="none"/>
        </w:rPr>
      </w:r>
      <w:r/>
    </w:p>
    <w:p>
      <w:pPr>
        <w:pStyle w:val="1014"/>
        <w:spacing w:line="360" w:lineRule="auto"/>
        <w:rPr>
          <w:b/>
          <w:color w:val="000000"/>
          <w:sz w:val="24"/>
          <w:highlight w:val="none"/>
        </w:rPr>
        <w:outlineLvl w:val="2"/>
      </w:pPr>
      <w:r>
        <w:rPr>
          <w:rFonts w:hint="eastAsia"/>
          <w:b/>
          <w:color w:val="000000"/>
          <w:sz w:val="24"/>
          <w:highlight w:val="none"/>
        </w:rPr>
        <w:t xml:space="preserve">6 </w:t>
      </w:r>
      <w:r>
        <w:rPr>
          <w:rFonts w:hint="eastAsia"/>
          <w:b/>
          <w:color w:val="000000"/>
          <w:sz w:val="24"/>
          <w:highlight w:val="none"/>
        </w:rPr>
        <w:t xml:space="preserve">授权委托书（实质性格式）</w:t>
      </w:r>
      <w:r>
        <w:rPr>
          <w:b/>
          <w:color w:val="000000"/>
          <w:sz w:val="24"/>
          <w:highlight w:val="none"/>
        </w:rPr>
      </w:r>
      <w:r/>
    </w:p>
    <w:p>
      <w:pPr>
        <w:pStyle w:val="101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65"/>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1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w:t>
      </w:r>
      <w:r>
        <w:rPr>
          <w:rFonts w:hint="eastAsia" w:ascii="宋体" w:hAnsi="宋体" w:cs="宋体"/>
          <w:color w:val="000000"/>
          <w:sz w:val="24"/>
          <w:highlight w:val="none"/>
        </w:rPr>
        <w:t xml:space="preserve">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sz w:val="24"/>
          <w:highlight w:val="none"/>
        </w:rPr>
      </w:r>
      <w:r/>
    </w:p>
    <w:p>
      <w:pPr>
        <w:pStyle w:val="101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1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1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供应商公章： </w:t>
      </w:r>
      <w:r>
        <w:rPr>
          <w:rFonts w:ascii="宋体" w:hAnsi="宋体" w:cs="宋体"/>
          <w:color w:val="000000"/>
          <w:sz w:val="24"/>
          <w:highlight w:val="none"/>
        </w:rPr>
      </w:r>
      <w:r/>
    </w:p>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19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14"/>
        <w:spacing w:line="400" w:lineRule="exact"/>
        <w:rPr>
          <w:rFonts w:ascii="宋体" w:hAnsi="宋体" w:cs="宋体"/>
          <w:color w:val="000000"/>
          <w:sz w:val="24"/>
          <w:highlight w:val="none"/>
        </w:rPr>
      </w:pPr>
      <w:r>
        <w:rPr>
          <w:rFonts w:ascii="宋体" w:hAnsi="宋体" w:cs="宋体"/>
          <w:color w:val="000000"/>
          <w:sz w:val="24"/>
          <w:highlight w:val="none"/>
        </w:rPr>
      </w:r>
      <w:r/>
    </w:p>
    <w:p>
      <w:pPr>
        <w:pStyle w:val="1014"/>
        <w:spacing w:line="400" w:lineRule="exact"/>
        <w:rPr>
          <w:rFonts w:ascii="宋体" w:hAnsi="宋体" w:cs="宋体"/>
          <w:color w:val="000000"/>
          <w:sz w:val="24"/>
          <w:highlight w:val="none"/>
        </w:rPr>
      </w:pPr>
      <w:r>
        <w:rPr>
          <w:rFonts w:ascii="宋体" w:hAnsi="宋体" w:cs="宋体"/>
          <w:color w:val="000000"/>
          <w:sz w:val="24"/>
          <w:highlight w:val="none"/>
        </w:rPr>
      </w:r>
      <w:r/>
    </w:p>
    <w:p>
      <w:pPr>
        <w:pStyle w:val="104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1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1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1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1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1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5"/>
        <w:ind w:right="-46"/>
        <w:spacing w:line="583" w:lineRule="auto"/>
        <w:tabs>
          <w:tab w:val="left" w:pos="567" w:leader="none"/>
        </w:tabs>
        <w:rPr>
          <w:rFonts w:hint="eastAsia"/>
          <w:b/>
          <w:bCs/>
          <w:color w:val="000000"/>
          <w:highlight w:val="none"/>
        </w:rPr>
      </w:pPr>
      <w:r>
        <w:rPr>
          <w:rFonts w:hint="eastAsia"/>
          <w:b/>
          <w:bCs/>
          <w:color w:val="000000"/>
          <w:highlight w:val="none"/>
        </w:rPr>
        <w:t xml:space="preserve">供应商近三个月内任意一个月（自磋商之日往前推）为其缴纳社保的记录</w:t>
      </w:r>
      <w:r>
        <w:rPr>
          <w:rFonts w:hint="eastAsia"/>
          <w:b/>
          <w:bCs/>
          <w:color w:val="000000"/>
          <w:highlight w:val="none"/>
        </w:rPr>
      </w:r>
      <w:r/>
    </w:p>
    <w:p>
      <w:pPr>
        <w:pStyle w:val="101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1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1.法定代表人参加磋商时，不需要提供本授权委托书，需提供本人身份证。</w:t>
      </w:r>
      <w:r>
        <w:rPr>
          <w:rFonts w:ascii="宋体" w:hAnsi="宋体" w:cs="宋体"/>
          <w:color w:val="000000"/>
          <w:szCs w:val="21"/>
          <w:highlight w:val="none"/>
        </w:rPr>
      </w:r>
      <w:r/>
    </w:p>
    <w:p>
      <w:pPr>
        <w:pStyle w:val="1265"/>
        <w:spacing w:line="360" w:lineRule="exact"/>
        <w:rPr>
          <w:rFonts w:cs="宋体"/>
          <w:color w:val="000000"/>
          <w:sz w:val="21"/>
          <w:szCs w:val="21"/>
          <w:highlight w:val="none"/>
        </w:rPr>
      </w:pPr>
      <w:r>
        <w:rPr>
          <w:rFonts w:hint="eastAsia" w:cs="宋体"/>
          <w:color w:val="000000"/>
          <w:sz w:val="21"/>
          <w:szCs w:val="21"/>
          <w:highlight w:val="none"/>
        </w:rPr>
        <w:t xml:space="preserve">2.供应商为自然人的情形，可不提供本《授权委托书》。</w:t>
      </w:r>
      <w:r>
        <w:rPr>
          <w:rFonts w:cs="宋体"/>
          <w:color w:val="000000"/>
          <w:sz w:val="21"/>
          <w:szCs w:val="21"/>
          <w:highlight w:val="none"/>
        </w:rPr>
      </w:r>
      <w:r/>
    </w:p>
    <w:p>
      <w:pPr>
        <w:pStyle w:val="1014"/>
        <w:jc w:val="left"/>
        <w:widowControl/>
        <w:rPr>
          <w:rFonts w:hint="eastAsia"/>
          <w:color w:val="000000"/>
          <w:sz w:val="24"/>
          <w:highlight w:val="none"/>
        </w:rPr>
      </w:pPr>
      <w:r>
        <w:rPr>
          <w:rFonts w:hint="eastAsia"/>
          <w:color w:val="000000"/>
          <w:sz w:val="24"/>
          <w:highlight w:val="none"/>
        </w:rPr>
      </w:r>
      <w:r/>
    </w:p>
    <w:p>
      <w:pPr>
        <w:pStyle w:val="101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b/>
          <w:color w:val="000000"/>
          <w:sz w:val="24"/>
          <w:highlight w:val="none"/>
        </w:rPr>
        <w:t xml:space="preserve">7  政府采购供应商信用承诺书</w:t>
      </w:r>
      <w:r>
        <w:rPr>
          <w:b/>
          <w:color w:val="000000"/>
          <w:sz w:val="24"/>
          <w:highlight w:val="none"/>
        </w:rPr>
        <w:t xml:space="preserve">（实质性格式）</w:t>
      </w:r>
      <w:r>
        <w:rPr>
          <w:rFonts w:hint="eastAsia" w:ascii="宋体" w:hAnsi="宋体"/>
          <w:b/>
          <w:color w:val="000000"/>
          <w:sz w:val="24"/>
          <w:highlight w:val="none"/>
        </w:rPr>
      </w:r>
      <w:r/>
    </w:p>
    <w:p>
      <w:pPr>
        <w:pStyle w:val="1014"/>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14"/>
        <w:ind w:firstLine="640"/>
        <w:rPr>
          <w:color w:val="000000"/>
          <w:highlight w:val="none"/>
        </w:rPr>
      </w:pPr>
      <w:r>
        <w:rPr>
          <w:color w:val="000000"/>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6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4"/>
        <w:spacing w:line="360" w:lineRule="auto"/>
        <w:rPr>
          <w:b/>
          <w:color w:val="000000"/>
          <w:sz w:val="24"/>
          <w:highlight w:val="none"/>
        </w:rPr>
        <w:outlineLvl w:val="2"/>
      </w:pPr>
      <w:r>
        <w:rPr>
          <w:color w:val="000000"/>
          <w:sz w:val="24"/>
          <w:szCs w:val="20"/>
          <w:highlight w:val="none"/>
        </w:rPr>
        <w:br w:type="page" w:clear="all"/>
      </w:r>
      <w:r>
        <w:rPr>
          <w:rFonts w:hint="eastAsia"/>
          <w:b/>
          <w:color w:val="000000"/>
          <w:sz w:val="24"/>
          <w:highlight w:val="none"/>
        </w:rPr>
        <w:t xml:space="preserve">8</w:t>
      </w:r>
      <w:r>
        <w:rPr>
          <w:b/>
          <w:color w:val="000000"/>
          <w:sz w:val="24"/>
          <w:highlight w:val="none"/>
        </w:rPr>
        <w:t xml:space="preserve">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b/>
          <w:color w:val="000000"/>
          <w:sz w:val="24"/>
          <w:highlight w:val="none"/>
        </w:rPr>
        <w:t xml:space="preserve">（实质性格式）</w:t>
      </w:r>
      <w:r>
        <w:rPr>
          <w:b/>
          <w:color w:val="000000"/>
          <w:sz w:val="24"/>
          <w:highlight w:val="none"/>
        </w:rPr>
      </w:r>
      <w:r/>
    </w:p>
    <w:p>
      <w:pPr>
        <w:pStyle w:val="1014"/>
        <w:jc w:val="center"/>
        <w:rPr>
          <w:b/>
          <w:color w:val="000000"/>
          <w:sz w:val="36"/>
          <w:szCs w:val="36"/>
          <w:highlight w:val="none"/>
        </w:rPr>
      </w:pPr>
      <w:r/>
      <w:bookmarkStart w:id="697" w:name="_Toc164608672"/>
      <w:r/>
      <w:bookmarkStart w:id="698" w:name="_Toc264969248"/>
      <w:r/>
      <w:bookmarkStart w:id="699" w:name="_Toc265228396"/>
      <w:r/>
      <w:bookmarkStart w:id="700" w:name="_Toc164608827"/>
      <w:r/>
      <w:bookmarkStart w:id="701" w:name="_Toc195842923"/>
      <w:r/>
      <w:bookmarkStart w:id="702" w:name="_Toc226337254"/>
      <w:r/>
      <w:bookmarkStart w:id="703" w:name="_Toc226309802"/>
      <w:r/>
      <w:bookmarkStart w:id="704" w:name="_Toc305158900"/>
      <w:r/>
      <w:bookmarkStart w:id="705" w:name="_Toc226965831"/>
      <w:r/>
      <w:bookmarkStart w:id="706" w:name="_Toc226965748"/>
      <w:r/>
      <w:bookmarkStart w:id="707" w:name="_Toc305158826"/>
      <w:r>
        <w:rPr>
          <w:rFonts w:hint="eastAsia"/>
          <w:b/>
          <w:color w:val="000000"/>
          <w:sz w:val="36"/>
          <w:szCs w:val="36"/>
          <w:highlight w:val="none"/>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b/>
          <w:color w:val="000000"/>
          <w:sz w:val="36"/>
          <w:szCs w:val="36"/>
          <w:highlight w:val="none"/>
        </w:rPr>
      </w:r>
      <w:r/>
    </w:p>
    <w:p>
      <w:pPr>
        <w:pStyle w:val="1014"/>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014"/>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58"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10" w:type="dxa"/>
            <w:vAlign w:val="center"/>
            <w:vMerge w:val="continue"/>
            <w:textDirection w:val="lrTb"/>
            <w:noWrap w:val="false"/>
          </w:tcPr>
          <w:p>
            <w:pPr>
              <w:pStyle w:val="1014"/>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1014"/>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6" w:type="dxa"/>
            <w:vAlign w:val="center"/>
            <w:textDirection w:val="lrTb"/>
            <w:noWrap w:val="false"/>
          </w:tcPr>
          <w:p>
            <w:pPr>
              <w:pStyle w:val="1014"/>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014"/>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1014"/>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1014"/>
              <w:jc w:val="center"/>
              <w:tabs>
                <w:tab w:val="left" w:pos="5580" w:leader="none"/>
              </w:tabs>
              <w:rPr>
                <w:color w:val="000000"/>
                <w:sz w:val="24"/>
                <w:highlight w:val="none"/>
              </w:rPr>
            </w:pPr>
            <w:r>
              <w:rPr>
                <w:color w:val="000000"/>
                <w:sz w:val="24"/>
                <w:highlight w:val="none"/>
              </w:rPr>
            </w:r>
            <w:r/>
          </w:p>
        </w:tc>
      </w:tr>
    </w:tbl>
    <w:p>
      <w:pPr>
        <w:pStyle w:val="1014"/>
        <w:jc w:val="left"/>
        <w:rPr>
          <w:color w:val="000000"/>
          <w:sz w:val="24"/>
          <w:highlight w:val="none"/>
        </w:rPr>
      </w:pPr>
      <w:r>
        <w:rPr>
          <w:color w:val="000000"/>
          <w:sz w:val="24"/>
          <w:highlight w:val="none"/>
        </w:rPr>
      </w:r>
      <w:r/>
    </w:p>
    <w:p>
      <w:pPr>
        <w:pStyle w:val="1014"/>
        <w:jc w:val="left"/>
        <w:rPr>
          <w:rFonts w:ascii="宋体" w:hAnsi="宋体"/>
          <w:color w:val="000000"/>
          <w:sz w:val="24"/>
          <w:szCs w:val="20"/>
          <w:highlight w:val="none"/>
        </w:rPr>
      </w:pPr>
      <w:r>
        <w:rPr>
          <w:color w:val="000000"/>
          <w:sz w:val="24"/>
          <w:highlight w:val="none"/>
        </w:rPr>
        <w:t xml:space="preserve">注：</w:t>
      </w:r>
      <w:r>
        <w:rPr>
          <w:rFonts w:ascii="宋体" w:hAnsi="宋体"/>
          <w:color w:val="000000"/>
          <w:sz w:val="24"/>
          <w:highlight w:val="none"/>
        </w:rPr>
        <w:t xml:space="preserve">1</w:t>
      </w:r>
      <w:r>
        <w:rPr>
          <w:rFonts w:ascii="宋体" w:hAnsi="宋体"/>
          <w:color w:val="000000"/>
          <w:sz w:val="24"/>
          <w:szCs w:val="20"/>
          <w:highlight w:val="none"/>
        </w:rPr>
        <w:t xml:space="preserve">.此表中，每包的报价应和《分项报价表》中</w:t>
      </w:r>
      <w:r>
        <w:rPr>
          <w:rFonts w:hint="eastAsia" w:ascii="宋体" w:hAnsi="宋体"/>
          <w:color w:val="000000"/>
          <w:sz w:val="24"/>
          <w:szCs w:val="20"/>
          <w:highlight w:val="none"/>
        </w:rPr>
        <w:t xml:space="preserve">三年费用合计</w:t>
      </w:r>
      <w:r>
        <w:rPr>
          <w:rFonts w:hint="eastAsia" w:ascii="宋体" w:hAnsi="宋体"/>
          <w:color w:val="000000"/>
          <w:sz w:val="24"/>
          <w:szCs w:val="20"/>
          <w:highlight w:val="none"/>
          <w:lang w:val="en-US" w:eastAsia="zh-CN"/>
        </w:rPr>
        <w:t xml:space="preserve">金额</w:t>
      </w:r>
      <w:r>
        <w:rPr>
          <w:rFonts w:ascii="宋体" w:hAnsi="宋体"/>
          <w:color w:val="000000"/>
          <w:sz w:val="24"/>
          <w:szCs w:val="20"/>
          <w:highlight w:val="none"/>
        </w:rPr>
        <w:t xml:space="preserve">相一致。</w:t>
      </w:r>
      <w:r>
        <w:rPr>
          <w:rFonts w:ascii="宋体" w:hAnsi="宋体"/>
          <w:color w:val="000000"/>
          <w:sz w:val="24"/>
          <w:szCs w:val="20"/>
          <w:highlight w:val="none"/>
        </w:rPr>
      </w:r>
      <w:r/>
    </w:p>
    <w:p>
      <w:pPr>
        <w:pStyle w:val="101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14"/>
        <w:spacing w:before="25" w:after="25" w:line="360" w:lineRule="auto"/>
        <w:rPr>
          <w:color w:val="000000"/>
          <w:sz w:val="24"/>
          <w:highlight w:val="none"/>
          <w:lang w:val="zh-CN"/>
        </w:rPr>
      </w:pP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4"/>
        <w:jc w:val="left"/>
        <w:widowControl/>
        <w:rPr>
          <w:rFonts w:ascii="宋体" w:hAnsi="宋体"/>
          <w:b/>
          <w:color w:val="000000"/>
          <w:sz w:val="24"/>
          <w:szCs w:val="20"/>
          <w:highlight w:val="none"/>
        </w:rPr>
      </w:pPr>
      <w:r/>
      <w:bookmarkStart w:id="708" w:name="_Toc226337255"/>
      <w:r/>
      <w:bookmarkStart w:id="709" w:name="_Toc150480796"/>
      <w:r/>
      <w:bookmarkStart w:id="710" w:name="_Toc195842924"/>
      <w:r/>
      <w:bookmarkStart w:id="711" w:name="_Toc226309803"/>
      <w:r/>
      <w:bookmarkStart w:id="712" w:name="_Toc127151558"/>
      <w:r/>
      <w:bookmarkStart w:id="713" w:name="_Toc150774763"/>
      <w:r/>
      <w:bookmarkStart w:id="714" w:name="_Toc265228397"/>
      <w:r/>
      <w:bookmarkStart w:id="715" w:name="_Toc226965749"/>
      <w:r/>
      <w:bookmarkStart w:id="716" w:name="_Toc305158827"/>
      <w:r/>
      <w:bookmarkStart w:id="717" w:name="_Toc142311060"/>
      <w:r/>
      <w:bookmarkStart w:id="718" w:name="_Toc264969249"/>
      <w:r/>
      <w:bookmarkStart w:id="719" w:name="_Toc226965832"/>
      <w:r/>
      <w:bookmarkStart w:id="720" w:name="_Toc305158901"/>
      <w:r>
        <w:rPr>
          <w:color w:val="000000"/>
          <w:sz w:val="24"/>
          <w:szCs w:val="20"/>
          <w:highlight w:val="none"/>
        </w:rPr>
        <w:br w:type="page" w:clear="all"/>
      </w:r>
      <w:bookmarkStart w:id="721" w:name="_Hlk231817094"/>
      <w:r>
        <w:rPr>
          <w:rFonts w:ascii="宋体" w:hAnsi="宋体"/>
          <w:b/>
          <w:color w:val="000000"/>
          <w:sz w:val="24"/>
          <w:szCs w:val="20"/>
          <w:highlight w:val="none"/>
        </w:rPr>
      </w:r>
      <w:r/>
    </w:p>
    <w:p>
      <w:pPr>
        <w:pStyle w:val="1014"/>
        <w:spacing w:line="360" w:lineRule="auto"/>
        <w:rPr>
          <w:b/>
          <w:color w:val="000000"/>
          <w:sz w:val="24"/>
          <w:highlight w:val="none"/>
        </w:rPr>
        <w:outlineLvl w:val="2"/>
      </w:pPr>
      <w:r>
        <w:rPr>
          <w:rFonts w:hint="eastAsia"/>
          <w:b/>
          <w:color w:val="000000"/>
          <w:sz w:val="24"/>
          <w:highlight w:val="none"/>
        </w:rPr>
        <w:t xml:space="preserve">9</w:t>
      </w:r>
      <w:r>
        <w:rPr>
          <w:b/>
          <w:color w:val="000000"/>
          <w:sz w:val="24"/>
          <w:highlight w:val="none"/>
        </w:rPr>
        <w:t xml:space="preserve">  分项报价表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b/>
          <w:color w:val="000000"/>
          <w:sz w:val="24"/>
          <w:highlight w:val="none"/>
        </w:rPr>
        <w:t xml:space="preserve">（实质性格式）</w:t>
      </w:r>
      <w:r>
        <w:rPr>
          <w:b/>
          <w:color w:val="000000"/>
          <w:sz w:val="24"/>
          <w:highlight w:val="none"/>
        </w:rPr>
      </w:r>
      <w:r/>
    </w:p>
    <w:p>
      <w:pPr>
        <w:pStyle w:val="1014"/>
        <w:jc w:val="center"/>
        <w:spacing w:line="360" w:lineRule="exact"/>
        <w:rPr>
          <w:color w:val="000000"/>
          <w:sz w:val="36"/>
          <w:szCs w:val="36"/>
          <w:highlight w:val="none"/>
        </w:rPr>
      </w:pPr>
      <w:r>
        <w:rPr>
          <w:color w:val="000000"/>
          <w:sz w:val="36"/>
          <w:szCs w:val="36"/>
          <w:highlight w:val="none"/>
        </w:rPr>
      </w:r>
      <w:r/>
    </w:p>
    <w:p>
      <w:pPr>
        <w:pStyle w:val="1014"/>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1014"/>
        <w:jc w:val="center"/>
        <w:spacing w:line="260" w:lineRule="exact"/>
        <w:rPr>
          <w:color w:val="000000"/>
          <w:sz w:val="36"/>
          <w:szCs w:val="36"/>
          <w:highlight w:val="none"/>
        </w:rPr>
      </w:pPr>
      <w:r>
        <w:rPr>
          <w:color w:val="000000"/>
          <w:sz w:val="36"/>
          <w:szCs w:val="36"/>
          <w:highlight w:val="none"/>
        </w:rPr>
      </w:r>
      <w:r/>
    </w:p>
    <w:p>
      <w:pPr>
        <w:pStyle w:val="1014"/>
        <w:tabs>
          <w:tab w:val="left" w:pos="1800" w:leader="none"/>
          <w:tab w:val="left" w:pos="5580" w:leader="none"/>
        </w:tabs>
        <w:rPr>
          <w:color w:val="000000"/>
          <w:sz w:val="24"/>
          <w:highlight w:val="none"/>
        </w:rPr>
      </w:pPr>
      <w:r/>
      <w:bookmarkStart w:id="722" w:name="_Toc150480798"/>
      <w:r/>
      <w:bookmarkStart w:id="723" w:name="_Toc195842927"/>
      <w:r/>
      <w:bookmarkStart w:id="724" w:name="_Toc265228400"/>
      <w:r/>
      <w:bookmarkStart w:id="725" w:name="_Toc264969252"/>
      <w:r/>
      <w:bookmarkStart w:id="726" w:name="_Toc226965752"/>
      <w:r/>
      <w:bookmarkStart w:id="727" w:name="_Toc305158904"/>
      <w:r/>
      <w:bookmarkStart w:id="728" w:name="_Toc226337258"/>
      <w:r/>
      <w:bookmarkStart w:id="729" w:name="_Toc305158830"/>
      <w:r/>
      <w:bookmarkStart w:id="730" w:name="_Toc142311062"/>
      <w:r/>
      <w:bookmarkStart w:id="731" w:name="_Toc127151562"/>
      <w:r/>
      <w:bookmarkStart w:id="732" w:name="_Toc226309806"/>
      <w:r/>
      <w:bookmarkStart w:id="733" w:name="_Toc226965835"/>
      <w:r/>
      <w:bookmarkStart w:id="734" w:name="_Toc150774765"/>
      <w:r/>
      <w:bookmarkStart w:id="735" w:name="_Toc150774764"/>
      <w:r/>
      <w:bookmarkStart w:id="736" w:name="_Toc265228399"/>
      <w:r/>
      <w:bookmarkStart w:id="737" w:name="_Toc226965751"/>
      <w:r/>
      <w:bookmarkStart w:id="738" w:name="_Toc226309805"/>
      <w:r/>
      <w:bookmarkStart w:id="739" w:name="_Toc150480797"/>
      <w:r/>
      <w:bookmarkStart w:id="740" w:name="_Toc226337257"/>
      <w:r/>
      <w:bookmarkStart w:id="741" w:name="_Toc142311061"/>
      <w:r/>
      <w:bookmarkStart w:id="742" w:name="_Toc226965834"/>
      <w:r/>
      <w:bookmarkStart w:id="743" w:name="_Toc195842926"/>
      <w:r/>
      <w:bookmarkStart w:id="744" w:name="_Toc305158829"/>
      <w:r/>
      <w:bookmarkStart w:id="745" w:name="_Toc264969251"/>
      <w:r/>
      <w:bookmarkStart w:id="746" w:name="_Toc127151561"/>
      <w:r/>
      <w:bookmarkStart w:id="747" w:name="_Toc305158903"/>
      <w:r>
        <w:rPr>
          <w:color w:val="000000"/>
          <w:sz w:val="24"/>
          <w:highlight w:val="none"/>
        </w:rPr>
        <w:t xml:space="preserve">项目编号/包号：___________ 项目名称：__________报价单位：人民币元</w:t>
      </w:r>
      <w:r>
        <w:rPr>
          <w:color w:val="000000"/>
          <w:sz w:val="24"/>
          <w:highlight w:val="none"/>
        </w:rPr>
      </w:r>
      <w:r/>
    </w:p>
    <w:tbl>
      <w:tblPr>
        <w:tblW w:w="501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7"/>
        <w:gridCol w:w="2365"/>
        <w:gridCol w:w="3069"/>
        <w:gridCol w:w="1533"/>
        <w:gridCol w:w="1536"/>
      </w:tblGrid>
      <w:tr>
        <w:trPr>
          <w:trHeight w:val="1215"/>
        </w:trPr>
        <w:tc>
          <w:tcPr>
            <w:tcW w:w="328"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299"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类别</w:t>
            </w:r>
            <w:r>
              <w:rPr>
                <w:b/>
                <w:color w:val="000000"/>
                <w:sz w:val="24"/>
                <w:highlight w:val="none"/>
              </w:rPr>
            </w:r>
            <w:r/>
          </w:p>
        </w:tc>
        <w:tc>
          <w:tcPr>
            <w:tcW w:w="1685"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lang w:val="en-US" w:eastAsia="zh-CN"/>
              </w:rPr>
              <w:t xml:space="preserve">年度预估</w:t>
            </w:r>
            <w:r>
              <w:rPr>
                <w:rFonts w:hint="eastAsia"/>
                <w:b/>
                <w:color w:val="000000"/>
                <w:sz w:val="24"/>
                <w:highlight w:val="none"/>
              </w:rPr>
              <w:t xml:space="preserve">数量</w:t>
            </w:r>
            <w:r>
              <w:rPr>
                <w:b/>
                <w:color w:val="000000"/>
                <w:sz w:val="24"/>
                <w:highlight w:val="none"/>
              </w:rPr>
            </w:r>
            <w:r/>
          </w:p>
        </w:tc>
        <w:tc>
          <w:tcPr>
            <w:tcW w:w="842"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单价</w:t>
            </w:r>
            <w:r>
              <w:rPr>
                <w:b/>
                <w:color w:val="000000"/>
                <w:sz w:val="24"/>
                <w:highlight w:val="none"/>
              </w:rPr>
            </w:r>
            <w:r/>
          </w:p>
        </w:tc>
        <w:tc>
          <w:tcPr>
            <w:tcW w:w="844"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总价</w:t>
            </w:r>
            <w:r>
              <w:rPr>
                <w:b/>
                <w:color w:val="000000"/>
                <w:sz w:val="24"/>
                <w:highlight w:val="none"/>
              </w:rPr>
            </w:r>
            <w:r/>
          </w:p>
        </w:tc>
      </w:tr>
      <w:tr>
        <w:trPr>
          <w:trHeight w:val="1215"/>
        </w:trPr>
        <w:tc>
          <w:tcPr>
            <w:tcW w:w="328"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1</w:t>
            </w:r>
            <w:r>
              <w:rPr>
                <w:b/>
                <w:color w:val="000000"/>
                <w:sz w:val="24"/>
                <w:highlight w:val="none"/>
              </w:rPr>
            </w:r>
            <w:r/>
          </w:p>
        </w:tc>
        <w:tc>
          <w:tcPr>
            <w:tcW w:w="1299"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洗涤</w:t>
            </w:r>
            <w:r>
              <w:rPr>
                <w:b/>
                <w:color w:val="000000"/>
                <w:sz w:val="24"/>
                <w:highlight w:val="none"/>
              </w:rPr>
              <w:t xml:space="preserve">费用</w:t>
            </w:r>
            <w:r>
              <w:rPr>
                <w:b/>
                <w:color w:val="000000"/>
                <w:sz w:val="24"/>
                <w:highlight w:val="none"/>
              </w:rPr>
            </w:r>
            <w:r/>
          </w:p>
        </w:tc>
        <w:tc>
          <w:tcPr>
            <w:tcW w:w="1685" w:type="dxa"/>
            <w:vAlign w:val="center"/>
            <w:textDirection w:val="lrTb"/>
            <w:noWrap w:val="false"/>
          </w:tcPr>
          <w:p>
            <w:pPr>
              <w:pStyle w:val="1014"/>
              <w:jc w:val="center"/>
              <w:tabs>
                <w:tab w:val="left" w:pos="5580" w:leader="none"/>
              </w:tabs>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件</w:t>
            </w:r>
            <w:r>
              <w:rPr>
                <w:rFonts w:hint="eastAsia" w:ascii="Times New Roman" w:hAnsi="Times New Roman" w:eastAsia="宋体" w:cs="Times New Roman"/>
                <w:b/>
                <w:color w:val="000000"/>
                <w:sz w:val="24"/>
                <w:highlight w:val="none"/>
              </w:rPr>
            </w:r>
            <w:r/>
          </w:p>
        </w:tc>
        <w:tc>
          <w:tcPr>
            <w:tcW w:w="842" w:type="dxa"/>
            <w:vAlign w:val="center"/>
            <w:textDirection w:val="lrTb"/>
            <w:noWrap w:val="false"/>
          </w:tcPr>
          <w:p>
            <w:pPr>
              <w:pStyle w:val="1014"/>
              <w:jc w:val="center"/>
              <w:tabs>
                <w:tab w:val="left" w:pos="5580" w:leader="none"/>
              </w:tabs>
              <w:rPr>
                <w:b/>
                <w:color w:val="000000"/>
                <w:sz w:val="24"/>
                <w:highlight w:val="none"/>
              </w:rPr>
            </w:pPr>
            <w:r>
              <w:rPr>
                <w:b/>
                <w:color w:val="000000"/>
                <w:sz w:val="24"/>
                <w:highlight w:val="none"/>
              </w:rPr>
            </w:r>
            <w:r/>
          </w:p>
        </w:tc>
        <w:tc>
          <w:tcPr>
            <w:tcW w:w="844" w:type="dxa"/>
            <w:vAlign w:val="center"/>
            <w:textDirection w:val="lrTb"/>
            <w:noWrap w:val="false"/>
          </w:tcPr>
          <w:p>
            <w:pPr>
              <w:pStyle w:val="1014"/>
              <w:jc w:val="center"/>
              <w:tabs>
                <w:tab w:val="left" w:pos="5580" w:leader="none"/>
              </w:tabs>
              <w:rPr>
                <w:b/>
                <w:color w:val="000000"/>
                <w:sz w:val="24"/>
                <w:highlight w:val="none"/>
              </w:rPr>
            </w:pPr>
            <w:r>
              <w:rPr>
                <w:b/>
                <w:color w:val="000000"/>
                <w:sz w:val="24"/>
                <w:highlight w:val="none"/>
              </w:rPr>
            </w:r>
            <w:r/>
          </w:p>
        </w:tc>
      </w:tr>
      <w:tr>
        <w:trPr>
          <w:trHeight w:val="1215"/>
        </w:trPr>
        <w:tc>
          <w:tcPr>
            <w:tcW w:w="328"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2</w:t>
            </w:r>
            <w:r>
              <w:rPr>
                <w:b/>
                <w:color w:val="000000"/>
                <w:sz w:val="24"/>
                <w:highlight w:val="none"/>
              </w:rPr>
            </w:r>
            <w:r/>
          </w:p>
        </w:tc>
        <w:tc>
          <w:tcPr>
            <w:tcW w:w="1299" w:type="dxa"/>
            <w:vAlign w:val="center"/>
            <w:textDirection w:val="lrTb"/>
            <w:noWrap w:val="false"/>
          </w:tcPr>
          <w:p>
            <w:pPr>
              <w:pStyle w:val="1014"/>
              <w:jc w:val="center"/>
              <w:tabs>
                <w:tab w:val="left" w:pos="5580" w:leader="none"/>
              </w:tabs>
              <w:rPr>
                <w:b/>
                <w:color w:val="000000"/>
                <w:sz w:val="24"/>
                <w:highlight w:val="none"/>
              </w:rPr>
            </w:pPr>
            <w:r>
              <w:rPr>
                <w:rFonts w:hint="eastAsia"/>
                <w:b/>
                <w:color w:val="000000"/>
                <w:sz w:val="24"/>
                <w:highlight w:val="none"/>
              </w:rPr>
              <w:t xml:space="preserve">报损</w:t>
            </w:r>
            <w:r>
              <w:rPr>
                <w:b/>
                <w:color w:val="000000"/>
                <w:sz w:val="24"/>
                <w:highlight w:val="none"/>
              </w:rPr>
              <w:t xml:space="preserve">费用</w:t>
            </w:r>
            <w:r>
              <w:rPr>
                <w:b/>
                <w:color w:val="000000"/>
                <w:sz w:val="24"/>
                <w:highlight w:val="none"/>
              </w:rPr>
            </w:r>
            <w:r/>
          </w:p>
        </w:tc>
        <w:tc>
          <w:tcPr>
            <w:tcW w:w="1685" w:type="dxa"/>
            <w:vAlign w:val="center"/>
            <w:textDirection w:val="lrTb"/>
            <w:noWrap w:val="false"/>
          </w:tcPr>
          <w:p>
            <w:pPr>
              <w:pStyle w:val="1014"/>
              <w:jc w:val="center"/>
              <w:tabs>
                <w:tab w:val="left" w:pos="5580" w:leader="none"/>
              </w:tabs>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1项</w:t>
            </w:r>
            <w:r>
              <w:rPr>
                <w:rFonts w:hint="eastAsia" w:ascii="Times New Roman" w:hAnsi="Times New Roman" w:eastAsia="宋体" w:cs="Times New Roman"/>
                <w:b/>
                <w:color w:val="000000"/>
                <w:sz w:val="24"/>
                <w:highlight w:val="none"/>
              </w:rPr>
            </w:r>
            <w:r/>
          </w:p>
        </w:tc>
        <w:tc>
          <w:tcPr>
            <w:tcW w:w="842" w:type="dxa"/>
            <w:vAlign w:val="center"/>
            <w:textDirection w:val="lrTb"/>
            <w:noWrap w:val="false"/>
          </w:tcPr>
          <w:p>
            <w:pPr>
              <w:pStyle w:val="1014"/>
              <w:jc w:val="center"/>
              <w:tabs>
                <w:tab w:val="left" w:pos="5580" w:leader="none"/>
              </w:tabs>
              <w:rPr>
                <w:b/>
                <w:color w:val="000000"/>
                <w:sz w:val="24"/>
                <w:highlight w:val="none"/>
              </w:rPr>
            </w:pPr>
            <w:r>
              <w:rPr>
                <w:b/>
                <w:color w:val="000000"/>
                <w:sz w:val="24"/>
                <w:highlight w:val="none"/>
              </w:rPr>
            </w:r>
            <w:r/>
          </w:p>
        </w:tc>
        <w:tc>
          <w:tcPr>
            <w:tcW w:w="844" w:type="dxa"/>
            <w:vAlign w:val="center"/>
            <w:textDirection w:val="lrTb"/>
            <w:noWrap w:val="false"/>
          </w:tcPr>
          <w:p>
            <w:pPr>
              <w:pStyle w:val="1014"/>
              <w:jc w:val="center"/>
              <w:tabs>
                <w:tab w:val="left" w:pos="5580" w:leader="none"/>
              </w:tabs>
              <w:rPr>
                <w:b/>
                <w:color w:val="000000"/>
                <w:sz w:val="24"/>
                <w:highlight w:val="none"/>
              </w:rPr>
            </w:pPr>
            <w:r>
              <w:rPr>
                <w:b/>
                <w:color w:val="000000"/>
                <w:sz w:val="24"/>
                <w:highlight w:val="none"/>
              </w:rPr>
            </w:r>
            <w:r/>
          </w:p>
        </w:tc>
      </w:tr>
      <w:tr>
        <w:trPr>
          <w:trHeight w:val="1215"/>
        </w:trPr>
        <w:tc>
          <w:tcPr>
            <w:gridSpan w:val="3"/>
            <w:tcW w:w="6031" w:type="dxa"/>
            <w:vAlign w:val="center"/>
            <w:textDirection w:val="lrTb"/>
            <w:noWrap w:val="false"/>
          </w:tcPr>
          <w:p>
            <w:pPr>
              <w:pStyle w:val="1014"/>
              <w:jc w:val="center"/>
              <w:tabs>
                <w:tab w:val="left" w:pos="5580" w:leader="none"/>
              </w:tabs>
              <w:rPr>
                <w:rFonts w:eastAsia="宋体"/>
                <w:b/>
                <w:color w:val="000000"/>
                <w:sz w:val="24"/>
                <w:highlight w:val="none"/>
                <w:lang w:val="en-US" w:eastAsia="zh-CN"/>
              </w:rPr>
            </w:pPr>
            <w:r>
              <w:rPr>
                <w:rFonts w:hint="eastAsia"/>
                <w:b/>
                <w:color w:val="000000"/>
                <w:sz w:val="24"/>
                <w:highlight w:val="none"/>
                <w:lang w:val="en-US" w:eastAsia="zh-CN"/>
              </w:rPr>
              <w:t xml:space="preserve">单年费用合计</w:t>
            </w:r>
            <w:r>
              <w:rPr>
                <w:rFonts w:eastAsia="宋体"/>
                <w:b/>
                <w:color w:val="000000"/>
                <w:sz w:val="24"/>
                <w:highlight w:val="none"/>
                <w:lang w:val="en-US" w:eastAsia="zh-CN"/>
              </w:rPr>
            </w:r>
            <w:r/>
          </w:p>
        </w:tc>
        <w:tc>
          <w:tcPr>
            <w:gridSpan w:val="2"/>
            <w:tcW w:w="3069" w:type="dxa"/>
            <w:vAlign w:val="center"/>
            <w:textDirection w:val="lrTb"/>
            <w:noWrap w:val="false"/>
          </w:tcPr>
          <w:p>
            <w:pPr>
              <w:pStyle w:val="1014"/>
              <w:jc w:val="center"/>
              <w:tabs>
                <w:tab w:val="left" w:pos="5580" w:leader="none"/>
              </w:tabs>
              <w:rPr>
                <w:b/>
                <w:color w:val="000000"/>
                <w:sz w:val="24"/>
                <w:highlight w:val="none"/>
              </w:rPr>
            </w:pPr>
            <w:r>
              <w:rPr>
                <w:b/>
                <w:color w:val="000000"/>
                <w:sz w:val="24"/>
                <w:highlight w:val="none"/>
              </w:rPr>
            </w:r>
            <w:r/>
          </w:p>
        </w:tc>
      </w:tr>
      <w:tr>
        <w:trPr>
          <w:trHeight w:val="1215"/>
        </w:trPr>
        <w:tc>
          <w:tcPr>
            <w:gridSpan w:val="3"/>
            <w:tcW w:w="6031" w:type="dxa"/>
            <w:vAlign w:val="center"/>
            <w:textDirection w:val="lrTb"/>
            <w:noWrap w:val="false"/>
          </w:tcPr>
          <w:p>
            <w:pPr>
              <w:pStyle w:val="1014"/>
              <w:jc w:val="center"/>
              <w:tabs>
                <w:tab w:val="left" w:pos="5580" w:leader="none"/>
              </w:tabs>
              <w:rPr>
                <w:b/>
                <w:color w:val="000000"/>
                <w:sz w:val="24"/>
                <w:highlight w:val="none"/>
                <w:lang w:val="en-US" w:eastAsia="zh-CN"/>
              </w:rPr>
            </w:pPr>
            <w:r>
              <w:rPr>
                <w:rFonts w:hint="eastAsia"/>
                <w:b/>
                <w:color w:val="000000"/>
                <w:sz w:val="24"/>
                <w:highlight w:val="none"/>
                <w:lang w:val="en-US" w:eastAsia="zh-CN"/>
              </w:rPr>
              <w:t xml:space="preserve">三年费用合计</w:t>
            </w:r>
            <w:r>
              <w:rPr>
                <w:b/>
                <w:color w:val="000000"/>
                <w:sz w:val="24"/>
                <w:highlight w:val="none"/>
                <w:lang w:val="en-US" w:eastAsia="zh-CN"/>
              </w:rPr>
            </w:r>
            <w:r/>
          </w:p>
        </w:tc>
        <w:tc>
          <w:tcPr>
            <w:gridSpan w:val="2"/>
            <w:tcW w:w="3069" w:type="dxa"/>
            <w:vAlign w:val="center"/>
            <w:textDirection w:val="lrTb"/>
            <w:noWrap w:val="false"/>
          </w:tcPr>
          <w:p>
            <w:pPr>
              <w:pStyle w:val="1014"/>
              <w:jc w:val="center"/>
              <w:tabs>
                <w:tab w:val="left" w:pos="5580" w:leader="none"/>
              </w:tabs>
              <w:rPr>
                <w:b/>
                <w:color w:val="000000"/>
                <w:sz w:val="24"/>
                <w:highlight w:val="none"/>
              </w:rPr>
            </w:pPr>
            <w:r>
              <w:rPr>
                <w:b/>
                <w:color w:val="000000"/>
                <w:sz w:val="24"/>
                <w:highlight w:val="none"/>
              </w:rPr>
            </w:r>
            <w:r/>
          </w:p>
        </w:tc>
      </w:tr>
    </w:tbl>
    <w:p>
      <w:pPr>
        <w:pStyle w:val="101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1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1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2.如果不提供分项报价将视为没有实质性响应磋商文件。</w:t>
      </w:r>
      <w:r>
        <w:rPr>
          <w:rFonts w:ascii="宋体" w:hAnsi="宋体"/>
          <w:color w:val="000000"/>
          <w:sz w:val="24"/>
          <w:highlight w:val="none"/>
        </w:rPr>
      </w:r>
      <w:r/>
    </w:p>
    <w:p>
      <w:pPr>
        <w:pStyle w:val="101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1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1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1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日期：_____年______月______日   </w:t>
      </w:r>
      <w:bookmarkEnd w:id="721"/>
      <w:r>
        <w:rPr>
          <w:rFonts w:ascii="宋体" w:hAnsi="宋体"/>
          <w:color w:val="000000"/>
          <w:sz w:val="24"/>
          <w:szCs w:val="20"/>
          <w:highlight w:val="none"/>
        </w:rPr>
        <w:br w:type="page" w:clear="all"/>
      </w:r>
      <w:r>
        <w:rPr>
          <w:rFonts w:hint="eastAsia"/>
          <w:b/>
          <w:color w:val="000000"/>
          <w:sz w:val="24"/>
          <w:highlight w:val="none"/>
        </w:rPr>
        <w:t xml:space="preserve">10</w:t>
      </w:r>
      <w:r>
        <w:rPr>
          <w:b/>
          <w:color w:val="000000"/>
          <w:sz w:val="24"/>
          <w:highlight w:val="none"/>
        </w:rPr>
        <w:t xml:space="preserve">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ascii="宋体" w:hAnsi="宋体"/>
          <w:b/>
          <w:color w:val="000000"/>
          <w:sz w:val="24"/>
          <w:szCs w:val="20"/>
          <w:highlight w:val="none"/>
        </w:rPr>
      </w:r>
      <w:r/>
    </w:p>
    <w:p>
      <w:pPr>
        <w:pStyle w:val="1014"/>
        <w:spacing w:line="360" w:lineRule="auto"/>
        <w:rPr>
          <w:color w:val="000000"/>
          <w:sz w:val="24"/>
          <w:szCs w:val="20"/>
          <w:highlight w:val="none"/>
        </w:rPr>
      </w:pPr>
      <w:r>
        <w:rPr>
          <w:color w:val="000000"/>
          <w:sz w:val="24"/>
          <w:szCs w:val="20"/>
          <w:highlight w:val="none"/>
        </w:rPr>
      </w:r>
      <w:r/>
    </w:p>
    <w:p>
      <w:pPr>
        <w:pStyle w:val="1014"/>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14"/>
        <w:jc w:val="center"/>
        <w:rPr>
          <w:color w:val="000000"/>
          <w:sz w:val="36"/>
          <w:szCs w:val="36"/>
          <w:highlight w:val="none"/>
        </w:rPr>
      </w:pPr>
      <w:r>
        <w:rPr>
          <w:color w:val="000000"/>
          <w:sz w:val="36"/>
          <w:szCs w:val="36"/>
          <w:highlight w:val="none"/>
        </w:rPr>
      </w:r>
      <w:r/>
    </w:p>
    <w:p>
      <w:pPr>
        <w:pStyle w:val="1014"/>
        <w:spacing w:line="360" w:lineRule="auto"/>
        <w:rPr>
          <w:color w:val="000000"/>
          <w:sz w:val="24"/>
          <w:szCs w:val="20"/>
          <w:highlight w:val="none"/>
        </w:rPr>
      </w:pPr>
      <w:r>
        <w:rPr>
          <w:color w:val="000000"/>
          <w:sz w:val="24"/>
          <w:szCs w:val="20"/>
          <w:highlight w:val="none"/>
        </w:rPr>
      </w:r>
      <w:r/>
    </w:p>
    <w:p>
      <w:pPr>
        <w:pStyle w:val="101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rPr>
                <w:rFonts w:ascii="宋体" w:hAnsi="宋体"/>
                <w:b/>
                <w:color w:val="000000"/>
                <w:sz w:val="24"/>
                <w:highlight w:val="none"/>
              </w:rPr>
            </w:r>
            <w:r/>
          </w:p>
          <w:p>
            <w:pPr>
              <w:pStyle w:val="101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1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响应文件内容</w:t>
            </w:r>
            <w:r>
              <w:rPr>
                <w:rFonts w:ascii="宋体" w:hAnsi="宋体"/>
                <w:color w:val="000000"/>
                <w:sz w:val="24"/>
                <w:highlight w:val="none"/>
              </w:rPr>
            </w:r>
            <w:r/>
          </w:p>
        </w:tc>
        <w:tc>
          <w:tcPr>
            <w:tcW w:w="245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p>
            <w:pPr>
              <w:pStyle w:val="1014"/>
              <w:jc w:val="center"/>
              <w:rPr>
                <w:rFonts w:ascii="宋体" w:hAnsi="宋体"/>
                <w:color w:val="000000"/>
                <w:sz w:val="24"/>
                <w:highlight w:val="none"/>
              </w:rPr>
            </w:pPr>
            <w:r>
              <w:rPr>
                <w:rFonts w:ascii="宋体" w:hAnsi="宋体"/>
                <w:color w:val="000000"/>
                <w:sz w:val="24"/>
                <w:highlight w:val="none"/>
              </w:rPr>
              <w:t xml:space="preserve">（据实填写）</w:t>
            </w:r>
            <w:r>
              <w:rPr>
                <w:rFonts w:ascii="宋体" w:hAnsi="宋体"/>
                <w:color w:val="000000"/>
                <w:sz w:val="24"/>
                <w:highlight w:val="none"/>
              </w:rPr>
            </w:r>
            <w:r/>
          </w:p>
        </w:tc>
        <w:tc>
          <w:tcPr>
            <w:tcW w:w="78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bl>
    <w:p>
      <w:pPr>
        <w:pStyle w:val="1014"/>
        <w:jc w:val="left"/>
        <w:tabs>
          <w:tab w:val="left" w:pos="1800" w:leader="none"/>
          <w:tab w:val="left" w:pos="5580" w:leader="none"/>
        </w:tabs>
        <w:rPr>
          <w:color w:val="000000"/>
          <w:sz w:val="24"/>
          <w:highlight w:val="none"/>
        </w:rPr>
      </w:pPr>
      <w:r>
        <w:rPr>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rPr>
        <w:t xml:space="preserve">对合同条款中的所有要求，除本表所列明的所有偏离外，均视作供应商已对之理解和响应。</w:t>
      </w:r>
      <w:r>
        <w:rPr>
          <w:rFonts w:ascii="宋体" w:hAnsi="宋体"/>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1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1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4"/>
        <w:spacing w:line="360" w:lineRule="auto"/>
        <w:rPr>
          <w:rFonts w:ascii="宋体" w:hAnsi="宋体"/>
          <w:b/>
          <w:color w:val="000000"/>
          <w:sz w:val="24"/>
          <w:szCs w:val="20"/>
          <w:highlight w:val="none"/>
        </w:rPr>
        <w:outlineLvl w:val="2"/>
      </w:pPr>
      <w:r>
        <w:rPr>
          <w:color w:val="000000"/>
          <w:sz w:val="24"/>
          <w:szCs w:val="20"/>
          <w:highlight w:val="none"/>
        </w:rPr>
        <w:br w:type="page" w:clear="all"/>
      </w:r>
      <w:r>
        <w:rPr>
          <w:b/>
          <w:color w:val="000000"/>
          <w:sz w:val="24"/>
          <w:highlight w:val="none"/>
        </w:rPr>
        <w:t xml:space="preserve">1</w:t>
      </w:r>
      <w:r>
        <w:rPr>
          <w:rFonts w:hint="eastAsia"/>
          <w:b/>
          <w:color w:val="000000"/>
          <w:sz w:val="24"/>
          <w:highlight w:val="none"/>
        </w:rPr>
        <w:t xml:space="preserve">1</w:t>
      </w:r>
      <w:r>
        <w:rPr>
          <w:b/>
          <w:color w:val="000000"/>
          <w:sz w:val="24"/>
          <w:highlight w:val="none"/>
        </w:rPr>
        <w:t xml:space="preserve">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b/>
          <w:color w:val="000000"/>
          <w:sz w:val="24"/>
          <w:highlight w:val="none"/>
        </w:rPr>
        <w:t xml:space="preserve">采购需求偏离表</w:t>
      </w:r>
      <w:r>
        <w:rPr>
          <w:rFonts w:ascii="宋体" w:hAnsi="宋体"/>
          <w:b/>
          <w:color w:val="000000"/>
          <w:sz w:val="24"/>
          <w:szCs w:val="20"/>
          <w:highlight w:val="none"/>
        </w:rPr>
      </w:r>
      <w:r/>
    </w:p>
    <w:p>
      <w:pPr>
        <w:pStyle w:val="1014"/>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14"/>
        <w:jc w:val="center"/>
        <w:rPr>
          <w:color w:val="000000"/>
          <w:sz w:val="36"/>
          <w:szCs w:val="36"/>
          <w:highlight w:val="none"/>
        </w:rPr>
      </w:pPr>
      <w:r>
        <w:rPr>
          <w:color w:val="000000"/>
          <w:sz w:val="36"/>
          <w:szCs w:val="36"/>
          <w:highlight w:val="none"/>
        </w:rPr>
      </w:r>
      <w:r/>
    </w:p>
    <w:p>
      <w:pPr>
        <w:pStyle w:val="101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14"/>
              <w:jc w:val="left"/>
              <w:rPr>
                <w:rFonts w:ascii="宋体" w:hAnsi="宋体"/>
                <w:b/>
                <w:color w:val="000000"/>
                <w:sz w:val="24"/>
                <w:highlight w:val="none"/>
              </w:rPr>
            </w:pPr>
            <w:r>
              <w:rPr>
                <w:rFonts w:hint="eastAsia" w:ascii="宋体" w:hAnsi="宋体"/>
                <w:b/>
                <w:color w:val="000000"/>
                <w:sz w:val="24"/>
                <w:highlight w:val="none"/>
              </w:rPr>
              <w:t xml:space="preserve">对本项目采购需求的偏离情况（请进行勾选）：</w:t>
            </w:r>
            <w:r>
              <w:rPr>
                <w:rFonts w:ascii="宋体" w:hAnsi="宋体"/>
                <w:b/>
                <w:color w:val="000000"/>
                <w:sz w:val="24"/>
                <w:highlight w:val="none"/>
              </w:rPr>
            </w:r>
            <w:r/>
          </w:p>
          <w:p>
            <w:pPr>
              <w:pStyle w:val="101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14"/>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磋商文件条目号(页码)</w:t>
            </w: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磋商文件要求</w:t>
            </w: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响应内容</w:t>
            </w: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p>
            <w:pPr>
              <w:pStyle w:val="1014"/>
              <w:jc w:val="center"/>
              <w:rPr>
                <w:rFonts w:ascii="宋体" w:hAnsi="宋体"/>
                <w:color w:val="000000"/>
                <w:sz w:val="24"/>
                <w:highlight w:val="none"/>
              </w:rPr>
            </w:pPr>
            <w:r>
              <w:rPr>
                <w:rFonts w:ascii="宋体" w:hAnsi="宋体"/>
                <w:color w:val="000000"/>
                <w:sz w:val="24"/>
                <w:szCs w:val="21"/>
                <w:highlight w:val="none"/>
              </w:rPr>
              <w:t xml:space="preserve">（据实填写）</w:t>
            </w: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4"/>
              <w:jc w:val="center"/>
              <w:rPr>
                <w:rFonts w:ascii="宋体" w:hAnsi="宋体"/>
                <w:color w:val="000000"/>
                <w:sz w:val="24"/>
                <w:highlight w:val="none"/>
              </w:rPr>
            </w:pPr>
            <w:r>
              <w:rPr>
                <w:rFonts w:ascii="宋体" w:hAnsi="宋体"/>
                <w:color w:val="000000"/>
                <w:sz w:val="24"/>
                <w:highlight w:val="none"/>
              </w:rPr>
            </w:r>
            <w:r/>
          </w:p>
        </w:tc>
      </w:tr>
    </w:tbl>
    <w:p>
      <w:pPr>
        <w:pStyle w:val="101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对磋商文件中的所有商务、技术要求，除本表所列明的所有偏离外，均视作供应商已对之理解和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1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14"/>
        <w:rPr>
          <w:rFonts w:ascii="宋体" w:hAnsi="宋体"/>
          <w:color w:val="000000"/>
          <w:sz w:val="24"/>
          <w:szCs w:val="20"/>
          <w:highlight w:val="none"/>
        </w:rPr>
      </w:pPr>
      <w:r>
        <w:rPr>
          <w:rFonts w:ascii="宋体" w:hAnsi="宋体"/>
          <w:color w:val="000000"/>
          <w:sz w:val="24"/>
          <w:szCs w:val="20"/>
          <w:highlight w:val="none"/>
        </w:rPr>
      </w:r>
      <w:r/>
    </w:p>
    <w:p>
      <w:pPr>
        <w:pStyle w:val="101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1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供应商名称（加盖公章）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1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14"/>
        <w:spacing w:line="360" w:lineRule="auto"/>
        <w:rPr>
          <w:rFonts w:ascii="宋体" w:hAnsi="宋体"/>
          <w:b/>
          <w:color w:val="000000"/>
          <w:sz w:val="24"/>
          <w:szCs w:val="20"/>
          <w:highlight w:val="none"/>
        </w:rPr>
        <w:outlineLvl w:val="2"/>
      </w:pPr>
      <w:r>
        <w:rPr>
          <w:color w:val="000000"/>
          <w:sz w:val="24"/>
          <w:szCs w:val="20"/>
          <w:highlight w:val="none"/>
        </w:rPr>
        <w:br w:type="page" w:clear="all"/>
      </w:r>
      <w:r>
        <w:rPr>
          <w:rFonts w:hint="eastAsia"/>
          <w:b/>
          <w:color w:val="000000"/>
          <w:sz w:val="24"/>
          <w:highlight w:val="none"/>
        </w:rPr>
        <w:t xml:space="preserve">12</w:t>
      </w:r>
      <w:r>
        <w:rPr>
          <w:b/>
          <w:color w:val="000000"/>
          <w:sz w:val="24"/>
          <w:highlight w:val="none"/>
        </w:rPr>
        <w:t xml:space="preserve">  中小企业声明函</w:t>
      </w:r>
      <w:r>
        <w:rPr>
          <w:rFonts w:ascii="宋体" w:hAnsi="宋体"/>
          <w:b/>
          <w:color w:val="000000"/>
          <w:sz w:val="24"/>
          <w:szCs w:val="20"/>
          <w:highlight w:val="none"/>
        </w:rPr>
      </w:r>
      <w:r/>
    </w:p>
    <w:p>
      <w:pPr>
        <w:pStyle w:val="101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1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color w:val="000000"/>
          <w:sz w:val="24"/>
          <w:highlight w:val="none"/>
        </w:rPr>
      </w:r>
      <w:r/>
    </w:p>
    <w:p>
      <w:pPr>
        <w:pStyle w:val="101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1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3）对于多标的的采购项目，供应商应充分、准确地了解所投产品制造企业信息。对相关情况了解不清楚的，不建议填报本声明函。</w:t>
      </w:r>
      <w:r>
        <w:rPr>
          <w:rFonts w:hint="eastAsia" w:ascii="宋体" w:hAnsi="宋体"/>
          <w:color w:val="000000"/>
          <w:sz w:val="24"/>
          <w:highlight w:val="none"/>
        </w:rPr>
      </w:r>
      <w:r/>
    </w:p>
    <w:p>
      <w:pPr>
        <w:pStyle w:val="101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1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089"/>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1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14"/>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014"/>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1014"/>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1014"/>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，属于_____（中型企业、小型企业、微型企业）；</w:t>
      </w:r>
      <w:r>
        <w:rPr>
          <w:color w:val="000000"/>
          <w:spacing w:val="6"/>
          <w:sz w:val="24"/>
          <w:highlight w:val="none"/>
        </w:rPr>
      </w:r>
      <w:r/>
    </w:p>
    <w:p>
      <w:pPr>
        <w:pStyle w:val="1014"/>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014"/>
        <w:ind w:firstLine="504"/>
        <w:spacing w:line="360" w:lineRule="auto"/>
        <w:rPr>
          <w:color w:val="000000"/>
          <w:spacing w:val="6"/>
          <w:sz w:val="24"/>
          <w:highlight w:val="none"/>
        </w:rPr>
      </w:pPr>
      <w:r>
        <w:rPr>
          <w:color w:val="000000"/>
          <w:spacing w:val="6"/>
          <w:sz w:val="24"/>
          <w:highlight w:val="none"/>
        </w:rPr>
      </w:r>
      <w:r/>
    </w:p>
    <w:p>
      <w:pPr>
        <w:pStyle w:val="101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14"/>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14"/>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14"/>
        <w:ind w:right="360" w:firstLine="480"/>
        <w:jc w:val="right"/>
        <w:spacing w:line="360" w:lineRule="auto"/>
        <w:rPr>
          <w:color w:val="000000"/>
          <w:sz w:val="24"/>
          <w:highlight w:val="none"/>
        </w:rPr>
      </w:pPr>
      <w:r>
        <w:rPr>
          <w:color w:val="000000"/>
          <w:sz w:val="24"/>
          <w:highlight w:val="none"/>
        </w:rPr>
      </w:r>
      <w:r/>
    </w:p>
    <w:p>
      <w:pPr>
        <w:pStyle w:val="1014"/>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14"/>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14"/>
        <w:jc w:val="left"/>
        <w:rPr>
          <w:color w:val="000000"/>
          <w:sz w:val="24"/>
          <w:szCs w:val="21"/>
          <w:highlight w:val="none"/>
        </w:rPr>
      </w:pPr>
      <w:r>
        <w:rPr>
          <w:color w:val="000000"/>
          <w:sz w:val="24"/>
          <w:szCs w:val="21"/>
          <w:highlight w:val="none"/>
        </w:rPr>
      </w:r>
      <w:r/>
    </w:p>
    <w:p>
      <w:pPr>
        <w:pStyle w:val="101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14"/>
        <w:jc w:val="center"/>
        <w:spacing w:before="240" w:after="240" w:line="360" w:lineRule="auto"/>
        <w:rPr>
          <w:color w:val="000000"/>
          <w:sz w:val="36"/>
          <w:szCs w:val="36"/>
          <w:highlight w:val="none"/>
        </w:rPr>
      </w:pPr>
      <w:r>
        <w:rPr>
          <w:b/>
          <w:bCs/>
          <w:color w:val="000000"/>
          <w:sz w:val="36"/>
          <w:szCs w:val="36"/>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1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1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1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1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14"/>
        <w:ind w:firstLine="504"/>
        <w:spacing w:line="588" w:lineRule="exact"/>
        <w:rPr>
          <w:color w:val="000000"/>
          <w:spacing w:val="6"/>
          <w:sz w:val="24"/>
          <w:highlight w:val="none"/>
        </w:rPr>
      </w:pPr>
      <w:r>
        <w:rPr>
          <w:color w:val="000000"/>
          <w:spacing w:val="6"/>
          <w:sz w:val="24"/>
          <w:highlight w:val="none"/>
        </w:rPr>
      </w:r>
      <w:r/>
    </w:p>
    <w:p>
      <w:pPr>
        <w:pStyle w:val="1014"/>
        <w:ind w:firstLine="504"/>
        <w:spacing w:line="588" w:lineRule="exact"/>
        <w:rPr>
          <w:color w:val="000000"/>
          <w:spacing w:val="6"/>
          <w:sz w:val="24"/>
          <w:highlight w:val="none"/>
        </w:rPr>
      </w:pPr>
      <w:r>
        <w:rPr>
          <w:color w:val="000000"/>
          <w:spacing w:val="6"/>
          <w:sz w:val="24"/>
          <w:highlight w:val="none"/>
        </w:rPr>
      </w:r>
      <w:r/>
    </w:p>
    <w:p>
      <w:pPr>
        <w:pStyle w:val="101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1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7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color w:val="000000"/>
          <w:szCs w:val="20"/>
          <w:highlight w:val="none"/>
        </w:rPr>
        <w:br w:type="page" w:clear="all"/>
      </w:r>
      <w:r>
        <w:rPr>
          <w:rFonts w:ascii="方正魏碑_GBK" w:hAnsi="方正魏碑_GBK" w:eastAsia="方正魏碑_GBK" w:cs="方正魏碑_GBK"/>
          <w:color w:val="000000"/>
          <w:sz w:val="22"/>
          <w:highlight w:val="none"/>
          <w:shd w:val="clear" w:color="auto" w:fill="ffffff"/>
        </w:rPr>
      </w:r>
      <w:r/>
    </w:p>
    <w:p>
      <w:pPr>
        <w:pStyle w:val="1014"/>
        <w:spacing w:line="360" w:lineRule="auto"/>
        <w:rPr>
          <w:rFonts w:hint="eastAsia" w:ascii="方正魏碑_GBK" w:hAnsi="方正魏碑_GBK" w:eastAsia="方正魏碑_GBK" w:cs="方正魏碑_GBK"/>
          <w:color w:val="000000"/>
          <w:sz w:val="24"/>
          <w:highlight w:val="none"/>
        </w:rPr>
        <w:outlineLvl w:val="2"/>
      </w:pPr>
      <w:r>
        <w:rPr>
          <w:rFonts w:hint="eastAsia"/>
          <w:b/>
          <w:color w:val="000000"/>
          <w:sz w:val="24"/>
          <w:highlight w:val="none"/>
        </w:rPr>
        <w:t xml:space="preserve">13  关于符合本国产品标准的声</w:t>
      </w:r>
      <w:r>
        <w:rPr>
          <w:rFonts w:hint="eastAsia"/>
          <w:b/>
          <w:color w:val="000000"/>
          <w:sz w:val="24"/>
          <w:highlight w:val="none"/>
        </w:rPr>
        <w:t xml:space="preserve">明函（</w:t>
      </w:r>
      <w:r>
        <w:rPr>
          <w:rFonts w:hint="eastAsia" w:ascii="方正魏碑_GBK" w:hAnsi="方正魏碑_GBK" w:eastAsia="方正魏碑_GBK" w:cs="方正魏碑_GBK"/>
          <w:b/>
          <w:color w:val="000000"/>
          <w:sz w:val="24"/>
          <w:highlight w:val="none"/>
        </w:rPr>
        <w:t xml:space="preserve">采购包号：**）</w:t>
      </w:r>
      <w:r>
        <w:rPr>
          <w:rFonts w:hint="eastAsia" w:ascii="方正魏碑_GBK" w:hAnsi="方正魏碑_GBK" w:eastAsia="方正魏碑_GBK" w:cs="方正魏碑_GBK"/>
          <w:color w:val="000000"/>
          <w:sz w:val="24"/>
          <w:highlight w:val="none"/>
        </w:rPr>
      </w:r>
      <w:r/>
    </w:p>
    <w:p>
      <w:pPr>
        <w:pStyle w:val="107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7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088"/>
          <w:rFonts w:hint="eastAsia" w:ascii="方正魏碑_GBK" w:hAnsi="方正魏碑_GBK" w:eastAsia="方正魏碑_GBK" w:cs="方正魏碑_GBK"/>
          <w:color w:val="000000"/>
          <w:highlight w:val="none"/>
          <w:u w:val="single"/>
          <w:shd w:val="clear" w:color="auto" w:fill="ffffff"/>
        </w:rPr>
        <w:t xml:space="preserve">（产品名称1）</w:t>
      </w:r>
      <w:r>
        <w:rPr>
          <w:rStyle w:val="1088"/>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088"/>
          <w:rFonts w:hint="eastAsia" w:ascii="方正魏碑_GBK" w:hAnsi="方正魏碑_GBK" w:eastAsia="方正魏碑_GBK" w:cs="方正魏碑_GBK"/>
          <w:color w:val="000000"/>
          <w:highlight w:val="none"/>
          <w:u w:val="single"/>
          <w:shd w:val="clear" w:color="auto" w:fill="ffffff"/>
        </w:rPr>
        <w:t xml:space="preserve">（厂名）</w:t>
      </w:r>
      <w:r>
        <w:rPr>
          <w:rStyle w:val="1088"/>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08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088"/>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88"/>
          <w:rFonts w:hint="eastAsia" w:ascii="方正魏碑_GBK" w:hAnsi="方正魏碑_GBK" w:eastAsia="方正魏碑_GBK" w:cs="方正魏碑_GBK"/>
          <w:color w:val="000000"/>
          <w:highlight w:val="none"/>
          <w:u w:val="single"/>
          <w:shd w:val="clear" w:color="auto" w:fill="ffffff"/>
        </w:rPr>
        <w:t xml:space="preserve">（规定</w:t>
      </w:r>
      <w:r>
        <w:rPr>
          <w:rStyle w:val="1088"/>
          <w:rFonts w:ascii="方正魏碑_GBK" w:hAnsi="方正魏碑_GBK" w:eastAsia="方正魏碑_GBK" w:cs="方正魏碑_GBK"/>
          <w:color w:val="000000"/>
          <w:highlight w:val="none"/>
          <w:u w:val="single"/>
          <w:shd w:val="clear" w:color="auto" w:fill="ffffff"/>
        </w:rPr>
        <w:t xml:space="preserve">比例</w:t>
      </w:r>
      <w:r>
        <w:rPr>
          <w:rStyle w:val="1088"/>
          <w:rFonts w:hint="eastAsia" w:ascii="方正魏碑_GBK" w:hAnsi="方正魏碑_GBK" w:eastAsia="方正魏碑_GBK" w:cs="方正魏碑_GBK"/>
          <w:color w:val="000000"/>
          <w:highlight w:val="none"/>
          <w:u w:val="single"/>
          <w:shd w:val="clear" w:color="auto" w:fill="ffffff"/>
        </w:rPr>
        <w:t xml:space="preserve">）</w:t>
      </w:r>
      <w:r>
        <w:rPr>
          <w:rStyle w:val="1088"/>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08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88"/>
          <w:rFonts w:hint="eastAsia" w:ascii="方正魏碑_GBK" w:hAnsi="方正魏碑_GBK" w:eastAsia="方正魏碑_GBK" w:cs="方正魏碑_GBK"/>
          <w:color w:val="000000"/>
          <w:highlight w:val="none"/>
          <w:u w:val="single"/>
          <w:shd w:val="clear" w:color="auto" w:fill="ffffff"/>
        </w:rPr>
        <w:t xml:space="preserve">（关键</w:t>
      </w:r>
      <w:r>
        <w:rPr>
          <w:rStyle w:val="1088"/>
          <w:rFonts w:ascii="方正魏碑_GBK" w:hAnsi="方正魏碑_GBK" w:eastAsia="方正魏碑_GBK" w:cs="方正魏碑_GBK"/>
          <w:color w:val="000000"/>
          <w:highlight w:val="none"/>
          <w:u w:val="single"/>
          <w:shd w:val="clear" w:color="auto" w:fill="ffffff"/>
        </w:rPr>
        <w:t xml:space="preserve">组件</w:t>
      </w:r>
      <w:r>
        <w:rPr>
          <w:rStyle w:val="1088"/>
          <w:rFonts w:hint="eastAsia" w:ascii="方正魏碑_GBK" w:hAnsi="方正魏碑_GBK" w:eastAsia="方正魏碑_GBK" w:cs="方正魏碑_GBK"/>
          <w:color w:val="000000"/>
          <w:highlight w:val="none"/>
          <w:u w:val="single"/>
          <w:shd w:val="clear" w:color="auto" w:fill="ffffff"/>
        </w:rPr>
        <w:t xml:space="preserve">）</w:t>
      </w:r>
      <w:r>
        <w:rPr>
          <w:rStyle w:val="1088"/>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08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88"/>
          <w:rFonts w:hint="eastAsia" w:ascii="方正魏碑_GBK" w:hAnsi="方正魏碑_GBK" w:eastAsia="方正魏碑_GBK" w:cs="方正魏碑_GBK"/>
          <w:color w:val="000000"/>
          <w:highlight w:val="none"/>
          <w:u w:val="single"/>
          <w:shd w:val="clear" w:color="auto" w:fill="ffffff"/>
        </w:rPr>
        <w:t xml:space="preserve">（关键工序）</w:t>
      </w:r>
      <w:r>
        <w:rPr>
          <w:rStyle w:val="1088"/>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08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088"/>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08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08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88"/>
          <w:rFonts w:hint="eastAsia" w:ascii="方正魏碑_GBK" w:hAnsi="方正魏碑_GBK" w:eastAsia="方正魏碑_GBK" w:cs="方正魏碑_GBK"/>
          <w:color w:val="000000"/>
          <w:highlight w:val="none"/>
          <w:u w:val="single"/>
          <w:shd w:val="clear" w:color="auto" w:fill="ffffff"/>
        </w:rPr>
        <w:t xml:space="preserve">（规定</w:t>
      </w:r>
      <w:r>
        <w:rPr>
          <w:rStyle w:val="1088"/>
          <w:rFonts w:ascii="方正魏碑_GBK" w:hAnsi="方正魏碑_GBK" w:eastAsia="方正魏碑_GBK" w:cs="方正魏碑_GBK"/>
          <w:color w:val="000000"/>
          <w:highlight w:val="none"/>
          <w:u w:val="single"/>
          <w:shd w:val="clear" w:color="auto" w:fill="ffffff"/>
        </w:rPr>
        <w:t xml:space="preserve">比例</w:t>
      </w:r>
      <w:r>
        <w:rPr>
          <w:rStyle w:val="108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08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88"/>
          <w:rFonts w:hint="eastAsia" w:ascii="方正魏碑_GBK" w:hAnsi="方正魏碑_GBK" w:eastAsia="方正魏碑_GBK" w:cs="方正魏碑_GBK"/>
          <w:color w:val="000000"/>
          <w:highlight w:val="none"/>
          <w:u w:val="single"/>
          <w:shd w:val="clear" w:color="auto" w:fill="ffffff"/>
        </w:rPr>
        <w:t xml:space="preserve">（关键</w:t>
      </w:r>
      <w:r>
        <w:rPr>
          <w:rStyle w:val="1088"/>
          <w:rFonts w:ascii="方正魏碑_GBK" w:hAnsi="方正魏碑_GBK" w:eastAsia="方正魏碑_GBK" w:cs="方正魏碑_GBK"/>
          <w:color w:val="000000"/>
          <w:highlight w:val="none"/>
          <w:u w:val="single"/>
          <w:shd w:val="clear" w:color="auto" w:fill="ffffff"/>
        </w:rPr>
        <w:t xml:space="preserve">组件</w:t>
      </w:r>
      <w:r>
        <w:rPr>
          <w:rStyle w:val="108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08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88"/>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07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7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7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7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07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07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14"/>
        <w:spacing w:line="360" w:lineRule="auto"/>
        <w:rPr>
          <w:rFonts w:ascii="宋体" w:hAnsi="宋体"/>
          <w:color w:val="000000"/>
          <w:sz w:val="24"/>
          <w:szCs w:val="20"/>
          <w:highlight w:val="none"/>
        </w:rPr>
        <w:outlineLvl w:val="2"/>
      </w:pPr>
      <w:r>
        <w:rPr>
          <w:rFonts w:hint="eastAsia"/>
          <w:b/>
          <w:color w:val="000000"/>
          <w:sz w:val="24"/>
          <w:highlight w:val="none"/>
        </w:rPr>
        <w:br w:type="page" w:clear="all"/>
      </w:r>
      <w:r>
        <w:rPr>
          <w:rFonts w:hint="eastAsia"/>
          <w:b/>
          <w:color w:val="000000"/>
          <w:sz w:val="24"/>
          <w:highlight w:val="none"/>
        </w:rPr>
        <w:t xml:space="preserve">14</w:t>
      </w:r>
      <w:r>
        <w:rPr>
          <w:b/>
          <w:color w:val="000000"/>
          <w:sz w:val="24"/>
          <w:highlight w:val="none"/>
        </w:rPr>
        <w:t xml:space="preserve">  </w:t>
      </w:r>
      <w:r>
        <w:rPr>
          <w:rFonts w:hint="eastAsia"/>
          <w:b/>
          <w:color w:val="000000"/>
          <w:sz w:val="24"/>
          <w:highlight w:val="none"/>
        </w:rPr>
        <w:t xml:space="preserve">项目实施方案等，包括但不限于如下主题：</w:t>
      </w:r>
      <w:r>
        <w:rPr>
          <w:rFonts w:ascii="宋体" w:hAnsi="宋体"/>
          <w:color w:val="000000"/>
          <w:sz w:val="24"/>
          <w:szCs w:val="20"/>
          <w:highlight w:val="none"/>
        </w:rPr>
      </w:r>
      <w:r/>
    </w:p>
    <w:p>
      <w:pPr>
        <w:pStyle w:val="101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1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1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1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1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5）其他。</w:t>
      </w:r>
      <w:r>
        <w:rPr>
          <w:rFonts w:ascii="宋体" w:hAnsi="宋体"/>
          <w:color w:val="000000"/>
          <w:sz w:val="24"/>
          <w:szCs w:val="20"/>
          <w:highlight w:val="none"/>
        </w:rPr>
      </w:r>
      <w:r/>
    </w:p>
    <w:p>
      <w:pPr>
        <w:pStyle w:val="1014"/>
        <w:spacing w:line="360" w:lineRule="auto"/>
        <w:rPr>
          <w:rFonts w:ascii="宋体" w:hAnsi="宋体"/>
          <w:b/>
          <w:color w:val="000000"/>
          <w:sz w:val="24"/>
          <w:szCs w:val="20"/>
          <w:highlight w:val="none"/>
        </w:rPr>
        <w:outlineLvl w:val="2"/>
      </w:pPr>
      <w:r>
        <w:rPr>
          <w:color w:val="000000"/>
          <w:sz w:val="24"/>
          <w:szCs w:val="20"/>
          <w:highlight w:val="none"/>
        </w:rPr>
        <w:br w:type="page" w:clear="all"/>
      </w:r>
      <w:r>
        <w:rPr>
          <w:rFonts w:hint="eastAsia"/>
          <w:b/>
          <w:color w:val="000000"/>
          <w:sz w:val="24"/>
          <w:highlight w:val="none"/>
        </w:rPr>
        <w:t xml:space="preserve">15  参加本项目人员一览表</w:t>
      </w:r>
      <w:r>
        <w:rPr>
          <w:rFonts w:ascii="宋体" w:hAnsi="宋体"/>
          <w:b/>
          <w:color w:val="000000"/>
          <w:sz w:val="24"/>
          <w:szCs w:val="20"/>
          <w:highlight w:val="none"/>
        </w:rPr>
      </w:r>
      <w:r/>
    </w:p>
    <w:p>
      <w:pPr>
        <w:pStyle w:val="101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4"/>
        <w:spacing w:line="360" w:lineRule="auto"/>
        <w:rPr>
          <w:rFonts w:ascii="宋体" w:hAnsi="宋体"/>
          <w:color w:val="000000"/>
          <w:sz w:val="22"/>
          <w:highlight w:val="none"/>
        </w:rPr>
      </w:pPr>
      <w:r>
        <w:rPr>
          <w:rFonts w:ascii="宋体" w:hAnsi="宋体"/>
          <w:color w:val="000000"/>
          <w:sz w:val="22"/>
          <w:highlight w:val="none"/>
        </w:rPr>
      </w:r>
      <w:r/>
    </w:p>
    <w:p>
      <w:pPr>
        <w:pStyle w:val="101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14"/>
        <w:spacing w:line="360" w:lineRule="auto"/>
        <w:rPr>
          <w:rFonts w:ascii="宋体" w:hAnsi="宋体"/>
          <w:color w:val="000000"/>
          <w:sz w:val="24"/>
          <w:highlight w:val="none"/>
        </w:rPr>
      </w:pPr>
      <w:r>
        <w:rPr>
          <w:rFonts w:ascii="宋体" w:hAnsi="宋体"/>
          <w:color w:val="000000"/>
          <w:sz w:val="24"/>
          <w:highlight w:val="none"/>
        </w:rPr>
      </w:r>
      <w:r/>
    </w:p>
    <w:p>
      <w:pPr>
        <w:pStyle w:val="101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4"/>
        <w:spacing w:line="360" w:lineRule="auto"/>
        <w:rPr>
          <w:rFonts w:ascii="宋体" w:hAnsi="宋体"/>
          <w:b/>
          <w:color w:val="000000"/>
          <w:sz w:val="24"/>
          <w:szCs w:val="20"/>
          <w:highlight w:val="none"/>
        </w:rPr>
        <w:outlineLvl w:val="2"/>
      </w:pPr>
      <w:r>
        <w:rPr>
          <w:color w:val="000000"/>
          <w:sz w:val="22"/>
          <w:highlight w:val="none"/>
        </w:rPr>
        <w:br w:type="page" w:clear="all"/>
      </w:r>
      <w:bookmarkStart w:id="748" w:name="_Toc288738397"/>
      <w:r/>
      <w:bookmarkStart w:id="749" w:name="_Toc288738839"/>
      <w:r>
        <w:rPr>
          <w:rFonts w:hint="eastAsia"/>
          <w:b/>
          <w:color w:val="000000"/>
          <w:sz w:val="24"/>
          <w:highlight w:val="none"/>
        </w:rPr>
        <w:t xml:space="preserve">16  相关业绩案例一览表</w:t>
      </w:r>
      <w:r>
        <w:rPr>
          <w:rFonts w:ascii="宋体" w:hAnsi="宋体"/>
          <w:b/>
          <w:color w:val="000000"/>
          <w:sz w:val="24"/>
          <w:szCs w:val="20"/>
          <w:highlight w:val="none"/>
        </w:rPr>
      </w:r>
      <w:r/>
    </w:p>
    <w:p>
      <w:pPr>
        <w:pStyle w:val="1014"/>
        <w:rPr>
          <w:color w:val="000000"/>
          <w:sz w:val="24"/>
          <w:szCs w:val="20"/>
          <w:highlight w:val="none"/>
        </w:rPr>
      </w:pPr>
      <w:r>
        <w:rPr>
          <w:color w:val="000000"/>
          <w:sz w:val="24"/>
          <w:szCs w:val="20"/>
          <w:highlight w:val="none"/>
        </w:rPr>
      </w:r>
      <w:r/>
    </w:p>
    <w:p>
      <w:pPr>
        <w:pStyle w:val="101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48"/>
      <w:r/>
      <w:bookmarkEnd w:id="749"/>
      <w:r>
        <w:rPr>
          <w:rFonts w:ascii="宋体" w:hAnsi="宋体"/>
          <w:b/>
          <w:color w:val="000000"/>
          <w:sz w:val="32"/>
          <w:szCs w:val="32"/>
          <w:highlight w:val="none"/>
        </w:rPr>
      </w:r>
      <w:r/>
    </w:p>
    <w:p>
      <w:pPr>
        <w:pStyle w:val="101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4"/>
        <w:spacing w:line="360" w:lineRule="auto"/>
        <w:rPr>
          <w:rFonts w:ascii="宋体" w:hAnsi="宋体" w:cs="宋体"/>
          <w:color w:val="000000"/>
          <w:sz w:val="24"/>
          <w:highlight w:val="none"/>
        </w:rPr>
      </w:pPr>
      <w:r>
        <w:rPr>
          <w:rFonts w:ascii="宋体" w:hAnsi="宋体" w:cs="宋体"/>
          <w:color w:val="000000"/>
          <w:sz w:val="24"/>
          <w:highlight w:val="none"/>
        </w:rPr>
      </w:r>
      <w:r/>
    </w:p>
    <w:p>
      <w:pPr>
        <w:pStyle w:val="101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1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4"/>
        <w:spacing w:line="360" w:lineRule="auto"/>
        <w:rPr>
          <w:rFonts w:ascii="宋体" w:hAnsi="宋体"/>
          <w:b/>
          <w:color w:val="000000"/>
          <w:sz w:val="24"/>
          <w:highlight w:val="none"/>
        </w:rPr>
        <w:outlineLvl w:val="2"/>
      </w:pPr>
      <w:r>
        <w:rPr>
          <w:color w:val="000000"/>
          <w:sz w:val="24"/>
          <w:szCs w:val="20"/>
          <w:highlight w:val="none"/>
        </w:rPr>
        <w:br w:type="page" w:clear="all"/>
      </w:r>
      <w:r>
        <w:rPr>
          <w:b/>
          <w:color w:val="000000"/>
          <w:sz w:val="24"/>
          <w:highlight w:val="none"/>
        </w:rPr>
        <w:t xml:space="preserve">1</w:t>
      </w:r>
      <w:r>
        <w:rPr>
          <w:rFonts w:hint="eastAsia"/>
          <w:b/>
          <w:color w:val="000000"/>
          <w:sz w:val="24"/>
          <w:highlight w:val="none"/>
        </w:rPr>
        <w:t xml:space="preserve">7</w:t>
      </w:r>
      <w:r>
        <w:rPr>
          <w:b/>
          <w:color w:val="000000"/>
          <w:sz w:val="24"/>
          <w:highlight w:val="none"/>
        </w:rPr>
        <w:t xml:space="preserve">  磋商文件要求提供或供应商认为应附的其他材料</w:t>
      </w:r>
      <w:r>
        <w:rPr>
          <w:rFonts w:ascii="宋体" w:hAnsi="宋体"/>
          <w:b/>
          <w:color w:val="000000"/>
          <w:sz w:val="24"/>
          <w:highlight w:val="none"/>
        </w:rPr>
      </w:r>
      <w:r/>
    </w:p>
    <w:p>
      <w:pPr>
        <w:pStyle w:val="1014"/>
        <w:rPr>
          <w:b/>
          <w:color w:val="000000"/>
          <w:sz w:val="36"/>
          <w:szCs w:val="36"/>
          <w:highlight w:val="none"/>
        </w:rPr>
      </w:pPr>
      <w:r>
        <w:rPr>
          <w:b/>
          <w:color w:val="000000"/>
          <w:sz w:val="36"/>
          <w:szCs w:val="36"/>
          <w:highlight w:val="none"/>
        </w:rPr>
      </w:r>
      <w:r/>
    </w:p>
    <w:p>
      <w:pPr>
        <w:pStyle w:val="1014"/>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014"/>
        <w:rPr>
          <w:rFonts w:ascii="宋体" w:hAnsi="宋体"/>
          <w:color w:val="000000"/>
          <w:sz w:val="36"/>
          <w:szCs w:val="36"/>
          <w:highlight w:val="none"/>
        </w:rPr>
      </w:pPr>
      <w:r>
        <w:rPr>
          <w:rFonts w:ascii="宋体" w:hAnsi="宋体"/>
          <w:color w:val="000000"/>
          <w:sz w:val="36"/>
          <w:szCs w:val="36"/>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本采购文件的最终解释权归常州市城投建设工程招标有限公司所有。</w:t>
      </w:r>
      <w:r>
        <w:rPr>
          <w:rFonts w:hint="eastAsia" w:ascii="宋体" w:hAnsi="宋体" w:cs="宋体"/>
          <w:bCs/>
          <w:color w:val="000000"/>
          <w:sz w:val="24"/>
          <w:highlight w:val="none"/>
        </w:rPr>
      </w:r>
      <w:r/>
    </w:p>
    <w:p>
      <w:pPr>
        <w:pStyle w:val="1014"/>
        <w:jc w:val="center"/>
        <w:rPr>
          <w:rFonts w:hint="eastAsia" w:ascii="宋体" w:hAnsi="宋体" w:cs="宋体"/>
          <w:color w:val="000000"/>
          <w:highlight w:val="none"/>
        </w:rPr>
      </w:pPr>
      <w:r>
        <w:rPr>
          <w:rFonts w:hint="eastAsia" w:ascii="宋体" w:hAnsi="宋体" w:cs="宋体"/>
          <w:b/>
          <w:color w:val="000000"/>
          <w:sz w:val="32"/>
          <w:highlight w:val="none"/>
        </w:rPr>
        <w:t xml:space="preserve">（全文完）</w:t>
      </w:r>
      <w:r>
        <w:rPr>
          <w:rFonts w:hint="eastAsia" w:ascii="宋体" w:hAnsi="宋体" w:cs="宋体"/>
          <w:color w:val="000000"/>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MS Mincho">
    <w:panose1 w:val="020206030504050903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9"/>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9"/>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6"/>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4"/>
      <w:isLgl w:val="false"/>
      <w:suff w:val="tab"/>
      <w:lvlText w:val="%1"/>
      <w:lvlJc w:val="left"/>
      <w:pPr>
        <w:pStyle w:val="1014"/>
        <w:ind w:left="680" w:hanging="680"/>
      </w:pPr>
      <w:rPr>
        <w:rFonts w:hint="eastAsia" w:ascii="宋体" w:hAnsi="宋体" w:eastAsia="宋体"/>
      </w:rPr>
    </w:lvl>
    <w:lvl w:ilvl="1">
      <w:start w:val="1"/>
      <w:numFmt w:val="decimal"/>
      <w:pStyle w:val="1225"/>
      <w:isLgl w:val="false"/>
      <w:suff w:val="tab"/>
      <w:lvlText w:val="%1.%2"/>
      <w:lvlJc w:val="left"/>
      <w:pPr>
        <w:pStyle w:val="1014"/>
        <w:ind w:left="851" w:hanging="851"/>
      </w:pPr>
      <w:rPr>
        <w:rFonts w:hint="eastAsia" w:ascii="宋体" w:hAnsi="宋体" w:eastAsia="宋体"/>
        <w:color w:val="000000"/>
      </w:rPr>
    </w:lvl>
    <w:lvl w:ilvl="2">
      <w:start w:val="1"/>
      <w:numFmt w:val="decimal"/>
      <w:pStyle w:val="1226"/>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4"/>
      <w:lang w:val="en-US" w:eastAsia="zh-CN" w:bidi="ar-SA"/>
    </w:rPr>
  </w:style>
  <w:style w:type="paragraph" w:styleId="1015">
    <w:name w:val="标题 1"/>
    <w:basedOn w:val="1014"/>
    <w:next w:val="1014"/>
    <w:link w:val="1026"/>
    <w:qFormat/>
    <w:pPr>
      <w:jc w:val="center"/>
      <w:keepLines/>
      <w:keepNext/>
      <w:spacing w:before="240" w:after="120" w:line="300" w:lineRule="auto"/>
      <w:outlineLvl w:val="0"/>
    </w:pPr>
    <w:rPr>
      <w:rFonts w:ascii="宋体"/>
      <w:b/>
      <w:sz w:val="32"/>
      <w:szCs w:val="20"/>
    </w:rPr>
  </w:style>
  <w:style w:type="paragraph" w:styleId="1016">
    <w:name w:val="标题 2"/>
    <w:basedOn w:val="1014"/>
    <w:next w:val="1028"/>
    <w:link w:val="1027"/>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28"/>
    <w:link w:val="1030"/>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1"/>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2"/>
    <w:qFormat/>
    <w:pPr>
      <w:keepLines/>
      <w:keepNext/>
      <w:spacing w:before="280" w:after="290" w:line="376" w:lineRule="atLeast"/>
      <w:outlineLvl w:val="4"/>
    </w:pPr>
    <w:rPr>
      <w:b/>
      <w:sz w:val="28"/>
      <w:szCs w:val="20"/>
    </w:rPr>
  </w:style>
  <w:style w:type="paragraph" w:styleId="1020">
    <w:name w:val="标题 6"/>
    <w:basedOn w:val="1014"/>
    <w:next w:val="1014"/>
    <w:link w:val="1033"/>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4"/>
    <w:qFormat/>
    <w:pPr>
      <w:keepLines/>
      <w:keepNext/>
      <w:spacing w:before="240" w:after="64" w:line="320" w:lineRule="atLeast"/>
      <w:outlineLvl w:val="6"/>
    </w:pPr>
    <w:rPr>
      <w:b/>
      <w:sz w:val="24"/>
      <w:szCs w:val="20"/>
    </w:rPr>
  </w:style>
  <w:style w:type="paragraph" w:styleId="1022">
    <w:name w:val="标题 8"/>
    <w:basedOn w:val="1014"/>
    <w:next w:val="1014"/>
    <w:link w:val="1035"/>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36"/>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character" w:styleId="1026">
    <w:name w:val="标题 1 字符"/>
    <w:next w:val="1026"/>
    <w:link w:val="1015"/>
    <w:qFormat/>
    <w:rPr>
      <w:rFonts w:ascii="宋体"/>
      <w:b/>
      <w:sz w:val="32"/>
    </w:rPr>
  </w:style>
  <w:style w:type="character" w:styleId="1027">
    <w:name w:val="标题 2 字符"/>
    <w:next w:val="1027"/>
    <w:link w:val="1016"/>
    <w:qFormat/>
    <w:rPr>
      <w:rFonts w:ascii="Arial" w:hAnsi="Arial" w:eastAsia="黑体"/>
      <w:b/>
      <w:sz w:val="30"/>
      <w:lang w:val="en-US" w:eastAsia="zh-CN" w:bidi="ar-SA"/>
    </w:rPr>
  </w:style>
  <w:style w:type="paragraph" w:styleId="1028">
    <w:name w:val="正文缩进"/>
    <w:basedOn w:val="1014"/>
    <w:next w:val="1028"/>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7"/>
    <w:qFormat/>
    <w:rPr>
      <w:rFonts w:ascii="宋体" w:eastAsia="宋体"/>
      <w:b/>
      <w:sz w:val="24"/>
      <w:u w:val="single"/>
      <w:lang w:val="en-US" w:eastAsia="zh-CN" w:bidi="ar-SA"/>
    </w:rPr>
  </w:style>
  <w:style w:type="character" w:styleId="1031">
    <w:name w:val="标题 4 字符"/>
    <w:next w:val="1031"/>
    <w:link w:val="1018"/>
    <w:qFormat/>
    <w:rPr>
      <w:rFonts w:ascii="Arial" w:hAnsi="Arial" w:eastAsia="黑体"/>
      <w:b/>
      <w:sz w:val="28"/>
    </w:rPr>
  </w:style>
  <w:style w:type="character" w:styleId="1032">
    <w:name w:val="标题 5 字符"/>
    <w:next w:val="1032"/>
    <w:link w:val="1019"/>
    <w:qFormat/>
    <w:rPr>
      <w:b/>
      <w:sz w:val="28"/>
    </w:rPr>
  </w:style>
  <w:style w:type="character" w:styleId="1033">
    <w:name w:val="标题 6 字符"/>
    <w:next w:val="1033"/>
    <w:link w:val="1020"/>
    <w:qFormat/>
    <w:rPr>
      <w:rFonts w:ascii="Arial" w:hAnsi="Arial" w:eastAsia="黑体"/>
      <w:b/>
      <w:sz w:val="24"/>
    </w:rPr>
  </w:style>
  <w:style w:type="character" w:styleId="1034">
    <w:name w:val="标题 7 字符"/>
    <w:next w:val="1034"/>
    <w:link w:val="1021"/>
    <w:qFormat/>
    <w:rPr>
      <w:b/>
      <w:sz w:val="24"/>
    </w:rPr>
  </w:style>
  <w:style w:type="character" w:styleId="1035">
    <w:name w:val="标题 8 字符"/>
    <w:next w:val="1035"/>
    <w:link w:val="1022"/>
    <w:qFormat/>
    <w:rPr>
      <w:rFonts w:ascii="Arial" w:hAnsi="Arial" w:eastAsia="黑体"/>
      <w:sz w:val="24"/>
    </w:rPr>
  </w:style>
  <w:style w:type="character" w:styleId="1036">
    <w:name w:val="标题 9 字符"/>
    <w:next w:val="1036"/>
    <w:link w:val="1023"/>
    <w:qFormat/>
    <w:rPr>
      <w:rFonts w:ascii="Arial" w:hAnsi="Arial" w:eastAsia="黑体"/>
      <w:sz w:val="21"/>
    </w:rPr>
  </w:style>
  <w:style w:type="paragraph" w:styleId="1037">
    <w:name w:val="目录 7"/>
    <w:basedOn w:val="1014"/>
    <w:next w:val="1014"/>
    <w:link w:val="1014"/>
    <w:qFormat/>
    <w:pPr>
      <w:ind w:left="2520"/>
    </w:pPr>
  </w:style>
  <w:style w:type="paragraph" w:styleId="1038">
    <w:name w:val="题注"/>
    <w:basedOn w:val="1014"/>
    <w:next w:val="1014"/>
    <w:link w:val="1014"/>
    <w:qFormat/>
    <w:pPr>
      <w:spacing w:line="480" w:lineRule="auto"/>
    </w:pPr>
    <w:rPr>
      <w:rFonts w:ascii="华文中宋" w:hAnsi="华文中宋" w:eastAsia="华文中宋"/>
      <w:sz w:val="36"/>
      <w:szCs w:val="20"/>
    </w:rPr>
  </w:style>
  <w:style w:type="paragraph" w:styleId="1039">
    <w:name w:val="文档结构图"/>
    <w:basedOn w:val="1014"/>
    <w:next w:val="1039"/>
    <w:link w:val="1040"/>
    <w:qFormat/>
    <w:pPr>
      <w:shd w:val="clear" w:color="auto" w:fill="000080"/>
    </w:pPr>
  </w:style>
  <w:style w:type="character" w:styleId="1040">
    <w:name w:val="文档结构图 字符"/>
    <w:next w:val="1040"/>
    <w:link w:val="1039"/>
    <w:qFormat/>
    <w:rPr>
      <w:sz w:val="21"/>
      <w:szCs w:val="24"/>
      <w:shd w:val="clear" w:color="auto" w:fill="000080"/>
    </w:rPr>
  </w:style>
  <w:style w:type="paragraph" w:styleId="1041">
    <w:name w:val="批注文字"/>
    <w:basedOn w:val="1014"/>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4"/>
    <w:next w:val="1043"/>
    <w:link w:val="1044"/>
    <w:qFormat/>
    <w:pPr>
      <w:spacing w:after="120"/>
    </w:pPr>
    <w:rPr>
      <w:sz w:val="16"/>
      <w:szCs w:val="16"/>
    </w:rPr>
  </w:style>
  <w:style w:type="character" w:styleId="1044">
    <w:name w:val="正文文本 3 字符"/>
    <w:next w:val="1044"/>
    <w:link w:val="1043"/>
    <w:qFormat/>
    <w:rPr>
      <w:sz w:val="16"/>
      <w:szCs w:val="16"/>
    </w:rPr>
  </w:style>
  <w:style w:type="paragraph" w:styleId="1045">
    <w:name w:val="正文文本"/>
    <w:basedOn w:val="1014"/>
    <w:next w:val="1045"/>
    <w:link w:val="1046"/>
    <w:qFormat/>
    <w:pPr>
      <w:spacing w:before="120" w:line="22" w:lineRule="atLeast"/>
      <w:tabs>
        <w:tab w:val="left" w:pos="567" w:leader="none"/>
      </w:tabs>
    </w:pPr>
    <w:rPr>
      <w:rFonts w:ascii="宋体" w:hAnsi="宋体"/>
      <w:sz w:val="24"/>
    </w:rPr>
  </w:style>
  <w:style w:type="character" w:styleId="1046">
    <w:name w:val="正文文本 字符"/>
    <w:next w:val="1046"/>
    <w:link w:val="1045"/>
    <w:qFormat/>
    <w:rPr>
      <w:rFonts w:ascii="宋体" w:hAnsi="宋体"/>
      <w:sz w:val="24"/>
      <w:szCs w:val="24"/>
    </w:rPr>
  </w:style>
  <w:style w:type="paragraph" w:styleId="1047">
    <w:name w:val="正文文本缩进"/>
    <w:basedOn w:val="1014"/>
    <w:next w:val="1047"/>
    <w:link w:val="1048"/>
    <w:qFormat/>
    <w:pPr>
      <w:ind w:firstLine="570"/>
      <w:spacing w:line="360" w:lineRule="auto"/>
    </w:pPr>
    <w:rPr>
      <w:sz w:val="24"/>
    </w:rPr>
  </w:style>
  <w:style w:type="character" w:styleId="1048">
    <w:name w:val="正文文本缩进 字符"/>
    <w:next w:val="1048"/>
    <w:link w:val="1047"/>
    <w:qFormat/>
    <w:rPr>
      <w:rFonts w:eastAsia="宋体"/>
      <w:sz w:val="24"/>
      <w:szCs w:val="24"/>
      <w:lang w:val="en-US" w:eastAsia="zh-CN" w:bidi="ar-SA"/>
    </w:rPr>
  </w:style>
  <w:style w:type="paragraph" w:styleId="1049">
    <w:name w:val="列表 2"/>
    <w:basedOn w:val="1014"/>
    <w:next w:val="1049"/>
    <w:link w:val="1014"/>
    <w:qFormat/>
    <w:pPr>
      <w:ind w:left="100" w:hanging="200"/>
    </w:pPr>
  </w:style>
  <w:style w:type="paragraph" w:styleId="1050">
    <w:name w:val="文本块"/>
    <w:basedOn w:val="1014"/>
    <w:next w:val="1050"/>
    <w:link w:val="1014"/>
    <w:qFormat/>
    <w:pPr>
      <w:ind w:left="480" w:right="-341" w:firstLine="513"/>
      <w:widowControl/>
    </w:pPr>
    <w:rPr>
      <w:sz w:val="24"/>
      <w:szCs w:val="20"/>
    </w:rPr>
  </w:style>
  <w:style w:type="paragraph" w:styleId="1051">
    <w:name w:val="目录 5"/>
    <w:basedOn w:val="1014"/>
    <w:next w:val="1014"/>
    <w:link w:val="1014"/>
    <w:qFormat/>
    <w:pPr>
      <w:ind w:left="1680"/>
    </w:pPr>
  </w:style>
  <w:style w:type="paragraph" w:styleId="1052">
    <w:name w:val="目录 3"/>
    <w:basedOn w:val="1014"/>
    <w:next w:val="1014"/>
    <w:link w:val="1014"/>
    <w:uiPriority w:val="39"/>
    <w:qFormat/>
    <w:pPr>
      <w:ind w:left="840"/>
    </w:pPr>
  </w:style>
  <w:style w:type="paragraph" w:styleId="1053">
    <w:name w:val="纯文本"/>
    <w:basedOn w:val="1014"/>
    <w:next w:val="1053"/>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4"/>
    <w:next w:val="1014"/>
    <w:link w:val="1014"/>
    <w:qFormat/>
    <w:pPr>
      <w:ind w:left="2940"/>
    </w:pPr>
  </w:style>
  <w:style w:type="paragraph" w:styleId="1056">
    <w:name w:val="日期"/>
    <w:basedOn w:val="1014"/>
    <w:next w:val="1014"/>
    <w:link w:val="1057"/>
    <w:qFormat/>
    <w:pPr>
      <w:ind w:left="100"/>
    </w:pPr>
    <w:rPr>
      <w:rFonts w:ascii="仿宋_GB2312" w:hAnsi="宋体" w:eastAsia="仿宋_GB2312"/>
      <w:color w:val="000000"/>
      <w:sz w:val="24"/>
    </w:rPr>
  </w:style>
  <w:style w:type="character" w:styleId="1057">
    <w:name w:val="日期 字符"/>
    <w:next w:val="1057"/>
    <w:link w:val="1056"/>
    <w:qFormat/>
    <w:rPr>
      <w:rFonts w:ascii="仿宋_GB2312" w:hAnsi="宋体" w:eastAsia="仿宋_GB2312"/>
      <w:color w:val="000000"/>
      <w:sz w:val="24"/>
      <w:szCs w:val="24"/>
    </w:rPr>
  </w:style>
  <w:style w:type="paragraph" w:styleId="1058">
    <w:name w:val="正文文本缩进 2"/>
    <w:basedOn w:val="1014"/>
    <w:next w:val="1058"/>
    <w:link w:val="1059"/>
    <w:qFormat/>
    <w:pPr>
      <w:ind w:firstLine="480"/>
    </w:pPr>
    <w:rPr>
      <w:rFonts w:ascii="仿宋_GB2312" w:eastAsia="仿宋_GB2312"/>
      <w:sz w:val="24"/>
    </w:rPr>
  </w:style>
  <w:style w:type="character" w:styleId="1059">
    <w:name w:val="正文文本缩进 2 字符"/>
    <w:next w:val="1059"/>
    <w:link w:val="1058"/>
    <w:qFormat/>
    <w:rPr>
      <w:rFonts w:ascii="仿宋_GB2312" w:eastAsia="仿宋_GB2312"/>
      <w:sz w:val="24"/>
      <w:szCs w:val="24"/>
    </w:rPr>
  </w:style>
  <w:style w:type="paragraph" w:styleId="1060">
    <w:name w:val="批注框文本"/>
    <w:basedOn w:val="1014"/>
    <w:next w:val="1060"/>
    <w:link w:val="1061"/>
    <w:qFormat/>
    <w:rPr>
      <w:sz w:val="18"/>
      <w:szCs w:val="18"/>
    </w:rPr>
  </w:style>
  <w:style w:type="character" w:styleId="1061">
    <w:name w:val="批注框文本 字符"/>
    <w:next w:val="1061"/>
    <w:link w:val="1060"/>
    <w:qFormat/>
    <w:rPr>
      <w:sz w:val="18"/>
      <w:szCs w:val="18"/>
    </w:rPr>
  </w:style>
  <w:style w:type="paragraph" w:styleId="1062">
    <w:name w:val="页脚"/>
    <w:basedOn w:val="1014"/>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
    <w:next w:val="1063"/>
    <w:link w:val="1062"/>
    <w:uiPriority w:val="99"/>
    <w:qFormat/>
    <w:rPr>
      <w:rFonts w:ascii="宋体" w:eastAsia="宋体"/>
      <w:sz w:val="18"/>
      <w:lang w:val="en-US" w:eastAsia="zh-CN" w:bidi="ar-SA"/>
    </w:rPr>
  </w:style>
  <w:style w:type="paragraph" w:styleId="1064">
    <w:name w:val="页眉"/>
    <w:basedOn w:val="1014"/>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qFormat/>
    <w:rPr>
      <w:rFonts w:eastAsia="宋体"/>
      <w:sz w:val="18"/>
      <w:szCs w:val="18"/>
      <w:lang w:val="en-US" w:eastAsia="zh-CN" w:bidi="ar-SA"/>
    </w:rPr>
  </w:style>
  <w:style w:type="paragraph" w:styleId="1066">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7">
    <w:name w:val="目录 4"/>
    <w:basedOn w:val="1014"/>
    <w:next w:val="1014"/>
    <w:link w:val="1014"/>
    <w:qFormat/>
    <w:pPr>
      <w:ind w:left="1260"/>
    </w:pPr>
  </w:style>
  <w:style w:type="paragraph" w:styleId="1068">
    <w:name w:val="目录 6"/>
    <w:basedOn w:val="1014"/>
    <w:next w:val="1014"/>
    <w:link w:val="1014"/>
    <w:qFormat/>
    <w:pPr>
      <w:ind w:left="2100"/>
    </w:pPr>
  </w:style>
  <w:style w:type="paragraph" w:styleId="1069">
    <w:name w:val="正文文本缩进 3"/>
    <w:basedOn w:val="1014"/>
    <w:next w:val="1069"/>
    <w:link w:val="1070"/>
    <w:qFormat/>
    <w:pPr>
      <w:ind w:left="720" w:firstLine="480"/>
      <w:jc w:val="left"/>
      <w:spacing w:before="120" w:line="22" w:lineRule="atLeast"/>
    </w:pPr>
    <w:rPr>
      <w:rFonts w:ascii="宋体"/>
      <w:sz w:val="24"/>
      <w:szCs w:val="20"/>
    </w:rPr>
  </w:style>
  <w:style w:type="character" w:styleId="1070">
    <w:name w:val="正文文本缩进 3 字符"/>
    <w:next w:val="1070"/>
    <w:link w:val="1069"/>
    <w:qFormat/>
    <w:rPr>
      <w:rFonts w:ascii="宋体"/>
      <w:sz w:val="24"/>
    </w:rPr>
  </w:style>
  <w:style w:type="paragraph" w:styleId="1071">
    <w:name w:val="目录 2"/>
    <w:basedOn w:val="1014"/>
    <w:next w:val="1014"/>
    <w:link w:val="1014"/>
    <w:uiPriority w:val="39"/>
    <w:qFormat/>
    <w:pPr>
      <w:ind w:left="420"/>
      <w:spacing w:line="312" w:lineRule="auto"/>
      <w:tabs>
        <w:tab w:val="right" w:pos="8937" w:leader="dot"/>
      </w:tabs>
    </w:pPr>
  </w:style>
  <w:style w:type="paragraph" w:styleId="1072">
    <w:name w:val="目录 9"/>
    <w:basedOn w:val="1014"/>
    <w:next w:val="1014"/>
    <w:link w:val="1014"/>
    <w:qFormat/>
    <w:pPr>
      <w:ind w:left="3360"/>
    </w:pPr>
  </w:style>
  <w:style w:type="paragraph" w:styleId="1073">
    <w:name w:val="HTML 预设格式"/>
    <w:basedOn w:val="1014"/>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name w:val="HTML 预设格式 字符"/>
    <w:next w:val="1074"/>
    <w:link w:val="1073"/>
    <w:qFormat/>
    <w:rPr>
      <w:rFonts w:ascii="宋体" w:hAnsi="宋体" w:cs="宋体"/>
      <w:sz w:val="24"/>
      <w:szCs w:val="24"/>
    </w:rPr>
  </w:style>
  <w:style w:type="paragraph" w:styleId="1075">
    <w:name w:val="普通(网站)"/>
    <w:basedOn w:val="1014"/>
    <w:next w:val="1075"/>
    <w:link w:val="1014"/>
    <w:uiPriority w:val="99"/>
    <w:unhideWhenUsed/>
    <w:qFormat/>
    <w:pPr>
      <w:jc w:val="left"/>
      <w:spacing w:before="100" w:beforeAutospacing="1" w:after="100" w:afterAutospacing="1"/>
      <w:widowControl/>
    </w:pPr>
    <w:rPr>
      <w:rFonts w:ascii="宋体" w:hAnsi="宋体" w:cs="宋体"/>
      <w:sz w:val="24"/>
    </w:rPr>
  </w:style>
  <w:style w:type="paragraph" w:styleId="1076">
    <w:name w:val="索引 1"/>
    <w:basedOn w:val="1014"/>
    <w:next w:val="1014"/>
    <w:link w:val="1014"/>
    <w:qFormat/>
    <w:rPr>
      <w:szCs w:val="20"/>
    </w:rPr>
  </w:style>
  <w:style w:type="paragraph" w:styleId="1077">
    <w:name w:val="标题"/>
    <w:basedOn w:val="1014"/>
    <w:next w:val="1077"/>
    <w:link w:val="1078"/>
    <w:qFormat/>
    <w:pPr>
      <w:jc w:val="center"/>
      <w:outlineLvl w:val="0"/>
    </w:pPr>
    <w:rPr>
      <w:b/>
      <w:sz w:val="32"/>
      <w:szCs w:val="20"/>
    </w:rPr>
  </w:style>
  <w:style w:type="character" w:styleId="1078">
    <w:name w:val="标题 字符"/>
    <w:next w:val="1078"/>
    <w:link w:val="1077"/>
    <w:qFormat/>
    <w:rPr>
      <w:b/>
      <w:sz w:val="32"/>
    </w:rPr>
  </w:style>
  <w:style w:type="paragraph" w:styleId="1079">
    <w:name w:val="批注主题"/>
    <w:basedOn w:val="1041"/>
    <w:next w:val="1041"/>
    <w:link w:val="1080"/>
    <w:qFormat/>
    <w:rPr>
      <w:b/>
      <w:bCs/>
    </w:rPr>
  </w:style>
  <w:style w:type="character" w:styleId="1080">
    <w:name w:val="批注主题 字符"/>
    <w:next w:val="1080"/>
    <w:link w:val="1079"/>
    <w:qFormat/>
    <w:rPr>
      <w:rFonts w:ascii="Times New Roman" w:hAnsi="Times New Roman" w:eastAsia="宋体" w:cs="Times New Roman"/>
      <w:b/>
      <w:bCs/>
      <w:sz w:val="21"/>
      <w:szCs w:val="24"/>
      <w:lang w:val="en-US" w:eastAsia="zh-CN" w:bidi="ar-SA"/>
    </w:rPr>
  </w:style>
  <w:style w:type="paragraph" w:styleId="1081">
    <w:name w:val="正文首行缩进 2"/>
    <w:basedOn w:val="1047"/>
    <w:next w:val="1081"/>
    <w:link w:val="1082"/>
    <w:qFormat/>
    <w:pPr>
      <w:ind w:left="420" w:firstLine="420"/>
      <w:spacing w:after="120" w:line="480" w:lineRule="exact"/>
    </w:pPr>
    <w:rPr>
      <w:szCs w:val="20"/>
    </w:rPr>
  </w:style>
  <w:style w:type="character" w:styleId="1082">
    <w:name w:val="正文文本首行缩进 2 字符"/>
    <w:next w:val="1082"/>
    <w:link w:val="1081"/>
    <w:qFormat/>
    <w:rPr>
      <w:rFonts w:eastAsia="宋体"/>
      <w:sz w:val="24"/>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basedOn w:val="1024"/>
    <w:next w:val="1085"/>
    <w:link w:val="1014"/>
    <w:qFormat/>
    <w:rPr>
      <w:b/>
      <w:bCs/>
    </w:rPr>
  </w:style>
  <w:style w:type="character" w:styleId="1086">
    <w:name w:val="页码"/>
    <w:next w:val="1086"/>
    <w:link w:val="1014"/>
    <w:qFormat/>
  </w:style>
  <w:style w:type="character" w:styleId="1087">
    <w:name w:val="已访问的超链接"/>
    <w:next w:val="1087"/>
    <w:link w:val="1014"/>
    <w:qFormat/>
    <w:rPr>
      <w:color w:val="800080"/>
      <w:u w:val="single"/>
    </w:rPr>
  </w:style>
  <w:style w:type="character" w:styleId="1088">
    <w:name w:val="强调"/>
    <w:next w:val="1088"/>
    <w:link w:val="1014"/>
    <w:qFormat/>
    <w:rPr>
      <w:color w:val="cc0033"/>
    </w:rPr>
  </w:style>
  <w:style w:type="character" w:styleId="1089">
    <w:name w:val="超链接"/>
    <w:next w:val="1089"/>
    <w:link w:val="1014"/>
    <w:uiPriority w:val="99"/>
    <w:qFormat/>
    <w:rPr>
      <w:color w:val="0000ff"/>
      <w:u w:val="singl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paragraph" w:styleId="1092">
    <w:name w:val="正文首行缩进 21"/>
    <w:basedOn w:val="1093"/>
    <w:next w:val="1092"/>
    <w:link w:val="1014"/>
    <w:qFormat/>
    <w:pPr>
      <w:ind w:left="420" w:firstLine="420"/>
      <w:spacing w:after="120" w:line="480" w:lineRule="exact"/>
    </w:pPr>
  </w:style>
  <w:style w:type="paragraph" w:styleId="1093">
    <w:name w:val="正文文本缩进11"/>
    <w:basedOn w:val="1014"/>
    <w:next w:val="1014"/>
    <w:link w:val="1014"/>
    <w:qFormat/>
    <w:pPr>
      <w:ind w:firstLine="570"/>
      <w:spacing w:line="360" w:lineRule="auto"/>
    </w:pPr>
    <w:rPr>
      <w:sz w:val="24"/>
    </w:rPr>
  </w:style>
  <w:style w:type="character" w:styleId="1094">
    <w:name w:val="批注文字 字符"/>
    <w:next w:val="1094"/>
    <w:link w:val="1014"/>
    <w:uiPriority w:val="99"/>
    <w:qFormat/>
    <w:rPr>
      <w:rFonts w:ascii="Times New Roman" w:hAnsi="Times New Roman" w:eastAsia="宋体" w:cs="Times New Roman"/>
      <w:sz w:val="24"/>
      <w:lang w:val="en-US" w:eastAsia="zh-CN" w:bidi="ar-SA"/>
    </w:rPr>
  </w:style>
  <w:style w:type="character" w:styleId="1095">
    <w:name w:val="c21"/>
    <w:next w:val="1095"/>
    <w:link w:val="1014"/>
    <w:qFormat/>
    <w:rPr>
      <w:rFonts w:ascii="ˎ̥" w:hAnsi="ˎ̥"/>
      <w:color w:val="000000"/>
      <w:sz w:val="20"/>
      <w:szCs w:val="20"/>
      <w:u w:val="none"/>
    </w:rPr>
  </w:style>
  <w:style w:type="character" w:styleId="1096">
    <w:name w:val="title4"/>
    <w:next w:val="1096"/>
    <w:link w:val="1014"/>
    <w:qFormat/>
    <w:rPr>
      <w:b/>
      <w:bCs/>
      <w:color w:val="1d87b3"/>
      <w:sz w:val="15"/>
      <w:szCs w:val="15"/>
    </w:rPr>
  </w:style>
  <w:style w:type="character" w:styleId="1097">
    <w:name w:val="标题 2 Char Char"/>
    <w:next w:val="1097"/>
    <w:link w:val="1014"/>
    <w:qFormat/>
    <w:rPr>
      <w:rFonts w:ascii="Arial" w:hAnsi="Arial" w:eastAsia="黑体"/>
      <w:b/>
      <w:bCs/>
      <w:sz w:val="32"/>
      <w:szCs w:val="32"/>
      <w:lang w:val="en-US" w:eastAsia="zh-CN" w:bidi="ar-SA"/>
    </w:rPr>
  </w:style>
  <w:style w:type="character" w:styleId="1098">
    <w:name w:val="black1"/>
    <w:next w:val="1098"/>
    <w:link w:val="1014"/>
    <w:qFormat/>
    <w:rPr>
      <w:color w:val="000000"/>
    </w:rPr>
  </w:style>
  <w:style w:type="character" w:styleId="1099">
    <w:name w:val="street-address"/>
    <w:next w:val="1099"/>
    <w:link w:val="1014"/>
    <w:qFormat/>
  </w:style>
  <w:style w:type="character" w:styleId="1100">
    <w:name w:val="locality"/>
    <w:next w:val="1100"/>
    <w:link w:val="1014"/>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4"/>
    <w:next w:val="1102"/>
    <w:link w:val="1101"/>
    <w:qFormat/>
    <w:pPr>
      <w:ind w:firstLine="480"/>
      <w:spacing w:line="480" w:lineRule="exact"/>
    </w:pPr>
    <w:rPr>
      <w:rFonts w:ascii="宋体" w:hAnsi="宋体"/>
      <w:sz w:val="24"/>
    </w:rPr>
  </w:style>
  <w:style w:type="character" w:styleId="1103">
    <w:name w:val="Char Char11"/>
    <w:next w:val="1103"/>
    <w:link w:val="1014"/>
    <w:qFormat/>
    <w:rPr>
      <w:rFonts w:ascii="宋体" w:eastAsia="宋体"/>
      <w:b/>
      <w:sz w:val="24"/>
      <w:u w:val="single"/>
      <w:lang w:val="en-US" w:eastAsia="zh-CN" w:bidi="ar-SA"/>
    </w:rPr>
  </w:style>
  <w:style w:type="character" w:styleId="1104">
    <w:name w:val="txt"/>
    <w:next w:val="1104"/>
    <w:link w:val="1014"/>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4"/>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4"/>
    <w:qFormat/>
    <w:rPr>
      <w:rFonts w:ascii="宋体" w:hAnsi="Courier New" w:eastAsia="宋体"/>
      <w:sz w:val="21"/>
      <w:lang w:val="en-US" w:eastAsia="zh-CN" w:bidi="ar-SA"/>
    </w:rPr>
  </w:style>
  <w:style w:type="character" w:styleId="1108">
    <w:name w:val="chanpin1"/>
    <w:next w:val="1108"/>
    <w:link w:val="1014"/>
    <w:qFormat/>
    <w:rPr>
      <w:rFonts w:ascii="ˎ̥" w:hAnsi="ˎ̥"/>
      <w:color w:val="000000"/>
      <w:sz w:val="20"/>
      <w:szCs w:val="20"/>
      <w:u w:val="none"/>
    </w:rPr>
  </w:style>
  <w:style w:type="character" w:styleId="1109">
    <w:name w:val="列表段落 字符"/>
    <w:next w:val="1109"/>
    <w:link w:val="1110"/>
    <w:uiPriority w:val="34"/>
    <w:qFormat/>
    <w:rPr>
      <w:rFonts w:ascii="Calibri" w:hAnsi="Calibri" w:eastAsia="宋体"/>
      <w:sz w:val="21"/>
      <w:szCs w:val="22"/>
      <w:lang w:val="en-US" w:eastAsia="zh-CN" w:bidi="ar-SA"/>
    </w:rPr>
  </w:style>
  <w:style w:type="paragraph" w:styleId="1110">
    <w:name w:val="列表段落"/>
    <w:basedOn w:val="1014"/>
    <w:next w:val="1110"/>
    <w:link w:val="1109"/>
    <w:uiPriority w:val="34"/>
    <w:qFormat/>
    <w:pPr>
      <w:ind w:firstLine="420"/>
    </w:pPr>
    <w:rPr>
      <w:rFonts w:ascii="Calibri" w:hAnsi="Calibri"/>
      <w:szCs w:val="22"/>
    </w:rPr>
  </w:style>
  <w:style w:type="character" w:styleId="1111">
    <w:name w:val="标题 3 Char Char"/>
    <w:next w:val="1111"/>
    <w:link w:val="1014"/>
    <w:qFormat/>
    <w:rPr>
      <w:rFonts w:eastAsia="宋体"/>
      <w:b/>
      <w:bCs/>
      <w:sz w:val="32"/>
      <w:szCs w:val="32"/>
      <w:lang w:val="en-US" w:eastAsia="zh-CN" w:bidi="ar-SA"/>
    </w:rPr>
  </w:style>
  <w:style w:type="character" w:styleId="1112">
    <w:name w:val="段1 Char"/>
    <w:next w:val="1112"/>
    <w:link w:val="1014"/>
    <w:qFormat/>
    <w:rPr>
      <w:rFonts w:ascii="宋体" w:eastAsia="宋体"/>
      <w:sz w:val="24"/>
      <w:lang w:val="en-US" w:eastAsia="zh-CN" w:bidi="ar-SA"/>
    </w:rPr>
  </w:style>
  <w:style w:type="character" w:styleId="1113">
    <w:name w:val="chanpin拷贝"/>
    <w:next w:val="1113"/>
    <w:link w:val="1014"/>
    <w:qFormat/>
  </w:style>
  <w:style w:type="character" w:styleId="1114">
    <w:name w:val="纯文本 Char1"/>
    <w:next w:val="1114"/>
    <w:link w:val="1014"/>
    <w:qFormat/>
    <w:rPr>
      <w:rFonts w:ascii="宋体" w:hAnsi="Courier New" w:eastAsia="宋体"/>
      <w:sz w:val="21"/>
      <w:lang w:val="en-US" w:eastAsia="zh-CN" w:bidi="ar-SA"/>
    </w:rPr>
  </w:style>
  <w:style w:type="character" w:styleId="1115">
    <w:name w:val="apple-style-span"/>
    <w:next w:val="1115"/>
    <w:link w:val="1014"/>
    <w:qFormat/>
    <w:rPr>
      <w:rFonts w:cs="Times New Roman"/>
    </w:rPr>
  </w:style>
  <w:style w:type="paragraph" w:styleId="1116">
    <w:name w:val="二级条标题"/>
    <w:basedOn w:val="1117"/>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4"/>
    <w:link w:val="1014"/>
    <w:qFormat/>
    <w:pPr>
      <w:numPr>
        <w:ilvl w:val="1"/>
      </w:numPr>
      <w:ind w:left="0" w:hanging="840"/>
      <w:tabs>
        <w:tab w:val="left" w:pos="360" w:leader="none"/>
        <w:tab w:val="left" w:pos="840" w:leader="none"/>
      </w:tabs>
      <w:outlineLvl w:val="1"/>
    </w:pPr>
  </w:style>
  <w:style w:type="paragraph" w:styleId="1118">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4"/>
    <w:next w:val="1119"/>
    <w:link w:val="1014"/>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4"/>
    <w:next w:val="1120"/>
    <w:link w:val="1014"/>
    <w:qFormat/>
    <w:rPr>
      <w:rFonts w:ascii="Tahoma" w:hAnsi="Tahoma"/>
      <w:sz w:val="24"/>
      <w:szCs w:val="20"/>
    </w:rPr>
  </w:style>
  <w:style w:type="paragraph" w:styleId="1121">
    <w:name w:val="Char3 Char Char Char"/>
    <w:basedOn w:val="1014"/>
    <w:next w:val="1121"/>
    <w:link w:val="1014"/>
    <w:qFormat/>
    <w:rPr>
      <w:rFonts w:ascii="Tahoma" w:hAnsi="Tahoma"/>
      <w:sz w:val="24"/>
      <w:szCs w:val="20"/>
    </w:rPr>
  </w:style>
  <w:style w:type="paragraph" w:styleId="1122">
    <w:name w:val="font6"/>
    <w:basedOn w:val="1014"/>
    <w:next w:val="1122"/>
    <w:link w:val="1014"/>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4"/>
    <w:qFormat/>
    <w:pPr>
      <w:numPr>
        <w:numId w:val="3"/>
      </w:numPr>
    </w:pPr>
  </w:style>
  <w:style w:type="paragraph" w:styleId="1124">
    <w:name w:val="项目编号1"/>
    <w:basedOn w:val="1014"/>
    <w:next w:val="1124"/>
    <w:link w:val="1014"/>
    <w:qFormat/>
    <w:pPr>
      <w:numPr>
        <w:ilvl w:val="0"/>
        <w:numId w:val="2"/>
      </w:numPr>
      <w:spacing w:before="100" w:beforeAutospacing="1" w:after="100" w:afterAutospacing="1" w:line="360" w:lineRule="auto"/>
    </w:pPr>
    <w:rPr>
      <w:sz w:val="24"/>
    </w:rPr>
  </w:style>
  <w:style w:type="paragraph" w:styleId="1125">
    <w:name w:val="图中文字"/>
    <w:basedOn w:val="1014"/>
    <w:next w:val="1125"/>
    <w:link w:val="1014"/>
    <w:qFormat/>
    <w:pPr>
      <w:jc w:val="center"/>
      <w:spacing w:line="0" w:lineRule="atLeast"/>
    </w:pPr>
    <w:rPr>
      <w:sz w:val="24"/>
      <w:szCs w:val="20"/>
    </w:rPr>
  </w:style>
  <w:style w:type="paragraph" w:styleId="1126">
    <w:name w:val="xl46"/>
    <w:basedOn w:val="1014"/>
    <w:next w:val="1126"/>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4"/>
    <w:next w:val="112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4"/>
    <w:next w:val="1128"/>
    <w:link w:val="1014"/>
    <w:qFormat/>
    <w:rPr>
      <w:rFonts w:ascii="Tahoma" w:hAnsi="Tahoma"/>
      <w:sz w:val="24"/>
      <w:szCs w:val="20"/>
    </w:rPr>
  </w:style>
  <w:style w:type="paragraph" w:styleId="1129">
    <w:name w:val="xl35"/>
    <w:basedOn w:val="1014"/>
    <w:next w:val="1129"/>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4"/>
    <w:next w:val="1131"/>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4"/>
    <w:next w:val="1132"/>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4"/>
    <w:next w:val="1133"/>
    <w:link w:val="1014"/>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4"/>
    <w:next w:val="1134"/>
    <w:link w:val="1014"/>
    <w:qFormat/>
    <w:pPr>
      <w:ind w:firstLine="200"/>
      <w:spacing w:line="360" w:lineRule="auto"/>
    </w:pPr>
    <w:rPr>
      <w:rFonts w:eastAsia="仿宋_GB2312"/>
      <w:sz w:val="24"/>
    </w:rPr>
  </w:style>
  <w:style w:type="paragraph" w:styleId="1135">
    <w:name w:val="xl38"/>
    <w:basedOn w:val="1014"/>
    <w:next w:val="113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4"/>
    <w:next w:val="1136"/>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4"/>
    <w:next w:val="1137"/>
    <w:link w:val="1014"/>
    <w:qFormat/>
    <w:pPr>
      <w:ind w:left="360" w:hanging="360"/>
      <w:jc w:val="left"/>
      <w:widowControl/>
    </w:pPr>
    <w:rPr>
      <w:rFonts w:ascii="宋体" w:hAnsi="宋体" w:cs="宋体"/>
      <w:b/>
      <w:bCs/>
      <w:color w:val="000000"/>
      <w:sz w:val="18"/>
      <w:szCs w:val="18"/>
    </w:rPr>
  </w:style>
  <w:style w:type="paragraph" w:styleId="1138">
    <w:name w:val="正文列项_数字"/>
    <w:basedOn w:val="1014"/>
    <w:next w:val="1138"/>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4"/>
    <w:next w:val="113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4"/>
    <w:next w:val="1140"/>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4"/>
    <w:next w:val="1141"/>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4"/>
    <w:next w:val="1142"/>
    <w:link w:val="1014"/>
    <w:qFormat/>
    <w:pPr>
      <w:jc w:val="left"/>
      <w:spacing w:before="100" w:beforeAutospacing="1" w:after="100" w:afterAutospacing="1"/>
      <w:widowControl/>
    </w:pPr>
    <w:rPr>
      <w:sz w:val="36"/>
      <w:szCs w:val="36"/>
    </w:rPr>
  </w:style>
  <w:style w:type="paragraph" w:styleId="1143">
    <w:name w:val="Char"/>
    <w:basedOn w:val="1014"/>
    <w:next w:val="1143"/>
    <w:link w:val="1014"/>
    <w:qFormat/>
    <w:pPr>
      <w:tabs>
        <w:tab w:val="left" w:pos="360" w:leader="none"/>
      </w:tabs>
    </w:pPr>
    <w:rPr>
      <w:sz w:val="24"/>
    </w:rPr>
  </w:style>
  <w:style w:type="paragraph" w:styleId="1144">
    <w:name w:val="Char Char Char Char Char Char Char Char Char Char Char Char Char Char Char Char"/>
    <w:basedOn w:val="1014"/>
    <w:next w:val="1144"/>
    <w:link w:val="1014"/>
    <w:qFormat/>
    <w:pPr>
      <w:jc w:val="center"/>
      <w:spacing w:after="160" w:line="240" w:lineRule="exact"/>
      <w:widowControl/>
    </w:pPr>
    <w:rPr>
      <w:rFonts w:ascii="宋体" w:hAnsi="宋体"/>
      <w:b/>
      <w:sz w:val="30"/>
      <w:szCs w:val="30"/>
      <w:lang w:eastAsia="en-US"/>
    </w:rPr>
  </w:style>
  <w:style w:type="paragraph" w:styleId="1145">
    <w:name w:val="xl45"/>
    <w:basedOn w:val="1014"/>
    <w:next w:val="1145"/>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4"/>
    <w:next w:val="1146"/>
    <w:link w:val="1014"/>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39"/>
    <w:next w:val="1147"/>
    <w:link w:val="1014"/>
    <w:qFormat/>
    <w:rPr>
      <w:rFonts w:ascii="Tahoma" w:hAnsi="Tahoma"/>
      <w:sz w:val="24"/>
    </w:rPr>
  </w:style>
  <w:style w:type="paragraph" w:styleId="1148">
    <w:name w:val="xl26"/>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4"/>
    <w:next w:val="1149"/>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4"/>
    <w:next w:val="1150"/>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4"/>
    <w:next w:val="1151"/>
    <w:link w:val="1014"/>
    <w:qFormat/>
    <w:pPr>
      <w:jc w:val="left"/>
    </w:pPr>
    <w:rPr>
      <w:rFonts w:ascii="宋体" w:hAnsi="宋体"/>
      <w:szCs w:val="20"/>
    </w:rPr>
  </w:style>
  <w:style w:type="paragraph" w:styleId="1152">
    <w:name w:val="Char1 Char Char Char1"/>
    <w:basedOn w:val="1014"/>
    <w:next w:val="1152"/>
    <w:link w:val="1014"/>
    <w:qFormat/>
    <w:rPr>
      <w:rFonts w:ascii="Tahoma" w:hAnsi="Tahoma" w:cs="仿宋_GB2312"/>
      <w:sz w:val="24"/>
      <w:szCs w:val="28"/>
    </w:rPr>
  </w:style>
  <w:style w:type="paragraph" w:styleId="1153">
    <w:name w:val="四级条标题"/>
    <w:basedOn w:val="1154"/>
    <w:next w:val="1014"/>
    <w:link w:val="1014"/>
    <w:qFormat/>
    <w:pPr>
      <w:numPr>
        <w:ilvl w:val="4"/>
      </w:numPr>
      <w:ind w:left="0" w:hanging="840"/>
      <w:tabs>
        <w:tab w:val="left" w:pos="360" w:leader="none"/>
        <w:tab w:val="left" w:pos="840" w:leader="none"/>
      </w:tabs>
      <w:outlineLvl w:val="4"/>
    </w:pPr>
  </w:style>
  <w:style w:type="paragraph" w:styleId="1154">
    <w:name w:val="三级条标题"/>
    <w:basedOn w:val="1116"/>
    <w:next w:val="1014"/>
    <w:link w:val="1014"/>
    <w:qFormat/>
    <w:pPr>
      <w:numPr>
        <w:ilvl w:val="3"/>
        <w:numId w:val="1"/>
      </w:numPr>
      <w:ind w:left="0" w:hanging="840"/>
      <w:tabs>
        <w:tab w:val="left" w:pos="360" w:leader="none"/>
        <w:tab w:val="left" w:pos="840" w:leader="none"/>
      </w:tabs>
      <w:outlineLvl w:val="3"/>
    </w:pPr>
  </w:style>
  <w:style w:type="paragraph" w:styleId="1155">
    <w:name w:val="??"/>
    <w:next w:val="1155"/>
    <w:link w:val="1014"/>
    <w:qFormat/>
    <w:pPr>
      <w:jc w:val="both"/>
      <w:widowControl w:val="off"/>
    </w:pPr>
    <w:rPr>
      <w:sz w:val="21"/>
      <w:lang w:val="en-US" w:eastAsia="en-US" w:bidi="ar-SA"/>
    </w:rPr>
  </w:style>
  <w:style w:type="paragraph" w:styleId="1156">
    <w:name w:val="样式 标题 2 + 宋体 五号 行距: 单倍行距"/>
    <w:basedOn w:val="1016"/>
    <w:next w:val="1156"/>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4"/>
    <w:next w:val="1157"/>
    <w:link w:val="1014"/>
    <w:qFormat/>
    <w:pPr>
      <w:ind w:firstLine="420"/>
    </w:pPr>
    <w:rPr>
      <w:rFonts w:ascii="Calibri" w:hAnsi="Calibri"/>
      <w:szCs w:val="22"/>
    </w:rPr>
  </w:style>
  <w:style w:type="paragraph" w:styleId="1158">
    <w:name w:val="项目符号1"/>
    <w:basedOn w:val="1159"/>
    <w:next w:val="1158"/>
    <w:link w:val="1014"/>
    <w:qFormat/>
    <w:pPr>
      <w:ind w:left="-25" w:firstLine="0"/>
    </w:pPr>
  </w:style>
  <w:style w:type="paragraph" w:styleId="1159">
    <w:name w:val="正文文本样式"/>
    <w:basedOn w:val="1014"/>
    <w:next w:val="1159"/>
    <w:link w:val="1014"/>
    <w:qFormat/>
    <w:pPr>
      <w:ind w:firstLine="482"/>
      <w:spacing w:line="360" w:lineRule="auto"/>
    </w:pPr>
    <w:rPr>
      <w:rFonts w:cs="宋体"/>
      <w:sz w:val="24"/>
      <w:szCs w:val="20"/>
    </w:rPr>
  </w:style>
  <w:style w:type="paragraph" w:styleId="1160">
    <w:name w:val="xl27"/>
    <w:basedOn w:val="1014"/>
    <w:next w:val="116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4"/>
    <w:next w:val="1161"/>
    <w:link w:val="1014"/>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4"/>
    <w:link w:val="1014"/>
    <w:qFormat/>
    <w:pPr>
      <w:numPr>
        <w:ilvl w:val="5"/>
      </w:numPr>
      <w:ind w:left="0" w:hanging="840"/>
      <w:tabs>
        <w:tab w:val="left" w:pos="360" w:leader="none"/>
        <w:tab w:val="left" w:pos="840" w:leader="none"/>
      </w:tabs>
      <w:outlineLvl w:val="5"/>
    </w:pPr>
  </w:style>
  <w:style w:type="paragraph" w:styleId="1163">
    <w:name w:val="xl49"/>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4"/>
    <w:next w:val="1164"/>
    <w:link w:val="1014"/>
    <w:qFormat/>
    <w:pPr>
      <w:spacing w:before="120" w:after="120" w:line="180" w:lineRule="auto"/>
    </w:pPr>
    <w:rPr>
      <w:rFonts w:ascii="Arial" w:hAnsi="Arial"/>
      <w:szCs w:val="20"/>
    </w:rPr>
  </w:style>
  <w:style w:type="paragraph" w:styleId="1165">
    <w:name w:val="xl33"/>
    <w:basedOn w:val="1014"/>
    <w:next w:val="116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4"/>
    <w:next w:val="116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4"/>
    <w:next w:val="1167"/>
    <w:link w:val="1014"/>
    <w:qFormat/>
    <w:rPr>
      <w:rFonts w:ascii="Tahoma" w:hAnsi="Tahoma"/>
      <w:sz w:val="24"/>
      <w:szCs w:val="20"/>
    </w:rPr>
  </w:style>
  <w:style w:type="paragraph" w:styleId="1168">
    <w:name w:val="xl44"/>
    <w:basedOn w:val="1014"/>
    <w:next w:val="1168"/>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4"/>
    <w:next w:val="1169"/>
    <w:link w:val="1014"/>
    <w:qFormat/>
    <w:pPr>
      <w:numPr>
        <w:ilvl w:val="0"/>
        <w:numId w:val="5"/>
      </w:numPr>
      <w:spacing w:before="120"/>
      <w:tabs>
        <w:tab w:val="left" w:pos="360" w:leader="none"/>
      </w:tabs>
    </w:pPr>
    <w:rPr>
      <w:rFonts w:ascii="宋体"/>
      <w:sz w:val="28"/>
      <w:szCs w:val="20"/>
    </w:rPr>
  </w:style>
  <w:style w:type="paragraph" w:styleId="1170">
    <w:name w:val="font9"/>
    <w:basedOn w:val="1014"/>
    <w:next w:val="1170"/>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4"/>
    <w:next w:val="1171"/>
    <w:link w:val="1014"/>
    <w:qFormat/>
    <w:rPr>
      <w:rFonts w:ascii="Tahoma" w:hAnsi="Tahoma"/>
      <w:sz w:val="24"/>
      <w:szCs w:val="20"/>
    </w:rPr>
  </w:style>
  <w:style w:type="paragraph" w:styleId="1172">
    <w:name w:val="Char Char Char Char Char Char Char Char Char Char"/>
    <w:basedOn w:val="1014"/>
    <w:next w:val="1172"/>
    <w:link w:val="1014"/>
    <w:qFormat/>
  </w:style>
  <w:style w:type="paragraph" w:styleId="1173">
    <w:name w:val="Char Char1 Char Char Char Char Char Char Char Char"/>
    <w:basedOn w:val="1014"/>
    <w:next w:val="1173"/>
    <w:link w:val="1014"/>
    <w:qFormat/>
    <w:pPr>
      <w:jc w:val="left"/>
      <w:spacing w:after="160" w:line="240" w:lineRule="exact"/>
      <w:widowControl/>
    </w:pPr>
    <w:rPr>
      <w:rFonts w:ascii="Verdana" w:hAnsi="Verdana"/>
      <w:sz w:val="20"/>
      <w:szCs w:val="20"/>
      <w:lang w:eastAsia="en-US"/>
    </w:rPr>
  </w:style>
  <w:style w:type="paragraph" w:styleId="1174">
    <w:name w:val="Char1"/>
    <w:basedOn w:val="1014"/>
    <w:next w:val="1174"/>
    <w:link w:val="1014"/>
    <w:qFormat/>
    <w:pPr>
      <w:tabs>
        <w:tab w:val="left" w:pos="360" w:leader="none"/>
      </w:tabs>
    </w:pPr>
    <w:rPr>
      <w:sz w:val="24"/>
    </w:rPr>
  </w:style>
  <w:style w:type="paragraph" w:styleId="1175">
    <w:name w:val="正文列项_字母"/>
    <w:basedOn w:val="1014"/>
    <w:next w:val="1175"/>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4"/>
    <w:next w:val="117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4"/>
    <w:next w:val="1177"/>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4"/>
    <w:next w:val="1178"/>
    <w:link w:val="1014"/>
    <w:qFormat/>
    <w:rPr>
      <w:rFonts w:ascii="Arial" w:hAnsi="Arial" w:cs="Arial"/>
      <w:szCs w:val="21"/>
    </w:rPr>
  </w:style>
  <w:style w:type="paragraph" w:styleId="1179">
    <w:name w:val="xl48"/>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4"/>
    <w:next w:val="1180"/>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4"/>
    <w:next w:val="1182"/>
    <w:link w:val="1014"/>
    <w:qFormat/>
    <w:rPr>
      <w:rFonts w:ascii="Tahoma" w:hAnsi="Tahoma"/>
      <w:sz w:val="24"/>
      <w:szCs w:val="20"/>
    </w:rPr>
  </w:style>
  <w:style w:type="paragraph" w:styleId="1183">
    <w:name w:val="xl50"/>
    <w:basedOn w:val="1014"/>
    <w:next w:val="1183"/>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4"/>
    <w:next w:val="1184"/>
    <w:link w:val="1014"/>
    <w:qFormat/>
    <w:pPr>
      <w:jc w:val="left"/>
    </w:pPr>
    <w:rPr>
      <w:sz w:val="24"/>
    </w:rPr>
  </w:style>
  <w:style w:type="paragraph" w:styleId="1185">
    <w:name w:val="Char Char Char1"/>
    <w:basedOn w:val="1014"/>
    <w:next w:val="1185"/>
    <w:link w:val="1014"/>
    <w:qFormat/>
    <w:rPr>
      <w:rFonts w:ascii="Tahoma" w:hAnsi="Tahoma"/>
      <w:sz w:val="24"/>
      <w:szCs w:val="20"/>
    </w:rPr>
  </w:style>
  <w:style w:type="paragraph" w:styleId="1186">
    <w:name w:val="Char Char Char Char Char Char Char1"/>
    <w:basedOn w:val="1014"/>
    <w:next w:val="1186"/>
    <w:link w:val="1014"/>
    <w:qFormat/>
    <w:pPr>
      <w:ind w:firstLine="200"/>
      <w:spacing w:line="360" w:lineRule="auto"/>
    </w:pPr>
    <w:rPr>
      <w:rFonts w:eastAsia="仿宋_GB2312"/>
      <w:sz w:val="24"/>
    </w:rPr>
  </w:style>
  <w:style w:type="paragraph" w:styleId="1187">
    <w:name w:val="xl51"/>
    <w:basedOn w:val="1014"/>
    <w:next w:val="1187"/>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76"/>
    <w:next w:val="1188"/>
    <w:link w:val="1014"/>
    <w:qFormat/>
    <w:pPr>
      <w:jc w:val="center"/>
      <w:spacing w:line="360" w:lineRule="auto"/>
    </w:pPr>
    <w:rPr>
      <w:sz w:val="24"/>
    </w:rPr>
  </w:style>
  <w:style w:type="paragraph" w:styleId="1189">
    <w:name w:val="xl24"/>
    <w:basedOn w:val="1014"/>
    <w:next w:val="1189"/>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4"/>
    <w:next w:val="1191"/>
    <w:link w:val="1014"/>
    <w:qFormat/>
    <w:pPr>
      <w:jc w:val="left"/>
      <w:widowControl/>
    </w:pPr>
    <w:rPr>
      <w:rFonts w:ascii="楷体_GB2312" w:eastAsia="楷体_GB2312" w:cs="Arial"/>
      <w:sz w:val="24"/>
    </w:rPr>
  </w:style>
  <w:style w:type="paragraph" w:styleId="1192">
    <w:name w:val="xl34"/>
    <w:basedOn w:val="1014"/>
    <w:next w:val="1192"/>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4"/>
    <w:next w:val="1193"/>
    <w:link w:val="1014"/>
    <w:qFormat/>
    <w:rPr>
      <w:rFonts w:ascii="Tahoma" w:hAnsi="Tahoma"/>
      <w:sz w:val="24"/>
      <w:szCs w:val="20"/>
    </w:rPr>
  </w:style>
  <w:style w:type="paragraph" w:styleId="1194">
    <w:name w:val="Default"/>
    <w:next w:val="1194"/>
    <w:link w:val="1014"/>
    <w:qFormat/>
    <w:pPr>
      <w:widowControl w:val="off"/>
    </w:pPr>
    <w:rPr>
      <w:rFonts w:ascii="Symbol" w:hAnsi="Symbol" w:cs="Symbol"/>
      <w:color w:val="000000"/>
      <w:sz w:val="24"/>
      <w:szCs w:val="24"/>
      <w:lang w:val="en-US" w:eastAsia="zh-CN" w:bidi="ar-SA"/>
    </w:rPr>
  </w:style>
  <w:style w:type="paragraph" w:styleId="1195">
    <w:name w:val="列出段落1"/>
    <w:basedOn w:val="1014"/>
    <w:next w:val="1195"/>
    <w:link w:val="1014"/>
    <w:qFormat/>
    <w:pPr>
      <w:ind w:firstLine="420"/>
    </w:pPr>
    <w:rPr>
      <w:rFonts w:ascii="Calibri" w:hAnsi="Calibri"/>
      <w:szCs w:val="22"/>
    </w:rPr>
  </w:style>
  <w:style w:type="paragraph" w:styleId="1196">
    <w:name w:val="default"/>
    <w:basedOn w:val="1014"/>
    <w:next w:val="1196"/>
    <w:link w:val="1014"/>
    <w:qFormat/>
    <w:pPr>
      <w:jc w:val="left"/>
      <w:spacing w:before="100" w:beforeAutospacing="1" w:after="100" w:afterAutospacing="1"/>
      <w:widowControl/>
    </w:pPr>
    <w:rPr>
      <w:rFonts w:ascii="宋体" w:hAnsi="宋体" w:cs="宋体"/>
      <w:sz w:val="24"/>
    </w:rPr>
  </w:style>
  <w:style w:type="paragraph" w:styleId="1197">
    <w:name w:val="字元 字元1"/>
    <w:basedOn w:val="1014"/>
    <w:next w:val="1197"/>
    <w:link w:val="1014"/>
    <w:qFormat/>
    <w:rPr>
      <w:rFonts w:ascii="Tahoma" w:hAnsi="Tahoma"/>
      <w:sz w:val="24"/>
      <w:szCs w:val="20"/>
    </w:rPr>
  </w:style>
  <w:style w:type="paragraph" w:styleId="1198">
    <w:name w:val="_Style 160"/>
    <w:next w:val="1198"/>
    <w:link w:val="1014"/>
    <w:qFormat/>
    <w:rPr>
      <w:sz w:val="21"/>
      <w:szCs w:val="24"/>
      <w:lang w:val="en-US" w:eastAsia="zh-CN" w:bidi="ar-SA"/>
    </w:rPr>
  </w:style>
  <w:style w:type="paragraph" w:styleId="1199">
    <w:name w:val="项目编号3"/>
    <w:basedOn w:val="1159"/>
    <w:next w:val="1199"/>
    <w:link w:val="1014"/>
    <w:qFormat/>
    <w:pPr>
      <w:numPr>
        <w:ilvl w:val="0"/>
        <w:numId w:val="6"/>
      </w:numPr>
    </w:pPr>
  </w:style>
  <w:style w:type="paragraph" w:styleId="1200">
    <w:name w:val="Char21"/>
    <w:basedOn w:val="1014"/>
    <w:next w:val="1200"/>
    <w:link w:val="1014"/>
    <w:qFormat/>
    <w:rPr>
      <w:rFonts w:ascii="Tahoma" w:hAnsi="Tahoma"/>
      <w:sz w:val="24"/>
      <w:szCs w:val="20"/>
    </w:rPr>
  </w:style>
  <w:style w:type="paragraph" w:styleId="1201">
    <w:name w:val="表格文字"/>
    <w:basedOn w:val="1047"/>
    <w:next w:val="1201"/>
    <w:link w:val="1014"/>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4"/>
    <w:next w:val="1202"/>
    <w:link w:val="1014"/>
    <w:qFormat/>
    <w:rPr>
      <w:rFonts w:ascii="宋体" w:hAnsi="宋体" w:cs="Courier New"/>
      <w:sz w:val="32"/>
      <w:szCs w:val="32"/>
    </w:rPr>
  </w:style>
  <w:style w:type="paragraph" w:styleId="1203">
    <w:name w:val="正文文本样式 加粗"/>
    <w:basedOn w:val="1159"/>
    <w:next w:val="1203"/>
    <w:link w:val="1014"/>
    <w:qFormat/>
    <w:rPr>
      <w:b/>
    </w:rPr>
  </w:style>
  <w:style w:type="paragraph" w:styleId="1204">
    <w:name w:val="Char2 Char Char Char Char Char Char"/>
    <w:basedOn w:val="1014"/>
    <w:next w:val="1204"/>
    <w:link w:val="1014"/>
    <w:qFormat/>
    <w:pPr>
      <w:jc w:val="center"/>
      <w:spacing w:line="400" w:lineRule="exact"/>
      <w:widowControl/>
    </w:pPr>
  </w:style>
  <w:style w:type="paragraph" w:styleId="1205">
    <w:name w:val="Char Char4"/>
    <w:basedOn w:val="1014"/>
    <w:next w:val="1205"/>
    <w:link w:val="1014"/>
    <w:qFormat/>
    <w:pPr>
      <w:jc w:val="center"/>
      <w:spacing w:line="400" w:lineRule="exact"/>
      <w:widowControl/>
    </w:pPr>
  </w:style>
  <w:style w:type="paragraph" w:styleId="1206">
    <w:name w:val="Char3 Char Char Char1"/>
    <w:basedOn w:val="1014"/>
    <w:next w:val="1206"/>
    <w:link w:val="1014"/>
    <w:qFormat/>
    <w:rPr>
      <w:rFonts w:ascii="Tahoma" w:hAnsi="Tahoma"/>
      <w:sz w:val="24"/>
      <w:szCs w:val="20"/>
    </w:rPr>
  </w:style>
  <w:style w:type="paragraph" w:styleId="1207">
    <w:name w:val="无间隔"/>
    <w:next w:val="1207"/>
    <w:link w:val="1014"/>
    <w:qFormat/>
    <w:pPr>
      <w:jc w:val="both"/>
      <w:widowControl w:val="off"/>
    </w:pPr>
    <w:rPr>
      <w:sz w:val="21"/>
      <w:szCs w:val="24"/>
      <w:lang w:val="en-US" w:eastAsia="zh-CN" w:bidi="ar-SA"/>
    </w:rPr>
  </w:style>
  <w:style w:type="paragraph" w:styleId="1208">
    <w:name w:val="22222222222222"/>
    <w:basedOn w:val="1014"/>
    <w:next w:val="1208"/>
    <w:link w:val="1014"/>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4"/>
    <w:next w:val="1211"/>
    <w:link w:val="1014"/>
    <w:qFormat/>
    <w:pPr>
      <w:spacing w:after="50" w:line="360" w:lineRule="auto"/>
    </w:pPr>
    <w:rPr>
      <w:sz w:val="24"/>
    </w:rPr>
  </w:style>
  <w:style w:type="paragraph" w:styleId="1212">
    <w:name w:val="xl23"/>
    <w:basedOn w:val="1014"/>
    <w:next w:val="1212"/>
    <w:link w:val="1014"/>
    <w:qFormat/>
    <w:pPr>
      <w:spacing w:before="100" w:beforeAutospacing="1" w:after="100" w:afterAutospacing="1" w:line="360" w:lineRule="auto"/>
      <w:widowControl/>
    </w:pPr>
    <w:rPr>
      <w:sz w:val="24"/>
      <w:szCs w:val="20"/>
    </w:rPr>
  </w:style>
  <w:style w:type="paragraph" w:styleId="1213">
    <w:name w:val="正文表格"/>
    <w:basedOn w:val="1014"/>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4"/>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5"/>
    <w:next w:val="1217"/>
    <w:link w:val="1014"/>
    <w:qFormat/>
    <w:pPr>
      <w:jc w:val="left"/>
    </w:pPr>
    <w:rPr>
      <w:sz w:val="24"/>
      <w:szCs w:val="24"/>
    </w:rPr>
  </w:style>
  <w:style w:type="paragraph" w:styleId="1218">
    <w:name w:val="正文小标题"/>
    <w:basedOn w:val="1014"/>
    <w:next w:val="1028"/>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28"/>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4"/>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4"/>
    <w:next w:val="1014"/>
    <w:link w:val="1014"/>
    <w:qFormat/>
    <w:pPr>
      <w:numPr>
        <w:ilvl w:val="0"/>
        <w:numId w:val="7"/>
      </w:numPr>
      <w:spacing w:line="300" w:lineRule="auto"/>
    </w:pPr>
    <w:rPr>
      <w:rFonts w:ascii="宋体" w:hAnsi="Calibri"/>
      <w:sz w:val="24"/>
      <w:szCs w:val="21"/>
    </w:rPr>
  </w:style>
  <w:style w:type="paragraph" w:styleId="1225">
    <w:name w:val="正文须知-2级"/>
    <w:basedOn w:val="1014"/>
    <w:next w:val="1225"/>
    <w:link w:val="1014"/>
    <w:qFormat/>
    <w:pPr>
      <w:numPr>
        <w:ilvl w:val="1"/>
        <w:numId w:val="7"/>
      </w:numPr>
      <w:spacing w:line="300" w:lineRule="auto"/>
    </w:pPr>
    <w:rPr>
      <w:rFonts w:ascii="宋体" w:hAnsi="Calibri"/>
      <w:sz w:val="24"/>
      <w:szCs w:val="21"/>
    </w:rPr>
  </w:style>
  <w:style w:type="paragraph" w:styleId="1226">
    <w:name w:val="正文须知-3级"/>
    <w:basedOn w:val="1014"/>
    <w:next w:val="1226"/>
    <w:link w:val="1014"/>
    <w:qFormat/>
    <w:pPr>
      <w:numPr>
        <w:ilvl w:val="2"/>
        <w:numId w:val="7"/>
      </w:numPr>
      <w:ind w:hanging="355"/>
      <w:spacing w:line="300" w:lineRule="auto"/>
    </w:pPr>
    <w:rPr>
      <w:rFonts w:ascii="宋体" w:hAnsi="Calibri"/>
      <w:sz w:val="24"/>
      <w:szCs w:val="21"/>
    </w:rPr>
  </w:style>
  <w:style w:type="character" w:styleId="1227">
    <w:name w:val="纯文本 字符"/>
    <w:next w:val="1227"/>
    <w:link w:val="1014"/>
    <w:uiPriority w:val="99"/>
    <w:qFormat/>
    <w:rPr>
      <w:rFonts w:ascii="宋体" w:hAnsi="Courier New" w:eastAsia="宋体" w:cs="Times New Roman"/>
      <w:sz w:val="21"/>
      <w:szCs w:val="21"/>
      <w:lang w:val="en-US" w:eastAsia="zh-CN" w:bidi="ar-SA"/>
    </w:rPr>
  </w:style>
  <w:style w:type="paragraph" w:styleId="1228">
    <w:name w:val="表格1"/>
    <w:basedOn w:val="1014"/>
    <w:next w:val="1228"/>
    <w:link w:val="1014"/>
    <w:qFormat/>
    <w:pPr>
      <w:ind w:firstLine="480"/>
      <w:jc w:val="center"/>
    </w:pPr>
    <w:rPr>
      <w:sz w:val="24"/>
      <w:szCs w:val="20"/>
    </w:rPr>
  </w:style>
  <w:style w:type="character" w:styleId="1229">
    <w:name w:val="纯文本 字符1"/>
    <w:next w:val="1229"/>
    <w:link w:val="1014"/>
    <w:qFormat/>
    <w:rPr>
      <w:rFonts w:ascii="宋体" w:hAnsi="Courier New"/>
    </w:rPr>
  </w:style>
  <w:style w:type="character" w:styleId="1230">
    <w:name w:val="bjh-p"/>
    <w:next w:val="1230"/>
    <w:link w:val="1014"/>
    <w:qFormat/>
  </w:style>
  <w:style w:type="paragraph" w:styleId="1231">
    <w:name w:val="无标题条"/>
    <w:next w:val="1014"/>
    <w:link w:val="1014"/>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4"/>
    <w:next w:val="1233"/>
    <w:link w:val="1232"/>
    <w:qFormat/>
    <w:pPr>
      <w:ind w:firstLine="480"/>
      <w:spacing w:line="360" w:lineRule="auto"/>
    </w:pPr>
    <w:rPr>
      <w:rFonts w:ascii="宋体" w:hAnsi="宋体"/>
      <w:sz w:val="24"/>
      <w:lang w:val="en-GB"/>
    </w:rPr>
  </w:style>
  <w:style w:type="character" w:styleId="1234">
    <w:name w:val="标题 3 Char"/>
    <w:next w:val="1234"/>
    <w:link w:val="1014"/>
    <w:qFormat/>
    <w:rPr>
      <w:rFonts w:ascii="宋体" w:eastAsia="宋体"/>
      <w:b/>
      <w:sz w:val="24"/>
      <w:u w:val="single"/>
      <w:lang w:val="en-US" w:eastAsia="zh-CN" w:bidi="ar-SA"/>
    </w:rPr>
  </w:style>
  <w:style w:type="character" w:styleId="1235">
    <w:name w:val="正文缩进 Char"/>
    <w:next w:val="1235"/>
    <w:link w:val="1014"/>
    <w:qFormat/>
    <w:rPr>
      <w:rFonts w:ascii="宋体" w:eastAsia="宋体"/>
      <w:sz w:val="24"/>
      <w:szCs w:val="24"/>
      <w:lang w:val="en-US" w:eastAsia="zh-CN" w:bidi="ar-SA"/>
    </w:rPr>
  </w:style>
  <w:style w:type="character" w:styleId="1236">
    <w:name w:val="Char Char111"/>
    <w:next w:val="1236"/>
    <w:link w:val="1014"/>
    <w:qFormat/>
    <w:rPr>
      <w:rFonts w:ascii="宋体" w:eastAsia="宋体"/>
      <w:b/>
      <w:sz w:val="24"/>
      <w:u w:val="single"/>
      <w:lang w:val="en-US" w:eastAsia="zh-CN" w:bidi="ar-SA"/>
    </w:rPr>
  </w:style>
  <w:style w:type="character" w:styleId="1237">
    <w:name w:val="正文文本缩进 Char"/>
    <w:next w:val="1237"/>
    <w:link w:val="1014"/>
    <w:qFormat/>
    <w:rPr>
      <w:rFonts w:eastAsia="宋体"/>
      <w:sz w:val="24"/>
      <w:szCs w:val="24"/>
      <w:lang w:val="en-US" w:eastAsia="zh-CN" w:bidi="ar-SA"/>
    </w:rPr>
  </w:style>
  <w:style w:type="character" w:styleId="1238">
    <w:name w:val="列出段落 Char"/>
    <w:next w:val="1238"/>
    <w:link w:val="1014"/>
    <w:qFormat/>
    <w:rPr>
      <w:rFonts w:ascii="Calibri" w:hAnsi="Calibri" w:eastAsia="宋体"/>
      <w:sz w:val="21"/>
      <w:szCs w:val="22"/>
      <w:lang w:val="en-US" w:eastAsia="zh-CN" w:bidi="ar-SA"/>
    </w:rPr>
  </w:style>
  <w:style w:type="character" w:styleId="1239">
    <w:name w:val="页眉 Char"/>
    <w:next w:val="1239"/>
    <w:link w:val="1014"/>
    <w:qFormat/>
    <w:rPr>
      <w:rFonts w:eastAsia="宋体"/>
      <w:sz w:val="18"/>
      <w:szCs w:val="18"/>
      <w:lang w:val="en-US" w:eastAsia="zh-CN" w:bidi="ar-SA"/>
    </w:rPr>
  </w:style>
  <w:style w:type="character" w:styleId="1240">
    <w:name w:val="标题 2 Char"/>
    <w:next w:val="1240"/>
    <w:link w:val="1014"/>
    <w:qFormat/>
    <w:rPr>
      <w:rFonts w:ascii="Arial" w:hAnsi="Arial" w:eastAsia="黑体"/>
      <w:b/>
      <w:sz w:val="30"/>
      <w:lang w:val="en-US" w:eastAsia="zh-CN" w:bidi="ar-SA"/>
    </w:rPr>
  </w:style>
  <w:style w:type="paragraph" w:styleId="1241">
    <w:name w:val="字元 字元2"/>
    <w:basedOn w:val="1014"/>
    <w:next w:val="1241"/>
    <w:link w:val="1014"/>
    <w:qFormat/>
    <w:rPr>
      <w:rFonts w:ascii="Tahoma" w:hAnsi="Tahoma"/>
      <w:sz w:val="24"/>
      <w:szCs w:val="20"/>
    </w:rPr>
  </w:style>
  <w:style w:type="paragraph" w:styleId="1242">
    <w:name w:val="Char3 Char Char Char2"/>
    <w:basedOn w:val="1014"/>
    <w:next w:val="1242"/>
    <w:link w:val="1014"/>
    <w:qFormat/>
    <w:rPr>
      <w:rFonts w:ascii="Tahoma" w:hAnsi="Tahoma"/>
      <w:sz w:val="24"/>
      <w:szCs w:val="20"/>
    </w:rPr>
  </w:style>
  <w:style w:type="paragraph" w:styleId="1243">
    <w:name w:val="正文文本缩进2"/>
    <w:basedOn w:val="1014"/>
    <w:next w:val="1243"/>
    <w:link w:val="1014"/>
    <w:qFormat/>
    <w:pPr>
      <w:ind w:firstLine="480"/>
      <w:spacing w:line="480" w:lineRule="exact"/>
    </w:pPr>
    <w:rPr>
      <w:rFonts w:ascii="宋体" w:hAnsi="宋体"/>
      <w:sz w:val="24"/>
      <w:lang w:val="zh-CN" w:eastAsia="zh-CN"/>
    </w:rPr>
  </w:style>
  <w:style w:type="paragraph" w:styleId="1244">
    <w:name w:val="Char3"/>
    <w:basedOn w:val="1014"/>
    <w:next w:val="1244"/>
    <w:link w:val="1014"/>
    <w:qFormat/>
    <w:pPr>
      <w:tabs>
        <w:tab w:val="left" w:pos="360" w:leader="none"/>
      </w:tabs>
    </w:pPr>
    <w:rPr>
      <w:sz w:val="24"/>
    </w:rPr>
  </w:style>
  <w:style w:type="paragraph" w:styleId="1245">
    <w:name w:val="Char Char Char Char Char Char Char Char Char Char Char Char Char Char Char Char1"/>
    <w:basedOn w:val="1014"/>
    <w:next w:val="1245"/>
    <w:link w:val="1014"/>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4"/>
    <w:next w:val="1246"/>
    <w:link w:val="1014"/>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4"/>
    <w:next w:val="1247"/>
    <w:link w:val="1014"/>
    <w:qFormat/>
    <w:pPr>
      <w:ind w:firstLine="420"/>
    </w:pPr>
    <w:rPr>
      <w:rFonts w:ascii="Calibri" w:hAnsi="Calibri"/>
      <w:szCs w:val="22"/>
    </w:rPr>
  </w:style>
  <w:style w:type="paragraph" w:styleId="1248">
    <w:name w:val="Char Char Char1 Char2"/>
    <w:basedOn w:val="1014"/>
    <w:next w:val="1248"/>
    <w:link w:val="1014"/>
    <w:qFormat/>
    <w:rPr>
      <w:rFonts w:ascii="Tahoma" w:hAnsi="Tahoma"/>
      <w:sz w:val="24"/>
      <w:szCs w:val="20"/>
    </w:rPr>
  </w:style>
  <w:style w:type="paragraph" w:styleId="1249">
    <w:name w:val="Char Char Char2"/>
    <w:basedOn w:val="1014"/>
    <w:next w:val="1249"/>
    <w:link w:val="1014"/>
    <w:qFormat/>
    <w:rPr>
      <w:rFonts w:ascii="Tahoma" w:hAnsi="Tahoma"/>
      <w:sz w:val="24"/>
      <w:szCs w:val="20"/>
    </w:rPr>
  </w:style>
  <w:style w:type="paragraph" w:styleId="1250">
    <w:name w:val="Char Char Char Char Char Char Char2"/>
    <w:basedOn w:val="1014"/>
    <w:next w:val="1250"/>
    <w:link w:val="1014"/>
    <w:qFormat/>
    <w:pPr>
      <w:ind w:firstLine="200"/>
      <w:spacing w:line="360" w:lineRule="auto"/>
    </w:pPr>
    <w:rPr>
      <w:rFonts w:eastAsia="仿宋_GB2312"/>
      <w:sz w:val="24"/>
    </w:rPr>
  </w:style>
  <w:style w:type="paragraph" w:styleId="1251">
    <w:name w:val="正文缩进2"/>
    <w:basedOn w:val="1014"/>
    <w:next w:val="1251"/>
    <w:link w:val="1014"/>
    <w:qFormat/>
    <w:pPr>
      <w:ind w:firstLine="567"/>
      <w:spacing w:line="480" w:lineRule="exact"/>
      <w:widowControl/>
    </w:pPr>
    <w:rPr>
      <w:rFonts w:ascii="宋体"/>
      <w:color w:val="000000"/>
      <w:sz w:val="28"/>
      <w:szCs w:val="20"/>
      <w:lang w:val="zh-CN" w:eastAsia="zh-CN"/>
    </w:rPr>
  </w:style>
  <w:style w:type="paragraph" w:styleId="1252">
    <w:name w:val="Revision"/>
    <w:next w:val="1252"/>
    <w:link w:val="1014"/>
    <w:qFormat/>
    <w:rPr>
      <w:sz w:val="21"/>
      <w:szCs w:val="24"/>
      <w:lang w:val="en-US" w:eastAsia="zh-CN" w:bidi="ar-SA"/>
    </w:rPr>
  </w:style>
  <w:style w:type="paragraph" w:styleId="1253">
    <w:name w:val="Char22"/>
    <w:basedOn w:val="1014"/>
    <w:next w:val="1253"/>
    <w:link w:val="1014"/>
    <w:qFormat/>
    <w:rPr>
      <w:rFonts w:ascii="Tahoma" w:hAnsi="Tahoma"/>
      <w:sz w:val="24"/>
      <w:szCs w:val="20"/>
    </w:rPr>
  </w:style>
  <w:style w:type="paragraph" w:styleId="1254">
    <w:name w:val="Char Char Char Char Char Char Char Char Char Char2"/>
    <w:basedOn w:val="1014"/>
    <w:next w:val="1254"/>
    <w:link w:val="1014"/>
    <w:qFormat/>
    <w:rPr>
      <w:rFonts w:ascii="宋体" w:hAnsi="宋体" w:cs="Courier New"/>
      <w:sz w:val="32"/>
      <w:szCs w:val="32"/>
    </w:rPr>
  </w:style>
  <w:style w:type="paragraph" w:styleId="1255">
    <w:name w:val="Char2 Char Char Char Char Char Char1"/>
    <w:basedOn w:val="1014"/>
    <w:next w:val="1255"/>
    <w:link w:val="1014"/>
    <w:qFormat/>
    <w:pPr>
      <w:jc w:val="center"/>
      <w:spacing w:line="400" w:lineRule="exact"/>
      <w:widowControl/>
    </w:pPr>
  </w:style>
  <w:style w:type="character" w:styleId="1256">
    <w:name w:val="页脚 Char"/>
    <w:next w:val="1256"/>
    <w:link w:val="1014"/>
    <w:qFormat/>
    <w:rPr>
      <w:rFonts w:ascii="宋体" w:eastAsia="宋体"/>
      <w:sz w:val="18"/>
      <w:lang w:val="en-US" w:eastAsia="zh-CN" w:bidi="ar-SA"/>
    </w:rPr>
  </w:style>
  <w:style w:type="paragraph" w:styleId="1257">
    <w:name w:val="Char Char41"/>
    <w:basedOn w:val="1014"/>
    <w:next w:val="1257"/>
    <w:link w:val="1014"/>
    <w:qFormat/>
    <w:pPr>
      <w:jc w:val="center"/>
      <w:spacing w:line="400" w:lineRule="exact"/>
      <w:widowControl/>
    </w:pPr>
  </w:style>
  <w:style w:type="character" w:styleId="1258">
    <w:name w:val="批注文字 Char"/>
    <w:next w:val="1258"/>
    <w:link w:val="1014"/>
    <w:uiPriority w:val="99"/>
    <w:qFormat/>
    <w:rPr>
      <w:sz w:val="21"/>
      <w:szCs w:val="24"/>
    </w:rPr>
  </w:style>
  <w:style w:type="character" w:styleId="1259">
    <w:name w:val="标题 Char"/>
    <w:next w:val="1259"/>
    <w:link w:val="1014"/>
    <w:qFormat/>
    <w:rPr>
      <w:b/>
      <w:sz w:val="32"/>
    </w:rPr>
  </w:style>
  <w:style w:type="paragraph" w:styleId="1260">
    <w:name w:val="图例"/>
    <w:basedOn w:val="1014"/>
    <w:next w:val="1260"/>
    <w:link w:val="1014"/>
    <w:qFormat/>
    <w:pPr>
      <w:jc w:val="center"/>
      <w:spacing w:before="120" w:after="120" w:line="360" w:lineRule="auto"/>
    </w:pPr>
    <w:rPr>
      <w:rFonts w:eastAsia="仿宋_GB2312"/>
      <w:b/>
      <w:sz w:val="24"/>
      <w:szCs w:val="20"/>
    </w:rPr>
  </w:style>
  <w:style w:type="paragraph" w:styleId="1261">
    <w:name w:val="Table Paragraph"/>
    <w:basedOn w:val="1014"/>
    <w:next w:val="1261"/>
    <w:link w:val="1014"/>
    <w:uiPriority w:val="1"/>
    <w:qFormat/>
    <w:pPr>
      <w:jc w:val="left"/>
    </w:pPr>
    <w:rPr>
      <w:rFonts w:ascii="宋体" w:hAnsi="宋体" w:cs="宋体"/>
      <w:sz w:val="22"/>
      <w:szCs w:val="22"/>
      <w:lang w:eastAsia="en-US"/>
    </w:rPr>
  </w:style>
  <w:style w:type="table" w:styleId="1262">
    <w:name w:val="Table Normal"/>
    <w:next w:val="1262"/>
    <w:link w:val="1014"/>
    <w:uiPriority w:val="2"/>
    <w:semiHidden/>
    <w:qFormat/>
    <w:pPr>
      <w:widowControl w:val="off"/>
    </w:pPr>
    <w:rPr>
      <w:rFonts w:ascii="Calibri" w:hAnsi="Calibri"/>
      <w:sz w:val="22"/>
      <w:szCs w:val="22"/>
      <w:lang w:val="en-US" w:eastAsia="en-US" w:bidi="ar-SA"/>
    </w:rPr>
    <w:tblPr/>
  </w:style>
  <w:style w:type="paragraph" w:styleId="1263">
    <w:name w:val="成文日期"/>
    <w:basedOn w:val="1014"/>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67"/>
    <w:link w:val="1014"/>
    <w:qFormat/>
    <w:pPr>
      <w:jc w:val="both"/>
      <w:widowControl w:val="off"/>
    </w:pPr>
    <w:rPr>
      <w:rFonts w:ascii="宋体" w:hAnsi="宋体"/>
      <w:sz w:val="26"/>
      <w:szCs w:val="24"/>
      <w:lang w:val="en-US" w:eastAsia="zh-CN" w:bidi="ar-SA"/>
    </w:rPr>
  </w:style>
  <w:style w:type="character" w:styleId="1266">
    <w:name w:val="标题 2 Char1"/>
    <w:next w:val="1266"/>
    <w:link w:val="1014"/>
    <w:qFormat/>
    <w:rPr>
      <w:rFonts w:ascii="Arial" w:hAnsi="Arial" w:eastAsia="黑体"/>
      <w:b/>
      <w:sz w:val="30"/>
      <w:lang w:val="en-US" w:eastAsia="zh-CN" w:bidi="ar-SA"/>
    </w:rPr>
  </w:style>
  <w:style w:type="character" w:styleId="1267">
    <w:name w:val="正文文本 Char"/>
    <w:next w:val="1267"/>
    <w:link w:val="1014"/>
    <w:qFormat/>
    <w:rPr>
      <w:rFonts w:ascii="宋体" w:hAnsi="宋体"/>
      <w:sz w:val="24"/>
      <w:szCs w:val="24"/>
    </w:rPr>
  </w:style>
  <w:style w:type="character" w:styleId="1268">
    <w:name w:val="正文文本缩进 Char2"/>
    <w:next w:val="1268"/>
    <w:link w:val="1014"/>
    <w:qFormat/>
    <w:rPr>
      <w:rFonts w:eastAsia="宋体"/>
      <w:sz w:val="24"/>
      <w:szCs w:val="24"/>
      <w:lang w:val="en-US" w:eastAsia="zh-CN" w:bidi="ar-SA"/>
    </w:rPr>
  </w:style>
  <w:style w:type="character" w:styleId="1269">
    <w:name w:val="纯文本 Char"/>
    <w:next w:val="1269"/>
    <w:link w:val="1014"/>
    <w:uiPriority w:val="99"/>
    <w:qFormat/>
    <w:rPr>
      <w:rFonts w:hint="eastAsia" w:ascii="宋体" w:hAnsi="Courier New" w:eastAsia="宋体" w:cs="宋体"/>
      <w:sz w:val="21"/>
    </w:rPr>
  </w:style>
  <w:style w:type="paragraph" w:styleId="1270">
    <w:name w:val="AONormal"/>
    <w:next w:val="1270"/>
    <w:link w:val="1014"/>
    <w:qFormat/>
    <w:pPr>
      <w:ind w:firstLine="440"/>
      <w:spacing w:line="400" w:lineRule="exact"/>
    </w:pPr>
    <w:rPr>
      <w:rFonts w:ascii="华文楷体" w:hAnsi="华文楷体" w:eastAsia="华文楷体" w:cs="华文楷体"/>
      <w:sz w:val="22"/>
      <w:szCs w:val="21"/>
      <w:lang w:val="en-US" w:eastAsia="zh-CN" w:bidi="ar-SA"/>
    </w:rPr>
  </w:style>
  <w:style w:type="character" w:styleId="1271">
    <w:name w:val="font11"/>
    <w:basedOn w:val="1024"/>
    <w:next w:val="1271"/>
    <w:link w:val="1014"/>
    <w:qFormat/>
    <w:rPr>
      <w:rFonts w:hint="eastAsia" w:ascii="宋体" w:hAnsi="宋体" w:eastAsia="宋体" w:cs="宋体"/>
      <w:color w:val="000000"/>
      <w:sz w:val="24"/>
      <w:szCs w:val="24"/>
      <w:u w:val="none"/>
    </w:rPr>
  </w:style>
  <w:style w:type="character" w:styleId="1272">
    <w:name w:val="font21"/>
    <w:basedOn w:val="1024"/>
    <w:next w:val="1272"/>
    <w:link w:val="1014"/>
    <w:qFormat/>
    <w:rPr>
      <w:rFonts w:hint="eastAsia" w:ascii="宋体" w:hAnsi="宋体" w:eastAsia="宋体" w:cs="宋体"/>
      <w:b/>
      <w:bCs/>
      <w:color w:val="000000"/>
      <w:sz w:val="24"/>
      <w:szCs w:val="24"/>
      <w:u w:val="none"/>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魏海玲</cp:lastModifiedBy>
  <cp:revision>5</cp:revision>
  <dcterms:created xsi:type="dcterms:W3CDTF">2022-05-30T08:03:00Z</dcterms:created>
  <dcterms:modified xsi:type="dcterms:W3CDTF">2026-07-24T06:02:44Z</dcterms:modified>
</cp:coreProperties>
</file>