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F0A09A">
      <w:pPr>
        <w:pStyle w:val="11"/>
        <w:spacing w:before="120" w:beforeAutospacing="0" w:after="120" w:afterAutospacing="0" w:line="360" w:lineRule="auto"/>
        <w:rPr>
          <w:color w:val="auto"/>
          <w:highlight w:val="none"/>
        </w:rPr>
      </w:pPr>
    </w:p>
    <w:p w14:paraId="0A9F23C6">
      <w:pPr>
        <w:pStyle w:val="11"/>
        <w:spacing w:before="120" w:beforeAutospacing="0" w:after="120" w:afterAutospacing="0" w:line="360" w:lineRule="auto"/>
        <w:rPr>
          <w:color w:val="auto"/>
          <w:highlight w:val="none"/>
        </w:rPr>
      </w:pPr>
    </w:p>
    <w:p w14:paraId="639FB5BC">
      <w:pPr>
        <w:pStyle w:val="11"/>
        <w:spacing w:before="120" w:beforeAutospacing="0" w:after="120" w:afterAutospacing="0" w:line="360" w:lineRule="auto"/>
        <w:rPr>
          <w:color w:val="auto"/>
          <w:highlight w:val="none"/>
        </w:rPr>
      </w:pPr>
    </w:p>
    <w:p w14:paraId="08129F8D">
      <w:pPr>
        <w:pStyle w:val="11"/>
        <w:spacing w:before="120" w:beforeAutospacing="0" w:after="120" w:afterAutospacing="0" w:line="360" w:lineRule="auto"/>
        <w:jc w:val="center"/>
        <w:rPr>
          <w:color w:val="auto"/>
          <w:highlight w:val="none"/>
        </w:rPr>
      </w:pPr>
      <w:r>
        <w:rPr>
          <w:rFonts w:ascii="Arial" w:hAnsi="Arial" w:cs="Arial"/>
          <w:b/>
          <w:color w:val="auto"/>
          <w:sz w:val="84"/>
          <w:szCs w:val="84"/>
          <w:highlight w:val="none"/>
        </w:rPr>
        <w:t>单一来源采购文件</w:t>
      </w:r>
    </w:p>
    <w:p w14:paraId="18499416">
      <w:pPr>
        <w:pStyle w:val="11"/>
        <w:spacing w:before="120" w:beforeAutospacing="0" w:after="120" w:afterAutospacing="0" w:line="360" w:lineRule="auto"/>
        <w:jc w:val="center"/>
        <w:rPr>
          <w:rFonts w:ascii="Arial" w:hAnsi="Arial" w:cs="Arial"/>
          <w:b/>
          <w:color w:val="auto"/>
          <w:sz w:val="36"/>
          <w:szCs w:val="36"/>
          <w:highlight w:val="none"/>
        </w:rPr>
      </w:pPr>
    </w:p>
    <w:p w14:paraId="784CB7E0">
      <w:pPr>
        <w:pStyle w:val="11"/>
        <w:spacing w:before="120" w:beforeAutospacing="0" w:after="120" w:afterAutospacing="0" w:line="360" w:lineRule="auto"/>
        <w:jc w:val="center"/>
        <w:rPr>
          <w:rFonts w:hint="eastAsia" w:ascii="Arial" w:hAnsi="Arial" w:cs="Arial" w:eastAsiaTheme="minorEastAsia"/>
          <w:b/>
          <w:color w:val="auto"/>
          <w:sz w:val="36"/>
          <w:szCs w:val="36"/>
          <w:highlight w:val="none"/>
          <w:lang w:eastAsia="zh-CN"/>
        </w:rPr>
      </w:pPr>
      <w:r>
        <w:rPr>
          <w:rFonts w:ascii="Arial" w:hAnsi="Arial" w:cs="Arial"/>
          <w:b/>
          <w:color w:val="auto"/>
          <w:sz w:val="36"/>
          <w:szCs w:val="36"/>
          <w:highlight w:val="none"/>
        </w:rPr>
        <w:t>项目名称：</w:t>
      </w:r>
      <w:r>
        <w:rPr>
          <w:rFonts w:hint="eastAsia" w:ascii="Arial" w:hAnsi="Arial" w:cs="Arial"/>
          <w:b/>
          <w:color w:val="auto"/>
          <w:sz w:val="36"/>
          <w:szCs w:val="36"/>
          <w:highlight w:val="none"/>
          <w:lang w:eastAsia="zh-CN"/>
        </w:rPr>
        <w:t>县项目中心搭建響AI智慧招商平台服务项目</w:t>
      </w:r>
    </w:p>
    <w:p w14:paraId="377E254F">
      <w:pPr>
        <w:pStyle w:val="11"/>
        <w:spacing w:before="120" w:beforeAutospacing="0" w:after="120" w:afterAutospacing="0" w:line="360" w:lineRule="auto"/>
        <w:jc w:val="center"/>
        <w:rPr>
          <w:rFonts w:hint="eastAsia" w:ascii="Arial" w:hAnsi="Arial" w:cs="Arial" w:eastAsiaTheme="minorEastAsia"/>
          <w:b/>
          <w:color w:val="auto"/>
          <w:sz w:val="36"/>
          <w:szCs w:val="36"/>
          <w:highlight w:val="none"/>
          <w:lang w:eastAsia="zh-CN"/>
        </w:rPr>
      </w:pPr>
      <w:r>
        <w:rPr>
          <w:rFonts w:ascii="Arial" w:hAnsi="Arial" w:cs="Arial"/>
          <w:b/>
          <w:color w:val="auto"/>
          <w:sz w:val="36"/>
          <w:szCs w:val="36"/>
          <w:highlight w:val="none"/>
        </w:rPr>
        <w:t>项目编号：</w:t>
      </w:r>
      <w:r>
        <w:rPr>
          <w:rFonts w:hint="eastAsia" w:ascii="Arial" w:hAnsi="Arial" w:cs="Arial"/>
          <w:b/>
          <w:color w:val="auto"/>
          <w:sz w:val="36"/>
          <w:szCs w:val="36"/>
          <w:highlight w:val="none"/>
          <w:lang w:eastAsia="zh-CN"/>
        </w:rPr>
        <w:t>JSZC-320921-YCDY-D2026-0002</w:t>
      </w:r>
    </w:p>
    <w:p w14:paraId="006199E3">
      <w:pPr>
        <w:pStyle w:val="11"/>
        <w:spacing w:beforeAutospacing="0" w:afterAutospacing="0" w:line="360" w:lineRule="auto"/>
        <w:rPr>
          <w:color w:val="auto"/>
          <w:highlight w:val="none"/>
        </w:rPr>
      </w:pPr>
      <w:r>
        <w:rPr>
          <w:color w:val="auto"/>
          <w:highlight w:val="none"/>
        </w:rPr>
        <w:t> </w:t>
      </w:r>
    </w:p>
    <w:p w14:paraId="708CE6EE">
      <w:pPr>
        <w:pStyle w:val="11"/>
        <w:spacing w:beforeAutospacing="0" w:afterAutospacing="0" w:line="360" w:lineRule="auto"/>
        <w:rPr>
          <w:color w:val="auto"/>
          <w:highlight w:val="none"/>
        </w:rPr>
      </w:pPr>
      <w:r>
        <w:rPr>
          <w:color w:val="auto"/>
          <w:highlight w:val="none"/>
        </w:rPr>
        <w:t> </w:t>
      </w:r>
    </w:p>
    <w:p w14:paraId="6D982732">
      <w:pPr>
        <w:pStyle w:val="11"/>
        <w:spacing w:beforeAutospacing="0" w:afterAutospacing="0" w:line="360" w:lineRule="auto"/>
        <w:rPr>
          <w:color w:val="auto"/>
          <w:highlight w:val="none"/>
        </w:rPr>
      </w:pPr>
      <w:r>
        <w:rPr>
          <w:color w:val="auto"/>
          <w:highlight w:val="none"/>
        </w:rPr>
        <w:t> </w:t>
      </w:r>
    </w:p>
    <w:p w14:paraId="07EA2D6F">
      <w:pPr>
        <w:pStyle w:val="11"/>
        <w:spacing w:beforeAutospacing="0" w:afterAutospacing="0" w:line="360" w:lineRule="auto"/>
        <w:rPr>
          <w:color w:val="auto"/>
          <w:highlight w:val="none"/>
        </w:rPr>
      </w:pPr>
      <w:r>
        <w:rPr>
          <w:color w:val="auto"/>
          <w:highlight w:val="none"/>
        </w:rPr>
        <w:t> </w:t>
      </w:r>
    </w:p>
    <w:p w14:paraId="248E3D89">
      <w:pPr>
        <w:pStyle w:val="11"/>
        <w:spacing w:beforeAutospacing="0" w:afterAutospacing="0" w:line="360" w:lineRule="auto"/>
        <w:rPr>
          <w:color w:val="auto"/>
          <w:highlight w:val="none"/>
        </w:rPr>
      </w:pPr>
      <w:r>
        <w:rPr>
          <w:color w:val="auto"/>
          <w:highlight w:val="none"/>
        </w:rPr>
        <w:t> </w:t>
      </w:r>
    </w:p>
    <w:p w14:paraId="137D1B31">
      <w:pPr>
        <w:pStyle w:val="11"/>
        <w:spacing w:beforeAutospacing="0" w:afterAutospacing="0" w:line="360" w:lineRule="auto"/>
        <w:rPr>
          <w:color w:val="auto"/>
          <w:highlight w:val="none"/>
        </w:rPr>
      </w:pPr>
      <w:r>
        <w:rPr>
          <w:color w:val="auto"/>
          <w:highlight w:val="none"/>
        </w:rPr>
        <w:t> </w:t>
      </w:r>
    </w:p>
    <w:p w14:paraId="643FBF12">
      <w:pPr>
        <w:pStyle w:val="11"/>
        <w:spacing w:beforeAutospacing="0" w:afterAutospacing="0" w:line="360" w:lineRule="auto"/>
        <w:rPr>
          <w:color w:val="auto"/>
          <w:highlight w:val="none"/>
        </w:rPr>
      </w:pPr>
      <w:r>
        <w:rPr>
          <w:color w:val="auto"/>
          <w:highlight w:val="none"/>
        </w:rPr>
        <w:t> </w:t>
      </w:r>
    </w:p>
    <w:p w14:paraId="20EEFF0C">
      <w:pPr>
        <w:pStyle w:val="11"/>
        <w:spacing w:beforeAutospacing="0" w:afterAutospacing="0" w:line="360" w:lineRule="auto"/>
        <w:rPr>
          <w:color w:val="auto"/>
          <w:highlight w:val="none"/>
        </w:rPr>
      </w:pPr>
    </w:p>
    <w:p w14:paraId="0A4280BB">
      <w:pPr>
        <w:pStyle w:val="11"/>
        <w:spacing w:beforeAutospacing="0" w:afterAutospacing="0" w:line="360" w:lineRule="auto"/>
        <w:rPr>
          <w:color w:val="auto"/>
          <w:highlight w:val="none"/>
        </w:rPr>
      </w:pPr>
    </w:p>
    <w:p w14:paraId="118830BA">
      <w:pPr>
        <w:pStyle w:val="11"/>
        <w:spacing w:beforeAutospacing="0" w:afterAutospacing="0" w:line="360" w:lineRule="auto"/>
        <w:rPr>
          <w:color w:val="auto"/>
          <w:highlight w:val="none"/>
        </w:rPr>
      </w:pPr>
    </w:p>
    <w:p w14:paraId="38A1F757">
      <w:pPr>
        <w:pStyle w:val="11"/>
        <w:spacing w:before="120" w:beforeAutospacing="0" w:after="120" w:afterAutospacing="0" w:line="360" w:lineRule="auto"/>
        <w:jc w:val="center"/>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w:t>
      </w:r>
      <w:r>
        <w:rPr>
          <w:rFonts w:hint="eastAsia" w:ascii="Arial" w:hAnsi="Arial" w:cs="Arial"/>
          <w:b/>
          <w:color w:val="auto"/>
          <w:sz w:val="32"/>
          <w:szCs w:val="32"/>
          <w:highlight w:val="none"/>
          <w:lang w:val="en-US" w:eastAsia="zh-CN"/>
        </w:rPr>
        <w:t>响水县重大项目建设服务中心</w:t>
      </w:r>
    </w:p>
    <w:p w14:paraId="38E1BDE3">
      <w:pPr>
        <w:pStyle w:val="11"/>
        <w:spacing w:before="120" w:beforeAutospacing="0" w:after="120" w:afterAutospacing="0" w:line="360" w:lineRule="auto"/>
        <w:jc w:val="center"/>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代理机构：江苏鼎一建设项目管理有限公司</w:t>
      </w:r>
    </w:p>
    <w:p w14:paraId="53D3DA13">
      <w:pPr>
        <w:pStyle w:val="11"/>
        <w:spacing w:before="120" w:beforeAutospacing="0" w:after="120" w:afterAutospacing="0" w:line="360" w:lineRule="auto"/>
        <w:jc w:val="center"/>
        <w:rPr>
          <w:color w:val="auto"/>
          <w:sz w:val="32"/>
          <w:szCs w:val="32"/>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8</w:t>
      </w:r>
      <w:r>
        <w:rPr>
          <w:rFonts w:ascii="Arial" w:hAnsi="Arial" w:cs="Arial"/>
          <w:b/>
          <w:color w:val="auto"/>
          <w:sz w:val="32"/>
          <w:szCs w:val="32"/>
          <w:highlight w:val="none"/>
        </w:rPr>
        <w:t>月</w:t>
      </w:r>
    </w:p>
    <w:p w14:paraId="0E5EDC98">
      <w:pPr>
        <w:pStyle w:val="11"/>
        <w:spacing w:before="120" w:beforeAutospacing="0" w:after="120" w:afterAutospacing="0" w:line="360" w:lineRule="auto"/>
        <w:rPr>
          <w:color w:val="auto"/>
          <w:highlight w:val="none"/>
        </w:rPr>
      </w:pPr>
      <w:r>
        <w:rPr>
          <w:rFonts w:ascii="Arial" w:hAnsi="Arial" w:cs="Arial"/>
          <w:color w:val="auto"/>
          <w:highlight w:val="none"/>
        </w:rPr>
        <w:t xml:space="preserve">                        </w:t>
      </w:r>
    </w:p>
    <w:p w14:paraId="682C4828">
      <w:pPr>
        <w:pStyle w:val="11"/>
        <w:spacing w:before="120" w:beforeAutospacing="0" w:after="120" w:afterAutospacing="0" w:line="360" w:lineRule="auto"/>
        <w:jc w:val="center"/>
        <w:rPr>
          <w:color w:val="auto"/>
          <w:highlight w:val="none"/>
        </w:rPr>
      </w:pPr>
      <w:r>
        <w:rPr>
          <w:color w:val="auto"/>
          <w:highlight w:val="none"/>
        </w:rPr>
        <w:t> </w:t>
      </w:r>
      <w:r>
        <w:rPr>
          <w:rFonts w:ascii="Times New Roman" w:hAnsi="Times New Roman"/>
          <w:color w:val="auto"/>
          <w:sz w:val="21"/>
          <w:szCs w:val="21"/>
          <w:highlight w:val="none"/>
        </w:rPr>
        <w:t> </w:t>
      </w:r>
      <w:bookmarkStart w:id="0" w:name="_Toc20823272"/>
      <w:bookmarkStart w:id="1" w:name="_Toc16938516"/>
      <w:bookmarkStart w:id="2" w:name="_Toc523127445"/>
      <w:bookmarkStart w:id="3" w:name="_Toc479757206"/>
      <w:bookmarkStart w:id="4" w:name="_Toc120614210"/>
      <w:bookmarkStart w:id="5" w:name="_Toc51302920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65B6F68">
      <w:pPr>
        <w:pStyle w:val="11"/>
        <w:spacing w:beforeAutospacing="0" w:afterAutospacing="0" w:line="480" w:lineRule="auto"/>
        <w:jc w:val="both"/>
        <w:rPr>
          <w:color w:val="auto"/>
          <w:highlight w:val="none"/>
        </w:rPr>
      </w:pPr>
      <w:r>
        <w:rPr>
          <w:color w:val="auto"/>
          <w:highlight w:val="none"/>
        </w:rPr>
        <w:t> </w:t>
      </w:r>
    </w:p>
    <w:p w14:paraId="32E2A9A7">
      <w:pPr>
        <w:pStyle w:val="10"/>
        <w:tabs>
          <w:tab w:val="right" w:leader="dot" w:pos="8306"/>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 w:val="28"/>
          <w:szCs w:val="28"/>
          <w:highlight w:val="none"/>
        </w:rPr>
        <w:fldChar w:fldCharType="begin"/>
      </w:r>
      <w:r>
        <w:rPr>
          <w:color w:val="auto"/>
          <w:sz w:val="28"/>
          <w:szCs w:val="28"/>
          <w:highlight w:val="none"/>
        </w:rPr>
        <w:instrText xml:space="preserve"> HYPERLINK \l _Toc15445 </w:instrText>
      </w:r>
      <w:r>
        <w:rPr>
          <w:color w:val="auto"/>
          <w:sz w:val="28"/>
          <w:szCs w:val="28"/>
          <w:highlight w:val="none"/>
        </w:rPr>
        <w:fldChar w:fldCharType="separate"/>
      </w:r>
      <w:r>
        <w:rPr>
          <w:rFonts w:hint="eastAsia" w:ascii="黑体" w:hAnsi="宋体" w:eastAsia="黑体" w:cs="黑体"/>
          <w:color w:val="auto"/>
          <w:sz w:val="28"/>
          <w:szCs w:val="28"/>
          <w:highlight w:val="none"/>
        </w:rPr>
        <w:t>第一章</w:t>
      </w:r>
      <w:r>
        <w:rPr>
          <w:rFonts w:hint="eastAsia" w:ascii="黑体" w:hAnsi="宋体" w:eastAsia="黑体" w:cs="黑体"/>
          <w:color w:val="auto"/>
          <w:sz w:val="28"/>
          <w:szCs w:val="28"/>
          <w:highlight w:val="none"/>
          <w:lang w:val="en-US" w:eastAsia="zh-CN"/>
        </w:rPr>
        <w:t xml:space="preserve">  </w:t>
      </w:r>
      <w:r>
        <w:rPr>
          <w:rFonts w:hint="eastAsia" w:ascii="黑体" w:hAnsi="宋体" w:eastAsia="黑体" w:cs="黑体"/>
          <w:color w:val="auto"/>
          <w:sz w:val="28"/>
          <w:szCs w:val="28"/>
          <w:highlight w:val="none"/>
        </w:rPr>
        <w:t>单一来源采购邀请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_Toc15445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14:paraId="6C5FB9B8">
      <w:pPr>
        <w:pStyle w:val="10"/>
        <w:tabs>
          <w:tab w:val="right" w:leader="dot" w:pos="8306"/>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_Toc15027 </w:instrText>
      </w:r>
      <w:r>
        <w:rPr>
          <w:color w:val="auto"/>
          <w:sz w:val="28"/>
          <w:szCs w:val="28"/>
          <w:highlight w:val="none"/>
        </w:rPr>
        <w:fldChar w:fldCharType="separate"/>
      </w:r>
      <w:r>
        <w:rPr>
          <w:rFonts w:hint="eastAsia" w:ascii="黑体" w:hAnsi="宋体" w:eastAsia="黑体" w:cs="黑体"/>
          <w:color w:val="auto"/>
          <w:sz w:val="28"/>
          <w:szCs w:val="28"/>
          <w:highlight w:val="none"/>
          <w:shd w:val="clear" w:color="auto" w:fill="auto"/>
        </w:rPr>
        <w:t>第二章</w:t>
      </w:r>
      <w:r>
        <w:rPr>
          <w:rFonts w:hint="eastAsia" w:ascii="黑体" w:hAnsi="宋体" w:eastAsia="黑体" w:cs="黑体"/>
          <w:color w:val="auto"/>
          <w:sz w:val="28"/>
          <w:szCs w:val="28"/>
          <w:highlight w:val="none"/>
          <w:shd w:val="clear" w:color="auto" w:fill="auto"/>
          <w:lang w:val="en-US" w:eastAsia="zh-CN"/>
        </w:rPr>
        <w:t xml:space="preserve">  </w:t>
      </w:r>
      <w:r>
        <w:rPr>
          <w:rFonts w:hint="eastAsia" w:ascii="黑体" w:hAnsi="宋体" w:eastAsia="黑体" w:cs="黑体"/>
          <w:color w:val="auto"/>
          <w:sz w:val="28"/>
          <w:szCs w:val="28"/>
          <w:highlight w:val="none"/>
          <w:shd w:val="clear" w:color="auto" w:fill="auto"/>
        </w:rPr>
        <w:t>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_Toc15027 \h </w:instrText>
      </w:r>
      <w:r>
        <w:rPr>
          <w:color w:val="auto"/>
          <w:sz w:val="28"/>
          <w:szCs w:val="28"/>
          <w:highlight w:val="none"/>
        </w:rPr>
        <w:fldChar w:fldCharType="separate"/>
      </w:r>
      <w:r>
        <w:rPr>
          <w:color w:val="auto"/>
          <w:sz w:val="28"/>
          <w:szCs w:val="28"/>
          <w:highlight w:val="none"/>
        </w:rPr>
        <w:t>4</w:t>
      </w:r>
      <w:r>
        <w:rPr>
          <w:color w:val="auto"/>
          <w:sz w:val="28"/>
          <w:szCs w:val="28"/>
          <w:highlight w:val="none"/>
        </w:rPr>
        <w:fldChar w:fldCharType="end"/>
      </w:r>
      <w:r>
        <w:rPr>
          <w:color w:val="auto"/>
          <w:sz w:val="28"/>
          <w:szCs w:val="28"/>
          <w:highlight w:val="none"/>
        </w:rPr>
        <w:fldChar w:fldCharType="end"/>
      </w:r>
    </w:p>
    <w:p w14:paraId="585143A4">
      <w:pPr>
        <w:pStyle w:val="10"/>
        <w:tabs>
          <w:tab w:val="right" w:leader="dot" w:pos="8306"/>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_Toc8440 </w:instrText>
      </w:r>
      <w:r>
        <w:rPr>
          <w:color w:val="auto"/>
          <w:sz w:val="28"/>
          <w:szCs w:val="28"/>
          <w:highlight w:val="none"/>
        </w:rPr>
        <w:fldChar w:fldCharType="separate"/>
      </w:r>
      <w:r>
        <w:rPr>
          <w:rFonts w:hint="eastAsia" w:ascii="黑体" w:hAnsi="宋体" w:eastAsia="黑体" w:cs="黑体"/>
          <w:color w:val="auto"/>
          <w:sz w:val="28"/>
          <w:szCs w:val="28"/>
          <w:highlight w:val="none"/>
          <w:shd w:val="clear" w:color="auto" w:fill="auto"/>
        </w:rPr>
        <w:t>第三章</w:t>
      </w:r>
      <w:r>
        <w:rPr>
          <w:rFonts w:hint="eastAsia" w:ascii="黑体" w:hAnsi="宋体" w:eastAsia="黑体" w:cs="黑体"/>
          <w:color w:val="auto"/>
          <w:sz w:val="28"/>
          <w:szCs w:val="28"/>
          <w:highlight w:val="none"/>
          <w:shd w:val="clear" w:color="auto" w:fill="auto"/>
          <w:lang w:val="en-US" w:eastAsia="zh-CN"/>
        </w:rPr>
        <w:t xml:space="preserve">  </w:t>
      </w:r>
      <w:r>
        <w:rPr>
          <w:rFonts w:hint="eastAsia" w:ascii="黑体" w:hAnsi="宋体" w:eastAsia="黑体" w:cs="黑体"/>
          <w:color w:val="auto"/>
          <w:sz w:val="28"/>
          <w:szCs w:val="28"/>
          <w:highlight w:val="none"/>
          <w:shd w:val="clear" w:color="auto" w:fill="auto"/>
        </w:rPr>
        <w:t>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_Toc8440 \h </w:instrText>
      </w:r>
      <w:r>
        <w:rPr>
          <w:color w:val="auto"/>
          <w:sz w:val="28"/>
          <w:szCs w:val="28"/>
          <w:highlight w:val="none"/>
        </w:rPr>
        <w:fldChar w:fldCharType="separate"/>
      </w:r>
      <w:r>
        <w:rPr>
          <w:color w:val="auto"/>
          <w:sz w:val="28"/>
          <w:szCs w:val="28"/>
          <w:highlight w:val="none"/>
        </w:rPr>
        <w:t>18</w:t>
      </w:r>
      <w:r>
        <w:rPr>
          <w:color w:val="auto"/>
          <w:sz w:val="28"/>
          <w:szCs w:val="28"/>
          <w:highlight w:val="none"/>
        </w:rPr>
        <w:fldChar w:fldCharType="end"/>
      </w:r>
      <w:r>
        <w:rPr>
          <w:color w:val="auto"/>
          <w:sz w:val="28"/>
          <w:szCs w:val="28"/>
          <w:highlight w:val="none"/>
        </w:rPr>
        <w:fldChar w:fldCharType="end"/>
      </w:r>
    </w:p>
    <w:p w14:paraId="468CEF08">
      <w:pPr>
        <w:pStyle w:val="10"/>
        <w:tabs>
          <w:tab w:val="right" w:leader="dot" w:pos="8306"/>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_Toc12223 </w:instrText>
      </w:r>
      <w:r>
        <w:rPr>
          <w:color w:val="auto"/>
          <w:sz w:val="28"/>
          <w:szCs w:val="28"/>
          <w:highlight w:val="none"/>
        </w:rPr>
        <w:fldChar w:fldCharType="separate"/>
      </w:r>
      <w:r>
        <w:rPr>
          <w:rFonts w:hint="eastAsia" w:ascii="黑体" w:hAnsi="宋体" w:eastAsia="黑体" w:cs="黑体"/>
          <w:color w:val="auto"/>
          <w:sz w:val="28"/>
          <w:szCs w:val="28"/>
          <w:highlight w:val="none"/>
          <w:shd w:val="clear" w:color="auto" w:fill="auto"/>
        </w:rPr>
        <w:t>第四章</w:t>
      </w:r>
      <w:r>
        <w:rPr>
          <w:rFonts w:hint="eastAsia" w:ascii="黑体" w:hAnsi="宋体" w:eastAsia="黑体" w:cs="黑体"/>
          <w:color w:val="auto"/>
          <w:sz w:val="28"/>
          <w:szCs w:val="28"/>
          <w:highlight w:val="none"/>
          <w:shd w:val="clear" w:color="auto" w:fill="auto"/>
          <w:lang w:val="en-US" w:eastAsia="zh-CN"/>
        </w:rPr>
        <w:t xml:space="preserve">  </w:t>
      </w:r>
      <w:r>
        <w:rPr>
          <w:rFonts w:hint="eastAsia" w:ascii="黑体" w:hAnsi="宋体" w:eastAsia="黑体" w:cs="黑体"/>
          <w:color w:val="auto"/>
          <w:sz w:val="28"/>
          <w:szCs w:val="28"/>
          <w:highlight w:val="none"/>
          <w:shd w:val="clear" w:color="auto" w:fill="auto"/>
        </w:rPr>
        <w:t>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_Toc12223 \h </w:instrText>
      </w:r>
      <w:r>
        <w:rPr>
          <w:color w:val="auto"/>
          <w:sz w:val="28"/>
          <w:szCs w:val="28"/>
          <w:highlight w:val="none"/>
        </w:rPr>
        <w:fldChar w:fldCharType="separate"/>
      </w:r>
      <w:r>
        <w:rPr>
          <w:color w:val="auto"/>
          <w:sz w:val="28"/>
          <w:szCs w:val="28"/>
          <w:highlight w:val="none"/>
        </w:rPr>
        <w:t>23</w:t>
      </w:r>
      <w:r>
        <w:rPr>
          <w:color w:val="auto"/>
          <w:sz w:val="28"/>
          <w:szCs w:val="28"/>
          <w:highlight w:val="none"/>
        </w:rPr>
        <w:fldChar w:fldCharType="end"/>
      </w:r>
      <w:r>
        <w:rPr>
          <w:color w:val="auto"/>
          <w:sz w:val="28"/>
          <w:szCs w:val="28"/>
          <w:highlight w:val="none"/>
        </w:rPr>
        <w:fldChar w:fldCharType="end"/>
      </w:r>
    </w:p>
    <w:p w14:paraId="43455512">
      <w:pPr>
        <w:pStyle w:val="10"/>
        <w:tabs>
          <w:tab w:val="right" w:leader="dot" w:pos="8306"/>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_Toc19860 </w:instrText>
      </w:r>
      <w:r>
        <w:rPr>
          <w:color w:val="auto"/>
          <w:sz w:val="28"/>
          <w:szCs w:val="28"/>
          <w:highlight w:val="none"/>
        </w:rPr>
        <w:fldChar w:fldCharType="separate"/>
      </w:r>
      <w:r>
        <w:rPr>
          <w:rFonts w:hint="eastAsia" w:ascii="黑体" w:hAnsi="宋体" w:eastAsia="黑体" w:cs="黑体"/>
          <w:color w:val="auto"/>
          <w:sz w:val="28"/>
          <w:szCs w:val="28"/>
          <w:highlight w:val="none"/>
          <w:shd w:val="clear" w:color="auto" w:fill="auto"/>
        </w:rPr>
        <w:t>第五章</w:t>
      </w:r>
      <w:r>
        <w:rPr>
          <w:rFonts w:hint="eastAsia" w:ascii="黑体" w:hAnsi="宋体" w:eastAsia="黑体" w:cs="黑体"/>
          <w:color w:val="auto"/>
          <w:sz w:val="28"/>
          <w:szCs w:val="28"/>
          <w:highlight w:val="none"/>
          <w:shd w:val="clear" w:color="auto" w:fill="auto"/>
          <w:lang w:val="en-US" w:eastAsia="zh-CN"/>
        </w:rPr>
        <w:t xml:space="preserve">  </w:t>
      </w:r>
      <w:r>
        <w:rPr>
          <w:rFonts w:hint="eastAsia" w:ascii="黑体" w:hAnsi="宋体" w:eastAsia="黑体" w:cs="黑体"/>
          <w:color w:val="auto"/>
          <w:sz w:val="28"/>
          <w:szCs w:val="28"/>
          <w:highlight w:val="none"/>
          <w:shd w:val="clear" w:color="auto" w:fill="auto"/>
        </w:rPr>
        <w:t>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_Toc19860 \h </w:instrText>
      </w:r>
      <w:r>
        <w:rPr>
          <w:color w:val="auto"/>
          <w:sz w:val="28"/>
          <w:szCs w:val="28"/>
          <w:highlight w:val="none"/>
        </w:rPr>
        <w:fldChar w:fldCharType="separate"/>
      </w:r>
      <w:r>
        <w:rPr>
          <w:color w:val="auto"/>
          <w:sz w:val="28"/>
          <w:szCs w:val="28"/>
          <w:highlight w:val="none"/>
        </w:rPr>
        <w:t>36</w:t>
      </w:r>
      <w:r>
        <w:rPr>
          <w:color w:val="auto"/>
          <w:sz w:val="28"/>
          <w:szCs w:val="28"/>
          <w:highlight w:val="none"/>
        </w:rPr>
        <w:fldChar w:fldCharType="end"/>
      </w:r>
      <w:r>
        <w:rPr>
          <w:color w:val="auto"/>
          <w:sz w:val="28"/>
          <w:szCs w:val="28"/>
          <w:highlight w:val="none"/>
        </w:rPr>
        <w:fldChar w:fldCharType="end"/>
      </w:r>
    </w:p>
    <w:p w14:paraId="31216266">
      <w:pPr>
        <w:pStyle w:val="11"/>
        <w:keepNext/>
        <w:spacing w:beforeAutospacing="0" w:afterAutospacing="0"/>
        <w:jc w:val="center"/>
        <w:outlineLvl w:val="0"/>
        <w:rPr>
          <w:color w:val="auto"/>
          <w:sz w:val="28"/>
          <w:szCs w:val="28"/>
          <w:highlight w:val="none"/>
        </w:rPr>
        <w:sectPr>
          <w:headerReference r:id="rId3" w:type="default"/>
          <w:pgSz w:w="11906" w:h="16838"/>
          <w:pgMar w:top="1440" w:right="1800" w:bottom="1440" w:left="1800" w:header="851" w:footer="992" w:gutter="0"/>
          <w:pgNumType w:fmt="decimal" w:start="1"/>
          <w:cols w:space="425" w:num="1"/>
          <w:docGrid w:type="lines" w:linePitch="312" w:charSpace="0"/>
        </w:sectPr>
      </w:pPr>
      <w:r>
        <w:rPr>
          <w:color w:val="auto"/>
          <w:sz w:val="28"/>
          <w:szCs w:val="28"/>
          <w:highlight w:val="none"/>
        </w:rPr>
        <w:fldChar w:fldCharType="end"/>
      </w:r>
      <w:bookmarkStart w:id="6" w:name="_Toc15445"/>
    </w:p>
    <w:p w14:paraId="391D10EB">
      <w:pPr>
        <w:pStyle w:val="11"/>
        <w:keepNext/>
        <w:spacing w:beforeAutospacing="0" w:afterAutospacing="0"/>
        <w:jc w:val="center"/>
        <w:outlineLvl w:val="0"/>
        <w:rPr>
          <w:color w:val="auto"/>
          <w:highlight w:val="none"/>
        </w:rPr>
      </w:pPr>
      <w:r>
        <w:rPr>
          <w:rFonts w:hint="eastAsia" w:ascii="黑体" w:hAnsi="宋体" w:eastAsia="黑体" w:cs="黑体"/>
          <w:color w:val="auto"/>
          <w:sz w:val="44"/>
          <w:szCs w:val="44"/>
          <w:highlight w:val="none"/>
        </w:rPr>
        <w:t>第一章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单一来源采购邀请</w:t>
      </w:r>
      <w:bookmarkEnd w:id="6"/>
    </w:p>
    <w:p w14:paraId="335A27A0">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响水县重大项目建设服务中心</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，江苏鼎一建设项目管理有限公司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县项目中心搭建響AI智慧招商平台服务项目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JSZC-320921-YCDY-D2026-0002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shd w:val="clear" w:color="auto" w:fill="auto"/>
        </w:rPr>
        <w:t>项目进行单一来源采购，欢迎符合相关条件的合格供应商参加采购活动。</w:t>
      </w:r>
    </w:p>
    <w:p w14:paraId="4F2E7AA2">
      <w:pPr>
        <w:pStyle w:val="11"/>
        <w:keepNext/>
        <w:keepLines/>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98"/>
        <w:jc w:val="both"/>
        <w:textAlignment w:val="auto"/>
        <w:rPr>
          <w:rFonts w:hint="eastAsia" w:ascii="宋体" w:hAnsi="宋体" w:eastAsia="宋体" w:cs="宋体"/>
          <w:color w:val="auto"/>
          <w:sz w:val="24"/>
          <w:szCs w:val="24"/>
          <w:highlight w:val="none"/>
          <w:shd w:val="clear" w:color="auto" w:fill="auto"/>
        </w:rPr>
      </w:pPr>
      <w:bookmarkStart w:id="7" w:name="_Toc38985263"/>
      <w:bookmarkStart w:id="8" w:name="_Toc28359079"/>
      <w:bookmarkStart w:id="9" w:name="_Toc35393790"/>
      <w:bookmarkStart w:id="10" w:name="_Toc28359002"/>
      <w:bookmarkStart w:id="11" w:name="_Toc35393621"/>
      <w:bookmarkStart w:id="12" w:name="_Hlk24379207"/>
      <w:r>
        <w:rPr>
          <w:rFonts w:hint="eastAsia" w:ascii="宋体" w:hAnsi="宋体" w:eastAsia="宋体" w:cs="宋体"/>
          <w:b/>
          <w:color w:val="auto"/>
          <w:sz w:val="24"/>
          <w:szCs w:val="24"/>
          <w:highlight w:val="none"/>
          <w:shd w:val="clear" w:color="auto" w:fill="auto"/>
        </w:rPr>
        <w:t>一、项目基本情况</w:t>
      </w:r>
      <w:bookmarkEnd w:id="7"/>
      <w:bookmarkEnd w:id="8"/>
      <w:bookmarkEnd w:id="9"/>
      <w:bookmarkEnd w:id="10"/>
      <w:bookmarkEnd w:id="11"/>
      <w:bookmarkEnd w:id="12"/>
    </w:p>
    <w:p w14:paraId="12C93848">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lang w:eastAsia="zh-CN"/>
        </w:rPr>
      </w:pPr>
      <w:bookmarkStart w:id="13" w:name="_Toc35393622"/>
      <w:bookmarkStart w:id="14" w:name="_Toc28359003"/>
      <w:bookmarkStart w:id="15" w:name="_Toc28359080"/>
      <w:bookmarkStart w:id="16" w:name="_Toc38985264"/>
      <w:bookmarkStart w:id="17" w:name="_Toc35393791"/>
      <w:r>
        <w:rPr>
          <w:rFonts w:hint="eastAsia" w:ascii="宋体" w:hAnsi="宋体" w:eastAsia="宋体" w:cs="宋体"/>
          <w:color w:val="auto"/>
          <w:sz w:val="24"/>
          <w:szCs w:val="24"/>
          <w:highlight w:val="none"/>
          <w:shd w:val="clear" w:color="auto" w:fill="auto"/>
        </w:rPr>
        <w:t>1.项目编号：</w:t>
      </w:r>
      <w:r>
        <w:rPr>
          <w:rFonts w:hint="eastAsia" w:ascii="宋体" w:hAnsi="宋体" w:eastAsia="宋体" w:cs="宋体"/>
          <w:color w:val="auto"/>
          <w:sz w:val="24"/>
          <w:szCs w:val="24"/>
          <w:highlight w:val="none"/>
          <w:shd w:val="clear" w:color="auto" w:fill="auto"/>
          <w:lang w:eastAsia="zh-CN"/>
        </w:rPr>
        <w:t>JSZC-320921-YCDY-D2026-0002</w:t>
      </w:r>
    </w:p>
    <w:p w14:paraId="24793C5B">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color w:val="auto"/>
          <w:sz w:val="24"/>
          <w:szCs w:val="24"/>
          <w:highlight w:val="none"/>
          <w:shd w:val="clear" w:color="auto" w:fill="auto"/>
          <w:lang w:eastAsia="zh-CN"/>
        </w:rPr>
        <w:t>县项目中心搭建響AI智慧招商平台服务项目</w:t>
      </w:r>
    </w:p>
    <w:p w14:paraId="4EA4426E">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val="en-US" w:eastAsia="zh-CN"/>
        </w:rPr>
        <w:t>单一来源采购</w:t>
      </w:r>
    </w:p>
    <w:p w14:paraId="55D304B4">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4.预算金额：200万元</w:t>
      </w:r>
    </w:p>
    <w:p w14:paraId="0309B88F">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w:t>
      </w:r>
      <w:r>
        <w:rPr>
          <w:rFonts w:hint="eastAsia" w:ascii="宋体" w:hAnsi="宋体" w:eastAsia="宋体" w:cs="宋体"/>
          <w:i w:val="0"/>
          <w:iCs w:val="0"/>
          <w:caps w:val="0"/>
          <w:color w:val="auto"/>
          <w:spacing w:val="0"/>
          <w:sz w:val="24"/>
          <w:szCs w:val="24"/>
          <w:highlight w:val="none"/>
          <w:shd w:val="clear" w:color="auto" w:fill="auto"/>
          <w:lang w:val="en-US" w:eastAsia="zh-CN"/>
        </w:rPr>
        <w:t>200万元</w:t>
      </w:r>
    </w:p>
    <w:p w14:paraId="3C2FA4A3">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lang w:eastAsia="zh-CN"/>
        </w:rPr>
        <w:t>.采购需求（简介）：</w:t>
      </w:r>
      <w:r>
        <w:rPr>
          <w:rFonts w:hint="eastAsia" w:ascii="宋体" w:hAnsi="宋体" w:eastAsia="宋体" w:cs="宋体"/>
          <w:i w:val="0"/>
          <w:iCs w:val="0"/>
          <w:caps w:val="0"/>
          <w:color w:val="auto"/>
          <w:spacing w:val="0"/>
          <w:sz w:val="24"/>
          <w:szCs w:val="24"/>
          <w:highlight w:val="none"/>
          <w:shd w:val="clear" w:color="auto" w:fill="auto"/>
          <w:lang w:val="en-US" w:eastAsia="zh-CN"/>
        </w:rPr>
        <w:t>包含</w:t>
      </w:r>
      <w:r>
        <w:rPr>
          <w:rFonts w:hint="eastAsia" w:ascii="宋体" w:hAnsi="宋体" w:eastAsia="宋体" w:cs="宋体"/>
          <w:color w:val="auto"/>
          <w:sz w:val="24"/>
          <w:szCs w:val="24"/>
          <w:highlight w:val="none"/>
          <w:lang w:eastAsia="zh-CN"/>
        </w:rPr>
        <w:t>县项目中心搭建響AI智慧招商平台服务项目</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lang w:val="en-US" w:eastAsia="zh-CN"/>
        </w:rPr>
        <w:t>详见“第四章  采购需求”</w:t>
      </w:r>
      <w:r>
        <w:rPr>
          <w:rFonts w:hint="eastAsia" w:ascii="宋体" w:hAnsi="宋体" w:eastAsia="宋体" w:cs="宋体"/>
          <w:i w:val="0"/>
          <w:iCs w:val="0"/>
          <w:caps w:val="0"/>
          <w:color w:val="auto"/>
          <w:spacing w:val="0"/>
          <w:sz w:val="24"/>
          <w:szCs w:val="24"/>
          <w:highlight w:val="none"/>
          <w:shd w:val="clear" w:color="auto" w:fill="auto"/>
          <w:lang w:eastAsia="zh-CN"/>
        </w:rPr>
        <w:t>。</w:t>
      </w:r>
    </w:p>
    <w:p w14:paraId="62421165">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lang w:eastAsia="zh-CN"/>
        </w:rPr>
        <w:t>.合同履行期限：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一</w:t>
      </w:r>
      <w:r>
        <w:rPr>
          <w:rFonts w:hint="eastAsia" w:ascii="宋体" w:hAnsi="宋体" w:eastAsia="宋体" w:cs="宋体"/>
          <w:i w:val="0"/>
          <w:iCs w:val="0"/>
          <w:caps w:val="0"/>
          <w:color w:val="auto"/>
          <w:spacing w:val="0"/>
          <w:sz w:val="24"/>
          <w:szCs w:val="24"/>
          <w:highlight w:val="none"/>
          <w:shd w:val="clear" w:color="auto" w:fill="auto"/>
          <w:lang w:eastAsia="zh-CN"/>
        </w:rPr>
        <w:t>年。</w:t>
      </w:r>
    </w:p>
    <w:p w14:paraId="191B9A2D">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8.本项目不接受联合体参与单一来源采购活动</w:t>
      </w:r>
      <w:bookmarkStart w:id="180" w:name="_GoBack"/>
      <w:bookmarkEnd w:id="180"/>
    </w:p>
    <w:p w14:paraId="137E06FC">
      <w:pPr>
        <w:pStyle w:val="11"/>
        <w:keepNext/>
        <w:keepLines/>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bookmarkEnd w:id="13"/>
      <w:bookmarkEnd w:id="14"/>
      <w:bookmarkEnd w:id="15"/>
      <w:bookmarkEnd w:id="16"/>
      <w:bookmarkEnd w:id="17"/>
      <w:r>
        <w:rPr>
          <w:rFonts w:hint="eastAsia" w:ascii="宋体" w:hAnsi="宋体" w:eastAsia="宋体" w:cs="宋体"/>
          <w:b/>
          <w:color w:val="auto"/>
          <w:sz w:val="24"/>
          <w:szCs w:val="24"/>
          <w:highlight w:val="none"/>
          <w:shd w:val="clear" w:color="auto" w:fill="auto"/>
        </w:rPr>
        <w:t>合格单一来源供应商资格要求</w:t>
      </w:r>
    </w:p>
    <w:p w14:paraId="24550C0D">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13EE01E6">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法人或者其他组织的营业执照等证明文件，自然人的身份证明；</w:t>
      </w:r>
    </w:p>
    <w:p w14:paraId="2B42B3C1">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1.2上一年度的财务状况</w:t>
      </w:r>
      <w:r>
        <w:rPr>
          <w:rFonts w:hint="eastAsia" w:ascii="宋体" w:hAnsi="宋体" w:eastAsia="宋体" w:cs="宋体"/>
          <w:color w:val="auto"/>
          <w:sz w:val="24"/>
          <w:szCs w:val="24"/>
          <w:highlight w:val="none"/>
          <w:shd w:val="clear" w:color="auto" w:fill="auto"/>
          <w:lang w:val="en-US" w:eastAsia="zh-CN"/>
        </w:rPr>
        <w:t>报表</w:t>
      </w:r>
      <w:r>
        <w:rPr>
          <w:rFonts w:hint="eastAsia" w:ascii="宋体" w:hAnsi="宋体" w:eastAsia="宋体" w:cs="宋体"/>
          <w:color w:val="auto"/>
          <w:sz w:val="24"/>
          <w:szCs w:val="24"/>
          <w:highlight w:val="none"/>
          <w:shd w:val="clear" w:color="auto" w:fill="auto"/>
        </w:rPr>
        <w:t>（成立不满一年无需提供）；</w:t>
      </w:r>
    </w:p>
    <w:p w14:paraId="487302E6">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451A448F">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1F167B4">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2ACC13F3">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5F17345A">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9F9EA54">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sectPr>
          <w:footerReference r:id="rId4"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w:t>
      </w:r>
    </w:p>
    <w:p w14:paraId="74BD066C">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参加同一合同项下的政府采购活动。</w:t>
      </w:r>
    </w:p>
    <w:p w14:paraId="115C8D42">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本项目为非专门面向中小企业采购的项目，本项目落实小微型企业、残疾人福利性单位及监狱企业扶持等相关政府采购政策。对符合（财库[2020]46号）规定的小微企业报价给予20%的价格扣除，用扣除后的价格参与评审。</w:t>
      </w:r>
    </w:p>
    <w:p w14:paraId="46BF280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u w:val="none"/>
          <w:shd w:val="clear" w:color="auto" w:fill="auto"/>
          <w:lang w:val="en-US" w:eastAsia="zh-CN"/>
        </w:rPr>
        <w:t>无。</w:t>
      </w:r>
    </w:p>
    <w:p w14:paraId="7465FC1E">
      <w:pPr>
        <w:pStyle w:val="11"/>
        <w:keepNext/>
        <w:keepLines/>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单一来源</w:t>
      </w:r>
      <w:r>
        <w:rPr>
          <w:rFonts w:hint="eastAsia" w:ascii="宋体" w:hAnsi="宋体" w:eastAsia="宋体" w:cs="宋体"/>
          <w:b/>
          <w:color w:val="auto"/>
          <w:sz w:val="24"/>
          <w:szCs w:val="24"/>
          <w:highlight w:val="none"/>
          <w:shd w:val="clear" w:color="auto" w:fill="auto"/>
        </w:rPr>
        <w:t>文件</w:t>
      </w:r>
    </w:p>
    <w:p w14:paraId="7D64D96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4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rPr>
        <w:t>自采购文件在苏采云系统发布之日起至投标截止时间前。</w:t>
      </w:r>
    </w:p>
    <w:p w14:paraId="3FE7E4A2">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1222EE16">
      <w:pPr>
        <w:pageBreakBefore w:val="0"/>
        <w:widowControl/>
        <w:kinsoku/>
        <w:wordWrap/>
        <w:overflowPunct/>
        <w:topLinePunct w:val="0"/>
        <w:autoSpaceDE/>
        <w:autoSpaceDN/>
        <w:bidi w:val="0"/>
        <w:adjustRightInd/>
        <w:snapToGrid/>
        <w:spacing w:before="79" w:beforeLines="25" w:after="79" w:afterLines="25" w:line="420" w:lineRule="exact"/>
        <w:ind w:firstLine="48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4.售价：0元</w:t>
      </w:r>
    </w:p>
    <w:p w14:paraId="1B9195CD">
      <w:pPr>
        <w:pStyle w:val="11"/>
        <w:keepNext/>
        <w:keepLines/>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98"/>
        <w:jc w:val="both"/>
        <w:textAlignment w:val="auto"/>
        <w:rPr>
          <w:rFonts w:hint="eastAsia" w:ascii="宋体" w:hAnsi="宋体" w:eastAsia="宋体" w:cs="宋体"/>
          <w:color w:val="auto"/>
          <w:sz w:val="24"/>
          <w:szCs w:val="24"/>
          <w:highlight w:val="none"/>
          <w:shd w:val="clear" w:color="auto" w:fill="auto"/>
        </w:rPr>
      </w:pPr>
      <w:bookmarkStart w:id="18" w:name="_Toc38985266"/>
      <w:bookmarkStart w:id="19" w:name="_Toc35393624"/>
      <w:bookmarkStart w:id="20" w:name="_Toc28359005"/>
      <w:bookmarkStart w:id="21" w:name="_Toc28359082"/>
      <w:bookmarkStart w:id="22" w:name="_Toc35393793"/>
      <w:r>
        <w:rPr>
          <w:rFonts w:hint="eastAsia" w:ascii="宋体" w:hAnsi="宋体" w:eastAsia="宋体" w:cs="宋体"/>
          <w:b/>
          <w:color w:val="auto"/>
          <w:sz w:val="24"/>
          <w:szCs w:val="24"/>
          <w:highlight w:val="none"/>
          <w:shd w:val="clear" w:color="auto" w:fill="auto"/>
        </w:rPr>
        <w:t>三、提交</w:t>
      </w:r>
      <w:bookmarkEnd w:id="18"/>
      <w:bookmarkEnd w:id="19"/>
      <w:r>
        <w:rPr>
          <w:rFonts w:hint="eastAsia" w:ascii="宋体" w:hAnsi="宋体" w:eastAsia="宋体" w:cs="宋体"/>
          <w:b/>
          <w:color w:val="auto"/>
          <w:sz w:val="24"/>
          <w:szCs w:val="24"/>
          <w:highlight w:val="none"/>
          <w:shd w:val="clear" w:color="auto" w:fill="auto"/>
        </w:rPr>
        <w:t>响应文件截止时间</w:t>
      </w:r>
      <w:bookmarkEnd w:id="20"/>
      <w:bookmarkEnd w:id="21"/>
      <w:bookmarkEnd w:id="22"/>
    </w:p>
    <w:p w14:paraId="487BD437">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rPr>
      </w:pPr>
      <w:bookmarkStart w:id="23" w:name="_Toc28359008"/>
      <w:bookmarkStart w:id="24" w:name="_Toc28359085"/>
      <w:bookmarkStart w:id="25" w:name="_Toc38985269"/>
      <w:bookmarkStart w:id="26" w:name="_Toc35393796"/>
      <w:bookmarkStart w:id="27" w:name="_Toc35393627"/>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non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8</w:t>
      </w:r>
      <w:r>
        <w:rPr>
          <w:rFonts w:hint="eastAsia" w:ascii="宋体" w:hAnsi="宋体" w:eastAsia="宋体" w:cs="宋体"/>
          <w:color w:val="auto"/>
          <w:sz w:val="24"/>
          <w:szCs w:val="24"/>
          <w:highlight w:val="none"/>
          <w:u w:val="none"/>
          <w:shd w:val="clear" w:color="auto" w:fill="auto"/>
          <w:lang w:val="en-US" w:eastAsia="zh-CN"/>
        </w:rPr>
        <w:t>月</w:t>
      </w:r>
      <w:r>
        <w:rPr>
          <w:rFonts w:hint="eastAsia" w:ascii="宋体" w:hAnsi="宋体" w:eastAsia="宋体" w:cs="宋体"/>
          <w:color w:val="auto"/>
          <w:sz w:val="24"/>
          <w:szCs w:val="24"/>
          <w:highlight w:val="none"/>
          <w:u w:val="single"/>
          <w:shd w:val="clear" w:color="auto" w:fill="auto"/>
          <w:lang w:val="en-US" w:eastAsia="zh-CN"/>
        </w:rPr>
        <w:t>18</w:t>
      </w:r>
      <w:r>
        <w:rPr>
          <w:rFonts w:hint="eastAsia" w:ascii="宋体" w:hAnsi="宋体" w:eastAsia="宋体" w:cs="宋体"/>
          <w:color w:val="auto"/>
          <w:sz w:val="24"/>
          <w:szCs w:val="24"/>
          <w:highlight w:val="none"/>
          <w:u w:val="none"/>
          <w:shd w:val="clear" w:color="auto" w:fill="auto"/>
          <w:lang w:val="en-US" w:eastAsia="zh-CN"/>
        </w:rPr>
        <w:t>日</w:t>
      </w:r>
      <w:r>
        <w:rPr>
          <w:rFonts w:hint="eastAsia" w:ascii="宋体" w:hAnsi="宋体" w:eastAsia="宋体" w:cs="宋体"/>
          <w:color w:val="auto"/>
          <w:sz w:val="24"/>
          <w:szCs w:val="24"/>
          <w:highlight w:val="none"/>
          <w:u w:val="single"/>
          <w:shd w:val="clear" w:color="auto" w:fill="auto"/>
          <w:lang w:val="en-US" w:eastAsia="zh-CN"/>
        </w:rPr>
        <w:t>15</w:t>
      </w:r>
      <w:r>
        <w:rPr>
          <w:rFonts w:hint="eastAsia" w:ascii="宋体" w:hAnsi="宋体" w:eastAsia="宋体" w:cs="宋体"/>
          <w:color w:val="auto"/>
          <w:sz w:val="24"/>
          <w:szCs w:val="24"/>
          <w:highlight w:val="none"/>
          <w:u w:val="none"/>
          <w:shd w:val="clear" w:color="auto" w:fill="auto"/>
          <w:lang w:val="en-US" w:eastAsia="zh-CN"/>
        </w:rPr>
        <w:t>点</w:t>
      </w:r>
      <w:r>
        <w:rPr>
          <w:rFonts w:hint="eastAsia" w:ascii="宋体" w:hAnsi="宋体" w:eastAsia="宋体" w:cs="宋体"/>
          <w:color w:val="auto"/>
          <w:sz w:val="24"/>
          <w:szCs w:val="24"/>
          <w:highlight w:val="none"/>
          <w:u w:val="single"/>
          <w:shd w:val="clear" w:color="auto" w:fill="auto"/>
          <w:lang w:val="en-US" w:eastAsia="zh-CN"/>
        </w:rPr>
        <w:t>00分</w:t>
      </w:r>
      <w:r>
        <w:rPr>
          <w:rFonts w:hint="eastAsia" w:ascii="宋体" w:hAnsi="宋体" w:eastAsia="宋体" w:cs="宋体"/>
          <w:color w:val="auto"/>
          <w:sz w:val="24"/>
          <w:szCs w:val="24"/>
          <w:highlight w:val="none"/>
          <w:shd w:val="clear" w:color="auto" w:fill="auto"/>
        </w:rPr>
        <w:t>（北京时间）。</w:t>
      </w:r>
    </w:p>
    <w:p w14:paraId="077143D5">
      <w:pPr>
        <w:pStyle w:val="11"/>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w:t>
      </w:r>
    </w:p>
    <w:p w14:paraId="00DE35F3">
      <w:pPr>
        <w:pStyle w:val="11"/>
        <w:keepNext/>
        <w:keepLines/>
        <w:pageBreakBefore w:val="0"/>
        <w:kinsoku/>
        <w:wordWrap/>
        <w:overflowPunct/>
        <w:topLinePunct w:val="0"/>
        <w:autoSpaceDE/>
        <w:autoSpaceDN/>
        <w:bidi w:val="0"/>
        <w:adjustRightInd/>
        <w:snapToGrid/>
        <w:spacing w:before="79" w:beforeLines="25" w:beforeAutospacing="0" w:after="79" w:afterLines="25" w:afterAutospacing="0" w:line="420" w:lineRule="exact"/>
        <w:ind w:firstLine="498"/>
        <w:jc w:val="both"/>
        <w:textAlignment w:val="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四、</w:t>
      </w:r>
      <w:r>
        <w:rPr>
          <w:rFonts w:hint="eastAsia" w:ascii="宋体" w:hAnsi="宋体" w:eastAsia="宋体" w:cs="宋体"/>
          <w:b/>
          <w:color w:val="auto"/>
          <w:sz w:val="24"/>
          <w:szCs w:val="24"/>
          <w:highlight w:val="none"/>
          <w:shd w:val="clear" w:color="auto" w:fill="auto"/>
          <w:lang w:val="en-US" w:eastAsia="zh-CN"/>
        </w:rPr>
        <w:t>其他</w:t>
      </w:r>
    </w:p>
    <w:bookmarkEnd w:id="23"/>
    <w:bookmarkEnd w:id="24"/>
    <w:bookmarkEnd w:id="25"/>
    <w:bookmarkEnd w:id="26"/>
    <w:bookmarkEnd w:id="27"/>
    <w:p w14:paraId="701E7982">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bookmarkStart w:id="28" w:name="_Toc28359086"/>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下载地址：在盐城市政府采购网点击【办事指南】-【供应商参与政府采购活动相关资料】。</w:t>
      </w:r>
    </w:p>
    <w:p w14:paraId="6C5E174F">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2.潜在供应商访问电子招标响应交易平台的网络地址和方法：</w:t>
      </w:r>
    </w:p>
    <w:p w14:paraId="58D9301C">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A25B230">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2.2 潜在投标人访问“苏采云”系统方法：江苏省政府采购网首页-“苏采云”链接。 </w:t>
      </w:r>
    </w:p>
    <w:p w14:paraId="10DDB397">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2.3 采购文件（后缀名为“.kedt”）、供应商操作手册及政府采购客户端 工具可通过“苏采云”系统相应链接进行下载。 </w:t>
      </w:r>
    </w:p>
    <w:p w14:paraId="2E7E015B">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2.4 采购代理机构将数据电文形式的采购文件加载至“苏采云”系统，供潜在供应商下载或者查阅。 </w:t>
      </w:r>
    </w:p>
    <w:p w14:paraId="61FD2DD7">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6D8C1B37">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如潜在投标人未按上述要求操作，将自行承担所产生的风险。</w:t>
      </w:r>
    </w:p>
    <w:p w14:paraId="7B1E40EE">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 本次单一来源采购不收取投标保证金，不收取质量保证金。</w:t>
      </w:r>
    </w:p>
    <w:p w14:paraId="52BB43A5">
      <w:pPr>
        <w:keepNext w:val="0"/>
        <w:keepLines w:val="0"/>
        <w:pageBreakBefore w:val="0"/>
        <w:widowControl/>
        <w:suppressLineNumbers w:val="0"/>
        <w:kinsoku/>
        <w:wordWrap/>
        <w:overflowPunct/>
        <w:topLinePunct w:val="0"/>
        <w:autoSpaceDE/>
        <w:autoSpaceDN/>
        <w:bidi w:val="0"/>
        <w:adjustRightInd/>
        <w:snapToGrid/>
        <w:spacing w:before="79" w:beforeLines="25" w:after="79" w:afterLines="25" w:line="420" w:lineRule="exact"/>
        <w:ind w:firstLine="482" w:firstLineChars="200"/>
        <w:jc w:val="left"/>
        <w:textAlignment w:val="auto"/>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五、凡对本次采购提出询问，请按以下方式联系。</w:t>
      </w:r>
    </w:p>
    <w:p w14:paraId="06515F8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2130325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称：响水县重大项目建设服务中心</w:t>
      </w:r>
    </w:p>
    <w:p w14:paraId="5F30C51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地址：响水县建安路邻里中心东门11号楼3楼</w:t>
      </w:r>
    </w:p>
    <w:p w14:paraId="3151EB5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联系人：汤先生</w:t>
      </w:r>
    </w:p>
    <w:p w14:paraId="6D0E89D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联系方式：15949133953</w:t>
      </w:r>
    </w:p>
    <w:p w14:paraId="340B334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62D183C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称：江苏鼎一建设项目管理有限公司</w:t>
      </w:r>
    </w:p>
    <w:p w14:paraId="75E057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 址：盐城市响水县小尖现代产业园内</w:t>
      </w:r>
    </w:p>
    <w:p w14:paraId="187C630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联系人：卜建文</w:t>
      </w:r>
    </w:p>
    <w:p w14:paraId="12E47FD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联系方式：13218521578</w:t>
      </w:r>
    </w:p>
    <w:p w14:paraId="0F6D40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9"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29"/>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7CED83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项目联系人：卜建文</w:t>
      </w:r>
    </w:p>
    <w:p w14:paraId="5882E6A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9" w:beforeLines="25" w:beforeAutospacing="0" w:after="79" w:afterLines="25" w:afterAutospacing="0" w:line="420" w:lineRule="exact"/>
        <w:ind w:left="0" w:right="0" w:firstLine="56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话：13218521578</w:t>
      </w:r>
    </w:p>
    <w:p w14:paraId="4B33FA28">
      <w:pPr>
        <w:pStyle w:val="11"/>
        <w:keepNext/>
        <w:keepLines/>
        <w:spacing w:before="260" w:beforeAutospacing="0" w:after="260" w:afterAutospacing="0" w:line="415" w:lineRule="auto"/>
        <w:jc w:val="center"/>
        <w:outlineLvl w:val="0"/>
        <w:rPr>
          <w:color w:val="auto"/>
          <w:highlight w:val="none"/>
          <w:shd w:val="clear" w:color="auto" w:fill="auto"/>
        </w:rPr>
      </w:pPr>
      <w:bookmarkStart w:id="30" w:name="_Toc120614211"/>
      <w:bookmarkStart w:id="31" w:name="_Toc15027"/>
      <w:r>
        <w:rPr>
          <w:rFonts w:hint="eastAsia" w:ascii="黑体" w:hAnsi="宋体" w:eastAsia="黑体" w:cs="黑体"/>
          <w:b/>
          <w:color w:val="auto"/>
          <w:sz w:val="44"/>
          <w:szCs w:val="44"/>
          <w:highlight w:val="none"/>
          <w:shd w:val="clear" w:color="auto" w:fill="auto"/>
        </w:rPr>
        <w:t>第二章</w:t>
      </w:r>
      <w:bookmarkEnd w:id="30"/>
      <w:r>
        <w:rPr>
          <w:rFonts w:hint="eastAsia" w:ascii="黑体" w:hAnsi="宋体" w:eastAsia="黑体" w:cs="黑体"/>
          <w:b/>
          <w:color w:val="auto"/>
          <w:sz w:val="44"/>
          <w:szCs w:val="44"/>
          <w:highlight w:val="none"/>
          <w:shd w:val="clear" w:color="auto" w:fill="auto"/>
          <w:lang w:val="en-US" w:eastAsia="zh-CN"/>
        </w:rPr>
        <w:t xml:space="preserve">  </w:t>
      </w:r>
      <w:r>
        <w:rPr>
          <w:rFonts w:hint="eastAsia" w:ascii="黑体" w:hAnsi="宋体" w:eastAsia="黑体" w:cs="黑体"/>
          <w:b/>
          <w:color w:val="auto"/>
          <w:sz w:val="44"/>
          <w:szCs w:val="44"/>
          <w:highlight w:val="none"/>
          <w:shd w:val="clear" w:color="auto" w:fill="auto"/>
        </w:rPr>
        <w:t>供应商须知</w:t>
      </w:r>
      <w:bookmarkEnd w:id="31"/>
    </w:p>
    <w:p w14:paraId="35BB6A59">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32" w:name="_Toc16938519"/>
      <w:bookmarkStart w:id="33" w:name="_Toc513029203"/>
      <w:bookmarkStart w:id="34" w:name="_Toc120614214"/>
      <w:bookmarkStart w:id="35" w:name="_Toc20823275"/>
      <w:r>
        <w:rPr>
          <w:rFonts w:hint="eastAsia" w:ascii="宋体" w:hAnsi="宋体" w:eastAsia="宋体" w:cs="宋体"/>
          <w:b/>
          <w:color w:val="auto"/>
          <w:sz w:val="24"/>
          <w:szCs w:val="24"/>
          <w:highlight w:val="none"/>
          <w:shd w:val="clear" w:color="auto" w:fill="auto"/>
        </w:rPr>
        <w:t>一、总则</w:t>
      </w:r>
      <w:bookmarkEnd w:id="32"/>
      <w:bookmarkEnd w:id="33"/>
      <w:bookmarkEnd w:id="34"/>
      <w:bookmarkEnd w:id="35"/>
    </w:p>
    <w:p w14:paraId="61522336">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36" w:name="_Toc20823276"/>
      <w:bookmarkStart w:id="37" w:name="_Toc16938520"/>
      <w:bookmarkStart w:id="38" w:name="_Toc513029204"/>
      <w:bookmarkStart w:id="39" w:name="_Toc458694821"/>
      <w:bookmarkStart w:id="40" w:name="_Hlt16619475"/>
      <w:r>
        <w:rPr>
          <w:rFonts w:hint="eastAsia" w:ascii="宋体" w:hAnsi="宋体" w:eastAsia="宋体" w:cs="宋体"/>
          <w:color w:val="auto"/>
          <w:sz w:val="24"/>
          <w:szCs w:val="24"/>
          <w:highlight w:val="none"/>
          <w:shd w:val="clear" w:color="auto" w:fill="auto"/>
        </w:rPr>
        <w:t>1</w:t>
      </w:r>
      <w:bookmarkEnd w:id="36"/>
      <w:r>
        <w:rPr>
          <w:rFonts w:hint="eastAsia" w:ascii="宋体" w:hAnsi="宋体" w:eastAsia="宋体" w:cs="宋体"/>
          <w:color w:val="auto"/>
          <w:sz w:val="24"/>
          <w:szCs w:val="24"/>
          <w:highlight w:val="none"/>
          <w:shd w:val="clear" w:color="auto" w:fill="auto"/>
        </w:rPr>
        <w:t>、采购方式</w:t>
      </w:r>
      <w:bookmarkEnd w:id="37"/>
      <w:bookmarkEnd w:id="38"/>
      <w:bookmarkEnd w:id="39"/>
    </w:p>
    <w:p w14:paraId="6540625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本次政府采购活动采取单一来源采购方式。</w:t>
      </w:r>
    </w:p>
    <w:p w14:paraId="64868E6F">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41" w:name="_Toc513029205"/>
      <w:bookmarkStart w:id="42" w:name="_Toc20823277"/>
      <w:bookmarkStart w:id="43" w:name="_Toc16938521"/>
      <w:r>
        <w:rPr>
          <w:rFonts w:hint="eastAsia" w:ascii="宋体" w:hAnsi="宋体" w:eastAsia="宋体" w:cs="宋体"/>
          <w:color w:val="auto"/>
          <w:sz w:val="24"/>
          <w:szCs w:val="24"/>
          <w:highlight w:val="none"/>
          <w:shd w:val="clear" w:color="auto" w:fill="auto"/>
        </w:rPr>
        <w:t>2、合格的</w:t>
      </w:r>
      <w:bookmarkEnd w:id="41"/>
      <w:bookmarkEnd w:id="42"/>
      <w:bookmarkEnd w:id="43"/>
      <w:r>
        <w:rPr>
          <w:rFonts w:hint="eastAsia" w:ascii="宋体" w:hAnsi="宋体" w:eastAsia="宋体" w:cs="宋体"/>
          <w:color w:val="auto"/>
          <w:sz w:val="24"/>
          <w:szCs w:val="24"/>
          <w:highlight w:val="none"/>
          <w:shd w:val="clear" w:color="auto" w:fill="auto"/>
        </w:rPr>
        <w:t>供应商</w:t>
      </w:r>
    </w:p>
    <w:p w14:paraId="6B582E2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44" w:name="_Toc16938522"/>
      <w:bookmarkStart w:id="45" w:name="_Toc513029206"/>
      <w:bookmarkStart w:id="46" w:name="_Toc20823278"/>
      <w:r>
        <w:rPr>
          <w:rFonts w:hint="eastAsia" w:ascii="宋体" w:hAnsi="宋体" w:eastAsia="宋体" w:cs="宋体"/>
          <w:color w:val="auto"/>
          <w:sz w:val="24"/>
          <w:szCs w:val="24"/>
          <w:highlight w:val="none"/>
          <w:shd w:val="clear" w:color="auto" w:fill="auto"/>
        </w:rPr>
        <w:t>2.1 满足采购文件中合格单一来源供应商资格要求的规定。</w:t>
      </w:r>
      <w:bookmarkEnd w:id="44"/>
      <w:bookmarkEnd w:id="45"/>
      <w:bookmarkEnd w:id="46"/>
    </w:p>
    <w:p w14:paraId="4F54A98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满足本采购文件实质性条款的规定。</w:t>
      </w:r>
    </w:p>
    <w:p w14:paraId="231E1D7D">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3、适用法律</w:t>
      </w:r>
    </w:p>
    <w:p w14:paraId="5F81F91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 本次采购及由此产生的合同受中华人民共和国有关的法律法规制约和保护。</w:t>
      </w:r>
    </w:p>
    <w:p w14:paraId="2E4C63F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在本项目政府采购活动过程中，如果所执行的标准有更新的，按照最新标准执行。</w:t>
      </w:r>
    </w:p>
    <w:p w14:paraId="7DC796F6">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47" w:name="_Toc16938523"/>
      <w:bookmarkStart w:id="48" w:name="_Toc513029207"/>
      <w:bookmarkStart w:id="49" w:name="_Toc20823279"/>
      <w:bookmarkStart w:id="50" w:name="_Toc462564067"/>
      <w:r>
        <w:rPr>
          <w:rFonts w:hint="eastAsia" w:ascii="宋体" w:hAnsi="宋体" w:eastAsia="宋体" w:cs="宋体"/>
          <w:color w:val="auto"/>
          <w:sz w:val="24"/>
          <w:szCs w:val="24"/>
          <w:highlight w:val="none"/>
          <w:shd w:val="clear" w:color="auto" w:fill="auto"/>
        </w:rPr>
        <w:t>4、相关费用</w:t>
      </w:r>
      <w:bookmarkEnd w:id="47"/>
      <w:bookmarkEnd w:id="48"/>
      <w:bookmarkEnd w:id="49"/>
      <w:bookmarkEnd w:id="50"/>
    </w:p>
    <w:p w14:paraId="5998F17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eastAsia="zh-CN"/>
        </w:rPr>
        <w:t>江苏鼎一建设项目管理有限公司</w:t>
      </w:r>
      <w:r>
        <w:rPr>
          <w:rFonts w:hint="eastAsia" w:ascii="宋体" w:hAnsi="宋体" w:eastAsia="宋体" w:cs="宋体"/>
          <w:color w:val="auto"/>
          <w:sz w:val="24"/>
          <w:szCs w:val="24"/>
          <w:highlight w:val="none"/>
          <w:shd w:val="clear" w:color="auto" w:fill="auto"/>
        </w:rPr>
        <w:t>（以下简称</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）在任何情况下均无义务和责任承担这些费用。</w:t>
      </w:r>
    </w:p>
    <w:p w14:paraId="29075D9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本次</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和采购人不收取标书工本费。</w:t>
      </w:r>
      <w:r>
        <w:rPr>
          <w:rFonts w:hint="eastAsia" w:ascii="宋体" w:hAnsi="宋体" w:eastAsia="宋体" w:cs="宋体"/>
          <w:b/>
          <w:bCs/>
          <w:color w:val="auto"/>
          <w:sz w:val="24"/>
          <w:szCs w:val="24"/>
          <w:highlight w:val="none"/>
          <w:shd w:val="clear" w:color="auto" w:fill="auto"/>
        </w:rPr>
        <w:t>本项目采购代理服务费按</w:t>
      </w:r>
      <w:r>
        <w:rPr>
          <w:rFonts w:hint="eastAsia" w:ascii="宋体" w:hAnsi="宋体" w:eastAsia="宋体" w:cs="宋体"/>
          <w:b/>
          <w:bCs/>
          <w:color w:val="auto"/>
          <w:sz w:val="24"/>
          <w:szCs w:val="24"/>
          <w:highlight w:val="none"/>
          <w:shd w:val="clear" w:color="auto" w:fill="auto"/>
          <w:lang w:val="en-US" w:eastAsia="zh-CN"/>
        </w:rPr>
        <w:t>苏招协</w:t>
      </w:r>
      <w:r>
        <w:rPr>
          <w:rFonts w:hint="eastAsia" w:ascii="宋体" w:hAnsi="宋体" w:eastAsia="宋体" w:cs="宋体"/>
          <w:b/>
          <w:bCs/>
          <w:color w:val="auto"/>
          <w:sz w:val="24"/>
          <w:szCs w:val="24"/>
          <w:highlight w:val="none"/>
          <w:shd w:val="clear" w:color="auto" w:fill="auto"/>
        </w:rPr>
        <w:t>〔20</w:t>
      </w:r>
      <w:r>
        <w:rPr>
          <w:rFonts w:hint="eastAsia" w:ascii="宋体" w:hAnsi="宋体" w:eastAsia="宋体" w:cs="宋体"/>
          <w:b/>
          <w:bCs/>
          <w:color w:val="auto"/>
          <w:sz w:val="24"/>
          <w:szCs w:val="24"/>
          <w:highlight w:val="none"/>
          <w:shd w:val="clear" w:color="auto" w:fill="auto"/>
          <w:lang w:val="en-US" w:eastAsia="zh-CN"/>
        </w:rPr>
        <w:t>2</w:t>
      </w:r>
      <w:r>
        <w:rPr>
          <w:rFonts w:hint="eastAsia" w:ascii="宋体" w:hAnsi="宋体" w:eastAsia="宋体" w:cs="宋体"/>
          <w:b/>
          <w:bCs/>
          <w:color w:val="auto"/>
          <w:sz w:val="24"/>
          <w:szCs w:val="24"/>
          <w:highlight w:val="none"/>
          <w:shd w:val="clear" w:color="auto" w:fill="auto"/>
        </w:rPr>
        <w:t>2〕</w:t>
      </w:r>
      <w:r>
        <w:rPr>
          <w:rFonts w:hint="eastAsia" w:ascii="宋体" w:hAnsi="宋体" w:eastAsia="宋体" w:cs="宋体"/>
          <w:b/>
          <w:bCs/>
          <w:color w:val="auto"/>
          <w:sz w:val="24"/>
          <w:szCs w:val="24"/>
          <w:highlight w:val="none"/>
          <w:shd w:val="clear" w:color="auto" w:fill="auto"/>
          <w:lang w:val="en-US" w:eastAsia="zh-CN"/>
        </w:rPr>
        <w:t>002</w:t>
      </w:r>
      <w:r>
        <w:rPr>
          <w:rFonts w:hint="eastAsia" w:ascii="宋体" w:hAnsi="宋体" w:eastAsia="宋体" w:cs="宋体"/>
          <w:b/>
          <w:bCs/>
          <w:color w:val="auto"/>
          <w:sz w:val="24"/>
          <w:szCs w:val="24"/>
          <w:highlight w:val="none"/>
          <w:shd w:val="clear" w:color="auto" w:fill="auto"/>
        </w:rPr>
        <w:t>号文标准收取，包含在投标总价中，不得单独列项。由中标供应商在领取通知书时，一次性支付给代理机构。</w:t>
      </w:r>
    </w:p>
    <w:p w14:paraId="31746A4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采购文件的约束力</w:t>
      </w:r>
    </w:p>
    <w:p w14:paraId="57C6A25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1106C34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2" w:firstLineChars="200"/>
        <w:jc w:val="both"/>
        <w:textAlignment w:val="auto"/>
        <w:rPr>
          <w:rFonts w:hint="eastAsia" w:ascii="宋体" w:hAnsi="宋体" w:eastAsia="宋体" w:cs="宋体"/>
          <w:b/>
          <w:color w:val="auto"/>
          <w:sz w:val="24"/>
          <w:szCs w:val="24"/>
          <w:highlight w:val="none"/>
          <w:shd w:val="clear" w:color="auto" w:fill="auto"/>
        </w:rPr>
      </w:pPr>
      <w:bookmarkStart w:id="51" w:name="_Toc513029209"/>
      <w:bookmarkStart w:id="52" w:name="_Toc16938525"/>
      <w:bookmarkStart w:id="53" w:name="_Toc20823281"/>
      <w:bookmarkStart w:id="54" w:name="_Toc120614215"/>
      <w:r>
        <w:rPr>
          <w:rFonts w:hint="eastAsia" w:ascii="宋体" w:hAnsi="宋体" w:eastAsia="宋体" w:cs="宋体"/>
          <w:b/>
          <w:color w:val="auto"/>
          <w:sz w:val="24"/>
          <w:szCs w:val="24"/>
          <w:highlight w:val="none"/>
          <w:shd w:val="clear" w:color="auto" w:fill="auto"/>
        </w:rPr>
        <w:t>二、</w:t>
      </w:r>
      <w:bookmarkEnd w:id="51"/>
      <w:bookmarkEnd w:id="52"/>
      <w:bookmarkEnd w:id="53"/>
      <w:bookmarkEnd w:id="54"/>
      <w:r>
        <w:rPr>
          <w:rFonts w:hint="eastAsia" w:ascii="宋体" w:hAnsi="宋体" w:eastAsia="宋体" w:cs="宋体"/>
          <w:b/>
          <w:color w:val="auto"/>
          <w:sz w:val="24"/>
          <w:szCs w:val="24"/>
          <w:highlight w:val="none"/>
          <w:shd w:val="clear" w:color="auto" w:fill="auto"/>
        </w:rPr>
        <w:t>采购文件</w:t>
      </w:r>
      <w:bookmarkStart w:id="55" w:name="_Toc16938526"/>
      <w:bookmarkStart w:id="56" w:name="_Toc513029210"/>
      <w:bookmarkStart w:id="57" w:name="_Toc20823282"/>
    </w:p>
    <w:p w14:paraId="3E4F2F4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6、采购文件构成</w:t>
      </w:r>
      <w:bookmarkEnd w:id="55"/>
      <w:bookmarkEnd w:id="56"/>
      <w:bookmarkEnd w:id="57"/>
    </w:p>
    <w:p w14:paraId="55B91BA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6.1采购文件由以下部分组成：</w:t>
      </w:r>
    </w:p>
    <w:p w14:paraId="458101C5">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（1）单一来源采购邀请</w:t>
      </w:r>
    </w:p>
    <w:p w14:paraId="50EA0FF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54B77EC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2127F72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7A20570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（6）响应文件格式</w:t>
      </w:r>
    </w:p>
    <w:p w14:paraId="5B39F38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请仔细检查采购文件是否齐全，如有缺漏请立即与</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联系解决。</w:t>
      </w:r>
    </w:p>
    <w:p w14:paraId="4EDC48D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045A94E9">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58" w:name="_Toc513029211"/>
      <w:bookmarkStart w:id="59" w:name="_Toc16938527"/>
      <w:bookmarkStart w:id="60" w:name="_Toc462564070"/>
      <w:bookmarkStart w:id="61" w:name="_Toc20823283"/>
      <w:r>
        <w:rPr>
          <w:rFonts w:hint="eastAsia" w:ascii="宋体" w:hAnsi="宋体" w:eastAsia="宋体" w:cs="宋体"/>
          <w:color w:val="auto"/>
          <w:sz w:val="24"/>
          <w:szCs w:val="24"/>
          <w:highlight w:val="none"/>
          <w:shd w:val="clear" w:color="auto" w:fill="auto"/>
        </w:rPr>
        <w:t>7、采购文件的澄清</w:t>
      </w:r>
      <w:bookmarkEnd w:id="58"/>
      <w:bookmarkEnd w:id="59"/>
      <w:bookmarkEnd w:id="60"/>
      <w:bookmarkEnd w:id="61"/>
    </w:p>
    <w:p w14:paraId="052BC4F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62" w:name="_Toc513029212"/>
      <w:bookmarkStart w:id="63" w:name="_Toc16938528"/>
      <w:bookmarkStart w:id="64" w:name="_Toc462564071"/>
      <w:bookmarkStart w:id="65" w:name="_Toc20823284"/>
      <w:r>
        <w:rPr>
          <w:rFonts w:hint="eastAsia" w:ascii="宋体" w:hAnsi="宋体" w:eastAsia="宋体" w:cs="宋体"/>
          <w:color w:val="auto"/>
          <w:sz w:val="24"/>
          <w:szCs w:val="24"/>
          <w:highlight w:val="none"/>
          <w:shd w:val="clear" w:color="auto" w:fill="auto"/>
        </w:rPr>
        <w:t>7.1 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三天</w:t>
      </w:r>
      <w:r>
        <w:rPr>
          <w:rFonts w:hint="eastAsia" w:ascii="宋体" w:hAnsi="宋体" w:eastAsia="宋体" w:cs="宋体"/>
          <w:color w:val="auto"/>
          <w:sz w:val="24"/>
          <w:szCs w:val="24"/>
          <w:highlight w:val="none"/>
          <w:shd w:val="clear" w:color="auto" w:fill="auto"/>
        </w:rPr>
        <w:t>前，在苏采云系统中通知</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将在苏采云系统中对澄清要求予以答复。</w:t>
      </w:r>
      <w:bookmarkEnd w:id="62"/>
      <w:bookmarkEnd w:id="63"/>
      <w:bookmarkEnd w:id="64"/>
      <w:bookmarkEnd w:id="65"/>
    </w:p>
    <w:p w14:paraId="27F80E2A">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66" w:name="_Toc120614216"/>
      <w:bookmarkStart w:id="67" w:name="_Toc16938529"/>
      <w:bookmarkStart w:id="68" w:name="_Toc462564072"/>
      <w:bookmarkStart w:id="69" w:name="_Toc513029213"/>
      <w:bookmarkStart w:id="70" w:name="_Toc20823285"/>
      <w:r>
        <w:rPr>
          <w:rFonts w:hint="eastAsia" w:ascii="宋体" w:hAnsi="宋体" w:eastAsia="宋体" w:cs="宋体"/>
          <w:color w:val="auto"/>
          <w:sz w:val="24"/>
          <w:szCs w:val="24"/>
          <w:highlight w:val="none"/>
          <w:shd w:val="clear" w:color="auto" w:fill="auto"/>
        </w:rPr>
        <w:t>8、采购文件的修改</w:t>
      </w:r>
      <w:bookmarkEnd w:id="66"/>
      <w:bookmarkEnd w:id="67"/>
      <w:bookmarkEnd w:id="68"/>
      <w:bookmarkEnd w:id="69"/>
      <w:bookmarkEnd w:id="70"/>
    </w:p>
    <w:p w14:paraId="3F86A97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在截止时间前，</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可以以补充文件的方式对采购文件进行修改。</w:t>
      </w:r>
    </w:p>
    <w:p w14:paraId="1D70A49B">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有权按照政府采购的有关要求推迟截止时间。</w:t>
      </w:r>
    </w:p>
    <w:p w14:paraId="2EC147E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采购文件的补充文件将作为采购文件的组成部分，并对供应商具有约束力。</w:t>
      </w:r>
    </w:p>
    <w:p w14:paraId="7A4B018B">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三、响应文件的编制</w:t>
      </w:r>
    </w:p>
    <w:p w14:paraId="3D80480D">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1" w:name="_Toc16938530"/>
      <w:bookmarkStart w:id="72" w:name="_Toc513029214"/>
      <w:bookmarkStart w:id="73" w:name="_Toc20823286"/>
      <w:bookmarkStart w:id="74" w:name="_Toc462564073"/>
      <w:r>
        <w:rPr>
          <w:rFonts w:hint="eastAsia" w:ascii="宋体" w:hAnsi="宋体" w:eastAsia="宋体" w:cs="宋体"/>
          <w:color w:val="auto"/>
          <w:sz w:val="24"/>
          <w:szCs w:val="24"/>
          <w:highlight w:val="none"/>
          <w:shd w:val="clear" w:color="auto" w:fill="auto"/>
        </w:rPr>
        <w:t>9、响应文件的语言及度量衡单位</w:t>
      </w:r>
      <w:bookmarkEnd w:id="71"/>
      <w:bookmarkEnd w:id="72"/>
      <w:bookmarkEnd w:id="73"/>
      <w:bookmarkEnd w:id="74"/>
    </w:p>
    <w:p w14:paraId="59B9309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供应商提交的响应文件以及供应商与</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就有关采购活动的所有来往通知、函件和文件均应使用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767ACC9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28A9FB25">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5" w:name="_Toc513029215"/>
      <w:bookmarkStart w:id="76" w:name="_Toc20823287"/>
      <w:bookmarkStart w:id="77" w:name="_Toc16938531"/>
      <w:bookmarkStart w:id="78" w:name="_Toc462564074"/>
      <w:r>
        <w:rPr>
          <w:rFonts w:hint="eastAsia" w:ascii="宋体" w:hAnsi="宋体" w:eastAsia="宋体" w:cs="宋体"/>
          <w:color w:val="auto"/>
          <w:sz w:val="24"/>
          <w:szCs w:val="24"/>
          <w:highlight w:val="none"/>
          <w:shd w:val="clear" w:color="auto" w:fill="auto"/>
        </w:rPr>
        <w:t>10、响应文件构成</w:t>
      </w:r>
      <w:bookmarkEnd w:id="75"/>
      <w:bookmarkEnd w:id="76"/>
      <w:bookmarkEnd w:id="77"/>
      <w:bookmarkEnd w:id="78"/>
    </w:p>
    <w:p w14:paraId="49C6AC5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9" w:name="_Toc49090509"/>
      <w:bookmarkStart w:id="80" w:name="_Toc14577354"/>
      <w:bookmarkStart w:id="81" w:name="_Toc513029219"/>
      <w:bookmarkStart w:id="82" w:name="_Toc49090507"/>
      <w:bookmarkStart w:id="83" w:name="_Toc14577357"/>
      <w:bookmarkStart w:id="84" w:name="_Toc14577355"/>
      <w:bookmarkStart w:id="85" w:name="_Toc513029216"/>
      <w:bookmarkStart w:id="86" w:name="_Toc49090508"/>
      <w:bookmarkStart w:id="87" w:name="_Hlt26670360"/>
      <w:bookmarkStart w:id="88" w:name="_Hlt26668975"/>
      <w:bookmarkStart w:id="89" w:name="_Hlt26954838"/>
      <w:r>
        <w:rPr>
          <w:rFonts w:hint="eastAsia" w:ascii="宋体" w:hAnsi="宋体" w:eastAsia="宋体" w:cs="宋体"/>
          <w:color w:val="auto"/>
          <w:sz w:val="24"/>
          <w:szCs w:val="24"/>
          <w:highlight w:val="none"/>
          <w:shd w:val="clear" w:color="auto" w:fill="auto"/>
        </w:rPr>
        <w:t>10.1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供应商编写的响应文件应包括资格证明文件、符合性证明文件、分项报价表、技术要求响应及偏离表、商务要求响应及偏离表、其他证明文件、单一来源响应函等部分。</w:t>
      </w:r>
      <w:bookmarkEnd w:id="79"/>
      <w:bookmarkEnd w:id="80"/>
      <w:bookmarkEnd w:id="81"/>
      <w:bookmarkEnd w:id="82"/>
      <w:bookmarkEnd w:id="83"/>
      <w:bookmarkEnd w:id="84"/>
      <w:bookmarkEnd w:id="85"/>
      <w:bookmarkEnd w:id="86"/>
    </w:p>
    <w:p w14:paraId="4D79A7DA">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11、证明供应商及响应标的符合采购文件规定的文件</w:t>
      </w:r>
    </w:p>
    <w:p w14:paraId="274CC85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 供应商应按照法律、法规、规章和规范性文件以及采购文件要求提交证明文件，证明</w:t>
      </w:r>
      <w:r>
        <w:rPr>
          <w:rFonts w:hint="eastAsia" w:ascii="宋体" w:hAnsi="宋体" w:eastAsia="宋体" w:cs="宋体"/>
          <w:color w:val="auto"/>
          <w:sz w:val="24"/>
          <w:szCs w:val="24"/>
          <w:highlight w:val="none"/>
          <w:shd w:val="clear" w:color="auto" w:fill="auto"/>
          <w:lang w:eastAsia="zh-CN"/>
        </w:rPr>
        <w:t>其</w:t>
      </w:r>
      <w:r>
        <w:rPr>
          <w:rFonts w:hint="eastAsia" w:ascii="宋体" w:hAnsi="宋体" w:eastAsia="宋体" w:cs="宋体"/>
          <w:color w:val="auto"/>
          <w:sz w:val="24"/>
          <w:szCs w:val="24"/>
          <w:highlight w:val="none"/>
          <w:shd w:val="clear" w:color="auto" w:fill="auto"/>
        </w:rPr>
        <w:t>响应标的符合采购文件规定。</w:t>
      </w:r>
    </w:p>
    <w:p w14:paraId="4F1E06C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采购文件对证明文件无明确形式要求的，证明文件可以以文字资料、图纸和数据等形式提交。</w:t>
      </w:r>
    </w:p>
    <w:p w14:paraId="3CCFAFA8">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684FE42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0" w:name="_Hlt26954731"/>
      <w:bookmarkStart w:id="91" w:name="_Hlt26954848"/>
      <w:bookmarkStart w:id="92" w:name="_Hlt26670486"/>
      <w:bookmarkStart w:id="93" w:name="_Hlt26954846"/>
      <w:bookmarkStart w:id="94" w:name="_Hlt26670482"/>
      <w:r>
        <w:rPr>
          <w:rFonts w:hint="eastAsia" w:ascii="宋体" w:hAnsi="宋体" w:eastAsia="宋体" w:cs="宋体"/>
          <w:color w:val="auto"/>
          <w:sz w:val="24"/>
          <w:szCs w:val="24"/>
          <w:highlight w:val="none"/>
          <w:shd w:val="clear" w:color="auto" w:fill="auto"/>
        </w:rPr>
        <w:t>12.1 供应商应按照采购文件规定格式填报分项报价表。</w:t>
      </w:r>
    </w:p>
    <w:p w14:paraId="21DF1D29">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报价货币。响应文件中的单价和总价无特殊规定的采用人民币报价，以元为单位标注。采购文件中另有规定的按规定执行。</w:t>
      </w:r>
    </w:p>
    <w:p w14:paraId="3300F6CE">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13、技术要求响应及偏离表、商务要求响应及偏离表</w:t>
      </w:r>
    </w:p>
    <w:p w14:paraId="55450E32">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供应商需对采购文件中的技术要求与商务要求逐项作出响应或偏离，并说明原因。</w:t>
      </w:r>
    </w:p>
    <w:p w14:paraId="1C0B81E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供应商可在响应文件中提供认为需要的其他技术文件或说明。</w:t>
      </w:r>
    </w:p>
    <w:p w14:paraId="2AC7C147">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5" w:name="_Toc14577359"/>
      <w:bookmarkStart w:id="96" w:name="_Toc49090510"/>
      <w:r>
        <w:rPr>
          <w:rFonts w:hint="eastAsia" w:ascii="宋体" w:hAnsi="宋体" w:eastAsia="宋体" w:cs="宋体"/>
          <w:color w:val="auto"/>
          <w:sz w:val="24"/>
          <w:szCs w:val="24"/>
          <w:highlight w:val="none"/>
          <w:shd w:val="clear" w:color="auto" w:fill="auto"/>
        </w:rPr>
        <w:t>14、服务承诺、培训计划、人员安排及其他</w:t>
      </w:r>
      <w:bookmarkEnd w:id="95"/>
      <w:bookmarkEnd w:id="96"/>
    </w:p>
    <w:p w14:paraId="44B58BFB">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供应商需根据采购文件要求提供有关售后服务的管理制度，售后服务机构的分布情况，售后服务人员的数量、素质、技术水平及售后服务的反应能力等。</w:t>
      </w:r>
    </w:p>
    <w:p w14:paraId="16007C4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供应商需根据采购文件要求提供培训计划。</w:t>
      </w:r>
    </w:p>
    <w:p w14:paraId="0F0A968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供应商需根据采购文件要求提供所投标的的主要组成部分、功能设计、实现思路及关键技术等。</w:t>
      </w:r>
    </w:p>
    <w:p w14:paraId="7C3BE48A">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7" w:name="_Toc14577360"/>
      <w:bookmarkStart w:id="98" w:name="_Toc49090511"/>
      <w:r>
        <w:rPr>
          <w:rFonts w:hint="eastAsia" w:ascii="宋体" w:hAnsi="宋体" w:eastAsia="宋体" w:cs="宋体"/>
          <w:color w:val="auto"/>
          <w:sz w:val="24"/>
          <w:szCs w:val="24"/>
          <w:highlight w:val="none"/>
          <w:shd w:val="clear" w:color="auto" w:fill="auto"/>
        </w:rPr>
        <w:t>15、单一来源响应函</w:t>
      </w:r>
      <w:bookmarkEnd w:id="97"/>
      <w:bookmarkEnd w:id="98"/>
    </w:p>
    <w:p w14:paraId="35A1A2E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 供应商应按照采购文件中提供的格式完整、正确填写单一来源响应函。</w:t>
      </w:r>
    </w:p>
    <w:p w14:paraId="1522FBD2">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16、单一来源采购有效期</w:t>
      </w:r>
    </w:p>
    <w:p w14:paraId="0B4C1F6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单一来源采购有效期（以下简称“有效期”）为</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规定的响应文件接收截止之日后</w:t>
      </w:r>
      <w:r>
        <w:rPr>
          <w:rFonts w:hint="eastAsia" w:ascii="宋体" w:hAnsi="宋体" w:eastAsia="宋体" w:cs="宋体"/>
          <w:b/>
          <w:color w:val="auto"/>
          <w:sz w:val="24"/>
          <w:szCs w:val="24"/>
          <w:highlight w:val="none"/>
          <w:u w:val="single"/>
          <w:shd w:val="clear" w:color="auto" w:fill="auto"/>
        </w:rPr>
        <w:t>三十（30）天</w:t>
      </w:r>
      <w:r>
        <w:rPr>
          <w:rFonts w:hint="eastAsia" w:ascii="宋体" w:hAnsi="宋体" w:eastAsia="宋体" w:cs="宋体"/>
          <w:color w:val="auto"/>
          <w:sz w:val="24"/>
          <w:szCs w:val="24"/>
          <w:highlight w:val="none"/>
          <w:shd w:val="clear" w:color="auto" w:fill="auto"/>
        </w:rPr>
        <w:t>。有效期比规定期限短的将被视为未响应采购文件要求而予以拒绝。</w:t>
      </w:r>
    </w:p>
    <w:p w14:paraId="10493D5F">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17、有效期的延长</w:t>
      </w:r>
    </w:p>
    <w:p w14:paraId="6DE9CA7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在特殊情况下，</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的这一要求而放弃单一来源采购活动，同意延长有效期的供应商既不能要求也不允许修改其响应文件。受有效期约束的所有权利与义务均延长至新的有效期。</w:t>
      </w:r>
    </w:p>
    <w:p w14:paraId="5ED0F2FC">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99" w:name="_Toc120614217"/>
      <w:bookmarkStart w:id="100" w:name="_Toc20823296"/>
      <w:bookmarkStart w:id="101" w:name="_Toc513029224"/>
      <w:bookmarkStart w:id="102" w:name="_Toc16938540"/>
      <w:bookmarkStart w:id="103" w:name="_Hlt26954739"/>
      <w:bookmarkStart w:id="104" w:name="_Hlt26954852"/>
      <w:r>
        <w:rPr>
          <w:rFonts w:hint="eastAsia" w:ascii="宋体" w:hAnsi="宋体" w:eastAsia="宋体" w:cs="宋体"/>
          <w:b/>
          <w:color w:val="auto"/>
          <w:sz w:val="24"/>
          <w:szCs w:val="24"/>
          <w:highlight w:val="none"/>
          <w:shd w:val="clear" w:color="auto" w:fill="auto"/>
        </w:rPr>
        <w:t>四、响应文件的递交</w:t>
      </w:r>
      <w:bookmarkEnd w:id="99"/>
      <w:bookmarkEnd w:id="100"/>
      <w:bookmarkEnd w:id="101"/>
      <w:bookmarkEnd w:id="102"/>
    </w:p>
    <w:p w14:paraId="2F35E747">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05" w:name="_Toc513029225"/>
      <w:bookmarkStart w:id="106" w:name="_Toc462564084"/>
      <w:bookmarkStart w:id="107" w:name="_Toc20823297"/>
      <w:bookmarkStart w:id="108" w:name="_Toc16938541"/>
      <w:r>
        <w:rPr>
          <w:rFonts w:hint="eastAsia" w:ascii="宋体" w:hAnsi="宋体" w:eastAsia="宋体" w:cs="宋体"/>
          <w:color w:val="auto"/>
          <w:sz w:val="24"/>
          <w:szCs w:val="24"/>
          <w:highlight w:val="none"/>
          <w:shd w:val="clear" w:color="auto" w:fill="auto"/>
        </w:rPr>
        <w:t>18、电子</w:t>
      </w:r>
      <w:bookmarkEnd w:id="105"/>
      <w:bookmarkEnd w:id="106"/>
      <w:bookmarkEnd w:id="107"/>
      <w:bookmarkEnd w:id="108"/>
      <w:r>
        <w:rPr>
          <w:rFonts w:hint="eastAsia" w:ascii="宋体" w:hAnsi="宋体" w:eastAsia="宋体" w:cs="宋体"/>
          <w:color w:val="auto"/>
          <w:sz w:val="24"/>
          <w:szCs w:val="24"/>
          <w:highlight w:val="none"/>
          <w:shd w:val="clear" w:color="auto" w:fill="auto"/>
        </w:rPr>
        <w:t>响应文件的递交</w:t>
      </w:r>
    </w:p>
    <w:p w14:paraId="1BCFFFF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供应商应当按照《操作手册》规定，在截止时间前制作并上传电子响应文件。</w:t>
      </w:r>
      <w:bookmarkStart w:id="109" w:name="_Toc20823298"/>
      <w:bookmarkEnd w:id="109"/>
      <w:bookmarkStart w:id="110" w:name="_Toc16938542"/>
      <w:bookmarkEnd w:id="110"/>
      <w:bookmarkStart w:id="111" w:name="_Toc513029226"/>
    </w:p>
    <w:p w14:paraId="753E78E2">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2174788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w:t>
      </w:r>
      <w:r>
        <w:rPr>
          <w:rFonts w:hint="eastAsia" w:ascii="宋体" w:hAnsi="宋体" w:eastAsia="宋体" w:cs="宋体"/>
          <w:i/>
          <w:color w:val="auto"/>
          <w:sz w:val="24"/>
          <w:szCs w:val="24"/>
          <w:highlight w:val="none"/>
          <w:u w:val="single"/>
          <w:shd w:val="clear" w:color="auto" w:fill="auto"/>
          <w:lang w:val="en-US" w:eastAsia="zh-CN"/>
        </w:rPr>
        <w:t xml:space="preserve"> </w:t>
      </w:r>
      <w:r>
        <w:rPr>
          <w:rFonts w:hint="eastAsia" w:ascii="宋体" w:hAnsi="宋体" w:eastAsia="宋体" w:cs="宋体"/>
          <w:i/>
          <w:color w:val="auto"/>
          <w:sz w:val="24"/>
          <w:szCs w:val="24"/>
          <w:highlight w:val="none"/>
          <w:u w:val="single"/>
          <w:shd w:val="clear" w:color="auto" w:fill="auto"/>
        </w:rPr>
        <w:t>供应商上传电子响应文件的时间不得迟于单一来源采购邀请中规定的截止时间。</w:t>
      </w:r>
    </w:p>
    <w:p w14:paraId="1B97F92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2" w:name="_Toc20823299"/>
      <w:bookmarkStart w:id="113" w:name="_Toc513029227"/>
      <w:bookmarkStart w:id="114" w:name="_Toc16938543"/>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供应商应充分考虑到网络环境、网络带宽等风险因素，如因供应商自身原因造成的电子响应文件上传不成功由供应商自行承担全部责任。</w:t>
      </w:r>
      <w:bookmarkEnd w:id="112"/>
      <w:bookmarkEnd w:id="113"/>
      <w:bookmarkEnd w:id="114"/>
    </w:p>
    <w:p w14:paraId="1981C492">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可以按照规定，通过修改采购文件酌情延长截止时间，在此情况下，供应商的所有权利和义务以及供应商受制的截止时间以延长后新的截止时间为准。</w:t>
      </w:r>
    </w:p>
    <w:p w14:paraId="2777F260">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20、响应文件的拒收</w:t>
      </w:r>
    </w:p>
    <w:p w14:paraId="6320BA3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拒绝接收在其规定的截止时间后上传的任何电子响应文件。</w:t>
      </w:r>
    </w:p>
    <w:p w14:paraId="0B89B77F">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5" w:name="_Toc513029228"/>
      <w:bookmarkStart w:id="116" w:name="_Toc16938544"/>
      <w:bookmarkStart w:id="117" w:name="_Toc20823300"/>
      <w:r>
        <w:rPr>
          <w:rFonts w:hint="eastAsia" w:ascii="宋体" w:hAnsi="宋体" w:eastAsia="宋体" w:cs="宋体"/>
          <w:color w:val="auto"/>
          <w:sz w:val="24"/>
          <w:szCs w:val="24"/>
          <w:highlight w:val="none"/>
          <w:shd w:val="clear" w:color="auto" w:fill="auto"/>
        </w:rPr>
        <w:t>21、响应文件的撤回和修改</w:t>
      </w:r>
      <w:bookmarkEnd w:id="115"/>
      <w:bookmarkEnd w:id="116"/>
      <w:bookmarkEnd w:id="117"/>
    </w:p>
    <w:p w14:paraId="5AB2955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响应文件的撤回</w:t>
      </w:r>
    </w:p>
    <w:p w14:paraId="773C2D4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144035C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供应商可在截止时间前，撤回其电子响应文件，具体操作方法见《操作手册》。</w:t>
      </w:r>
    </w:p>
    <w:p w14:paraId="0AA2127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供应商撤回电子响应文件，则认为其不再参与本项目采购活动。</w:t>
      </w:r>
    </w:p>
    <w:p w14:paraId="32212B4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响应文件的修改</w:t>
      </w:r>
    </w:p>
    <w:p w14:paraId="7C29A72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供应商可在截止时间前，对其电子响应文件进行修改，具体操作方法见《操作手册》。</w:t>
      </w:r>
    </w:p>
    <w:p w14:paraId="57C0CA9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在截止时间之后，供应商不得对其电子响应文件作任何修改。</w:t>
      </w:r>
    </w:p>
    <w:p w14:paraId="3F0B7922">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在截止时间至有效期满之间的这段时间内，供应商不得撤回其响应文件。</w:t>
      </w:r>
    </w:p>
    <w:p w14:paraId="7FB4B1C5">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18" w:name="_Toc20823301"/>
      <w:bookmarkStart w:id="119" w:name="_Toc16938545"/>
      <w:bookmarkStart w:id="120" w:name="_Toc513029229"/>
      <w:bookmarkStart w:id="121" w:name="_Toc120614218"/>
      <w:r>
        <w:rPr>
          <w:rFonts w:hint="eastAsia" w:ascii="宋体" w:hAnsi="宋体" w:eastAsia="宋体" w:cs="宋体"/>
          <w:b/>
          <w:color w:val="auto"/>
          <w:sz w:val="24"/>
          <w:szCs w:val="24"/>
          <w:highlight w:val="none"/>
          <w:shd w:val="clear" w:color="auto" w:fill="auto"/>
        </w:rPr>
        <w:t>五、响应文件的解密与评审</w:t>
      </w:r>
      <w:bookmarkEnd w:id="118"/>
      <w:bookmarkEnd w:id="119"/>
      <w:bookmarkEnd w:id="120"/>
      <w:bookmarkEnd w:id="121"/>
    </w:p>
    <w:p w14:paraId="6341D5D0">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2" w:name="_Toc513029230"/>
      <w:bookmarkStart w:id="123" w:name="_Toc16938546"/>
      <w:bookmarkStart w:id="124" w:name="_Toc20823302"/>
      <w:r>
        <w:rPr>
          <w:rFonts w:hint="eastAsia" w:ascii="宋体" w:hAnsi="宋体" w:eastAsia="宋体" w:cs="宋体"/>
          <w:color w:val="auto"/>
          <w:sz w:val="24"/>
          <w:szCs w:val="24"/>
          <w:highlight w:val="none"/>
          <w:shd w:val="clear" w:color="auto" w:fill="auto"/>
        </w:rPr>
        <w:t>22、</w:t>
      </w:r>
      <w:bookmarkEnd w:id="122"/>
      <w:bookmarkEnd w:id="123"/>
      <w:bookmarkEnd w:id="124"/>
      <w:r>
        <w:rPr>
          <w:rFonts w:hint="eastAsia" w:ascii="宋体" w:hAnsi="宋体" w:eastAsia="宋体" w:cs="宋体"/>
          <w:color w:val="auto"/>
          <w:sz w:val="24"/>
          <w:szCs w:val="24"/>
          <w:highlight w:val="none"/>
          <w:shd w:val="clear" w:color="auto" w:fill="auto"/>
        </w:rPr>
        <w:t>响应文件解密</w:t>
      </w:r>
    </w:p>
    <w:p w14:paraId="2F4A661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供应商应当按照《操作手册》规定，在苏采云系统规定的时间内对响应文件进行解密。</w:t>
      </w:r>
    </w:p>
    <w:p w14:paraId="54E1BC9E">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5" w:name="_Toc513029231"/>
      <w:bookmarkStart w:id="126" w:name="_Toc20823303"/>
      <w:bookmarkStart w:id="127" w:name="_Toc16938547"/>
      <w:r>
        <w:rPr>
          <w:rFonts w:hint="eastAsia" w:ascii="宋体" w:hAnsi="宋体" w:eastAsia="宋体" w:cs="宋体"/>
          <w:color w:val="auto"/>
          <w:sz w:val="24"/>
          <w:szCs w:val="24"/>
          <w:highlight w:val="none"/>
          <w:shd w:val="clear" w:color="auto" w:fill="auto"/>
        </w:rPr>
        <w:t>23、单一来源协商小组</w:t>
      </w:r>
      <w:bookmarkEnd w:id="125"/>
      <w:bookmarkEnd w:id="126"/>
      <w:bookmarkEnd w:id="127"/>
    </w:p>
    <w:p w14:paraId="55902E8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单一来源协商小组（以下简称“协商小组”）由政府采购评审专家、采购人代表组成，且人员构成符合政府采购有关规定。</w:t>
      </w:r>
    </w:p>
    <w:p w14:paraId="1A84CCE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协商小组应当按照客观、公正、审慎的原则评审供应商的响应文件，并与供应商协商采购标的的价格。</w:t>
      </w:r>
    </w:p>
    <w:p w14:paraId="15C4A6B7">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24、单一来源协商过程的保密与公正</w:t>
      </w:r>
    </w:p>
    <w:p w14:paraId="69D57DC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8" w:name="_Toc16938548"/>
      <w:bookmarkStart w:id="129" w:name="_Toc20823304"/>
      <w:bookmarkStart w:id="130" w:name="_Toc513029232"/>
      <w:r>
        <w:rPr>
          <w:rFonts w:hint="eastAsia" w:ascii="宋体" w:hAnsi="宋体" w:eastAsia="宋体" w:cs="宋体"/>
          <w:color w:val="auto"/>
          <w:sz w:val="24"/>
          <w:szCs w:val="24"/>
          <w:highlight w:val="none"/>
          <w:shd w:val="clear" w:color="auto" w:fill="auto"/>
        </w:rPr>
        <w:t>24.1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协商小组、采购人和</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工作人员、相关监督人员等与评审工作有关的人员，对评审、单一来源协商情况以及在评审、单一来源协商过程（以下简称“协商过程”）中获悉的国家秘密、商业秘密负有保密责任。</w:t>
      </w:r>
      <w:bookmarkEnd w:id="128"/>
      <w:bookmarkEnd w:id="129"/>
      <w:bookmarkEnd w:id="130"/>
    </w:p>
    <w:p w14:paraId="190BB1E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在协商过程中，供应商不得以任何行为影响评审及协商过程，否则将会导致其响应文件被拒绝。</w:t>
      </w:r>
    </w:p>
    <w:p w14:paraId="2D14609E">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25、评审及协商过程中的澄清</w:t>
      </w:r>
    </w:p>
    <w:p w14:paraId="74DA9EC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项目评审及协商过程中，协商小组有权要求供应商对响应文件中含义不明确、同类问题表述不一致或者有明显文字和计算错误的内容等作出必要的澄清、说明或者更正。</w:t>
      </w:r>
    </w:p>
    <w:p w14:paraId="6B9584F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4324D4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作出</w:t>
      </w:r>
      <w:r>
        <w:rPr>
          <w:rFonts w:hint="eastAsia" w:ascii="宋体" w:hAnsi="宋体" w:eastAsia="宋体" w:cs="宋体"/>
          <w:color w:val="auto"/>
          <w:sz w:val="24"/>
          <w:szCs w:val="24"/>
          <w:highlight w:val="none"/>
          <w:shd w:val="clear" w:color="auto" w:fill="auto"/>
        </w:rPr>
        <w:t>澄清、说明和 更正，其风险由供应商自行承担。</w:t>
      </w:r>
    </w:p>
    <w:p w14:paraId="12801BFC">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1" w:name="_Toc20823305"/>
      <w:bookmarkStart w:id="132" w:name="_Toc16938549"/>
      <w:bookmarkStart w:id="133" w:name="_Toc513029233"/>
      <w:r>
        <w:rPr>
          <w:rFonts w:hint="eastAsia" w:ascii="宋体" w:hAnsi="宋体" w:eastAsia="宋体" w:cs="宋体"/>
          <w:color w:val="auto"/>
          <w:sz w:val="24"/>
          <w:szCs w:val="24"/>
          <w:highlight w:val="none"/>
          <w:shd w:val="clear" w:color="auto" w:fill="auto"/>
        </w:rPr>
        <w:t>26、对响应文件的审</w:t>
      </w:r>
      <w:bookmarkEnd w:id="131"/>
      <w:bookmarkEnd w:id="132"/>
      <w:bookmarkEnd w:id="133"/>
      <w:r>
        <w:rPr>
          <w:rFonts w:hint="eastAsia" w:ascii="宋体" w:hAnsi="宋体" w:eastAsia="宋体" w:cs="宋体"/>
          <w:color w:val="auto"/>
          <w:sz w:val="24"/>
          <w:szCs w:val="24"/>
          <w:highlight w:val="none"/>
          <w:shd w:val="clear" w:color="auto" w:fill="auto"/>
        </w:rPr>
        <w:t>查</w:t>
      </w:r>
    </w:p>
    <w:p w14:paraId="08BCEE1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响应文件审查分为资格审查和符合性审查。</w:t>
      </w:r>
    </w:p>
    <w:p w14:paraId="60FE28D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资格审查：由协商小组依据法律法规和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文件的规定，对响应文件中的资格证明文件进行审查，以确定供应商是否具备参加单一来源协商的资格。</w:t>
      </w:r>
    </w:p>
    <w:p w14:paraId="2795194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协商小组在进行资格审查的同时，将在“信用中国”网站（www.creditchina.gov.cn）查询供应商的信用记录，以确定供应商是否具备协商资格</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查询结果留存并归档。</w:t>
      </w:r>
    </w:p>
    <w:p w14:paraId="417D0FF2">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shd w:val="clear" w:color="auto" w:fill="auto"/>
          <w:lang w:val="en-US" w:eastAsia="zh-CN"/>
        </w:rPr>
        <w:t>信</w:t>
      </w:r>
      <w:r>
        <w:rPr>
          <w:rFonts w:hint="eastAsia" w:ascii="宋体" w:hAnsi="宋体" w:eastAsia="宋体" w:cs="宋体"/>
          <w:color w:val="auto"/>
          <w:sz w:val="24"/>
          <w:szCs w:val="24"/>
          <w:highlight w:val="none"/>
          <w:shd w:val="clear" w:color="auto" w:fill="auto"/>
        </w:rPr>
        <w:t>用记录。</w:t>
      </w:r>
    </w:p>
    <w:p w14:paraId="5D3353D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文件的实质性要求作出响应。</w:t>
      </w:r>
    </w:p>
    <w:p w14:paraId="461CCA8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未通过资格审查或符合性审查的供应商，协商小组将在苏采云系统中告知未通过资格审查或符合性审查的原因，评审结束后，协商小组将不再告知未通过资格审查或符合性审查的原因。</w:t>
      </w:r>
    </w:p>
    <w:p w14:paraId="28AD13F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在正式进行协商之前，协商小组将首先审查每份响应文件是否实质性响应了采购文件的要求。实质性响应的响应文件应该是与采购文件要求的条款、条件和规格相符，没有重大偏离或保留。</w:t>
      </w:r>
    </w:p>
    <w:p w14:paraId="6C78FF3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的权利或供应商的义务。重大偏离由协商小组按照少数服从多数的原则认定。协商小组决定响应文件的响应性只根据响应文件本身的内容，而不寻求外部的证据。</w:t>
      </w:r>
    </w:p>
    <w:p w14:paraId="297A3F3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未实质性响应采购文件的情形</w:t>
      </w:r>
    </w:p>
    <w:p w14:paraId="22A43B3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供应商在苏采云系统规定的时间内未成功解密电子响应文件的。</w:t>
      </w:r>
    </w:p>
    <w:p w14:paraId="163D3F2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供应商未按照采购文件要求上传电子响应文件的。</w:t>
      </w:r>
    </w:p>
    <w:p w14:paraId="2091C16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供应商提交两个（含两个）以上不同的响应文件或者最后报价的。</w:t>
      </w:r>
    </w:p>
    <w:p w14:paraId="5B0CA65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供应商不具备采购文件中规定资格要求的。</w:t>
      </w:r>
    </w:p>
    <w:p w14:paraId="44CBA39B">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供应商的最后报价超过了采购预算。</w:t>
      </w:r>
    </w:p>
    <w:p w14:paraId="6E0EDCD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不符合采购文件中规定的实质性要求和条件的</w:t>
      </w:r>
      <w:r>
        <w:rPr>
          <w:rFonts w:hint="eastAsia" w:ascii="宋体" w:hAnsi="宋体" w:eastAsia="宋体" w:cs="宋体"/>
          <w:i/>
          <w:color w:val="auto"/>
          <w:sz w:val="24"/>
          <w:szCs w:val="24"/>
          <w:highlight w:val="none"/>
          <w:u w:val="single"/>
          <w:shd w:val="clear" w:color="auto" w:fill="auto"/>
        </w:rPr>
        <w:t>（本采购文件中斜体且有下划线部分为实质性要求和条件）。</w:t>
      </w:r>
    </w:p>
    <w:p w14:paraId="5A9BD59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82328B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响应文件含有采购人不能接受的附加条件的。</w:t>
      </w:r>
    </w:p>
    <w:p w14:paraId="123849AF">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 xml:space="preserve">9 </w:t>
      </w:r>
      <w:r>
        <w:rPr>
          <w:rFonts w:hint="eastAsia" w:ascii="宋体" w:hAnsi="宋体" w:eastAsia="宋体" w:cs="宋体"/>
          <w:color w:val="auto"/>
          <w:sz w:val="24"/>
          <w:szCs w:val="24"/>
          <w:highlight w:val="none"/>
          <w:shd w:val="clear" w:color="auto" w:fill="auto"/>
        </w:rPr>
        <w:t>响应文件未按照</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文件要求加盖CA电子公章的。</w:t>
      </w:r>
    </w:p>
    <w:p w14:paraId="2D0657BF">
      <w:pPr>
        <w:pStyle w:val="1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评审过程中出现下列情形之一的，协商小组应当启动异常低价响应审查程序：</w:t>
      </w:r>
    </w:p>
    <w:p w14:paraId="7C4783D4">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1.投标（响应）报价低于采购项目最高限价45%的，即投标（响应）报价&lt;采购项目最高限价×45%；</w:t>
      </w:r>
    </w:p>
    <w:p w14:paraId="73379B1D">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2评审委员会基于专业判断，认为供应商报价过低，有可能影响产品质量或者不能诚信履约的其他情形。</w:t>
      </w:r>
    </w:p>
    <w:p w14:paraId="4A058070">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1B05740A">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p>
    <w:p w14:paraId="017DB431">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1"/>
        <w:spacing w:before="0" w:beforeAutospacing="0" w:after="0" w:afterAutospacing="0" w:line="0" w:lineRule="atLeas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7C200BB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kern w:val="0"/>
          <w:sz w:val="24"/>
          <w:szCs w:val="24"/>
          <w:highlight w:val="none"/>
          <w:lang w:val="en-US" w:eastAsia="zh-CN" w:bidi="ar-SA"/>
        </w:rPr>
        <w:t>26.3.10</w:t>
      </w:r>
      <w:r>
        <w:rPr>
          <w:rFonts w:hint="eastAsia" w:ascii="宋体" w:hAnsi="宋体" w:eastAsia="宋体" w:cs="宋体"/>
          <w:color w:val="auto"/>
          <w:sz w:val="24"/>
          <w:szCs w:val="24"/>
          <w:highlight w:val="none"/>
          <w:shd w:val="clear" w:color="auto" w:fill="auto"/>
        </w:rPr>
        <w:t>响应文件未按照</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文件要求加盖CA电子公章的。</w:t>
      </w:r>
    </w:p>
    <w:p w14:paraId="098C4C0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未实质性响应采购文件的响应文件按无效响应处理。</w:t>
      </w:r>
    </w:p>
    <w:p w14:paraId="6E08265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如果响应文件实质上没有响应采购文件的要求，协商小组将予以拒绝。</w:t>
      </w:r>
    </w:p>
    <w:p w14:paraId="7227727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4" w:name="_Toc513029234"/>
      <w:bookmarkStart w:id="135" w:name="_Toc16938550"/>
      <w:bookmarkStart w:id="136" w:name="_Toc20823306"/>
      <w:r>
        <w:rPr>
          <w:rFonts w:hint="eastAsia" w:ascii="宋体" w:hAnsi="宋体" w:eastAsia="宋体" w:cs="宋体"/>
          <w:color w:val="auto"/>
          <w:sz w:val="24"/>
          <w:szCs w:val="24"/>
          <w:highlight w:val="none"/>
          <w:shd w:val="clear" w:color="auto" w:fill="auto"/>
        </w:rPr>
        <w:t>26.6</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供应商在项目评审及协商全过程中应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及协商小组联系。</w:t>
      </w:r>
      <w:bookmarkEnd w:id="134"/>
      <w:bookmarkEnd w:id="135"/>
      <w:bookmarkEnd w:id="136"/>
    </w:p>
    <w:p w14:paraId="1F2D8CD9">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27、单一来源协商及成交原则</w:t>
      </w:r>
    </w:p>
    <w:p w14:paraId="3B986E9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单一来源协商</w:t>
      </w:r>
    </w:p>
    <w:p w14:paraId="0074F6A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 对于通过资格审查和符合性审查的供应商，协商小组将通过苏采云系统与其就采购标的的价格、服务等内容进行单一来源协商。</w:t>
      </w:r>
    </w:p>
    <w:p w14:paraId="11941D3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供应商应当在苏采云系统中以书面形式对协商过程中做出的承诺与澄清进行确认，并在协商小组规定的时间内完成最后报价。</w:t>
      </w:r>
    </w:p>
    <w:p w14:paraId="6D0DB91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49EE4BB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成交原则</w:t>
      </w:r>
    </w:p>
    <w:p w14:paraId="3D0A9CB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协商小组根据政府采购相关法律、规章的规定，在供应商的响应情况能保证采购项目质量且最后报价合理的基础上确定其为成交供应商。</w:t>
      </w:r>
    </w:p>
    <w:p w14:paraId="0DFEA3DB">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单一来源协商终止情形处理</w:t>
      </w:r>
    </w:p>
    <w:p w14:paraId="63E132D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将终止采购活动，发布项目终止公告并说明原因，重新开展采购活动：</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27.3.1 因情况变化，不再符合规定的单一来源采购方式适用情形的；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27.3.2 出现影响采购公正的违法、违规行为的；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供应商最后报价超过采购预算的；</w:t>
      </w:r>
    </w:p>
    <w:p w14:paraId="0CB4A3A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供应商的技术方案、服务承诺、商务条款等不能满足采购人或协商小组的要求；</w:t>
      </w:r>
    </w:p>
    <w:p w14:paraId="44739D1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27.3.5 法律、法规、规章规定的其他应当终止的情形。</w:t>
      </w:r>
    </w:p>
    <w:p w14:paraId="0B9D31A9">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六、成交</w:t>
      </w:r>
    </w:p>
    <w:p w14:paraId="5165CDAC">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28、确定成交供应商</w:t>
      </w:r>
    </w:p>
    <w:p w14:paraId="36B2E0A9">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协商小组根据协商情况编写单一来源评审报告，推荐成交候选供应商。</w:t>
      </w:r>
    </w:p>
    <w:p w14:paraId="6579043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 采购人根据协商小组推荐的成交候选供应商确定成交供应商。</w:t>
      </w:r>
    </w:p>
    <w:p w14:paraId="47490B1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 若有充分证据证明，成交供应商出现下列情况之一的，一经查实，将被取消成交资格：</w:t>
      </w:r>
    </w:p>
    <w:p w14:paraId="25C9AD0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提供虚假材料谋取成交的。</w:t>
      </w:r>
    </w:p>
    <w:p w14:paraId="0C17364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与评审专家、采购人、其他供应商或者</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工作人员恶意串通的。</w:t>
      </w:r>
    </w:p>
    <w:p w14:paraId="5CD60AE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向评审专家、采购人或</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工作人员行贿或者提供其他不正当利益的。</w:t>
      </w:r>
    </w:p>
    <w:p w14:paraId="1D9377B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恶意竞争，最后报价明显低于其自身合理成本且又无法提供证明的。</w:t>
      </w:r>
    </w:p>
    <w:p w14:paraId="458CB09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不满足本采购文件规定的实质性要求，但在评审过程中又未被协商小组发现的。</w:t>
      </w:r>
    </w:p>
    <w:p w14:paraId="6DF73A0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成交后无正当理由拒不与采购人签订政府采购合同或者未按照采购文件确定的事项签订政府采购合同的。</w:t>
      </w:r>
    </w:p>
    <w:p w14:paraId="1E03F24B">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将政府采购合同转包的。</w:t>
      </w:r>
    </w:p>
    <w:p w14:paraId="7C6B7B0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成交供应商被取消成交资格后，</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有权重新组织采购。</w:t>
      </w:r>
    </w:p>
    <w:p w14:paraId="693676AB">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7" w:name="_Toc200451960"/>
      <w:r>
        <w:rPr>
          <w:rFonts w:hint="eastAsia" w:ascii="宋体" w:hAnsi="宋体" w:eastAsia="宋体" w:cs="宋体"/>
          <w:color w:val="auto"/>
          <w:sz w:val="24"/>
          <w:szCs w:val="24"/>
          <w:highlight w:val="none"/>
          <w:shd w:val="clear" w:color="auto" w:fill="auto"/>
        </w:rPr>
        <w:t>29、质疑处理</w:t>
      </w:r>
      <w:bookmarkEnd w:id="137"/>
    </w:p>
    <w:p w14:paraId="12DFB3E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提出质疑。</w:t>
      </w:r>
    </w:p>
    <w:p w14:paraId="5BB10E9B">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、采购人将只对供应商第一次质疑作出答复。</w:t>
      </w:r>
    </w:p>
    <w:p w14:paraId="3F4D3680">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质疑函必须按照本采购文件中《质疑函范本》要求的格式和内容进行填写。供应商如组成联合体参加协商，则《质疑函范本》中要求签字、盖章、加盖公章之处，联合体各方均须按要求签字、盖章、加盖公章。</w:t>
      </w:r>
    </w:p>
    <w:p w14:paraId="18D8F6CC">
      <w:pPr>
        <w:pageBreakBefore w:val="0"/>
        <w:widowControl w:val="0"/>
        <w:tabs>
          <w:tab w:val="left" w:pos="1331"/>
        </w:tabs>
        <w:kinsoku/>
        <w:wordWrap/>
        <w:overflowPunct/>
        <w:topLinePunct w:val="0"/>
        <w:autoSpaceDE/>
        <w:autoSpaceDN/>
        <w:bidi w:val="0"/>
        <w:adjustRightInd/>
        <w:snapToGrid/>
        <w:spacing w:before="79" w:beforeLines="25" w:after="79" w:afterLines="25" w:line="420" w:lineRule="exact"/>
        <w:ind w:lef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29.4 代理机构只接收以纸质原件形式送达的质疑,采购人和代理机构不接受未填写快递运单的快件。联系地址：</w:t>
      </w:r>
      <w:r>
        <w:rPr>
          <w:rFonts w:hint="eastAsia" w:ascii="宋体" w:hAnsi="宋体" w:eastAsia="宋体" w:cs="宋体"/>
          <w:i w:val="0"/>
          <w:iCs w:val="0"/>
          <w:caps w:val="0"/>
          <w:color w:val="auto"/>
          <w:spacing w:val="0"/>
          <w:sz w:val="24"/>
          <w:szCs w:val="24"/>
          <w:highlight w:val="none"/>
          <w:shd w:val="clear" w:color="auto" w:fill="auto"/>
          <w:lang w:val="en-US" w:eastAsia="zh-CN"/>
        </w:rPr>
        <w:t>盐城市响水县小尖现代产业园内</w:t>
      </w:r>
      <w:r>
        <w:rPr>
          <w:rFonts w:hint="eastAsia" w:ascii="宋体" w:hAnsi="宋体" w:eastAsia="宋体" w:cs="宋体"/>
          <w:color w:val="auto"/>
          <w:kern w:val="0"/>
          <w:sz w:val="24"/>
          <w:szCs w:val="24"/>
          <w:highlight w:val="none"/>
          <w:shd w:val="clear" w:color="auto" w:fill="auto"/>
          <w:lang w:val="en-US" w:eastAsia="zh-CN" w:bidi="ar-SA"/>
        </w:rPr>
        <w:t>，联系电话：</w:t>
      </w:r>
      <w:r>
        <w:rPr>
          <w:rFonts w:hint="eastAsia" w:ascii="宋体" w:hAnsi="宋体" w:eastAsia="宋体" w:cs="宋体"/>
          <w:i w:val="0"/>
          <w:iCs w:val="0"/>
          <w:caps w:val="0"/>
          <w:color w:val="auto"/>
          <w:spacing w:val="0"/>
          <w:sz w:val="24"/>
          <w:szCs w:val="24"/>
          <w:highlight w:val="none"/>
          <w:shd w:val="clear" w:color="auto" w:fill="auto"/>
          <w:lang w:val="en-US" w:eastAsia="zh-CN"/>
        </w:rPr>
        <w:t>13218521578</w:t>
      </w:r>
      <w:r>
        <w:rPr>
          <w:rFonts w:hint="eastAsia" w:ascii="宋体" w:hAnsi="宋体" w:eastAsia="宋体" w:cs="宋体"/>
          <w:color w:val="auto"/>
          <w:kern w:val="0"/>
          <w:sz w:val="24"/>
          <w:szCs w:val="24"/>
          <w:highlight w:val="none"/>
          <w:shd w:val="clear" w:color="auto" w:fill="auto"/>
          <w:lang w:val="en-US" w:eastAsia="zh-CN" w:bidi="ar-SA"/>
        </w:rPr>
        <w:t>。</w:t>
      </w:r>
    </w:p>
    <w:p w14:paraId="0FAE8F7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376D677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649FFA8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305F9F62">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295FE40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未参加单一来源采购活动的供应商所提出的质疑。</w:t>
      </w:r>
    </w:p>
    <w:p w14:paraId="063B21D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供应商组成联合体参加协商，联合体中任何一方或多方未按要求签字、盖章、加盖公章的质疑。</w:t>
      </w:r>
    </w:p>
    <w:p w14:paraId="7DC78E5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19FB263C">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0DE2888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成交结果确定后，</w:t>
      </w:r>
      <w:r>
        <w:rPr>
          <w:rFonts w:hint="eastAsia" w:ascii="宋体" w:hAnsi="宋体" w:eastAsia="宋体" w:cs="宋体"/>
          <w:color w:val="auto"/>
          <w:sz w:val="24"/>
          <w:szCs w:val="24"/>
          <w:highlight w:val="none"/>
          <w:shd w:val="clear" w:color="auto" w:fill="auto"/>
          <w:lang w:eastAsia="zh-CN"/>
        </w:rPr>
        <w:t>代理机构</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A47613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成交通知书将是合同的一个组成部分。对采购人和成交供应商均具有法律效力。成交通知书发出后，采购人改变成交结果的，或者成交供应商放弃成交项目的，应当依法承担法律责任。</w:t>
      </w:r>
    </w:p>
    <w:p w14:paraId="36D97A38">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38" w:name="_Toc120614220"/>
      <w:bookmarkStart w:id="139" w:name="_Toc20823308"/>
      <w:bookmarkStart w:id="140" w:name="_Toc16938552"/>
      <w:bookmarkStart w:id="141" w:name="_Toc513029236"/>
      <w:r>
        <w:rPr>
          <w:rFonts w:hint="eastAsia" w:ascii="宋体" w:hAnsi="宋体" w:eastAsia="宋体" w:cs="宋体"/>
          <w:b/>
          <w:color w:val="auto"/>
          <w:sz w:val="24"/>
          <w:szCs w:val="24"/>
          <w:highlight w:val="none"/>
          <w:shd w:val="clear" w:color="auto" w:fill="auto"/>
        </w:rPr>
        <w:t>七、授予合同</w:t>
      </w:r>
      <w:bookmarkEnd w:id="138"/>
      <w:bookmarkEnd w:id="139"/>
      <w:bookmarkEnd w:id="140"/>
      <w:bookmarkEnd w:id="141"/>
    </w:p>
    <w:p w14:paraId="6720A6E2">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2" w:name="_Toc20823309"/>
      <w:bookmarkStart w:id="143" w:name="_Toc513029237"/>
      <w:bookmarkStart w:id="144" w:name="_Toc16938553"/>
      <w:r>
        <w:rPr>
          <w:rFonts w:hint="eastAsia" w:ascii="宋体" w:hAnsi="宋体" w:eastAsia="宋体" w:cs="宋体"/>
          <w:color w:val="auto"/>
          <w:sz w:val="24"/>
          <w:szCs w:val="24"/>
          <w:highlight w:val="none"/>
          <w:shd w:val="clear" w:color="auto" w:fill="auto"/>
        </w:rPr>
        <w:t>31. 签订合同</w:t>
      </w:r>
      <w:bookmarkEnd w:id="142"/>
      <w:bookmarkEnd w:id="143"/>
      <w:bookmarkEnd w:id="144"/>
    </w:p>
    <w:p w14:paraId="625211A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成交供应商应当在成交通知书发出之日起三十日内，按照采购文件确定的事项与采购人签订政府采购合同。</w:t>
      </w:r>
    </w:p>
    <w:p w14:paraId="068648DC">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采购文件、成交供应商的响应文件及协商过程中有关澄清、承诺文件均应作为合同附件。</w:t>
      </w:r>
    </w:p>
    <w:p w14:paraId="7AB25E08">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42610D7B">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443B60E1">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1"/>
        <w:pageBreakBefore w:val="0"/>
        <w:widowControl w:val="0"/>
        <w:numPr>
          <w:ilvl w:val="0"/>
          <w:numId w:val="0"/>
        </w:numPr>
        <w:kinsoku/>
        <w:wordWrap/>
        <w:overflowPunct/>
        <w:topLinePunct w:val="0"/>
        <w:autoSpaceDE/>
        <w:autoSpaceDN/>
        <w:bidi w:val="0"/>
        <w:adjustRightInd/>
        <w:snapToGrid/>
        <w:spacing w:before="79" w:beforeLines="25" w:beforeAutospacing="0" w:after="79" w:afterLines="25" w:afterAutospacing="0" w:line="420" w:lineRule="exact"/>
        <w:ind w:left="0"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1"/>
        <w:keepNext/>
        <w:keepLines/>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 </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 进口产品</w:t>
      </w:r>
    </w:p>
    <w:p w14:paraId="5E25FDB5">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 中小企业、监狱企业及残疾人福利性单位</w:t>
      </w:r>
    </w:p>
    <w:p w14:paraId="63807B9C">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中小企业定义：</w:t>
      </w:r>
    </w:p>
    <w:p w14:paraId="4C9CBD8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供应商提供的货物、工程或者服务符合下列情形的，享受中小企业扶持政策：</w:t>
      </w:r>
    </w:p>
    <w:p w14:paraId="6761BEF4">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在货物采购项目中，货物由中小企业制造，即货物由中小企业生产且使用该中小企业商号或者注册商标；</w:t>
      </w:r>
    </w:p>
    <w:p w14:paraId="31163D45">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在工程采购项目中，工程由中小企业承建，即工程施工单位为中小企业；</w:t>
      </w:r>
    </w:p>
    <w:p w14:paraId="4DFC19B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在服务采购项目中，服务由中小企业承接，即提供服务的人员为中小企业依照《中华人民共和国劳动合同法》订立劳动合同的从业人员。</w:t>
      </w:r>
    </w:p>
    <w:p w14:paraId="3EA95C77">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在货物采购项目中，供应商提供的货物既有中小企业制造货物，也有大型企业制造货物的，不享受中小企业扶持政策。</w:t>
      </w:r>
    </w:p>
    <w:p w14:paraId="18C13D1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以联合体形式参加政府采购活动，联合体各方均为中小企业的，联合体视同中小企业。其中，联合体各方均为小微企业的，联合体视同小微企业。</w:t>
      </w:r>
    </w:p>
    <w:p w14:paraId="34D8F3DF">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残疾人福利单位定义：享受政府采购支持政策的残疾人福利性单位应当同时满足以下条件：</w:t>
      </w:r>
    </w:p>
    <w:p w14:paraId="2C10A4F6">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安置的残疾人占本单位在职职工人数的比例不低于25%（含25%），并且安置的残疾人人数不少于10 人（含10 人）；</w:t>
      </w:r>
    </w:p>
    <w:p w14:paraId="273AB3B5">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依法与安置的每位残疾人签订了一年以上（含一年）的劳动合同或服务协议；</w:t>
      </w:r>
    </w:p>
    <w:p w14:paraId="25054FF3">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为安置的每位残疾人按月足额缴纳了基本养老保险、基本医疗保险、失业保险、工伤保险和生育保险等社会保险费；</w:t>
      </w:r>
    </w:p>
    <w:p w14:paraId="2B08B5C5">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通过银行等金融机构向安置的每位残疾人，按月支付了不低于单位所在区县适用的经省级人民政府批准的月最低工资标准的工资；</w:t>
      </w:r>
    </w:p>
    <w:p w14:paraId="20CB233D">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提供本单位制造的货物、承担的工程或者服务（以下简称产品），或者提供其他残疾人福利性单位制造的货物（不包括使用非残疾人福利性单位注册商标的货物）；</w:t>
      </w:r>
    </w:p>
    <w:p w14:paraId="3B85C34B">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本项目是否专门面向中小企业预留采购份额见第一章《单一来源采购邀请》。</w:t>
      </w:r>
    </w:p>
    <w:p w14:paraId="66321B5E">
      <w:pPr>
        <w:pStyle w:val="11"/>
        <w:pageBreakBefore w:val="0"/>
        <w:widowControl w:val="0"/>
        <w:kinsoku/>
        <w:wordWrap/>
        <w:overflowPunct/>
        <w:topLinePunct w:val="0"/>
        <w:autoSpaceDE/>
        <w:autoSpaceDN/>
        <w:bidi w:val="0"/>
        <w:adjustRightInd/>
        <w:snapToGrid/>
        <w:spacing w:before="79" w:beforeLines="25" w:beforeAutospacing="0" w:after="79" w:afterLines="25" w:afterAutospacing="0" w:line="42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采购标的对应的中小企业划分标准所属行业见第四章《采购需求》。</w:t>
      </w:r>
    </w:p>
    <w:p w14:paraId="24130294">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 政府采购节能产品、环境标志产品</w:t>
      </w:r>
    </w:p>
    <w:p w14:paraId="56196F77">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 绿色包装</w:t>
      </w:r>
    </w:p>
    <w:p w14:paraId="3C828DB7">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 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79" w:beforeLines="25" w:after="79" w:afterLines="25" w:line="420" w:lineRule="exact"/>
        <w:ind w:left="0"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 绿色数据中心政策 </w:t>
      </w:r>
    </w:p>
    <w:p w14:paraId="722A8D32">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33.8实施本国产品标准及相关政策</w:t>
      </w:r>
    </w:p>
    <w:p w14:paraId="48E96ADF">
      <w:pPr>
        <w:numPr>
          <w:ilvl w:val="0"/>
          <w:numId w:val="1"/>
        </w:num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本项目对采购本国产品给予政策支持</w:t>
      </w:r>
    </w:p>
    <w:p w14:paraId="6E8BCEDC">
      <w:pPr>
        <w:numPr>
          <w:ilvl w:val="0"/>
          <w:numId w:val="0"/>
        </w:num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14CFF46">
      <w:pPr>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C549D31">
      <w:pPr>
        <w:ind w:firstLine="482"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 履约保证金政策</w:t>
      </w:r>
    </w:p>
    <w:p w14:paraId="40F02B3A">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114345A3">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3108FD2">
      <w:pPr>
        <w:pageBreakBefore w:val="0"/>
        <w:widowControl w:val="0"/>
        <w:kinsoku/>
        <w:wordWrap/>
        <w:overflowPunct/>
        <w:topLinePunct w:val="0"/>
        <w:autoSpaceDE/>
        <w:autoSpaceDN/>
        <w:bidi w:val="0"/>
        <w:adjustRightInd/>
        <w:snapToGrid/>
        <w:spacing w:before="79" w:beforeLines="25" w:after="79" w:afterLines="25" w:line="42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本项目落实预付款制度，预付款比例为30%。在签订合同时，成交供应商明确书面表示无需预付款或者主动要求降低预付款比例的，采购人可就预付款比例作相应调整。</w:t>
      </w:r>
    </w:p>
    <w:p w14:paraId="0BFBFB16">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1226A962">
      <w:pPr>
        <w:pStyle w:val="11"/>
        <w:keepNext/>
        <w:spacing w:beforeAutospacing="0" w:afterAutospacing="0"/>
        <w:ind w:firstLine="2640"/>
        <w:jc w:val="both"/>
        <w:outlineLvl w:val="0"/>
        <w:rPr>
          <w:color w:val="auto"/>
          <w:highlight w:val="none"/>
          <w:shd w:val="clear" w:color="auto" w:fill="auto"/>
        </w:rPr>
      </w:pPr>
      <w:bookmarkStart w:id="145" w:name="_Toc8440"/>
      <w:r>
        <w:rPr>
          <w:rFonts w:hint="eastAsia" w:ascii="黑体" w:hAnsi="宋体" w:eastAsia="黑体" w:cs="黑体"/>
          <w:color w:val="auto"/>
          <w:sz w:val="44"/>
          <w:szCs w:val="44"/>
          <w:highlight w:val="none"/>
          <w:shd w:val="clear" w:color="auto" w:fill="auto"/>
        </w:rPr>
        <w:t>第三章</w:t>
      </w:r>
      <w:r>
        <w:rPr>
          <w:rFonts w:hint="eastAsia" w:ascii="黑体" w:hAnsi="宋体" w:eastAsia="黑体" w:cs="黑体"/>
          <w:color w:val="auto"/>
          <w:sz w:val="44"/>
          <w:szCs w:val="44"/>
          <w:highlight w:val="none"/>
          <w:shd w:val="clear" w:color="auto" w:fill="auto"/>
          <w:lang w:val="en-US" w:eastAsia="zh-CN"/>
        </w:rPr>
        <w:t xml:space="preserve">  </w:t>
      </w:r>
      <w:r>
        <w:rPr>
          <w:rFonts w:hint="eastAsia" w:ascii="黑体" w:hAnsi="宋体" w:eastAsia="黑体" w:cs="黑体"/>
          <w:color w:val="auto"/>
          <w:sz w:val="44"/>
          <w:szCs w:val="44"/>
          <w:highlight w:val="none"/>
          <w:shd w:val="clear" w:color="auto" w:fill="auto"/>
        </w:rPr>
        <w:t>合同文本</w:t>
      </w:r>
      <w:bookmarkEnd w:id="145"/>
    </w:p>
    <w:p w14:paraId="36B8287F">
      <w:pPr>
        <w:pStyle w:val="11"/>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46" w:name="_Toc16938559"/>
      <w:bookmarkStart w:id="147" w:name="_Toc20823315"/>
      <w:bookmarkStart w:id="148" w:name="_Toc513029243"/>
      <w:bookmarkStart w:id="149" w:name="_Toc479757211"/>
      <w:bookmarkStart w:id="150" w:name="_Toc462564139"/>
      <w:bookmarkStart w:id="151" w:name="_Toc20823346"/>
      <w:bookmarkStart w:id="152" w:name="_Toc120614244"/>
      <w:bookmarkStart w:id="153" w:name="_Toc16938590"/>
      <w:bookmarkStart w:id="154" w:name="_Hlt16619350"/>
      <w:bookmarkStart w:id="155" w:name="_Hlt16619369"/>
      <w:r>
        <w:rPr>
          <w:rFonts w:hint="eastAsia" w:ascii="宋体" w:hAnsi="宋体" w:eastAsia="宋体" w:cs="宋体"/>
          <w:color w:val="auto"/>
          <w:sz w:val="24"/>
          <w:szCs w:val="24"/>
          <w:highlight w:val="none"/>
          <w:shd w:val="clear" w:color="auto" w:fill="auto"/>
        </w:rPr>
        <w:t>以下为成交后</w:t>
      </w:r>
      <w:r>
        <w:rPr>
          <w:rFonts w:hint="eastAsia" w:ascii="宋体" w:hAnsi="宋体" w:eastAsia="宋体" w:cs="宋体"/>
          <w:color w:val="auto"/>
          <w:sz w:val="24"/>
          <w:szCs w:val="24"/>
          <w:highlight w:val="none"/>
          <w:shd w:val="clear" w:color="auto" w:fill="auto"/>
          <w:lang w:eastAsia="zh-CN"/>
        </w:rPr>
        <w:t>签订</w:t>
      </w:r>
      <w:r>
        <w:rPr>
          <w:rFonts w:hint="eastAsia" w:ascii="宋体" w:hAnsi="宋体" w:eastAsia="宋体" w:cs="宋体"/>
          <w:color w:val="auto"/>
          <w:sz w:val="24"/>
          <w:szCs w:val="24"/>
          <w:highlight w:val="none"/>
          <w:shd w:val="clear" w:color="auto" w:fill="auto"/>
        </w:rPr>
        <w:t>本项目合同的通用条款，成交供应商不得提出实质性的修改。</w:t>
      </w:r>
      <w:bookmarkEnd w:id="146"/>
      <w:bookmarkEnd w:id="147"/>
      <w:bookmarkEnd w:id="148"/>
    </w:p>
    <w:p w14:paraId="610FDCC0">
      <w:pPr>
        <w:pStyle w:val="11"/>
        <w:spacing w:beforeAutospacing="0" w:afterAutospacing="0" w:line="0" w:lineRule="atLeast"/>
        <w:ind w:firstLine="6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备注：请项目经办人提醒采购人按照《政府采购需求管理办法》第二十三条的规定完善合同文本。</w:t>
      </w:r>
    </w:p>
    <w:p w14:paraId="3B606EED">
      <w:pPr>
        <w:pStyle w:val="11"/>
        <w:spacing w:before="145" w:beforeAutospacing="0" w:after="145" w:afterAutospacing="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69459029">
      <w:pPr>
        <w:pStyle w:val="11"/>
        <w:spacing w:before="145" w:beforeAutospacing="0" w:after="145" w:afterAutospacing="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盐城市政府采购合同（合同编号）</w:t>
      </w:r>
    </w:p>
    <w:p w14:paraId="4DC46DDA">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项目名称：                       </w:t>
      </w:r>
    </w:p>
    <w:p w14:paraId="08855210">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p w14:paraId="4BADCD5D">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甲方：（买方）_________</w:t>
      </w:r>
    </w:p>
    <w:p w14:paraId="4F7B9214">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乙方：（卖方）_________</w:t>
      </w:r>
    </w:p>
    <w:p w14:paraId="1D89C811">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甲、乙双方根据盐城市政府采购中心</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项目单一来源采购的结果，签署本合同。</w:t>
      </w:r>
    </w:p>
    <w:p w14:paraId="47524835">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一、合同内容</w:t>
      </w:r>
    </w:p>
    <w:p w14:paraId="340291C8">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标的名称：</w:t>
      </w:r>
    </w:p>
    <w:p w14:paraId="310B6095">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1.2标的质量：</w:t>
      </w:r>
    </w:p>
    <w:p w14:paraId="0DB47C57">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标的数量（规模）：</w:t>
      </w:r>
    </w:p>
    <w:p w14:paraId="6F702093">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履行时间（期限）：</w:t>
      </w:r>
    </w:p>
    <w:p w14:paraId="1F13563D">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 履行地点：</w:t>
      </w:r>
    </w:p>
    <w:p w14:paraId="545D75A8">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履行方式：</w:t>
      </w:r>
    </w:p>
    <w:p w14:paraId="4BA7ED77">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二、合同金额</w:t>
      </w:r>
    </w:p>
    <w:p w14:paraId="5FEB7264">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本合同金额为（大写）：____________________________________圆（_______________元）人民币或其他币种。</w:t>
      </w:r>
    </w:p>
    <w:p w14:paraId="61D12960">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三、技术资料</w:t>
      </w:r>
    </w:p>
    <w:p w14:paraId="378C73CA">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3.1乙方应按采购文件规定的时间向甲方提供与合同标的有关的技术资料。</w:t>
      </w:r>
    </w:p>
    <w:p w14:paraId="530E980D">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85A36AF">
      <w:pPr>
        <w:pStyle w:val="11"/>
        <w:spacing w:before="120" w:beforeAutospacing="0" w:after="120" w:afterAutospacing="0"/>
        <w:ind w:left="412" w:hanging="41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四、知识产权</w:t>
      </w:r>
    </w:p>
    <w:p w14:paraId="1182685A">
      <w:pPr>
        <w:spacing w:line="360" w:lineRule="auto"/>
        <w:ind w:firstLine="480" w:firstLineChars="20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4.1乙方应保证甲方在使用、接受本合同标的或其任何一部分时不受第三方提出侵犯其专利权、版权、商标权和工业设计权等知识产权的起诉。一旦出现侵权，由乙方负全部责任。</w:t>
      </w:r>
    </w:p>
    <w:p w14:paraId="66B319BE">
      <w:pPr>
        <w:spacing w:line="360" w:lineRule="auto"/>
        <w:ind w:firstLine="480" w:firstLineChars="200"/>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4.2乙方对其所销售的产品应当享有知识产权或经权利人合法授权，保证没有侵犯任何第三人的知识产权等权利。因违反前述约定对第三人构成侵权的，乙方应直接出面处理纠纷并承担全部法律责任与费用；甲方因此被索赔或判决承担赔偿责任的，有权要求乙方全额承担所有支出（包括但不限于赔偿款、诉讼费、律师费、公证费、差旅费），且甲方可直接从应付乙方的货款或履约保证金中抵扣上述款项，不足部分有权继续向乙方追偿。</w:t>
      </w:r>
    </w:p>
    <w:p w14:paraId="14B9A6A0">
      <w:pPr>
        <w:spacing w:line="360" w:lineRule="auto"/>
        <w:ind w:firstLine="480" w:firstLineChars="20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（备注：项目经办人应提醒采购人注意，采购项目涉及采购标的的知识产权归属、处理的，如订购、设计、定制开发的信息化建设项目等，应当约定知识产权的归属和处理方式。</w:t>
      </w:r>
      <w:r>
        <w:rPr>
          <w:rFonts w:hint="eastAsia" w:ascii="宋体" w:hAnsi="宋体" w:eastAsia="宋体" w:cs="宋体"/>
          <w:color w:val="auto"/>
          <w:kern w:val="0"/>
          <w:sz w:val="24"/>
          <w:szCs w:val="24"/>
          <w:highlight w:val="none"/>
          <w:shd w:val="clear" w:color="auto" w:fill="auto"/>
          <w:lang w:val="en-US" w:eastAsia="zh-CN"/>
        </w:rPr>
        <w:t>采购</w:t>
      </w:r>
      <w:r>
        <w:rPr>
          <w:rFonts w:hint="eastAsia" w:ascii="宋体" w:hAnsi="宋体" w:eastAsia="宋体" w:cs="宋体"/>
          <w:color w:val="auto"/>
          <w:kern w:val="0"/>
          <w:sz w:val="24"/>
          <w:szCs w:val="24"/>
          <w:highlight w:val="none"/>
          <w:shd w:val="clear" w:color="auto" w:fill="auto"/>
        </w:rPr>
        <w:t>文件采购人确认后正式发布前删除该备注）。</w:t>
      </w:r>
    </w:p>
    <w:p w14:paraId="32AEAED4">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五、产权担保</w:t>
      </w:r>
    </w:p>
    <w:p w14:paraId="06A38281">
      <w:pPr>
        <w:pStyle w:val="11"/>
        <w:spacing w:before="120" w:beforeAutospacing="0" w:after="120" w:afterAutospacing="0"/>
        <w:ind w:left="408" w:hanging="40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 乙方保证所交付的合同标的的所有权完全属于乙方且无任何抵押、查封等产权瑕疵。</w:t>
      </w:r>
    </w:p>
    <w:p w14:paraId="3E338773">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六、履约保证金</w:t>
      </w:r>
    </w:p>
    <w:p w14:paraId="566E4B67">
      <w:pPr>
        <w:spacing w:line="360" w:lineRule="auto"/>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本项目不收取履约保证金</w:t>
      </w:r>
    </w:p>
    <w:p w14:paraId="3FEA85C6">
      <w:pPr>
        <w:pStyle w:val="11"/>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七、合同转包或分包</w:t>
      </w:r>
    </w:p>
    <w:p w14:paraId="32B219DD">
      <w:pPr>
        <w:pStyle w:val="11"/>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7.1乙方不得将合同标的转包给他人履行。</w:t>
      </w:r>
    </w:p>
    <w:p w14:paraId="497A3537">
      <w:pPr>
        <w:pStyle w:val="11"/>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7.2乙方不得将合同标的分包给他人履行。</w:t>
      </w:r>
    </w:p>
    <w:p w14:paraId="634E8EF4">
      <w:pPr>
        <w:pStyle w:val="11"/>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7.3乙方如有转包或未经甲方同意的分包行为，甲方有权解除合同。</w:t>
      </w:r>
    </w:p>
    <w:p w14:paraId="15E1E04A">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八、合同款项支付</w:t>
      </w:r>
    </w:p>
    <w:p w14:paraId="206BD5C6">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8.1合同款项的支付方式及进度安排</w:t>
      </w:r>
    </w:p>
    <w:p w14:paraId="5EC8C93B">
      <w:pPr>
        <w:pStyle w:val="11"/>
        <w:spacing w:before="145" w:beforeAutospacing="0" w:after="145" w:afterAutospacing="0"/>
        <w:ind w:firstLine="480" w:firstLineChars="20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合同签订后支付合同价的30%作为预付款，合同签订后满6个月并完成定制化服务后支付合同价的40%，服务期满并经验收合格后付清尾款。</w:t>
      </w:r>
    </w:p>
    <w:p w14:paraId="1744BA0B">
      <w:pPr>
        <w:pStyle w:val="11"/>
        <w:spacing w:before="145" w:beforeAutospacing="0" w:after="145" w:afterAutospacing="0"/>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（每期付款前，乙方需确保已完成对应阶段全部义务且无任何未解决的违约情形，否则甲方有权顺延付款直至违约情形消除且无需承担任何逾期付款责任。）</w:t>
      </w:r>
    </w:p>
    <w:p w14:paraId="058862B9">
      <w:pPr>
        <w:pStyle w:val="11"/>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九、税费</w:t>
      </w:r>
    </w:p>
    <w:p w14:paraId="4CE027CB">
      <w:pPr>
        <w:pStyle w:val="11"/>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9.1本合同执行中相关的一切税费均由乙方负担。</w:t>
      </w:r>
    </w:p>
    <w:p w14:paraId="1F1ACBA6">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十、项目验收</w:t>
      </w:r>
    </w:p>
    <w:p w14:paraId="3324B8C3">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 甲方依法组织履约验收工作。</w:t>
      </w:r>
    </w:p>
    <w:p w14:paraId="7D18D3D7">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651F513">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10.3 对于实际使用人和甲方分离的项目，甲方邀请实际使用人参与验收。</w:t>
      </w:r>
    </w:p>
    <w:p w14:paraId="22924410">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10.4 如有必要，甲方邀请参加本项目的其他供应商或第三方专业机构及专家参与验收，相关意见将作为验收书的参考资料。</w:t>
      </w:r>
    </w:p>
    <w:p w14:paraId="5A148AF6">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68A668A">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shd w:val="clear" w:color="auto" w:fill="auto"/>
          <w:lang w:eastAsia="zh-CN"/>
        </w:rPr>
        <w:t>中华人民共和国民法典</w:t>
      </w:r>
      <w:r>
        <w:rPr>
          <w:rFonts w:hint="eastAsia" w:ascii="宋体" w:hAnsi="宋体" w:eastAsia="宋体" w:cs="宋体"/>
          <w:color w:val="auto"/>
          <w:sz w:val="24"/>
          <w:szCs w:val="24"/>
          <w:highlight w:val="none"/>
          <w:shd w:val="clear" w:color="auto" w:fill="auto"/>
        </w:rPr>
        <w:t>》。乙方在履约过程中有政府采购法律法规规定的违法违规情形的,甲方将及时报告本级财政部门。</w:t>
      </w:r>
    </w:p>
    <w:p w14:paraId="6CBEEE70">
      <w:pPr>
        <w:pStyle w:val="11"/>
        <w:spacing w:before="120" w:beforeAutospacing="0" w:after="120" w:afterAutospacing="0"/>
        <w:ind w:left="480" w:hanging="480"/>
        <w:jc w:val="both"/>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10.7甲方应当按照合同约定及时组织对交付的货物进行验收，验收合格的出具验收合格证明；验收不合格的，甲方应当在验收完成后将异议书面告知乙方。未在【政府采购合同专用条款】约定的期限内对乙方履约提出任何异议或者向乙方作出任何说明的，仅视为对货物外观、数量的初步认可，不视为对货物内在质量、功能符合性、知识产权合法性的认可，甲方在后续使用过程中发现前述问题的，仍有权要求乙方承担违约责任。未及时出具异议不视为我方认可验收合格，验收结果以我方最终书面确认为准。</w:t>
      </w:r>
    </w:p>
    <w:p w14:paraId="2FDCB077">
      <w:pPr>
        <w:pStyle w:val="11"/>
        <w:numPr>
          <w:ilvl w:val="0"/>
          <w:numId w:val="0"/>
        </w:numPr>
        <w:spacing w:before="120" w:beforeAutospacing="0" w:after="120" w:afterAutospacing="0"/>
        <w:jc w:val="both"/>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kern w:val="0"/>
          <w:sz w:val="24"/>
          <w:szCs w:val="24"/>
          <w:highlight w:val="none"/>
          <w:shd w:val="clear" w:fill="auto"/>
          <w:lang w:val="en-US" w:eastAsia="zh-CN" w:bidi="ar-SA"/>
        </w:rPr>
        <w:t>十一、</w:t>
      </w:r>
      <w:r>
        <w:rPr>
          <w:rFonts w:hint="eastAsia" w:ascii="宋体" w:hAnsi="宋体" w:eastAsia="宋体" w:cs="宋体"/>
          <w:b/>
          <w:color w:val="auto"/>
          <w:sz w:val="24"/>
          <w:szCs w:val="24"/>
          <w:highlight w:val="none"/>
          <w:shd w:val="clear" w:color="auto" w:fill="auto"/>
          <w:lang w:val="en-US" w:eastAsia="zh-CN"/>
        </w:rPr>
        <w:t>保密</w:t>
      </w:r>
    </w:p>
    <w:p w14:paraId="19C862A0">
      <w:pPr>
        <w:pStyle w:val="11"/>
        <w:numPr>
          <w:ilvl w:val="0"/>
          <w:numId w:val="0"/>
        </w:numPr>
        <w:spacing w:before="120" w:beforeAutospacing="0" w:after="120" w:afterAutospacing="0"/>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乙方应对平台运行过程中采集、存储的所有招商相关数据、甲方内部办公数据承担安全保护责任，因乙方原因导致数据泄露、丢失、被篡改的，乙方应承担全部赔偿责任，且甲方有权单方解除合同。</w:t>
      </w:r>
    </w:p>
    <w:p w14:paraId="61222A4E">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二</w:t>
      </w:r>
      <w:r>
        <w:rPr>
          <w:rFonts w:hint="eastAsia" w:ascii="宋体" w:hAnsi="宋体" w:eastAsia="宋体" w:cs="宋体"/>
          <w:b/>
          <w:color w:val="auto"/>
          <w:sz w:val="24"/>
          <w:szCs w:val="24"/>
          <w:highlight w:val="none"/>
          <w:shd w:val="clear" w:color="auto" w:fill="auto"/>
        </w:rPr>
        <w:t>、违约责任</w:t>
      </w:r>
    </w:p>
    <w:p w14:paraId="7BFDBFA5">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.1 甲方无正当理由拒绝接受乙方提供合同标的的，甲方向乙方偿付拒绝接受合同价款总值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的违约金。</w:t>
      </w:r>
    </w:p>
    <w:p w14:paraId="2B50CDC4">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每日向乙方支付违约金。</w:t>
      </w:r>
    </w:p>
    <w:p w14:paraId="2BCEC8A4">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w:t>
      </w:r>
      <w:r>
        <w:rPr>
          <w:rFonts w:hint="eastAsia" w:ascii="宋体" w:hAnsi="宋体" w:eastAsia="宋体" w:cs="宋体"/>
          <w:color w:val="auto"/>
          <w:sz w:val="24"/>
          <w:szCs w:val="24"/>
          <w:highlight w:val="none"/>
          <w:u w:val="single"/>
          <w:shd w:val="clear" w:color="auto" w:fill="auto"/>
          <w:lang w:val="en-US" w:eastAsia="zh-CN"/>
        </w:rPr>
        <w:t>20%</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p>
    <w:p w14:paraId="52D114FC">
      <w:pPr>
        <w:pStyle w:val="11"/>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.4 乙方交付合同标的的标准不符合合同规定及</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文件规定标准的，甲方可单方面解除合同并要求乙方支付合同总价20%的违约金，如造成甲方其他损失的，乙方应一并赔偿。</w:t>
      </w:r>
    </w:p>
    <w:p w14:paraId="2ECB9A0E">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三</w:t>
      </w:r>
      <w:r>
        <w:rPr>
          <w:rFonts w:hint="eastAsia" w:ascii="宋体" w:hAnsi="宋体" w:eastAsia="宋体" w:cs="宋体"/>
          <w:b/>
          <w:color w:val="auto"/>
          <w:sz w:val="24"/>
          <w:szCs w:val="24"/>
          <w:highlight w:val="none"/>
          <w:shd w:val="clear" w:color="auto" w:fill="auto"/>
        </w:rPr>
        <w:t>、不可抗力事件处理</w:t>
      </w:r>
    </w:p>
    <w:p w14:paraId="00BB507C">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.1 在合同有效期内，任何一方因不可抗力事件导致不能履行合同，则合同履行期可延长，其延长期与不可抗力影响期相同。</w:t>
      </w:r>
    </w:p>
    <w:p w14:paraId="7BAFD608">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.2 不可抗力事件发生后，应立即通知对方，并寄送有关权威机构出具的证明。</w:t>
      </w:r>
    </w:p>
    <w:p w14:paraId="6C468D3C">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 不可抗力事件延续120天以上，双方应通过友好协商，确定是否继续履行合同。</w:t>
      </w:r>
    </w:p>
    <w:p w14:paraId="05FCA46B">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四</w:t>
      </w:r>
      <w:r>
        <w:rPr>
          <w:rFonts w:hint="eastAsia" w:ascii="宋体" w:hAnsi="宋体" w:eastAsia="宋体" w:cs="宋体"/>
          <w:b/>
          <w:color w:val="auto"/>
          <w:sz w:val="24"/>
          <w:szCs w:val="24"/>
          <w:highlight w:val="none"/>
          <w:shd w:val="clear" w:color="auto" w:fill="auto"/>
        </w:rPr>
        <w:t>、解决争议的方法</w:t>
      </w:r>
    </w:p>
    <w:p w14:paraId="09CD45DB">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.1双方在签订、履行合同中所发生的一切争议，应通过友好协商解决。如协商不成，由甲方住所地人民法院管辖。</w:t>
      </w:r>
    </w:p>
    <w:p w14:paraId="0672B2B6">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zh-CN"/>
        </w:rPr>
        <w:t>五</w:t>
      </w:r>
      <w:r>
        <w:rPr>
          <w:rFonts w:hint="eastAsia" w:ascii="宋体" w:hAnsi="宋体" w:eastAsia="宋体" w:cs="宋体"/>
          <w:b/>
          <w:color w:val="auto"/>
          <w:sz w:val="24"/>
          <w:szCs w:val="24"/>
          <w:highlight w:val="none"/>
          <w:shd w:val="clear" w:color="auto" w:fill="auto"/>
        </w:rPr>
        <w:t>、合同生效及其</w:t>
      </w:r>
      <w:r>
        <w:rPr>
          <w:rFonts w:hint="eastAsia" w:ascii="宋体" w:hAnsi="宋体" w:eastAsia="宋体" w:cs="宋体"/>
          <w:b/>
          <w:color w:val="auto"/>
          <w:sz w:val="24"/>
          <w:szCs w:val="24"/>
          <w:highlight w:val="none"/>
          <w:shd w:val="clear" w:color="auto" w:fill="auto"/>
          <w:lang w:eastAsia="zh-CN"/>
        </w:rPr>
        <w:t>他</w:t>
      </w:r>
    </w:p>
    <w:p w14:paraId="31E61F16">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.1 合同经双方法定代表人或授权委托代表人签字并加盖单位公章后生效。</w:t>
      </w:r>
    </w:p>
    <w:p w14:paraId="56342F12">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.2本合同未尽事宜，遵照《</w:t>
      </w:r>
      <w:r>
        <w:rPr>
          <w:rFonts w:hint="eastAsia" w:ascii="宋体" w:hAnsi="宋体" w:eastAsia="宋体" w:cs="宋体"/>
          <w:color w:val="auto"/>
          <w:sz w:val="24"/>
          <w:szCs w:val="24"/>
          <w:highlight w:val="none"/>
          <w:shd w:val="clear" w:color="auto" w:fill="auto"/>
          <w:lang w:val="en-US" w:eastAsia="zh-CN"/>
        </w:rPr>
        <w:t>中华人民共和国</w:t>
      </w:r>
      <w:r>
        <w:rPr>
          <w:rFonts w:hint="eastAsia" w:ascii="宋体" w:hAnsi="宋体" w:eastAsia="宋体" w:cs="宋体"/>
          <w:color w:val="auto"/>
          <w:sz w:val="24"/>
          <w:szCs w:val="24"/>
          <w:highlight w:val="none"/>
          <w:shd w:val="clear" w:color="auto" w:fill="auto"/>
        </w:rPr>
        <w:t>民法典</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中华人民共和国</w:t>
      </w:r>
      <w:r>
        <w:rPr>
          <w:rFonts w:hint="eastAsia" w:ascii="宋体" w:hAnsi="宋体" w:eastAsia="宋体" w:cs="宋体"/>
          <w:color w:val="auto"/>
          <w:sz w:val="24"/>
          <w:szCs w:val="24"/>
          <w:highlight w:val="none"/>
          <w:shd w:val="clear" w:color="auto" w:fill="auto"/>
        </w:rPr>
        <w:t>政府采购法》有关条文执行。</w:t>
      </w:r>
    </w:p>
    <w:p w14:paraId="2E58B9FF">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.3 本合同正本一式两份，具有同等法律效力，甲方、乙方各执一份。</w:t>
      </w:r>
    </w:p>
    <w:p w14:paraId="73B6673F">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p>
    <w:p w14:paraId="6CC7AFB9">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p>
    <w:p w14:paraId="7593DAFE">
      <w:pPr>
        <w:pStyle w:val="11"/>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甲方：               乙方：</w:t>
      </w:r>
    </w:p>
    <w:p w14:paraId="26A82BDD">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地址：               地址：</w:t>
      </w:r>
    </w:p>
    <w:p w14:paraId="393F717C">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法定代表人或授权代表：       法定代表人或授权代表：</w:t>
      </w:r>
    </w:p>
    <w:p w14:paraId="28D7D252">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联系电话：</w:t>
      </w:r>
    </w:p>
    <w:p w14:paraId="30E86AD9">
      <w:pPr>
        <w:pStyle w:val="11"/>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签订日期：   年    月   日</w:t>
      </w:r>
    </w:p>
    <w:p w14:paraId="33B52F00">
      <w:pPr>
        <w:pStyle w:val="11"/>
        <w:spacing w:before="120" w:beforeAutospacing="0" w:after="120" w:afterAutospacing="0" w:line="0" w:lineRule="atLeast"/>
        <w:jc w:val="center"/>
        <w:outlineLvl w:val="0"/>
        <w:rPr>
          <w:color w:val="auto"/>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156" w:name="_Toc12223"/>
      <w:r>
        <w:rPr>
          <w:rFonts w:hint="eastAsia" w:ascii="黑体" w:hAnsi="宋体" w:eastAsia="黑体" w:cs="黑体"/>
          <w:color w:val="auto"/>
          <w:sz w:val="44"/>
          <w:szCs w:val="44"/>
          <w:highlight w:val="none"/>
          <w:shd w:val="clear" w:color="auto" w:fill="auto"/>
        </w:rPr>
        <w:t>第</w:t>
      </w:r>
      <w:bookmarkEnd w:id="149"/>
      <w:r>
        <w:rPr>
          <w:rFonts w:hint="eastAsia" w:ascii="黑体" w:hAnsi="宋体" w:eastAsia="黑体" w:cs="黑体"/>
          <w:color w:val="auto"/>
          <w:sz w:val="44"/>
          <w:szCs w:val="44"/>
          <w:highlight w:val="none"/>
          <w:shd w:val="clear" w:color="auto" w:fill="auto"/>
        </w:rPr>
        <w:t>四章</w:t>
      </w:r>
      <w:r>
        <w:rPr>
          <w:rFonts w:hint="eastAsia" w:ascii="黑体" w:hAnsi="宋体" w:eastAsia="黑体" w:cs="黑体"/>
          <w:color w:val="auto"/>
          <w:sz w:val="44"/>
          <w:szCs w:val="44"/>
          <w:highlight w:val="none"/>
          <w:shd w:val="clear" w:color="auto" w:fill="auto"/>
          <w:lang w:val="en-US" w:eastAsia="zh-CN"/>
        </w:rPr>
        <w:t xml:space="preserve">  </w:t>
      </w:r>
      <w:r>
        <w:rPr>
          <w:rFonts w:hint="eastAsia" w:ascii="黑体" w:hAnsi="宋体" w:eastAsia="黑体" w:cs="黑体"/>
          <w:color w:val="auto"/>
          <w:sz w:val="44"/>
          <w:szCs w:val="44"/>
          <w:highlight w:val="none"/>
          <w:shd w:val="clear" w:color="auto" w:fill="auto"/>
        </w:rPr>
        <w:t>采购需求</w:t>
      </w:r>
      <w:bookmarkEnd w:id="150"/>
      <w:bookmarkEnd w:id="151"/>
      <w:bookmarkEnd w:id="152"/>
      <w:bookmarkEnd w:id="153"/>
      <w:bookmarkEnd w:id="156"/>
      <w:bookmarkStart w:id="157" w:name="_Toc49090575"/>
      <w:bookmarkEnd w:id="157"/>
      <w:bookmarkStart w:id="158" w:name="_Toc26554093"/>
      <w:bookmarkEnd w:id="158"/>
    </w:p>
    <w:p w14:paraId="3889F568">
      <w:pPr>
        <w:numPr>
          <w:ilvl w:val="0"/>
          <w:numId w:val="0"/>
        </w:numPr>
        <w:autoSpaceDE w:val="0"/>
        <w:autoSpaceDN w:val="0"/>
        <w:spacing w:line="360" w:lineRule="auto"/>
        <w:ind w:firstLine="420" w:firstLineChars="200"/>
        <w:rPr>
          <w:rFonts w:hint="eastAsia" w:ascii="宋体" w:hAnsi="宋体" w:eastAsia="宋体" w:cs="宋体"/>
          <w:b/>
          <w:color w:val="auto"/>
          <w:sz w:val="24"/>
          <w:highlight w:val="none"/>
          <w:lang w:val="en-US" w:eastAsia="zh-CN"/>
        </w:rPr>
      </w:pPr>
      <w:r>
        <w:rPr>
          <w:color w:val="auto"/>
          <w:highlight w:val="none"/>
          <w:shd w:val="clear" w:color="auto" w:fill="auto"/>
        </w:rPr>
        <w:t> </w:t>
      </w:r>
      <w:r>
        <w:rPr>
          <w:rFonts w:hint="eastAsia" w:ascii="宋体" w:hAnsi="宋体" w:eastAsia="宋体" w:cs="宋体"/>
          <w:b/>
          <w:color w:val="auto"/>
          <w:kern w:val="2"/>
          <w:sz w:val="24"/>
          <w:highlight w:val="none"/>
          <w:lang w:val="en-US" w:eastAsia="zh-CN" w:bidi="ar-SA"/>
        </w:rPr>
        <w:t>一、</w:t>
      </w:r>
      <w:r>
        <w:rPr>
          <w:rFonts w:hint="eastAsia" w:ascii="宋体" w:hAnsi="宋体" w:eastAsia="宋体" w:cs="宋体"/>
          <w:b/>
          <w:color w:val="auto"/>
          <w:sz w:val="24"/>
          <w:highlight w:val="none"/>
          <w:lang w:val="en-US" w:eastAsia="zh-CN"/>
        </w:rPr>
        <w:t>项目概况</w:t>
      </w:r>
    </w:p>
    <w:p w14:paraId="14D1E2A5">
      <w:pPr>
        <w:autoSpaceDE w:val="0"/>
        <w:autoSpaceDN w:val="0"/>
        <w:spacing w:line="360" w:lineRule="auto"/>
        <w:ind w:firstLine="480" w:firstLineChars="200"/>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1、项目名称：县项目中心搭建響AI智慧招商平台服务项目</w:t>
      </w:r>
    </w:p>
    <w:p w14:paraId="2FC97937">
      <w:pPr>
        <w:autoSpaceDE w:val="0"/>
        <w:autoSpaceDN w:val="0"/>
        <w:spacing w:line="360" w:lineRule="auto"/>
        <w:ind w:firstLine="480" w:firstLineChars="200"/>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2、最高限价：200万元</w:t>
      </w:r>
    </w:p>
    <w:p w14:paraId="145EED82">
      <w:pPr>
        <w:autoSpaceDE w:val="0"/>
        <w:autoSpaceDN w:val="0"/>
        <w:spacing w:line="360" w:lineRule="auto"/>
        <w:ind w:firstLine="480" w:firstLineChars="200"/>
        <w:rPr>
          <w:rFonts w:hint="default"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3、合同履行期限：一年</w:t>
      </w:r>
    </w:p>
    <w:p w14:paraId="030FB785">
      <w:pPr>
        <w:numPr>
          <w:ilvl w:val="0"/>
          <w:numId w:val="0"/>
        </w:numPr>
        <w:autoSpaceDE w:val="0"/>
        <w:autoSpaceDN w:val="0"/>
        <w:spacing w:line="360" w:lineRule="auto"/>
        <w:ind w:firstLine="482" w:firstLineChars="200"/>
        <w:rPr>
          <w:rFonts w:hint="eastAsia" w:ascii="仿宋" w:hAnsi="仿宋" w:eastAsia="仿宋"/>
          <w:b/>
          <w:bCs/>
          <w:i w:val="0"/>
          <w:iCs w:val="0"/>
          <w:color w:val="000000"/>
          <w:kern w:val="0"/>
          <w:sz w:val="24"/>
          <w:szCs w:val="24"/>
          <w:highlight w:val="none"/>
          <w:u w:val="none"/>
          <w:lang w:val="en-US" w:eastAsia="zh-CN" w:bidi="ar"/>
        </w:rPr>
      </w:pPr>
      <w:bookmarkStart w:id="159" w:name="_Toc470424523"/>
      <w:r>
        <w:rPr>
          <w:rFonts w:hint="eastAsia" w:ascii="宋体" w:hAnsi="宋体" w:eastAsia="宋体" w:cs="宋体"/>
          <w:b/>
          <w:color w:val="auto"/>
          <w:sz w:val="24"/>
          <w:highlight w:val="none"/>
          <w:lang w:val="en-US" w:eastAsia="zh-CN"/>
        </w:rPr>
        <w:t>二、服务清单</w:t>
      </w:r>
      <w:r>
        <w:rPr>
          <w:rFonts w:hint="eastAsia" w:ascii="仿宋" w:hAnsi="仿宋" w:eastAsia="仿宋"/>
          <w:b/>
          <w:bCs/>
          <w:i w:val="0"/>
          <w:iCs w:val="0"/>
          <w:color w:val="000000"/>
          <w:kern w:val="0"/>
          <w:sz w:val="24"/>
          <w:szCs w:val="24"/>
          <w:highlight w:val="none"/>
          <w:u w:val="none"/>
          <w:lang w:val="en-US" w:eastAsia="zh-CN" w:bidi="ar"/>
        </w:rPr>
        <w:t xml:space="preserve">                                                                                 </w:t>
      </w:r>
    </w:p>
    <w:tbl>
      <w:tblPr>
        <w:tblStyle w:val="13"/>
        <w:tblW w:w="572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7"/>
        <w:gridCol w:w="891"/>
        <w:gridCol w:w="540"/>
        <w:gridCol w:w="690"/>
        <w:gridCol w:w="2112"/>
        <w:gridCol w:w="4170"/>
        <w:gridCol w:w="796"/>
      </w:tblGrid>
      <w:tr w14:paraId="7E91C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29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E5FA0BD">
            <w:pPr>
              <w:keepNext w:val="0"/>
              <w:keepLines w:val="0"/>
              <w:widowControl/>
              <w:suppressLineNumbers w:val="0"/>
              <w:jc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序号</w:t>
            </w:r>
          </w:p>
        </w:tc>
        <w:tc>
          <w:tcPr>
            <w:tcW w:w="45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B7B501B">
            <w:pPr>
              <w:keepNext w:val="0"/>
              <w:keepLines w:val="0"/>
              <w:widowControl/>
              <w:suppressLineNumbers w:val="0"/>
              <w:jc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产品名称</w:t>
            </w:r>
          </w:p>
        </w:tc>
        <w:tc>
          <w:tcPr>
            <w:tcW w:w="27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F4FC323">
            <w:pPr>
              <w:keepNext w:val="0"/>
              <w:keepLines w:val="0"/>
              <w:widowControl/>
              <w:suppressLineNumbers w:val="0"/>
              <w:jc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数量</w:t>
            </w:r>
          </w:p>
        </w:tc>
        <w:tc>
          <w:tcPr>
            <w:tcW w:w="353"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CBC8325">
            <w:pPr>
              <w:keepNext w:val="0"/>
              <w:keepLines w:val="0"/>
              <w:widowControl/>
              <w:suppressLineNumbers w:val="0"/>
              <w:jc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服务年限</w:t>
            </w:r>
          </w:p>
        </w:tc>
        <w:tc>
          <w:tcPr>
            <w:tcW w:w="1081" w:type="pct"/>
            <w:tcBorders>
              <w:top w:val="single" w:color="auto" w:sz="4" w:space="0"/>
              <w:left w:val="single" w:color="auto" w:sz="4" w:space="0"/>
              <w:bottom w:val="single" w:color="auto" w:sz="4" w:space="0"/>
              <w:right w:val="single" w:color="auto" w:sz="4" w:space="0"/>
            </w:tcBorders>
            <w:shd w:val="clear" w:color="auto" w:fill="FFFFFF"/>
            <w:vAlign w:val="center"/>
          </w:tcPr>
          <w:p w14:paraId="607DB812">
            <w:pPr>
              <w:keepNext w:val="0"/>
              <w:keepLines w:val="0"/>
              <w:widowControl/>
              <w:suppressLineNumbers w:val="0"/>
              <w:jc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需求场景说明</w:t>
            </w:r>
          </w:p>
        </w:tc>
        <w:tc>
          <w:tcPr>
            <w:tcW w:w="213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0B664B7">
            <w:pPr>
              <w:keepNext w:val="0"/>
              <w:keepLines w:val="0"/>
              <w:widowControl/>
              <w:suppressLineNumbers w:val="0"/>
              <w:jc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产品功能介绍</w:t>
            </w:r>
          </w:p>
        </w:tc>
        <w:tc>
          <w:tcPr>
            <w:tcW w:w="407" w:type="pct"/>
            <w:tcBorders>
              <w:top w:val="single" w:color="auto" w:sz="4" w:space="0"/>
              <w:left w:val="single" w:color="auto" w:sz="4" w:space="0"/>
              <w:bottom w:val="single" w:color="auto" w:sz="4" w:space="0"/>
              <w:right w:val="single" w:color="auto" w:sz="4" w:space="0"/>
            </w:tcBorders>
            <w:shd w:val="clear" w:color="auto" w:fill="FFFFFF"/>
            <w:vAlign w:val="center"/>
          </w:tcPr>
          <w:p w14:paraId="022663E1">
            <w:pPr>
              <w:keepNext w:val="0"/>
              <w:keepLines w:val="0"/>
              <w:widowControl/>
              <w:suppressLineNumbers w:val="0"/>
              <w:jc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付费属性</w:t>
            </w:r>
          </w:p>
        </w:tc>
      </w:tr>
      <w:tr w14:paraId="71165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0" w:hRule="atLeast"/>
          <w:jc w:val="center"/>
        </w:trPr>
        <w:tc>
          <w:tcPr>
            <w:tcW w:w="290" w:type="pct"/>
            <w:tcBorders>
              <w:top w:val="single" w:color="auto" w:sz="4" w:space="0"/>
              <w:left w:val="single" w:color="auto" w:sz="4" w:space="0"/>
              <w:bottom w:val="single" w:color="auto" w:sz="4" w:space="0"/>
              <w:right w:val="single" w:color="auto" w:sz="4" w:space="0"/>
            </w:tcBorders>
            <w:noWrap/>
            <w:vAlign w:val="center"/>
          </w:tcPr>
          <w:p w14:paraId="1191C712">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456" w:type="pct"/>
            <w:tcBorders>
              <w:top w:val="single" w:color="auto" w:sz="4" w:space="0"/>
              <w:left w:val="single" w:color="auto" w:sz="4" w:space="0"/>
              <w:bottom w:val="single" w:color="auto" w:sz="4" w:space="0"/>
              <w:right w:val="single" w:color="auto" w:sz="4" w:space="0"/>
            </w:tcBorders>
            <w:shd w:val="clear" w:color="auto" w:fill="FFFFFF"/>
            <w:vAlign w:val="center"/>
          </w:tcPr>
          <w:p w14:paraId="2A152AB7">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AI选址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服务</w:t>
            </w:r>
          </w:p>
        </w:tc>
        <w:tc>
          <w:tcPr>
            <w:tcW w:w="276" w:type="pct"/>
            <w:tcBorders>
              <w:top w:val="single" w:color="auto" w:sz="4" w:space="0"/>
              <w:left w:val="single" w:color="auto" w:sz="4" w:space="0"/>
              <w:bottom w:val="single" w:color="auto" w:sz="4" w:space="0"/>
              <w:right w:val="single" w:color="auto" w:sz="4" w:space="0"/>
            </w:tcBorders>
            <w:noWrap/>
            <w:vAlign w:val="center"/>
          </w:tcPr>
          <w:p w14:paraId="793F3C7C">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353" w:type="pct"/>
            <w:tcBorders>
              <w:top w:val="single" w:color="auto" w:sz="4" w:space="0"/>
              <w:left w:val="single" w:color="auto" w:sz="4" w:space="0"/>
              <w:bottom w:val="single" w:color="auto" w:sz="4" w:space="0"/>
              <w:right w:val="single" w:color="auto" w:sz="4" w:space="0"/>
            </w:tcBorders>
            <w:noWrap/>
            <w:vAlign w:val="center"/>
          </w:tcPr>
          <w:p w14:paraId="518FB663">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081" w:type="pct"/>
            <w:tcBorders>
              <w:top w:val="single" w:color="auto" w:sz="4" w:space="0"/>
              <w:left w:val="single" w:color="auto" w:sz="4" w:space="0"/>
              <w:bottom w:val="single" w:color="auto" w:sz="4" w:space="0"/>
              <w:right w:val="single" w:color="auto" w:sz="4" w:space="0"/>
            </w:tcBorders>
            <w:vAlign w:val="center"/>
          </w:tcPr>
          <w:p w14:paraId="0DA348C8">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1、在线选址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2、AI选址助手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3、AI选址大屏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4、AI选址小程序专属页面</w:t>
            </w:r>
          </w:p>
        </w:tc>
        <w:tc>
          <w:tcPr>
            <w:tcW w:w="2134" w:type="pct"/>
            <w:tcBorders>
              <w:top w:val="single" w:color="auto" w:sz="4" w:space="0"/>
              <w:left w:val="single" w:color="auto" w:sz="4" w:space="0"/>
              <w:bottom w:val="single" w:color="auto" w:sz="4" w:space="0"/>
              <w:right w:val="single" w:color="auto" w:sz="4" w:space="0"/>
            </w:tcBorders>
            <w:vAlign w:val="center"/>
          </w:tcPr>
          <w:p w14:paraId="2B87E70D">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1、建立智能化工具，全面管理和查询本区域内的园区、厂房、仓库、办公等各类空置载体，这些工具帮助招商人员快速掌握区域内空置载体的详细信息，并为企业提供高效、便捷的选址支持</w:t>
            </w:r>
          </w:p>
          <w:p w14:paraId="51CAA47D">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2、基于合作区域选址数据，构建区域AI选址大模型，帮助企业高效、精准地完成选址决策。用户只需输入选址需求，系统即可自动分析并推荐最合适的园区和载体，快速生成专业选址报告</w:t>
            </w:r>
          </w:p>
          <w:p w14:paraId="3EA2F01F">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3、通过整合与分析核心业务数据，将复杂的招商信息转变为直观的动态图表，为管理者提供一站式的全景洞察。在选址大屏上，可以直观看到选址需求、项目落地情况、载体情况</w:t>
            </w:r>
          </w:p>
          <w:p w14:paraId="199B17EA">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基于招商平台行业标杆效应，进一步融合社交平台易于触达、方便分享与高效推广的天然优势，在招商小程序内为合作区域量身打造独立的“区域专区”。该专区不仅可共享招商平台长期积累的推广与引流资源，更能借助社交化传播路径，精准触达潜在意向企业，形成从展示到转化的完整赋能链条。</w:t>
            </w:r>
          </w:p>
        </w:tc>
        <w:tc>
          <w:tcPr>
            <w:tcW w:w="407" w:type="pct"/>
            <w:tcBorders>
              <w:top w:val="single" w:color="auto" w:sz="4" w:space="0"/>
              <w:left w:val="single" w:color="auto" w:sz="4" w:space="0"/>
              <w:bottom w:val="single" w:color="auto" w:sz="4" w:space="0"/>
              <w:right w:val="single" w:color="auto" w:sz="4" w:space="0"/>
            </w:tcBorders>
            <w:vAlign w:val="center"/>
          </w:tcPr>
          <w:p w14:paraId="07EAAFFC">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买断</w:t>
            </w:r>
          </w:p>
        </w:tc>
      </w:tr>
      <w:tr w14:paraId="60146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290" w:type="pct"/>
            <w:tcBorders>
              <w:top w:val="single" w:color="auto" w:sz="4" w:space="0"/>
              <w:left w:val="single" w:color="auto" w:sz="4" w:space="0"/>
              <w:bottom w:val="single" w:color="auto" w:sz="4" w:space="0"/>
              <w:right w:val="single" w:color="auto" w:sz="4" w:space="0"/>
            </w:tcBorders>
            <w:noWrap/>
            <w:vAlign w:val="center"/>
          </w:tcPr>
          <w:p w14:paraId="711BC30D">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456" w:type="pct"/>
            <w:tcBorders>
              <w:top w:val="single" w:color="auto" w:sz="4" w:space="0"/>
              <w:left w:val="single" w:color="auto" w:sz="4" w:space="0"/>
              <w:bottom w:val="single" w:color="auto" w:sz="4" w:space="0"/>
              <w:right w:val="single" w:color="auto" w:sz="4" w:space="0"/>
            </w:tcBorders>
            <w:shd w:val="clear" w:color="auto" w:fill="FFFFFF"/>
            <w:vAlign w:val="center"/>
          </w:tcPr>
          <w:p w14:paraId="688E28C8">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AI招商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服务</w:t>
            </w:r>
          </w:p>
        </w:tc>
        <w:tc>
          <w:tcPr>
            <w:tcW w:w="276" w:type="pct"/>
            <w:tcBorders>
              <w:top w:val="single" w:color="auto" w:sz="4" w:space="0"/>
              <w:left w:val="single" w:color="auto" w:sz="4" w:space="0"/>
              <w:bottom w:val="single" w:color="auto" w:sz="4" w:space="0"/>
              <w:right w:val="single" w:color="auto" w:sz="4" w:space="0"/>
            </w:tcBorders>
            <w:noWrap/>
            <w:vAlign w:val="center"/>
          </w:tcPr>
          <w:p w14:paraId="6399A3BC">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353" w:type="pct"/>
            <w:tcBorders>
              <w:top w:val="single" w:color="auto" w:sz="4" w:space="0"/>
              <w:left w:val="single" w:color="auto" w:sz="4" w:space="0"/>
              <w:bottom w:val="single" w:color="auto" w:sz="4" w:space="0"/>
              <w:right w:val="single" w:color="auto" w:sz="4" w:space="0"/>
            </w:tcBorders>
            <w:noWrap/>
            <w:vAlign w:val="center"/>
          </w:tcPr>
          <w:p w14:paraId="40640C97">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081" w:type="pct"/>
            <w:tcBorders>
              <w:top w:val="single" w:color="auto" w:sz="4" w:space="0"/>
              <w:left w:val="single" w:color="auto" w:sz="4" w:space="0"/>
              <w:bottom w:val="single" w:color="auto" w:sz="4" w:space="0"/>
              <w:right w:val="single" w:color="auto" w:sz="4" w:space="0"/>
            </w:tcBorders>
            <w:vAlign w:val="center"/>
          </w:tcPr>
          <w:p w14:paraId="211F8A17">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1、AI招商助手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2、AI黑灯工厂</w:t>
            </w:r>
          </w:p>
        </w:tc>
        <w:tc>
          <w:tcPr>
            <w:tcW w:w="2134" w:type="pct"/>
            <w:tcBorders>
              <w:top w:val="single" w:color="auto" w:sz="4" w:space="0"/>
              <w:left w:val="single" w:color="auto" w:sz="4" w:space="0"/>
              <w:bottom w:val="single" w:color="auto" w:sz="4" w:space="0"/>
              <w:right w:val="single" w:color="auto" w:sz="4" w:space="0"/>
            </w:tcBorders>
            <w:vAlign w:val="center"/>
          </w:tcPr>
          <w:p w14:paraId="3B21AB1E">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1、基于行业首创的“招商大模型”技术，构建了一个强大的AI招商助手，招商人员只需输入目标企业的名称，系统即可在分钟级内自动生成一份专业、详实的AI招商报告</w:t>
            </w:r>
          </w:p>
          <w:p w14:paraId="58A2BCBB">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核心为一个7x24小时不间断自动化运转的数据智能处理系统，实时监测覆盖全国超5000万家企业的公开动态信息，通过构建的智能分析模型，对企业的经营状况、发展趋势、扩张信号等多维度信息进行深度挖掘，从而精准识别并筛选出当前具有高选址动力的目标企业。</w:t>
            </w:r>
          </w:p>
        </w:tc>
        <w:tc>
          <w:tcPr>
            <w:tcW w:w="407" w:type="pct"/>
            <w:tcBorders>
              <w:top w:val="single" w:color="auto" w:sz="4" w:space="0"/>
              <w:left w:val="single" w:color="auto" w:sz="4" w:space="0"/>
              <w:bottom w:val="single" w:color="auto" w:sz="4" w:space="0"/>
              <w:right w:val="single" w:color="auto" w:sz="4" w:space="0"/>
            </w:tcBorders>
            <w:vAlign w:val="center"/>
          </w:tcPr>
          <w:p w14:paraId="60427F84">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买断</w:t>
            </w:r>
          </w:p>
        </w:tc>
      </w:tr>
      <w:tr w14:paraId="21E61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1249F754">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891" w:type="dxa"/>
            <w:tcBorders>
              <w:top w:val="single" w:color="auto" w:sz="4" w:space="0"/>
              <w:left w:val="single" w:color="auto" w:sz="4" w:space="0"/>
              <w:bottom w:val="single" w:color="auto" w:sz="4" w:space="0"/>
              <w:right w:val="single" w:color="auto" w:sz="4" w:space="0"/>
            </w:tcBorders>
            <w:shd w:val="clear" w:color="auto" w:fill="FFFFFF"/>
            <w:vAlign w:val="center"/>
          </w:tcPr>
          <w:p w14:paraId="73E730E6">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数据协同服务</w:t>
            </w:r>
          </w:p>
        </w:tc>
        <w:tc>
          <w:tcPr>
            <w:tcW w:w="540" w:type="dxa"/>
            <w:tcBorders>
              <w:top w:val="single" w:color="auto" w:sz="4" w:space="0"/>
              <w:left w:val="single" w:color="auto" w:sz="4" w:space="0"/>
              <w:bottom w:val="single" w:color="auto" w:sz="4" w:space="0"/>
              <w:right w:val="single" w:color="auto" w:sz="4" w:space="0"/>
            </w:tcBorders>
            <w:noWrap/>
            <w:vAlign w:val="center"/>
          </w:tcPr>
          <w:p w14:paraId="4E1B872B">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690" w:type="dxa"/>
            <w:tcBorders>
              <w:top w:val="single" w:color="auto" w:sz="4" w:space="0"/>
              <w:left w:val="single" w:color="auto" w:sz="4" w:space="0"/>
              <w:bottom w:val="single" w:color="auto" w:sz="4" w:space="0"/>
              <w:right w:val="single" w:color="auto" w:sz="4" w:space="0"/>
            </w:tcBorders>
            <w:noWrap/>
            <w:vAlign w:val="center"/>
          </w:tcPr>
          <w:p w14:paraId="3129AF3E">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112" w:type="dxa"/>
            <w:tcBorders>
              <w:top w:val="single" w:color="auto" w:sz="4" w:space="0"/>
              <w:left w:val="single" w:color="auto" w:sz="4" w:space="0"/>
              <w:bottom w:val="single" w:color="auto" w:sz="4" w:space="0"/>
              <w:right w:val="single" w:color="auto" w:sz="4" w:space="0"/>
            </w:tcBorders>
            <w:vAlign w:val="center"/>
          </w:tcPr>
          <w:p w14:paraId="3C3538BB">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招商工作全流程打通</w:t>
            </w:r>
          </w:p>
        </w:tc>
        <w:tc>
          <w:tcPr>
            <w:tcW w:w="4170" w:type="dxa"/>
            <w:tcBorders>
              <w:top w:val="single" w:color="auto" w:sz="4" w:space="0"/>
              <w:left w:val="single" w:color="auto" w:sz="4" w:space="0"/>
              <w:bottom w:val="single" w:color="auto" w:sz="4" w:space="0"/>
              <w:right w:val="single" w:color="auto" w:sz="4" w:space="0"/>
            </w:tcBorders>
            <w:vAlign w:val="center"/>
          </w:tcPr>
          <w:p w14:paraId="1A95E9F2">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基于办公平台，打通双端数据，形成全流程解决方案，部分定制化服务费用</w:t>
            </w:r>
          </w:p>
        </w:tc>
        <w:tc>
          <w:tcPr>
            <w:tcW w:w="796" w:type="dxa"/>
            <w:tcBorders>
              <w:top w:val="single" w:color="auto" w:sz="4" w:space="0"/>
              <w:left w:val="single" w:color="auto" w:sz="4" w:space="0"/>
              <w:bottom w:val="single" w:color="auto" w:sz="4" w:space="0"/>
              <w:right w:val="single" w:color="auto" w:sz="4" w:space="0"/>
            </w:tcBorders>
            <w:vAlign w:val="center"/>
          </w:tcPr>
          <w:p w14:paraId="120CB66F">
            <w:pPr>
              <w:pStyle w:val="27"/>
              <w:bidi w:val="0"/>
              <w:ind w:firstLine="0" w:firstLineChars="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买断</w:t>
            </w:r>
          </w:p>
        </w:tc>
      </w:tr>
      <w:tr w14:paraId="7CDB5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252191AF">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tc>
        <w:tc>
          <w:tcPr>
            <w:tcW w:w="891" w:type="dxa"/>
            <w:tcBorders>
              <w:top w:val="single" w:color="auto" w:sz="4" w:space="0"/>
              <w:left w:val="single" w:color="auto" w:sz="4" w:space="0"/>
              <w:bottom w:val="single" w:color="auto" w:sz="4" w:space="0"/>
              <w:right w:val="single" w:color="auto" w:sz="4" w:space="0"/>
            </w:tcBorders>
            <w:vAlign w:val="center"/>
          </w:tcPr>
          <w:p w14:paraId="28641A73">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Dingtalk A1硬件服务</w:t>
            </w:r>
          </w:p>
        </w:tc>
        <w:tc>
          <w:tcPr>
            <w:tcW w:w="540" w:type="dxa"/>
            <w:tcBorders>
              <w:top w:val="single" w:color="auto" w:sz="4" w:space="0"/>
              <w:left w:val="single" w:color="auto" w:sz="4" w:space="0"/>
              <w:bottom w:val="single" w:color="auto" w:sz="4" w:space="0"/>
              <w:right w:val="single" w:color="auto" w:sz="4" w:space="0"/>
            </w:tcBorders>
            <w:vAlign w:val="center"/>
          </w:tcPr>
          <w:p w14:paraId="4DA2A774">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w:t>
            </w:r>
          </w:p>
        </w:tc>
        <w:tc>
          <w:tcPr>
            <w:tcW w:w="690" w:type="dxa"/>
            <w:tcBorders>
              <w:top w:val="single" w:color="auto" w:sz="4" w:space="0"/>
              <w:left w:val="single" w:color="auto" w:sz="4" w:space="0"/>
              <w:bottom w:val="single" w:color="auto" w:sz="4" w:space="0"/>
              <w:right w:val="single" w:color="auto" w:sz="4" w:space="0"/>
            </w:tcBorders>
            <w:vAlign w:val="center"/>
          </w:tcPr>
          <w:p w14:paraId="232EBA28">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永久</w:t>
            </w:r>
          </w:p>
        </w:tc>
        <w:tc>
          <w:tcPr>
            <w:tcW w:w="2112" w:type="dxa"/>
            <w:tcBorders>
              <w:top w:val="single" w:color="auto" w:sz="4" w:space="0"/>
              <w:left w:val="single" w:color="auto" w:sz="4" w:space="0"/>
              <w:bottom w:val="single" w:color="auto" w:sz="4" w:space="0"/>
              <w:right w:val="single" w:color="auto" w:sz="4" w:space="0"/>
            </w:tcBorders>
            <w:vAlign w:val="center"/>
          </w:tcPr>
          <w:p w14:paraId="24F81C7A">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AI智能硬件，业务访谈场景过程中记录信息并自动总结形成纪要</w:t>
            </w:r>
          </w:p>
        </w:tc>
        <w:tc>
          <w:tcPr>
            <w:tcW w:w="4170" w:type="dxa"/>
            <w:tcBorders>
              <w:top w:val="single" w:color="auto" w:sz="4" w:space="0"/>
              <w:left w:val="single" w:color="auto" w:sz="4" w:space="0"/>
              <w:bottom w:val="single" w:color="auto" w:sz="4" w:space="0"/>
              <w:right w:val="single" w:color="auto" w:sz="4" w:space="0"/>
            </w:tcBorders>
            <w:vAlign w:val="center"/>
          </w:tcPr>
          <w:p w14:paraId="525ED080">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AI智能硬件，业务访谈场景过程中记录信息并自动总结形成纪要，数量根据实际情况中自定义选择</w:t>
            </w:r>
          </w:p>
        </w:tc>
        <w:tc>
          <w:tcPr>
            <w:tcW w:w="796" w:type="dxa"/>
            <w:tcBorders>
              <w:top w:val="single" w:color="auto" w:sz="4" w:space="0"/>
              <w:left w:val="single" w:color="auto" w:sz="4" w:space="0"/>
              <w:bottom w:val="single" w:color="auto" w:sz="4" w:space="0"/>
              <w:right w:val="single" w:color="auto" w:sz="4" w:space="0"/>
            </w:tcBorders>
            <w:vAlign w:val="center"/>
          </w:tcPr>
          <w:p w14:paraId="6685121B">
            <w:pPr>
              <w:pStyle w:val="27"/>
              <w:bidi w:val="0"/>
              <w:ind w:firstLine="0" w:firstLineChars="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买断</w:t>
            </w:r>
          </w:p>
        </w:tc>
      </w:tr>
      <w:tr w14:paraId="49B68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5"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415A4EDC">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891" w:type="dxa"/>
            <w:tcBorders>
              <w:top w:val="single" w:color="auto" w:sz="4" w:space="0"/>
              <w:left w:val="single" w:color="auto" w:sz="4" w:space="0"/>
              <w:bottom w:val="single" w:color="auto" w:sz="4" w:space="0"/>
              <w:right w:val="single" w:color="auto" w:sz="4" w:space="0"/>
            </w:tcBorders>
            <w:vAlign w:val="center"/>
          </w:tcPr>
          <w:p w14:paraId="58DBD4C2">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项目管理看板定制服务</w:t>
            </w:r>
          </w:p>
        </w:tc>
        <w:tc>
          <w:tcPr>
            <w:tcW w:w="540" w:type="dxa"/>
            <w:tcBorders>
              <w:top w:val="single" w:color="auto" w:sz="4" w:space="0"/>
              <w:left w:val="single" w:color="auto" w:sz="4" w:space="0"/>
              <w:bottom w:val="single" w:color="auto" w:sz="4" w:space="0"/>
              <w:right w:val="single" w:color="auto" w:sz="4" w:space="0"/>
            </w:tcBorders>
            <w:vAlign w:val="center"/>
          </w:tcPr>
          <w:p w14:paraId="683876AF">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690" w:type="dxa"/>
            <w:tcBorders>
              <w:top w:val="single" w:color="auto" w:sz="4" w:space="0"/>
              <w:left w:val="single" w:color="auto" w:sz="4" w:space="0"/>
              <w:bottom w:val="single" w:color="auto" w:sz="4" w:space="0"/>
              <w:right w:val="single" w:color="auto" w:sz="4" w:space="0"/>
            </w:tcBorders>
            <w:noWrap/>
            <w:vAlign w:val="center"/>
          </w:tcPr>
          <w:p w14:paraId="70B476AF">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1次</w:t>
            </w:r>
          </w:p>
        </w:tc>
        <w:tc>
          <w:tcPr>
            <w:tcW w:w="2112" w:type="dxa"/>
            <w:tcBorders>
              <w:top w:val="single" w:color="auto" w:sz="4" w:space="0"/>
              <w:left w:val="single" w:color="auto" w:sz="4" w:space="0"/>
              <w:bottom w:val="single" w:color="auto" w:sz="4" w:space="0"/>
              <w:right w:val="single" w:color="auto" w:sz="4" w:space="0"/>
            </w:tcBorders>
            <w:vAlign w:val="center"/>
          </w:tcPr>
          <w:p w14:paraId="11EC4CC5">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配置项目看板，包括仪表盘、项目管理看板、项目数据看板；</w:t>
            </w:r>
          </w:p>
        </w:tc>
        <w:tc>
          <w:tcPr>
            <w:tcW w:w="4170" w:type="dxa"/>
            <w:tcBorders>
              <w:top w:val="single" w:color="auto" w:sz="4" w:space="0"/>
              <w:left w:val="single" w:color="auto" w:sz="4" w:space="0"/>
              <w:bottom w:val="single" w:color="auto" w:sz="4" w:space="0"/>
              <w:right w:val="single" w:color="auto" w:sz="4" w:space="0"/>
            </w:tcBorders>
            <w:vAlign w:val="center"/>
          </w:tcPr>
          <w:p w14:paraId="5A22E06F">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1、实时追踪项目从研判到达产的全流程进展，帮助管理员 / 项目负责人全面掌握项目状态、推进节奏与风险情况，实现项目全生命周期的透明化、高效化管理，通过AI降低人工工作量。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集中展示、检索、管理系统内所有项目的核心信息，支持管理员/项目负责人快速掌握项目全貌、高效推进项目全流程，是项目从创建到落地的核心操作入口。——全流程为“项目信息研判-线下拜访-来响接待-项目会审-项目签约-项目开工-项目竣工-项目达产”8个阶段，各阶段都需要填入不同的内容，各阶段内容可继承，降低人工工作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展示项目全生命周期管理的核心数据看板，通过多维度数据可视化，全面呈现项目整体运营情况、阶段分布、优先级结构与投资规模，为管理层、项目负责人提供数据驱动的决策支撑，实现项目全流程的量化管理与趋势分析。</w:t>
            </w:r>
          </w:p>
        </w:tc>
        <w:tc>
          <w:tcPr>
            <w:tcW w:w="796" w:type="dxa"/>
            <w:tcBorders>
              <w:top w:val="single" w:color="auto" w:sz="4" w:space="0"/>
              <w:left w:val="single" w:color="auto" w:sz="4" w:space="0"/>
              <w:bottom w:val="single" w:color="auto" w:sz="4" w:space="0"/>
              <w:right w:val="single" w:color="auto" w:sz="4" w:space="0"/>
            </w:tcBorders>
            <w:vAlign w:val="center"/>
          </w:tcPr>
          <w:p w14:paraId="2E6562D7">
            <w:pPr>
              <w:pStyle w:val="27"/>
              <w:bidi w:val="0"/>
              <w:ind w:firstLine="0" w:firstLineChars="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买断</w:t>
            </w:r>
          </w:p>
        </w:tc>
      </w:tr>
      <w:tr w14:paraId="772A1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04D50AAF">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w:t>
            </w:r>
          </w:p>
        </w:tc>
        <w:tc>
          <w:tcPr>
            <w:tcW w:w="891" w:type="dxa"/>
            <w:tcBorders>
              <w:top w:val="single" w:color="auto" w:sz="4" w:space="0"/>
              <w:left w:val="single" w:color="auto" w:sz="4" w:space="0"/>
              <w:bottom w:val="single" w:color="auto" w:sz="4" w:space="0"/>
              <w:right w:val="single" w:color="auto" w:sz="4" w:space="0"/>
            </w:tcBorders>
            <w:vAlign w:val="center"/>
          </w:tcPr>
          <w:p w14:paraId="6CB1E389">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AI助手服务</w:t>
            </w:r>
          </w:p>
        </w:tc>
        <w:tc>
          <w:tcPr>
            <w:tcW w:w="540" w:type="dxa"/>
            <w:tcBorders>
              <w:top w:val="single" w:color="auto" w:sz="4" w:space="0"/>
              <w:left w:val="single" w:color="auto" w:sz="4" w:space="0"/>
              <w:bottom w:val="single" w:color="auto" w:sz="4" w:space="0"/>
              <w:right w:val="single" w:color="auto" w:sz="4" w:space="0"/>
            </w:tcBorders>
            <w:vAlign w:val="center"/>
          </w:tcPr>
          <w:p w14:paraId="1C0E0C5E">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690" w:type="dxa"/>
            <w:tcBorders>
              <w:top w:val="single" w:color="auto" w:sz="4" w:space="0"/>
              <w:left w:val="single" w:color="auto" w:sz="4" w:space="0"/>
              <w:bottom w:val="single" w:color="auto" w:sz="4" w:space="0"/>
              <w:right w:val="single" w:color="auto" w:sz="4" w:space="0"/>
            </w:tcBorders>
            <w:noWrap/>
            <w:vAlign w:val="center"/>
          </w:tcPr>
          <w:p w14:paraId="6589604A">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1次</w:t>
            </w:r>
          </w:p>
        </w:tc>
        <w:tc>
          <w:tcPr>
            <w:tcW w:w="2112" w:type="dxa"/>
            <w:tcBorders>
              <w:top w:val="single" w:color="auto" w:sz="4" w:space="0"/>
              <w:left w:val="single" w:color="auto" w:sz="4" w:space="0"/>
              <w:bottom w:val="single" w:color="auto" w:sz="4" w:space="0"/>
              <w:right w:val="single" w:color="auto" w:sz="4" w:space="0"/>
            </w:tcBorders>
            <w:vAlign w:val="center"/>
          </w:tcPr>
          <w:p w14:paraId="1E603ACF">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基于千问办公，组建AI运营团队，包括5个业务助手</w:t>
            </w:r>
          </w:p>
        </w:tc>
        <w:tc>
          <w:tcPr>
            <w:tcW w:w="4170" w:type="dxa"/>
            <w:tcBorders>
              <w:top w:val="single" w:color="auto" w:sz="4" w:space="0"/>
              <w:left w:val="single" w:color="auto" w:sz="4" w:space="0"/>
              <w:bottom w:val="single" w:color="auto" w:sz="4" w:space="0"/>
              <w:right w:val="single" w:color="auto" w:sz="4" w:space="0"/>
            </w:tcBorders>
            <w:vAlign w:val="center"/>
          </w:tcPr>
          <w:p w14:paraId="033BF7AD">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初步计划包含信息收集助手、信息研判助手、进度跟进助手、分析研判助手及自定义备选1个；</w:t>
            </w:r>
          </w:p>
        </w:tc>
        <w:tc>
          <w:tcPr>
            <w:tcW w:w="796" w:type="dxa"/>
            <w:tcBorders>
              <w:top w:val="single" w:color="auto" w:sz="4" w:space="0"/>
              <w:left w:val="single" w:color="auto" w:sz="4" w:space="0"/>
              <w:bottom w:val="single" w:color="auto" w:sz="4" w:space="0"/>
              <w:right w:val="single" w:color="auto" w:sz="4" w:space="0"/>
            </w:tcBorders>
            <w:vAlign w:val="center"/>
          </w:tcPr>
          <w:p w14:paraId="1027E61C">
            <w:pPr>
              <w:pStyle w:val="27"/>
              <w:bidi w:val="0"/>
              <w:ind w:firstLine="0" w:firstLineChars="0"/>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买断</w:t>
            </w:r>
          </w:p>
        </w:tc>
      </w:tr>
      <w:tr w14:paraId="3AB81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13BA0A2C">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w:t>
            </w:r>
          </w:p>
        </w:tc>
        <w:tc>
          <w:tcPr>
            <w:tcW w:w="891" w:type="dxa"/>
            <w:tcBorders>
              <w:top w:val="single" w:color="auto" w:sz="4" w:space="0"/>
              <w:left w:val="single" w:color="auto" w:sz="4" w:space="0"/>
              <w:bottom w:val="single" w:color="auto" w:sz="4" w:space="0"/>
              <w:right w:val="single" w:color="auto" w:sz="4" w:space="0"/>
            </w:tcBorders>
            <w:shd w:val="clear" w:color="auto" w:fill="FFFFFF"/>
            <w:vAlign w:val="center"/>
          </w:tcPr>
          <w:p w14:paraId="5FC9D786">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专属钉钉底座服务</w:t>
            </w:r>
          </w:p>
        </w:tc>
        <w:tc>
          <w:tcPr>
            <w:tcW w:w="540" w:type="dxa"/>
            <w:tcBorders>
              <w:top w:val="single" w:color="auto" w:sz="4" w:space="0"/>
              <w:left w:val="single" w:color="auto" w:sz="4" w:space="0"/>
              <w:bottom w:val="single" w:color="auto" w:sz="4" w:space="0"/>
              <w:right w:val="single" w:color="auto" w:sz="4" w:space="0"/>
            </w:tcBorders>
            <w:noWrap/>
            <w:vAlign w:val="center"/>
          </w:tcPr>
          <w:p w14:paraId="72148B25">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690" w:type="dxa"/>
            <w:tcBorders>
              <w:top w:val="single" w:color="auto" w:sz="4" w:space="0"/>
              <w:left w:val="single" w:color="auto" w:sz="4" w:space="0"/>
              <w:bottom w:val="single" w:color="auto" w:sz="4" w:space="0"/>
              <w:right w:val="single" w:color="auto" w:sz="4" w:space="0"/>
            </w:tcBorders>
            <w:noWrap/>
            <w:vAlign w:val="center"/>
          </w:tcPr>
          <w:p w14:paraId="1F9231EF">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112" w:type="dxa"/>
            <w:tcBorders>
              <w:top w:val="single" w:color="auto" w:sz="4" w:space="0"/>
              <w:left w:val="single" w:color="auto" w:sz="4" w:space="0"/>
              <w:bottom w:val="single" w:color="auto" w:sz="4" w:space="0"/>
              <w:right w:val="single" w:color="auto" w:sz="4" w:space="0"/>
            </w:tcBorders>
            <w:vAlign w:val="center"/>
          </w:tcPr>
          <w:p w14:paraId="1B266A56">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1、配置单位组织通讯录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2、组织账号统一管理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3、基础安全管控，权限分配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4、基于业务场景配置审批流程，如请销假、日常管理等</w:t>
            </w:r>
          </w:p>
        </w:tc>
        <w:tc>
          <w:tcPr>
            <w:tcW w:w="4170" w:type="dxa"/>
            <w:tcBorders>
              <w:top w:val="single" w:color="auto" w:sz="4" w:space="0"/>
              <w:left w:val="single" w:color="auto" w:sz="4" w:space="0"/>
              <w:bottom w:val="single" w:color="auto" w:sz="4" w:space="0"/>
              <w:right w:val="single" w:color="auto" w:sz="4" w:space="0"/>
            </w:tcBorders>
            <w:vAlign w:val="center"/>
          </w:tcPr>
          <w:p w14:paraId="585C3397">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标准安全能力：协议管理、协议展示入口配置、登录管理、版本管理、企业帐号、用户管控查询、统一策略看板、组织行为管理、密聊管控、保密群、外部联系管控、离职数据管理、钉内文件管控、在线文档管控、群内信息保护、全局明水印、文件病毒扫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2、自主运营能力：启动图、导航栏设置、客户端+号菜单栏配置、移动端吸顶栏配置、专属主题色、专属表情包、全局配置、互动服务窗、智能人群、智能运营、服务台；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3、权益&amp;平台能力：钉盘2T、10个100方高清会议室、6个500方高清直播间、550万次API调用、10次数据保障服务、OA审批高级版、H5工作台等。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4、含相关搭建服务（组织通讯录、人员外勤管理）费用</w:t>
            </w:r>
          </w:p>
        </w:tc>
        <w:tc>
          <w:tcPr>
            <w:tcW w:w="796" w:type="dxa"/>
            <w:tcBorders>
              <w:top w:val="single" w:color="auto" w:sz="4" w:space="0"/>
              <w:left w:val="single" w:color="auto" w:sz="4" w:space="0"/>
              <w:bottom w:val="single" w:color="auto" w:sz="4" w:space="0"/>
              <w:right w:val="single" w:color="auto" w:sz="4" w:space="0"/>
            </w:tcBorders>
            <w:vAlign w:val="center"/>
          </w:tcPr>
          <w:p w14:paraId="57016CF6">
            <w:pPr>
              <w:pStyle w:val="27"/>
              <w:bidi w:val="0"/>
              <w:ind w:firstLine="0" w:firstLineChars="0"/>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每年</w:t>
            </w:r>
          </w:p>
        </w:tc>
      </w:tr>
      <w:tr w14:paraId="61E7B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12BE6465">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w:t>
            </w:r>
          </w:p>
        </w:tc>
        <w:tc>
          <w:tcPr>
            <w:tcW w:w="891" w:type="dxa"/>
            <w:tcBorders>
              <w:top w:val="single" w:color="auto" w:sz="4" w:space="0"/>
              <w:left w:val="single" w:color="auto" w:sz="4" w:space="0"/>
              <w:bottom w:val="single" w:color="auto" w:sz="4" w:space="0"/>
              <w:right w:val="single" w:color="auto" w:sz="4" w:space="0"/>
            </w:tcBorders>
            <w:shd w:val="clear" w:color="auto" w:fill="FFFFFF"/>
            <w:vAlign w:val="center"/>
          </w:tcPr>
          <w:p w14:paraId="47EC4A2D">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招商项目推荐服务</w:t>
            </w:r>
          </w:p>
        </w:tc>
        <w:tc>
          <w:tcPr>
            <w:tcW w:w="540" w:type="dxa"/>
            <w:tcBorders>
              <w:top w:val="single" w:color="auto" w:sz="4" w:space="0"/>
              <w:left w:val="single" w:color="auto" w:sz="4" w:space="0"/>
              <w:bottom w:val="single" w:color="auto" w:sz="4" w:space="0"/>
              <w:right w:val="single" w:color="auto" w:sz="4" w:space="0"/>
            </w:tcBorders>
            <w:noWrap/>
            <w:vAlign w:val="center"/>
          </w:tcPr>
          <w:p w14:paraId="75425009">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w:t>
            </w:r>
          </w:p>
        </w:tc>
        <w:tc>
          <w:tcPr>
            <w:tcW w:w="690" w:type="dxa"/>
            <w:tcBorders>
              <w:top w:val="single" w:color="auto" w:sz="4" w:space="0"/>
              <w:left w:val="single" w:color="auto" w:sz="4" w:space="0"/>
              <w:bottom w:val="single" w:color="auto" w:sz="4" w:space="0"/>
              <w:right w:val="single" w:color="auto" w:sz="4" w:space="0"/>
            </w:tcBorders>
            <w:noWrap/>
            <w:vAlign w:val="center"/>
          </w:tcPr>
          <w:p w14:paraId="3C9B00FE">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112" w:type="dxa"/>
            <w:tcBorders>
              <w:top w:val="single" w:color="auto" w:sz="4" w:space="0"/>
              <w:left w:val="single" w:color="auto" w:sz="4" w:space="0"/>
              <w:bottom w:val="single" w:color="auto" w:sz="4" w:space="0"/>
              <w:right w:val="single" w:color="auto" w:sz="4" w:space="0"/>
            </w:tcBorders>
            <w:vAlign w:val="center"/>
          </w:tcPr>
          <w:p w14:paraId="559AEEF6">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招商项目推荐</w:t>
            </w:r>
          </w:p>
        </w:tc>
        <w:tc>
          <w:tcPr>
            <w:tcW w:w="4170" w:type="dxa"/>
            <w:tcBorders>
              <w:top w:val="single" w:color="auto" w:sz="4" w:space="0"/>
              <w:left w:val="single" w:color="auto" w:sz="4" w:space="0"/>
              <w:bottom w:val="single" w:color="auto" w:sz="4" w:space="0"/>
              <w:right w:val="single" w:color="auto" w:sz="4" w:space="0"/>
            </w:tcBorders>
            <w:vAlign w:val="center"/>
          </w:tcPr>
          <w:p w14:paraId="5045F56E">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组建专业化线上招商团队，构建“推广-维护-转化”全流程管理体系：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线上招商团队将协助组织线上线下结合的投资对接，促使潜在项目从意向到实际签约的转化。实现招商线索闭环。</w:t>
            </w:r>
          </w:p>
        </w:tc>
        <w:tc>
          <w:tcPr>
            <w:tcW w:w="796" w:type="dxa"/>
            <w:tcBorders>
              <w:top w:val="single" w:color="auto" w:sz="4" w:space="0"/>
              <w:left w:val="single" w:color="auto" w:sz="4" w:space="0"/>
              <w:bottom w:val="single" w:color="auto" w:sz="4" w:space="0"/>
              <w:right w:val="single" w:color="auto" w:sz="4" w:space="0"/>
            </w:tcBorders>
            <w:vAlign w:val="center"/>
          </w:tcPr>
          <w:p w14:paraId="4CC51335">
            <w:pPr>
              <w:pStyle w:val="27"/>
              <w:bidi w:val="0"/>
              <w:ind w:firstLine="0" w:firstLineChars="0"/>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每年</w:t>
            </w:r>
          </w:p>
        </w:tc>
      </w:tr>
      <w:tr w14:paraId="09827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667F7BF6">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w:t>
            </w:r>
          </w:p>
        </w:tc>
        <w:tc>
          <w:tcPr>
            <w:tcW w:w="891" w:type="dxa"/>
            <w:tcBorders>
              <w:top w:val="single" w:color="auto" w:sz="4" w:space="0"/>
              <w:left w:val="single" w:color="auto" w:sz="4" w:space="0"/>
              <w:bottom w:val="single" w:color="auto" w:sz="4" w:space="0"/>
              <w:right w:val="single" w:color="auto" w:sz="4" w:space="0"/>
            </w:tcBorders>
            <w:vAlign w:val="center"/>
          </w:tcPr>
          <w:p w14:paraId="684B4E46">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千问办公会员服务</w:t>
            </w:r>
          </w:p>
        </w:tc>
        <w:tc>
          <w:tcPr>
            <w:tcW w:w="540" w:type="dxa"/>
            <w:tcBorders>
              <w:top w:val="single" w:color="auto" w:sz="4" w:space="0"/>
              <w:left w:val="single" w:color="auto" w:sz="4" w:space="0"/>
              <w:bottom w:val="single" w:color="auto" w:sz="4" w:space="0"/>
              <w:right w:val="single" w:color="auto" w:sz="4" w:space="0"/>
            </w:tcBorders>
            <w:vAlign w:val="center"/>
          </w:tcPr>
          <w:p w14:paraId="60A11BAC">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w:t>
            </w:r>
          </w:p>
        </w:tc>
        <w:tc>
          <w:tcPr>
            <w:tcW w:w="690" w:type="dxa"/>
            <w:tcBorders>
              <w:top w:val="single" w:color="auto" w:sz="4" w:space="0"/>
              <w:left w:val="single" w:color="auto" w:sz="4" w:space="0"/>
              <w:bottom w:val="single" w:color="auto" w:sz="4" w:space="0"/>
              <w:right w:val="single" w:color="auto" w:sz="4" w:space="0"/>
            </w:tcBorders>
            <w:vAlign w:val="center"/>
          </w:tcPr>
          <w:p w14:paraId="37402ADD">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112" w:type="dxa"/>
            <w:tcBorders>
              <w:top w:val="single" w:color="auto" w:sz="4" w:space="0"/>
              <w:left w:val="single" w:color="auto" w:sz="4" w:space="0"/>
              <w:bottom w:val="single" w:color="auto" w:sz="4" w:space="0"/>
              <w:right w:val="single" w:color="auto" w:sz="4" w:space="0"/>
            </w:tcBorders>
            <w:vAlign w:val="center"/>
          </w:tcPr>
          <w:p w14:paraId="41E8096C">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千问办公作为面向企业的全新 AI 工作平台，定位为Agent办公统一入口 ，具备强大的任务执行与自动化能力，它是一个 AI 驱动的智能体工作平台，让 AI 像真人助手一样操作你的电脑，帮你完成从简单到复杂的各种工作任务。</w:t>
            </w:r>
          </w:p>
        </w:tc>
        <w:tc>
          <w:tcPr>
            <w:tcW w:w="4170" w:type="dxa"/>
            <w:tcBorders>
              <w:top w:val="single" w:color="auto" w:sz="4" w:space="0"/>
              <w:left w:val="single" w:color="auto" w:sz="4" w:space="0"/>
              <w:bottom w:val="single" w:color="auto" w:sz="4" w:space="0"/>
              <w:right w:val="single" w:color="auto" w:sz="4" w:space="0"/>
            </w:tcBorders>
            <w:vAlign w:val="center"/>
          </w:tcPr>
          <w:p w14:paraId="607AE95A">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每人每月2000使用额度</w:t>
            </w:r>
          </w:p>
        </w:tc>
        <w:tc>
          <w:tcPr>
            <w:tcW w:w="796" w:type="dxa"/>
            <w:tcBorders>
              <w:top w:val="single" w:color="auto" w:sz="4" w:space="0"/>
              <w:left w:val="single" w:color="auto" w:sz="4" w:space="0"/>
              <w:bottom w:val="single" w:color="auto" w:sz="4" w:space="0"/>
              <w:right w:val="single" w:color="auto" w:sz="4" w:space="0"/>
            </w:tcBorders>
            <w:vAlign w:val="center"/>
          </w:tcPr>
          <w:p w14:paraId="69EEC4B1">
            <w:pPr>
              <w:pStyle w:val="27"/>
              <w:bidi w:val="0"/>
              <w:ind w:firstLine="0" w:firstLineChars="0"/>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每年</w:t>
            </w:r>
          </w:p>
        </w:tc>
      </w:tr>
      <w:tr w14:paraId="6DC2B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46C7E851">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891" w:type="dxa"/>
            <w:tcBorders>
              <w:top w:val="single" w:color="auto" w:sz="4" w:space="0"/>
              <w:left w:val="single" w:color="auto" w:sz="4" w:space="0"/>
              <w:bottom w:val="single" w:color="auto" w:sz="4" w:space="0"/>
              <w:right w:val="single" w:color="auto" w:sz="4" w:space="0"/>
            </w:tcBorders>
            <w:noWrap/>
            <w:vAlign w:val="center"/>
          </w:tcPr>
          <w:p w14:paraId="23A1E264">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钉钉售后技术服务</w:t>
            </w:r>
          </w:p>
        </w:tc>
        <w:tc>
          <w:tcPr>
            <w:tcW w:w="540" w:type="dxa"/>
            <w:tcBorders>
              <w:top w:val="single" w:color="auto" w:sz="4" w:space="0"/>
              <w:left w:val="single" w:color="auto" w:sz="4" w:space="0"/>
              <w:bottom w:val="single" w:color="auto" w:sz="4" w:space="0"/>
              <w:right w:val="single" w:color="auto" w:sz="4" w:space="0"/>
            </w:tcBorders>
            <w:noWrap/>
            <w:vAlign w:val="center"/>
          </w:tcPr>
          <w:p w14:paraId="53B04547">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690" w:type="dxa"/>
            <w:tcBorders>
              <w:top w:val="single" w:color="auto" w:sz="4" w:space="0"/>
              <w:left w:val="single" w:color="auto" w:sz="4" w:space="0"/>
              <w:bottom w:val="single" w:color="auto" w:sz="4" w:space="0"/>
              <w:right w:val="single" w:color="auto" w:sz="4" w:space="0"/>
            </w:tcBorders>
            <w:noWrap/>
            <w:vAlign w:val="center"/>
          </w:tcPr>
          <w:p w14:paraId="7C7C8542">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1次</w:t>
            </w:r>
          </w:p>
        </w:tc>
        <w:tc>
          <w:tcPr>
            <w:tcW w:w="2112" w:type="dxa"/>
            <w:tcBorders>
              <w:top w:val="single" w:color="auto" w:sz="4" w:space="0"/>
              <w:left w:val="single" w:color="auto" w:sz="4" w:space="0"/>
              <w:bottom w:val="single" w:color="auto" w:sz="4" w:space="0"/>
              <w:right w:val="single" w:color="auto" w:sz="4" w:space="0"/>
            </w:tcBorders>
            <w:noWrap/>
            <w:vAlign w:val="center"/>
          </w:tcPr>
          <w:p w14:paraId="336D2C06">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钉钉官方售后技术服务1年</w:t>
            </w:r>
          </w:p>
        </w:tc>
        <w:tc>
          <w:tcPr>
            <w:tcW w:w="4170" w:type="dxa"/>
            <w:tcBorders>
              <w:top w:val="single" w:color="auto" w:sz="4" w:space="0"/>
              <w:left w:val="single" w:color="auto" w:sz="4" w:space="0"/>
              <w:bottom w:val="single" w:color="auto" w:sz="4" w:space="0"/>
              <w:right w:val="single" w:color="auto" w:sz="4" w:space="0"/>
            </w:tcBorders>
            <w:vAlign w:val="center"/>
          </w:tcPr>
          <w:p w14:paraId="00F1ACB8">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5*8（工作日9:00-18:00），钉钉原厂人工售后服务。</w:t>
            </w:r>
          </w:p>
        </w:tc>
        <w:tc>
          <w:tcPr>
            <w:tcW w:w="796" w:type="dxa"/>
            <w:tcBorders>
              <w:top w:val="single" w:color="auto" w:sz="4" w:space="0"/>
              <w:left w:val="single" w:color="auto" w:sz="4" w:space="0"/>
              <w:bottom w:val="single" w:color="auto" w:sz="4" w:space="0"/>
              <w:right w:val="single" w:color="auto" w:sz="4" w:space="0"/>
            </w:tcBorders>
            <w:vAlign w:val="center"/>
          </w:tcPr>
          <w:p w14:paraId="61918F4A">
            <w:pPr>
              <w:pStyle w:val="27"/>
              <w:bidi w:val="0"/>
              <w:ind w:firstLine="0" w:firstLineChars="0"/>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每年</w:t>
            </w:r>
          </w:p>
        </w:tc>
      </w:tr>
      <w:tr w14:paraId="2042F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408A5232">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w:t>
            </w:r>
          </w:p>
        </w:tc>
        <w:tc>
          <w:tcPr>
            <w:tcW w:w="891" w:type="dxa"/>
            <w:tcBorders>
              <w:top w:val="single" w:color="auto" w:sz="4" w:space="0"/>
              <w:left w:val="single" w:color="auto" w:sz="4" w:space="0"/>
              <w:bottom w:val="single" w:color="auto" w:sz="4" w:space="0"/>
              <w:right w:val="single" w:color="auto" w:sz="4" w:space="0"/>
            </w:tcBorders>
            <w:shd w:val="clear" w:color="auto" w:fill="FFFFFF"/>
            <w:vAlign w:val="center"/>
          </w:tcPr>
          <w:p w14:paraId="70BBB5B0">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招商平台运营</w:t>
            </w:r>
          </w:p>
        </w:tc>
        <w:tc>
          <w:tcPr>
            <w:tcW w:w="540" w:type="dxa"/>
            <w:tcBorders>
              <w:top w:val="single" w:color="auto" w:sz="4" w:space="0"/>
              <w:left w:val="single" w:color="auto" w:sz="4" w:space="0"/>
              <w:bottom w:val="single" w:color="auto" w:sz="4" w:space="0"/>
              <w:right w:val="single" w:color="auto" w:sz="4" w:space="0"/>
            </w:tcBorders>
            <w:noWrap/>
            <w:vAlign w:val="center"/>
          </w:tcPr>
          <w:p w14:paraId="426A49A6">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690" w:type="dxa"/>
            <w:tcBorders>
              <w:top w:val="single" w:color="auto" w:sz="4" w:space="0"/>
              <w:left w:val="single" w:color="auto" w:sz="4" w:space="0"/>
              <w:bottom w:val="single" w:color="auto" w:sz="4" w:space="0"/>
              <w:right w:val="single" w:color="auto" w:sz="4" w:space="0"/>
            </w:tcBorders>
            <w:noWrap/>
            <w:vAlign w:val="center"/>
          </w:tcPr>
          <w:p w14:paraId="26EBED32">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112" w:type="dxa"/>
            <w:tcBorders>
              <w:top w:val="single" w:color="auto" w:sz="4" w:space="0"/>
              <w:left w:val="single" w:color="auto" w:sz="4" w:space="0"/>
              <w:bottom w:val="single" w:color="auto" w:sz="4" w:space="0"/>
              <w:right w:val="single" w:color="auto" w:sz="4" w:space="0"/>
            </w:tcBorders>
            <w:vAlign w:val="center"/>
          </w:tcPr>
          <w:p w14:paraId="3F5290FC">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1、通过区域载体数据收集/数据维护更新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2、AI大数据算力</w:t>
            </w:r>
          </w:p>
        </w:tc>
        <w:tc>
          <w:tcPr>
            <w:tcW w:w="4170" w:type="dxa"/>
            <w:tcBorders>
              <w:top w:val="single" w:color="auto" w:sz="4" w:space="0"/>
              <w:left w:val="single" w:color="auto" w:sz="4" w:space="0"/>
              <w:bottom w:val="single" w:color="auto" w:sz="4" w:space="0"/>
              <w:right w:val="single" w:color="auto" w:sz="4" w:space="0"/>
            </w:tcBorders>
            <w:vAlign w:val="center"/>
          </w:tcPr>
          <w:p w14:paraId="2905BBA3">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1、实时更新区域载体数据，确保VR链接的可用性，保证对外推介区域数据的时效性和真实性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2、调用选址大模型及招商大模型，实现选址方案、企业查询两个功能报告一键式生成，同时保证黑灯工厂全年全天候企业检测功能</w:t>
            </w:r>
          </w:p>
        </w:tc>
        <w:tc>
          <w:tcPr>
            <w:tcW w:w="796" w:type="dxa"/>
            <w:tcBorders>
              <w:top w:val="single" w:color="auto" w:sz="4" w:space="0"/>
              <w:left w:val="single" w:color="auto" w:sz="4" w:space="0"/>
              <w:bottom w:val="single" w:color="auto" w:sz="4" w:space="0"/>
              <w:right w:val="single" w:color="auto" w:sz="4" w:space="0"/>
            </w:tcBorders>
            <w:vAlign w:val="center"/>
          </w:tcPr>
          <w:p w14:paraId="313707D9">
            <w:pPr>
              <w:pStyle w:val="27"/>
              <w:bidi w:val="0"/>
              <w:ind w:firstLine="0" w:firstLineChars="0"/>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第二年起每年</w:t>
            </w:r>
          </w:p>
        </w:tc>
      </w:tr>
      <w:tr w14:paraId="5D604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5" w:hRule="atLeast"/>
          <w:jc w:val="center"/>
        </w:trPr>
        <w:tc>
          <w:tcPr>
            <w:tcW w:w="567" w:type="dxa"/>
            <w:tcBorders>
              <w:top w:val="single" w:color="auto" w:sz="4" w:space="0"/>
              <w:left w:val="single" w:color="auto" w:sz="4" w:space="0"/>
              <w:bottom w:val="single" w:color="auto" w:sz="4" w:space="0"/>
              <w:right w:val="single" w:color="auto" w:sz="4" w:space="0"/>
            </w:tcBorders>
            <w:noWrap/>
            <w:vAlign w:val="center"/>
          </w:tcPr>
          <w:p w14:paraId="2AE49D91">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w:t>
            </w:r>
          </w:p>
        </w:tc>
        <w:tc>
          <w:tcPr>
            <w:tcW w:w="891" w:type="dxa"/>
            <w:tcBorders>
              <w:top w:val="single" w:color="auto" w:sz="4" w:space="0"/>
              <w:left w:val="single" w:color="auto" w:sz="4" w:space="0"/>
              <w:bottom w:val="single" w:color="auto" w:sz="4" w:space="0"/>
              <w:right w:val="single" w:color="auto" w:sz="4" w:space="0"/>
            </w:tcBorders>
            <w:shd w:val="clear" w:color="auto" w:fill="FFFFFF"/>
            <w:vAlign w:val="center"/>
          </w:tcPr>
          <w:p w14:paraId="61168D59">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招商平台维护服务</w:t>
            </w:r>
          </w:p>
        </w:tc>
        <w:tc>
          <w:tcPr>
            <w:tcW w:w="540" w:type="dxa"/>
            <w:tcBorders>
              <w:top w:val="single" w:color="auto" w:sz="4" w:space="0"/>
              <w:left w:val="single" w:color="auto" w:sz="4" w:space="0"/>
              <w:bottom w:val="single" w:color="auto" w:sz="4" w:space="0"/>
              <w:right w:val="single" w:color="auto" w:sz="4" w:space="0"/>
            </w:tcBorders>
            <w:noWrap/>
            <w:vAlign w:val="center"/>
          </w:tcPr>
          <w:p w14:paraId="6C085FE4">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690" w:type="dxa"/>
            <w:tcBorders>
              <w:top w:val="single" w:color="auto" w:sz="4" w:space="0"/>
              <w:left w:val="single" w:color="auto" w:sz="4" w:space="0"/>
              <w:bottom w:val="single" w:color="auto" w:sz="4" w:space="0"/>
              <w:right w:val="single" w:color="auto" w:sz="4" w:space="0"/>
            </w:tcBorders>
            <w:noWrap/>
            <w:vAlign w:val="center"/>
          </w:tcPr>
          <w:p w14:paraId="52745576">
            <w:pPr>
              <w:keepNext w:val="0"/>
              <w:keepLines w:val="0"/>
              <w:widowControl/>
              <w:suppressLineNumbers w:val="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2112" w:type="dxa"/>
            <w:tcBorders>
              <w:top w:val="single" w:color="auto" w:sz="4" w:space="0"/>
              <w:left w:val="single" w:color="auto" w:sz="4" w:space="0"/>
              <w:bottom w:val="single" w:color="auto" w:sz="4" w:space="0"/>
              <w:right w:val="single" w:color="auto" w:sz="4" w:space="0"/>
            </w:tcBorders>
            <w:vAlign w:val="center"/>
          </w:tcPr>
          <w:p w14:paraId="41FEA919">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招商平台维护</w:t>
            </w:r>
          </w:p>
        </w:tc>
        <w:tc>
          <w:tcPr>
            <w:tcW w:w="4170" w:type="dxa"/>
            <w:tcBorders>
              <w:top w:val="single" w:color="auto" w:sz="4" w:space="0"/>
              <w:left w:val="single" w:color="auto" w:sz="4" w:space="0"/>
              <w:bottom w:val="single" w:color="auto" w:sz="4" w:space="0"/>
              <w:right w:val="single" w:color="auto" w:sz="4" w:space="0"/>
            </w:tcBorders>
            <w:vAlign w:val="center"/>
          </w:tcPr>
          <w:p w14:paraId="45A3DB68">
            <w:pPr>
              <w:keepNext w:val="0"/>
              <w:keepLines w:val="0"/>
              <w:widowControl/>
              <w:suppressLineNumbers w:val="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1.每个月提供2~3次系统升级服务，含数据、扩展功能等；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2.包含运营服务管理系统承担的集成的第三方数据成本、接口成本等；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3.为产业园区招商运营方免费提供日常远程服务，包含系统使用指导、新功能培训、答疑、问题排查及相关咨询服务。</w:t>
            </w:r>
          </w:p>
        </w:tc>
        <w:tc>
          <w:tcPr>
            <w:tcW w:w="796" w:type="dxa"/>
            <w:tcBorders>
              <w:top w:val="single" w:color="auto" w:sz="4" w:space="0"/>
              <w:left w:val="single" w:color="auto" w:sz="4" w:space="0"/>
              <w:bottom w:val="single" w:color="auto" w:sz="4" w:space="0"/>
              <w:right w:val="single" w:color="auto" w:sz="4" w:space="0"/>
            </w:tcBorders>
            <w:vAlign w:val="center"/>
          </w:tcPr>
          <w:p w14:paraId="7FDD819E">
            <w:pPr>
              <w:pStyle w:val="27"/>
              <w:bidi w:val="0"/>
              <w:ind w:firstLine="0" w:firstLineChars="0"/>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lang w:val="en-US" w:eastAsia="zh-CN"/>
              </w:rPr>
              <w:t>第二年起每年</w:t>
            </w:r>
          </w:p>
        </w:tc>
      </w:tr>
    </w:tbl>
    <w:p w14:paraId="2F9F5B4D">
      <w:pPr>
        <w:numPr>
          <w:ilvl w:val="0"/>
          <w:numId w:val="0"/>
        </w:numPr>
        <w:autoSpaceDE w:val="0"/>
        <w:autoSpaceDN w:val="0"/>
        <w:spacing w:line="360" w:lineRule="auto"/>
        <w:ind w:firstLine="482" w:firstLineChars="200"/>
        <w:rPr>
          <w:rFonts w:hint="eastAsia" w:ascii="宋体" w:hAnsi="宋体" w:eastAsia="宋体" w:cs="宋体"/>
          <w:b/>
          <w:color w:val="auto"/>
          <w:sz w:val="24"/>
          <w:highlight w:val="none"/>
          <w:lang w:val="zh-CN" w:eastAsia="zh-CN"/>
        </w:rPr>
      </w:pPr>
      <w:r>
        <w:rPr>
          <w:rFonts w:hint="eastAsia" w:ascii="宋体" w:hAnsi="宋体" w:eastAsia="宋体" w:cs="宋体"/>
          <w:b/>
          <w:color w:val="auto"/>
          <w:sz w:val="24"/>
          <w:highlight w:val="none"/>
          <w:lang w:val="en-US" w:eastAsia="zh-CN"/>
        </w:rPr>
        <w:t>三、</w:t>
      </w:r>
      <w:bookmarkEnd w:id="159"/>
      <w:r>
        <w:rPr>
          <w:rFonts w:hint="eastAsia" w:ascii="宋体" w:hAnsi="宋体" w:eastAsia="宋体" w:cs="宋体"/>
          <w:b/>
          <w:color w:val="auto"/>
          <w:sz w:val="24"/>
          <w:highlight w:val="none"/>
          <w:lang w:val="zh-CN" w:eastAsia="zh-CN"/>
        </w:rPr>
        <w:t>钉钉详细模块功能</w:t>
      </w:r>
    </w:p>
    <w:tbl>
      <w:tblPr>
        <w:tblStyle w:val="13"/>
        <w:tblW w:w="5729" w:type="pct"/>
        <w:tblInd w:w="-6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75"/>
        <w:gridCol w:w="7690"/>
      </w:tblGrid>
      <w:tr w14:paraId="49F9E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14C36E02">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钉盘容量</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950111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2T钉盘存储容量，目前所有消息和文件数据采用本地存储，钉盘只按需做为部门间共享文件使用。</w:t>
            </w:r>
          </w:p>
        </w:tc>
      </w:tr>
      <w:tr w14:paraId="0A56D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3985BE09">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超大群扩容</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7BE588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10000人；可根据单位需要分配至多个需扩容的群。</w:t>
            </w:r>
          </w:p>
        </w:tc>
      </w:tr>
      <w:tr w14:paraId="329EC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00E1587A">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电话与短信DING消息</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9A2F47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电话与短信DING每年1000条，应用内DING无条数限制。</w:t>
            </w:r>
          </w:p>
        </w:tc>
      </w:tr>
      <w:tr w14:paraId="42602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30631914">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高级版云会议室</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DE6DF3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50个100方会议室：高清晰度，单次会议时长24小时/联席主持人/高级会控/屏幕水印/智能翻译/会议转直播/本地电话接入许可/专属VIP通路。</w:t>
            </w:r>
          </w:p>
        </w:tc>
      </w:tr>
      <w:tr w14:paraId="76078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2D98BE93">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高级版直播间</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0258A8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6个500方直播间：高清晰度，单次直播时长24小时/8个观众连线/组织内外观看/群联播上限45个。</w:t>
            </w:r>
          </w:p>
        </w:tc>
      </w:tr>
      <w:tr w14:paraId="08780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1F071FF2">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电话服务</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3A573F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钉钉内通话不限时长；本服务主要使用于运营商的语音通话服务，每年1000分钟，支持在钉钉上通过电话方式呼叫对方（包括视频会议中呼叫电话入会，电话会议，办公电话）。</w:t>
            </w:r>
          </w:p>
        </w:tc>
      </w:tr>
      <w:tr w14:paraId="2D31F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36B277B6">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API并发线路（QPS）</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EBAC70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上限60QPS；单位内部应用的每个API接口的每秒调用总量。</w:t>
            </w:r>
          </w:p>
        </w:tc>
      </w:tr>
      <w:tr w14:paraId="341B3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0FBE51D5">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API调用次数许可</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A7BD47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550万次/自然月；计量API接口每自然月累计调用次数。</w:t>
            </w:r>
          </w:p>
        </w:tc>
      </w:tr>
      <w:tr w14:paraId="533E9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65722689">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连接节点执行次数</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0B033E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2万次/自然月；连接器中连接节点执行次数每月峰值。</w:t>
            </w:r>
          </w:p>
        </w:tc>
      </w:tr>
      <w:tr w14:paraId="68964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190CC6E1">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Web hook与Stream调用量</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4CC720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机器人、事件订阅功能的消息通道，调用量为10w/自然月。</w:t>
            </w:r>
          </w:p>
        </w:tc>
      </w:tr>
      <w:tr w14:paraId="4DB69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10FBE61C">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数据资产平台</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E26BC6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数据资产服务调用次数3万次/自然月，自定义仪表盘数量10个，数据项包括实时统计数据与明细数据，包括原专属数据中22项专属统计数据开放和5项专属明细数据开放。</w:t>
            </w:r>
          </w:p>
        </w:tc>
      </w:tr>
      <w:tr w14:paraId="1E22F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458FFC02">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单位邮箱</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8EB7CB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包含20个账号；使用有效期跟随专属版有效期。</w:t>
            </w:r>
          </w:p>
        </w:tc>
      </w:tr>
      <w:tr w14:paraId="3BCC8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5DBA7A29">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信息免打扰</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958536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500个授权；可自定义用户权限，屏蔽应用内的干扰信息。</w:t>
            </w:r>
          </w:p>
        </w:tc>
      </w:tr>
      <w:tr w14:paraId="6D6B9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43BED9C3">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搜索卡片</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826ADF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5个；自定义配置PC端主搜关键词搜索结果页右侧的卡片展示内容。</w:t>
            </w:r>
          </w:p>
        </w:tc>
      </w:tr>
      <w:tr w14:paraId="07E94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00FAF771">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数据保障服务</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F62A08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支持组织架构数据恢复、OA审批流程误删恢复、误解散群恢复、DING消息紧急撤回、超时消息撤回、离职数据删除恢复等数据保障服务，支持发起数据保障服务申请，一键创建并加入数据保障服务工单群，支持查看历史数据保障服务工单及沟通记录详情。其中，OA审批支持自助恢复；在首次发起OA审批流程误删数据恢复申请后，可通过「数据保障服务记录」进入自助恢复页面按需恢复。</w:t>
            </w:r>
          </w:p>
        </w:tc>
      </w:tr>
      <w:tr w14:paraId="64339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1CD58C95">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保密群</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79DB5F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群内文件不可转发，下载，沟通记录有水印等安全能力。</w:t>
            </w:r>
          </w:p>
        </w:tc>
      </w:tr>
      <w:tr w14:paraId="056F1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74578F7E">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多设备同时登录</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B72D00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支持个人在我的-设置-通用中设置“多个同类型设备同时登录”，开启后最多可在5台手机+5台PC+5台平板上同时登录；同时支持在安全管控中设置功能使用人群。</w:t>
            </w:r>
          </w:p>
        </w:tc>
      </w:tr>
      <w:tr w14:paraId="79C50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077BEE7E">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审批权益</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6C4252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自定义设计业务审批流程，并且具备表单增强（数据联动、自定义流水号、OCR识别（身份证/图文）、表达式编辑）、流程增强（动态流程(beta)、并行分支(beta)）、连接器、智能诊断功能，提供1000个模板总量和500万条累计单据总量。</w:t>
            </w:r>
          </w:p>
        </w:tc>
      </w:tr>
      <w:tr w14:paraId="25048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3FB38C28">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考勤权益</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51BF05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满足基本考勤业务基础上，新增了考勤专家模式、手机端干部职工统计字段和管理员统计字段自定义、考勤封账能力。</w:t>
            </w:r>
          </w:p>
        </w:tc>
      </w:tr>
      <w:tr w14:paraId="1181E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06FFF623">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上下级组织</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A44D5D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可使用上下级组织功能，可关联人数受到主组织通讯录人数上限限制，即：通讯录人数上限&gt;=标准账号数量+单位账号数量+关联到该组织的上下级组织人数数量。</w:t>
            </w:r>
          </w:p>
        </w:tc>
      </w:tr>
      <w:tr w14:paraId="4B6B0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331BB355">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数据洞察</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D4171B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组织人事，流程分析，支持查看单位数据趋势。</w:t>
            </w:r>
          </w:p>
        </w:tc>
      </w:tr>
      <w:tr w14:paraId="480E0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73EBC3AB">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年检认证</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E05FB3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专属钉钉并开通后，可进行单位资质年检审核服务。</w:t>
            </w:r>
          </w:p>
        </w:tc>
      </w:tr>
      <w:tr w14:paraId="06CB1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06366DE3">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365会员权益</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93664B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包含30个会员席位：管理员自行分配，到期时间跟随专属钉钉到期。</w:t>
            </w:r>
          </w:p>
        </w:tc>
      </w:tr>
      <w:tr w14:paraId="6C375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241DFF5">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协议管理</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203471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统一产品使用的预授权及各类协议签署能力，解决产品使用过程中的各类协议签署、安全信息收集以及平台、单位和干部职工间的授信问题。</w:t>
            </w:r>
          </w:p>
        </w:tc>
      </w:tr>
      <w:tr w14:paraId="4FA44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9E523D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75857D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1.专属协议管理：提供专属钉钉产品功能使用所需协议签署的过程管理，包括协议签署推送和协议签署提醒。专属协议支持根据协议接受人所使用的系统语言环境，进行语言的自动适配，目前支持中文、英文。</w:t>
            </w:r>
          </w:p>
        </w:tc>
      </w:tr>
      <w:tr w14:paraId="1F6D7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B65984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5F28E8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2.自主协议管理：单位根据自身安全法务实际需求，创建单位自主协议并推送给干部职工，协议说明支持使用富文本输入框进行编辑，干部职工收到提醒后，可在线签署协议。</w:t>
            </w:r>
          </w:p>
        </w:tc>
      </w:tr>
      <w:tr w14:paraId="19909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366F96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37CC5B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3.协议签署情况分析：查询和分析协议签署情况，包括已签署、未签署、无需签署的人员名单，并支持按以上维度进行列表导出（若干部职工在多个部门，则显示干部职工的主部门），进行本地化运营管理。</w:t>
            </w:r>
          </w:p>
        </w:tc>
      </w:tr>
      <w:tr w14:paraId="5C95F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324B3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1061C6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协议推送配置完成后，立即推送给干部职工，此后存在多份未签署协议时，根据推送周期，将汇总统一至1个提示推送至干部职工侧，且支持干部职工一键签署所有收到的推送协议。支持基于单位账号的登录场景，配置干部职工必须签署的的专属协议列表。</w:t>
            </w:r>
          </w:p>
        </w:tc>
      </w:tr>
      <w:tr w14:paraId="18AF5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3A1A31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E99F6C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5.干部职工侧收到的协议支持一键签署：汇总后的推送，支持一键全选并统一点击「同意签署」。</w:t>
            </w:r>
          </w:p>
        </w:tc>
      </w:tr>
      <w:tr w14:paraId="4D895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291ABCA">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协议展示入口配置</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120853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1.管理员可因需将单位自主拟定的协议配置到专属App的“关于”界面上，干部职工可随时查看协议。</w:t>
            </w:r>
          </w:p>
        </w:tc>
      </w:tr>
      <w:tr w14:paraId="4128A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D7B53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F8FE8E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2.配置完成后实时生效。</w:t>
            </w:r>
          </w:p>
        </w:tc>
      </w:tr>
      <w:tr w14:paraId="7A493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4BFDE19">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登录管理</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63A188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可按不同客户端进行登录管控。</w:t>
            </w:r>
          </w:p>
        </w:tc>
      </w:tr>
      <w:tr w14:paraId="6DF2B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F9560C0">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A60FCC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1.七端登录控制：干部职工登录时进行校验，允许或禁止干部职工只能在专属App登录，在标准版钉钉无法登录。</w:t>
            </w:r>
          </w:p>
        </w:tc>
      </w:tr>
      <w:tr w14:paraId="72C8F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0EE1F1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E5559E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2.单位外人员登录：干部职工登录时进行校验，允许或禁止单位外人员登录本单位的专属App客户端。</w:t>
            </w:r>
          </w:p>
        </w:tc>
      </w:tr>
      <w:tr w14:paraId="52928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F13CCD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2C32A2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3.登录提示（移动端）：开启或关闭干部职工登录移动端时单位数据安全告知提示。</w:t>
            </w:r>
          </w:p>
        </w:tc>
      </w:tr>
      <w:tr w14:paraId="2B326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0E9E9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D2523E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4.多端多设备登录管控：允许或禁止干部职工在「我的-设置-通用」页面自行开启多设备同时登录的能力。</w:t>
            </w:r>
          </w:p>
        </w:tc>
      </w:tr>
      <w:tr w14:paraId="69B54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30E077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BE075D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浏览器端仅允许唤起本地钉钉客户端免登：干部职工在浏览器端使用钉钉账号登录时进行校验，允许或禁止干部职工在浏览器端使用除「唤起本地已登录钉钉客户端做免登」外的其他登录方式（例如使用移动端扫码、短信验证码登录）。</w:t>
            </w:r>
          </w:p>
        </w:tc>
      </w:tr>
      <w:tr w14:paraId="52ED9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DF4919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2EF919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6.配置完成后实时生效。</w:t>
            </w:r>
          </w:p>
        </w:tc>
      </w:tr>
      <w:tr w14:paraId="719BB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4CAC281">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钉钉版本管理</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397449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允许或禁止干部职工使用指定版本号及以下的版本号登录钉钉。</w:t>
            </w:r>
          </w:p>
        </w:tc>
      </w:tr>
      <w:tr w14:paraId="6CE9A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D88387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ED627F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1.能力覆盖七端，可对标准钉客户端/专属App客户端分别配置管控版本以及管控规则。</w:t>
            </w:r>
          </w:p>
        </w:tc>
      </w:tr>
      <w:tr w14:paraId="7F46B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EABD5D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D194EA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2.限制版本：可根据提供的版本号列表自主选择。</w:t>
            </w:r>
          </w:p>
        </w:tc>
      </w:tr>
      <w:tr w14:paraId="118A8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8A5067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CB63D9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3.生效范围：支持选择全员生效/部分生效/部分不生效/全部不生效，选择部分生效/部分不生效时支持按照角色、部门选择生效对象。</w:t>
            </w:r>
          </w:p>
        </w:tc>
      </w:tr>
      <w:tr w14:paraId="4A207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D4E001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8828C2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4.钉钉未登录时：开启后，限制干部职工登录，并展示升级链接，升级后才可登录。</w:t>
            </w:r>
          </w:p>
        </w:tc>
      </w:tr>
      <w:tr w14:paraId="51600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5B9680F">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8147A3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5.下载地址配置：在升级提醒消息中默认为官网下载地址，专属App单位可自主配置打包下载地址（默认为单位自主创建的最新安装包）。</w:t>
            </w:r>
          </w:p>
        </w:tc>
      </w:tr>
      <w:tr w14:paraId="5D021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13719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D7E5AE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6.专属App升级方式配置：选择提示升级时，干部职工会在正常使用时收到升级提醒，但不限制使用；选择限制使用时，干部职工会在正常使用时收到升级提醒，必须升级后才能使用专属App。</w:t>
            </w:r>
          </w:p>
        </w:tc>
      </w:tr>
      <w:tr w14:paraId="32F2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D8D48E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58B050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7.配置完成后实时生效。</w:t>
            </w:r>
          </w:p>
        </w:tc>
      </w:tr>
      <w:tr w14:paraId="32269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085DB15">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操作系统版本管控</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99A725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增加多端操作系统版本管控，提升设备的环境基线安全监测能力，提高安全水位。</w:t>
            </w:r>
          </w:p>
        </w:tc>
      </w:tr>
      <w:tr w14:paraId="50A43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A1184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4541C2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允许或禁止干部职工使用指定操作系统版本登录钉钉。</w:t>
            </w:r>
          </w:p>
        </w:tc>
      </w:tr>
      <w:tr w14:paraId="60B84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7B3D1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6640F9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1.能力覆盖多端：Windows、Mac、iOS、Android、Harmony OS、麒麟、统信。</w:t>
            </w:r>
          </w:p>
        </w:tc>
      </w:tr>
      <w:tr w14:paraId="60567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911FEBF">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CFF77B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2.生效范围：支持选择全员生效/部分生效/部分不生效，选择部分生效/部分不生效时支持按照角色、部门选择生效对象。</w:t>
            </w:r>
          </w:p>
        </w:tc>
      </w:tr>
      <w:tr w14:paraId="15F1E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566D1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AD91C4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3.配置完成后实时生效。</w:t>
            </w:r>
          </w:p>
        </w:tc>
      </w:tr>
      <w:tr w14:paraId="0ECE6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79F6281">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钉钉单位账号管控</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0AD0F7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1.可因需进行以下配置：SSO账号IDP登录管控、主动加入或创建其他单位、通过手机号被搜索、Web端登录态超8小时时后自动踢登、修改钉钉头像、修改钉钉昵称、修改钉钉号、修改绑定手机号。</w:t>
            </w:r>
          </w:p>
        </w:tc>
      </w:tr>
      <w:tr w14:paraId="47310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5EAA43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11DE66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2.登录多因子认证机制提供两种登录策略。</w:t>
            </w:r>
          </w:p>
        </w:tc>
      </w:tr>
      <w:tr w14:paraId="70F10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DFA84C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8D07F3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（1）密码+短信验证。</w:t>
            </w:r>
          </w:p>
        </w:tc>
      </w:tr>
      <w:tr w14:paraId="65CC3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F75366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CCD60A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（2）密码+短信验证+常用设备（干部职工可任选其二）。</w:t>
            </w:r>
          </w:p>
        </w:tc>
      </w:tr>
      <w:tr w14:paraId="1B11E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E33769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6355E9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3.支持设置密码规则、复杂度。</w:t>
            </w:r>
          </w:p>
        </w:tc>
      </w:tr>
      <w:tr w14:paraId="21A77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6A7112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9E56F3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（1）密码组成：是否必须同时包含大写字母、小写字母、数字、特殊字符中的一种或多种。</w:t>
            </w:r>
          </w:p>
        </w:tc>
      </w:tr>
      <w:tr w14:paraId="2A954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EB8A5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875DE2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（2）密码最低位数：支持配置8～18位的最低位数。</w:t>
            </w:r>
          </w:p>
        </w:tc>
      </w:tr>
      <w:tr w14:paraId="34EA4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2DA1A0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DCC8FA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（3）是否可以包含连续完整用户名。</w:t>
            </w:r>
          </w:p>
        </w:tc>
      </w:tr>
      <w:tr w14:paraId="6842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B3CC30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ADC70A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（4）是否允许使用键盘横排的连续三位。不区分大小写，且正向（例如ASD）、反向（例如DSA）、无序（例如SDA）均判定为连续三位。</w:t>
            </w:r>
          </w:p>
        </w:tc>
      </w:tr>
      <w:tr w14:paraId="3B83A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3188935D">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用户管控查询</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8E8550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查看干部职工使用的七端设备是否受到专属域的管控，并提供未管控原因的查询和信息列表的导出功能。</w:t>
            </w:r>
          </w:p>
        </w:tc>
      </w:tr>
      <w:tr w14:paraId="2F444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1D62971F">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统一策略看板</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E3A081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精确查询干部职工受到的所有安全管控策略。</w:t>
            </w:r>
          </w:p>
        </w:tc>
      </w:tr>
      <w:tr w14:paraId="74ABB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FCF6D1F">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组织行为管理</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818022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1.邀请他人：允许或禁止干部职工邀请单位外人员加入单位。</w:t>
            </w:r>
          </w:p>
        </w:tc>
      </w:tr>
      <w:tr w14:paraId="1044D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BB40C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7783D9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2.创建单位：除管理员外，允许或禁止干部职工自行创建其他组织。</w:t>
            </w:r>
          </w:p>
        </w:tc>
      </w:tr>
      <w:tr w14:paraId="3F3D3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42E67C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CD4147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3.退出单位：允许或禁止干部职工自行退出本组织。</w:t>
            </w:r>
          </w:p>
        </w:tc>
      </w:tr>
      <w:tr w14:paraId="2E489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E28F7C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23AC54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4.切换主单位：允许或禁止干部职工切换主单位。</w:t>
            </w:r>
          </w:p>
        </w:tc>
      </w:tr>
      <w:tr w14:paraId="63770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FA250D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E9FB75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5.拉黑同组织成员：允许或禁止干部职工拉黑本组织内的其他干部职工。</w:t>
            </w:r>
          </w:p>
        </w:tc>
      </w:tr>
      <w:tr w14:paraId="4ABA2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208971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272DA3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6.切换个人版管控：允许或禁止干部职工切换至个人版钉钉。</w:t>
            </w:r>
          </w:p>
        </w:tc>
      </w:tr>
      <w:tr w14:paraId="419BC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9A4E32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44B59B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7.组织架构入口：允许或禁止干部职工通讯录.选人组件内展示「组织架构」入口。</w:t>
            </w:r>
          </w:p>
        </w:tc>
      </w:tr>
      <w:tr w14:paraId="4B571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C560BF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46777C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8.部门路径展示：允许或禁止干部职工通讯录.选人组件内展示「部门路径」。</w:t>
            </w:r>
          </w:p>
        </w:tc>
      </w:tr>
      <w:tr w14:paraId="3136A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1A534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5E1F90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9.按角色选人入口：允许或禁止干部职工选人组件内展示「按角色选人」入口。</w:t>
            </w:r>
          </w:p>
        </w:tc>
      </w:tr>
      <w:tr w14:paraId="0D5B5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BE97B8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0FB8F8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10.配置完成后实时生效。</w:t>
            </w:r>
          </w:p>
        </w:tc>
      </w:tr>
      <w:tr w14:paraId="7DC71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568B582D">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密聊管控</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5CA06D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允许或禁止干部职工使用密聊功能（默认可以使用），配置完成后实时生效。</w:t>
            </w:r>
          </w:p>
        </w:tc>
      </w:tr>
      <w:tr w14:paraId="7AA60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423E782">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外部联系管控</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272576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1.干部职工主动添加好友：允许或禁止干部职工添加个人好友（可添加白名单单位下的干部职工）。</w:t>
            </w:r>
          </w:p>
        </w:tc>
      </w:tr>
      <w:tr w14:paraId="38361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491928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103ABC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2.干部职工被添加好友：允许或禁止被其他用户添加个人好友。</w:t>
            </w:r>
          </w:p>
        </w:tc>
      </w:tr>
      <w:tr w14:paraId="58CC5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3CFA4A6">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EB975C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3.移动端通讯录朋友推荐：允许或禁止向干部职工推荐“你可能认识的人”。</w:t>
            </w:r>
          </w:p>
        </w:tc>
      </w:tr>
      <w:tr w14:paraId="694AC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A27C5B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44F370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4.面对面交换名片：允许或禁止干部职工使用面对面交换名片功能。</w:t>
            </w:r>
          </w:p>
        </w:tc>
      </w:tr>
      <w:tr w14:paraId="788CD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E40A57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8845FA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5.配置完成后实时生效。</w:t>
            </w:r>
          </w:p>
        </w:tc>
      </w:tr>
      <w:tr w14:paraId="62FB0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93D4298">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离职数据管理</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B362E4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1.删除同事单聊：干部职工离职时，删除或保留他与其他同事之间的单聊消息及文件。</w:t>
            </w:r>
          </w:p>
        </w:tc>
      </w:tr>
      <w:tr w14:paraId="473F1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6405D9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0FEA2B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2.删除钉钉云盘文件：干部职工离职时，删除或保留他的个人钉钉云盘文件。</w:t>
            </w:r>
          </w:p>
        </w:tc>
      </w:tr>
      <w:tr w14:paraId="68FD8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ABF1CA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D3C434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删除助手信息：干部职工离职时，删除或保留他的文件助手及业务助手里的消息及文件（业务助手包括：DING助手、任务助手、钉钉管理助手、钉钉安全助手、日历助手、新零售管理助手、新零售小助手、项目助手）。</w:t>
            </w:r>
          </w:p>
        </w:tc>
      </w:tr>
      <w:tr w14:paraId="11862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11BDBA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FB0561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4.删除“我聊”记录：干部职工离职时，删除或保留他的“我聊”消息及文件。</w:t>
            </w:r>
          </w:p>
        </w:tc>
      </w:tr>
      <w:tr w14:paraId="32A59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4AB522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A457D1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5.离职干部职工踢登：干部职工离职时，踢登或保留干部职工专属App的登录状态。</w:t>
            </w:r>
          </w:p>
        </w:tc>
      </w:tr>
      <w:tr w14:paraId="70B5E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85A878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DACAAC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6.删除内部机器人会话记录：干部职工离职时，删除或保留他与单位内部机器人的消息及文件。</w:t>
            </w:r>
          </w:p>
        </w:tc>
      </w:tr>
      <w:tr w14:paraId="65837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6B263E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304F29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7.配置完成后实时生效。</w:t>
            </w:r>
          </w:p>
        </w:tc>
      </w:tr>
      <w:tr w14:paraId="75208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45AADCA">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钉内文件管控</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89BBF1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提供文件的防泄漏管控能力（转发、下载、复制粘贴、分享）。</w:t>
            </w:r>
          </w:p>
        </w:tc>
      </w:tr>
      <w:tr w14:paraId="4ED07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A0AC2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1245B3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1.分享文件外链：允许或禁止干部职工将聊天和钉钉云盘中的文件生成外链分享。</w:t>
            </w:r>
          </w:p>
        </w:tc>
      </w:tr>
      <w:tr w14:paraId="126D8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21BB71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37C7CC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2.转发/转存文件：允许或禁止干部职工将单位内部文件转发/转存到单位外部（支持PC端/移动端分别管控）。</w:t>
            </w:r>
          </w:p>
        </w:tc>
      </w:tr>
      <w:tr w14:paraId="18E28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F48137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B7D055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3.上传本地文件：允许或禁止干部职工将本地电脑端的文件发送到单位外部。</w:t>
            </w:r>
          </w:p>
        </w:tc>
      </w:tr>
      <w:tr w14:paraId="666DE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98380A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38B7D3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4.下载文件：允许或禁止干部职工将单位内部文件下载到本地。</w:t>
            </w:r>
          </w:p>
        </w:tc>
      </w:tr>
      <w:tr w14:paraId="5E2B9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89CA7A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7DB22C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5.文件局域网传输功能：允许或禁止干部职工使用单聊窗口中的“局域网传输”功能。</w:t>
            </w:r>
          </w:p>
        </w:tc>
      </w:tr>
      <w:tr w14:paraId="5682C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9D16AB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8B0077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6.发送带附件DING消息：允许或禁止干部职工向单位外部发送带附件的DING消息。</w:t>
            </w:r>
          </w:p>
        </w:tc>
      </w:tr>
      <w:tr w14:paraId="45C61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8CE34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D57712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7.发送带附件的日程/待办：允许或禁止干部职工发送含附件的日程/待办到单位外部。</w:t>
            </w:r>
          </w:p>
        </w:tc>
      </w:tr>
      <w:tr w14:paraId="5ADFE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4907D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5D1CF2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8.私人盘：允许或禁止干部职工在职期间使用私人盘存放文件。</w:t>
            </w:r>
          </w:p>
        </w:tc>
      </w:tr>
      <w:tr w14:paraId="11ED5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1E88F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6F4EAE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9.移动端在线编辑文件：允许或禁止干部职工在移动端在线编辑文件。</w:t>
            </w:r>
          </w:p>
        </w:tc>
      </w:tr>
      <w:tr w14:paraId="33E3B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FD795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552555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10.移动端在线预览文件：允许或禁止干部职工在移动端在线预览文件。</w:t>
            </w:r>
          </w:p>
        </w:tc>
      </w:tr>
      <w:tr w14:paraId="7172B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7C5FAA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EB6002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11.文件传输大小限制：允许或禁止干部职工传输超过指定大小的文件（包括向外部人员传输）。</w:t>
            </w:r>
          </w:p>
        </w:tc>
      </w:tr>
      <w:tr w14:paraId="03018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B7BEF5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C976D2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12.“我聊”与文件助手中文件下载：允许或禁止将“我聊”与文件助手中的文件下载到本地。</w:t>
            </w:r>
          </w:p>
        </w:tc>
      </w:tr>
      <w:tr w14:paraId="4273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DBA457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A33A64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13.文件复制功能：允许或禁止干部职工在文件的预览和编辑状态下使用复制功能。</w:t>
            </w:r>
          </w:p>
        </w:tc>
      </w:tr>
      <w:tr w14:paraId="39C05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E7035D0">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3D64DB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14.文件缩略图管控：允许或禁止干部职工在单位内部会话中发送的文件生成预览缩略图。</w:t>
            </w:r>
          </w:p>
        </w:tc>
      </w:tr>
      <w:tr w14:paraId="1811C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A62910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3B1015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15.邮箱使用管控。</w:t>
            </w:r>
          </w:p>
        </w:tc>
      </w:tr>
      <w:tr w14:paraId="1BEDC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F05BCA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82E174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生效范围：仅支持全员生效。</w:t>
            </w:r>
          </w:p>
        </w:tc>
      </w:tr>
      <w:tr w14:paraId="71322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DF724A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7E2B38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可以设置的选项。</w:t>
            </w:r>
          </w:p>
        </w:tc>
      </w:tr>
      <w:tr w14:paraId="0B551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3C4B66">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282F8C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（1）仅禁用钉钉个人邮箱。</w:t>
            </w:r>
          </w:p>
        </w:tc>
      </w:tr>
      <w:tr w14:paraId="24E80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B00E24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8AE3BC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（2）仅禁用干部职工绑定的所有个人邮箱（包含钉钉邮箱，不包含其他组织分配的邮箱）。</w:t>
            </w:r>
          </w:p>
        </w:tc>
      </w:tr>
      <w:tr w14:paraId="53D89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5A9A28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A8E8A2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（3）仅允许干部职工使用本组织分配的单位邮箱（禁用所有个人邮箱及其他组织分配的邮箱）。</w:t>
            </w:r>
          </w:p>
        </w:tc>
      </w:tr>
      <w:tr w14:paraId="50687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92576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24CA3D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16.配置完成后实时生效。</w:t>
            </w:r>
          </w:p>
        </w:tc>
      </w:tr>
      <w:tr w14:paraId="4A3F7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382CFA2">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在线文档管控</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D5F9B3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提供钉钉在线文档的防泄漏管控能力（创建、复制粘贴、导出、插入本地文件）。</w:t>
            </w:r>
          </w:p>
        </w:tc>
      </w:tr>
      <w:tr w14:paraId="04550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DB2817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206607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1.创建在线文档：允许或禁止干部职工创建归属于外部单位的在线文档。</w:t>
            </w:r>
          </w:p>
        </w:tc>
      </w:tr>
      <w:tr w14:paraId="76431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B6492E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D52F58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2.在线文档复制功能：允许或禁止干部职工将单位内部文档内容复制到文档外。</w:t>
            </w:r>
          </w:p>
        </w:tc>
      </w:tr>
      <w:tr w14:paraId="665B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10A1C6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C54C14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3.导出在线文档到本地：允许或禁止干部职工将单位内部在线文档导出/下载到本地、打印文档、生成视频、生成长图、提取图中文字、以及在线文档中的视频、文件下载到本地。</w:t>
            </w:r>
          </w:p>
        </w:tc>
      </w:tr>
      <w:tr w14:paraId="39C25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CEA7C3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0462EF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4.在线文档授权：允许或禁止干部职工给单位外部人员添加内部文档权限。</w:t>
            </w:r>
          </w:p>
        </w:tc>
      </w:tr>
      <w:tr w14:paraId="24F19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96D76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7B0B02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5.在线文档中插入本地文件：允许或禁止干部职工在在线文档中插入本地文件。</w:t>
            </w:r>
          </w:p>
        </w:tc>
      </w:tr>
      <w:tr w14:paraId="6DF1D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D81BFE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502ED1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6.配置完成后实时生效。</w:t>
            </w:r>
          </w:p>
        </w:tc>
      </w:tr>
      <w:tr w14:paraId="4E74C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3CF87A1">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信息保护</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2271CE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提供群内沟通行为的管控能力。</w:t>
            </w:r>
          </w:p>
        </w:tc>
      </w:tr>
      <w:tr w14:paraId="143FB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106F67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83136F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1.下载聊天会话中的图片：允许或禁止干部职工将内部聊天图片下载到本地（支持PC端、移动端分别管控）。</w:t>
            </w:r>
          </w:p>
        </w:tc>
      </w:tr>
      <w:tr w14:paraId="0DA17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83C1AF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DFB3B6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2.外部聊天场景时粘贴：允许或禁止干部职工在外部聊天场景时使用粘贴功能。</w:t>
            </w:r>
          </w:p>
        </w:tc>
      </w:tr>
      <w:tr w14:paraId="5C5FD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267E1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F3AAAF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3.群聊截图：允许或禁止干部职工在PC端外部群及非同事单聊使用钉钉自带的截图功能。</w:t>
            </w:r>
          </w:p>
        </w:tc>
      </w:tr>
      <w:tr w14:paraId="602CF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A0278F">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147DA7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4.转发聊天记录：允许或禁止干部职工将内部聊天记录转发到单位外部。</w:t>
            </w:r>
          </w:p>
        </w:tc>
      </w:tr>
      <w:tr w14:paraId="090F2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010015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8E58A0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5.传图识字功能：允许或禁止干部职工在移动端内部群聊及单聊中使用“识别图中文字与翻译”功能。</w:t>
            </w:r>
          </w:p>
        </w:tc>
      </w:tr>
      <w:tr w14:paraId="4936A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EA7BA5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AACCFF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6.放大查看和下载头像：允许或禁止干部职工放大查看钉钉头像。</w:t>
            </w:r>
          </w:p>
        </w:tc>
      </w:tr>
      <w:tr w14:paraId="0381F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5BD5C1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B2F332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7.支持对同事单聊和内部群中发送的消息撤回时间自定义配置，默认为24小时，可选择2分钟、5分钟、30分钟、60分钟、12小时、24小时、48小时、72小时。</w:t>
            </w:r>
          </w:p>
        </w:tc>
      </w:tr>
      <w:tr w14:paraId="1582F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507B54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E1DC38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8.支持消息编辑时长自定义：可选择2分钟、5分钟、30分钟、60分钟、12小时、24小时、48小时、72小时配置。</w:t>
            </w:r>
          </w:p>
        </w:tc>
      </w:tr>
      <w:tr w14:paraId="6ADB3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451B04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AAB701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9.支持配置「新增入群可查看全部聊天历史选项」：开启配置后，在 内部群/全员群/部门群的群设置页面，群管理员在设置新成员可查看聊天历史范围时可选择「可查看全部聊天历史」。</w:t>
            </w:r>
          </w:p>
        </w:tc>
      </w:tr>
      <w:tr w14:paraId="6F9E3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A96B9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3D98DA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10.配置完成后实时生效。</w:t>
            </w:r>
          </w:p>
        </w:tc>
      </w:tr>
      <w:tr w14:paraId="16847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2417FDE">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全局明水印</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5F37E7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支持配置专属钉钉客户端内（包含钉钉在线文档及端内打开的钉钉官方应用、单位开通的三方应用和单位自建应用、单位开通的钉钉Rooms设备）是否显示水印，按需配置水印内容（App名、姓名、工号、手机号后四位、时间戳、自定义能力）、水印深浅、水印疏密，并支持暗黑模式。</w:t>
            </w:r>
          </w:p>
        </w:tc>
      </w:tr>
      <w:tr w14:paraId="03874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6AA3A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447573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1.提供默认配置：App名+姓名+手机号后4位。</w:t>
            </w:r>
          </w:p>
        </w:tc>
      </w:tr>
      <w:tr w14:paraId="37990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44253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158EAD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2.按安全水位，自定义叠加：时间戳、工号、自定义字段、调疏密、调深浅。</w:t>
            </w:r>
          </w:p>
        </w:tc>
      </w:tr>
      <w:tr w14:paraId="69B69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AE860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359B3C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3.明水印生效版本：6.0.25版本及以上。</w:t>
            </w:r>
          </w:p>
        </w:tc>
      </w:tr>
      <w:tr w14:paraId="69C9E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6F5A7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926623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4.可配置生效人群，配置完成后实时生效。</w:t>
            </w:r>
          </w:p>
        </w:tc>
      </w:tr>
      <w:tr w14:paraId="170E7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C91987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7806E3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5.支持水印角度（-90°至 +90°）、大小配置（大、中、小三选项）。</w:t>
            </w:r>
          </w:p>
        </w:tc>
      </w:tr>
      <w:tr w14:paraId="3228C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3B15F2B">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文件病毒扫描</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DB1B1F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文件病毒扫描是专属钉钉与病毒扫描领域头部生态共同打造的产品能力，为单位提供钉钉云盘文件的病毒检测和拦截能力。</w:t>
            </w:r>
          </w:p>
        </w:tc>
      </w:tr>
      <w:tr w14:paraId="33AD5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E4DC07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D91989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扫描规则配置：管理员可以新增文件病毒扫描规则，支持填写规则名称、规则说明、生效场域、文件来源（内部干部职工PC端上传的文件、内部干部职工移动端上传的文件、外部来源文件）、扫描触发时机（PC端上传、移动端上传、PC端下载、移动端下载）、生效人员范围（全部生效、部分生效、部分不生效），同一文件只扫描一次，扫描后的文件，若不做内容变更操作则不再扫描。</w:t>
            </w:r>
          </w:p>
        </w:tc>
      </w:tr>
      <w:tr w14:paraId="678AA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514A24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0A7655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2.拦截策略配置：管理员可以新增对不同返回结果的管控策略，支持填写策略名称、策略说明、生效场域、文件状态、管控方式（放行、拦截）、生效人员范围。</w:t>
            </w:r>
          </w:p>
        </w:tc>
      </w:tr>
      <w:tr w14:paraId="18415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6CA097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02AB99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用量及日志查看：支持查看IM、DING、知识库、待办、审批、日程场域的病毒扫描引擎调用量以及对病毒文件的拦截阻断次数。支持近一周、一月、一年的检索时间区间，并支持通过场域、扫描触发时机、人员、操作时间维度，对病毒文件的拦截日志进行检索。</w:t>
            </w:r>
          </w:p>
        </w:tc>
      </w:tr>
      <w:tr w14:paraId="5C7ED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5373AFD">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导航栏设置</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959373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导航栏支持自定义配置，单位最多可配置5套方案（同时生效），对不同干部职工配置不同展示方案，方案适配多语言。</w:t>
            </w:r>
          </w:p>
        </w:tc>
      </w:tr>
      <w:tr w14:paraId="16F7A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62B27E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71CB52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1.添加自定义应用：包括钉钉官方应用、单位开通的三方应用和单位自建应用。</w:t>
            </w:r>
          </w:p>
        </w:tc>
      </w:tr>
      <w:tr w14:paraId="5D31B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154959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3369B3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2.应用视觉风格：图标支持圆角矩形风格及线框风格，支持适配暗黑模式。</w:t>
            </w:r>
          </w:p>
        </w:tc>
      </w:tr>
      <w:tr w14:paraId="587F6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0C16C7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F1A397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配置能力：可对应用进行替换/删除/调序操作（其中【消息】功能不可删除），支持更改名称/更改图标，设置登录后默认打开的应用；设置应用选中态及非选中态图标样式（仅移动端支持）；设置应用的打开方式（仅支持PC端）：钉钉端内打开、端外浏览器打开。</w:t>
            </w:r>
          </w:p>
        </w:tc>
      </w:tr>
      <w:tr w14:paraId="2B18A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EBB6CC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3F94CE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4.配置范围：PC端支持主导航、次导航、更多；移动端支持主导航、分组。</w:t>
            </w:r>
          </w:p>
        </w:tc>
      </w:tr>
      <w:tr w14:paraId="724F4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CB47A8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591F98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5.规则优先级：当某个人员在多条规则中被选中，以更高优先级规则生效（排序在页面更上方的规则优先级更高）。</w:t>
            </w:r>
          </w:p>
        </w:tc>
      </w:tr>
      <w:tr w14:paraId="02BF9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00B9A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1C9A49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6.生效方式：切换组织、重新登录或重启客户端。</w:t>
            </w:r>
          </w:p>
        </w:tc>
      </w:tr>
      <w:tr w14:paraId="42DC0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4460717">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客户端顶部工具栏</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F90B05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客户端顶部工具栏支持自定义配置，对不同干部职工配置不同展示方案，方案适配多语言范围同标准钉。</w:t>
            </w:r>
          </w:p>
        </w:tc>
      </w:tr>
      <w:tr w14:paraId="5EB04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29D0E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DD672B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1.添加自定义应用：钉钉官方应用、单位开通的三方应用和单位自建应用。</w:t>
            </w:r>
          </w:p>
        </w:tc>
      </w:tr>
      <w:tr w14:paraId="1DDF6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205989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51DD31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2.应用视觉风格：图标支持圆角矩形风格及线框风格，支持适配暗黑模式。</w:t>
            </w:r>
          </w:p>
        </w:tc>
      </w:tr>
      <w:tr w14:paraId="5F887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B29256">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6760C4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3.配置能力：可对应用进行替换/删除/调序操作，支持更改名称/更改图标。</w:t>
            </w:r>
          </w:p>
        </w:tc>
      </w:tr>
      <w:tr w14:paraId="1E8E4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01FDEC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00F2E8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4.配置范围：顶部工具栏。</w:t>
            </w:r>
          </w:p>
        </w:tc>
      </w:tr>
      <w:tr w14:paraId="63C02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DCD26A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6F2A5C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5.规则优先级：当某个人员在多条规则中被选中，以更高优先级规则生效（排序在页面更上方的规则优先级更高）。</w:t>
            </w:r>
          </w:p>
        </w:tc>
      </w:tr>
      <w:tr w14:paraId="61B06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F0C23E0">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1C16E1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6.生效方式：发布后用户侧同步实时更新。</w:t>
            </w:r>
          </w:p>
        </w:tc>
      </w:tr>
      <w:tr w14:paraId="4292D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7E40B0C">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客户端加号菜单栏配置</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E8919C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客户端+号支持自定义配置（包含移动端及PC端），单位最多可配置5套方案（同时生效），对不同干部职工配置不同展示方案，方案适配多语言（范围同标准钉）。</w:t>
            </w:r>
          </w:p>
        </w:tc>
      </w:tr>
      <w:tr w14:paraId="68231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CBBED3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075C5B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1.添加自定义应用：钉钉官方应用、单位开通的三方应用和单位自建应用。</w:t>
            </w:r>
          </w:p>
        </w:tc>
      </w:tr>
      <w:tr w14:paraId="772F3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EF9D930">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3F88FB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2.应用视觉风格：图标支持圆角矩形风格及线框风格，移动端支持适配暗黑模式。</w:t>
            </w:r>
          </w:p>
        </w:tc>
      </w:tr>
      <w:tr w14:paraId="566A2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D12BFE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E35653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3.配置能力：可对应用进行替换/删除/调序操作，支持更改名称/更改图标。</w:t>
            </w:r>
          </w:p>
        </w:tc>
      </w:tr>
      <w:tr w14:paraId="4159B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D72FD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6AF7C1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4.配置范围：移动端+号菜单栏。PC端+号菜单栏。</w:t>
            </w:r>
          </w:p>
        </w:tc>
      </w:tr>
      <w:tr w14:paraId="7C4DD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B8301F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033D58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5.规则优先级：当某个人员在多条规则中被选中，以更高优先级规则生效（排序在页面更上方的规则优先级更高）。</w:t>
            </w:r>
          </w:p>
        </w:tc>
      </w:tr>
      <w:tr w14:paraId="1D2DD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63495F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5CBD15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6.生效方式：重新登录或重启客户端。</w:t>
            </w:r>
          </w:p>
        </w:tc>
      </w:tr>
      <w:tr w14:paraId="5B013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ED545C7">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移动端吸顶栏配置</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C9AB4E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移动端吸顶栏支持自定义配置，对不同干部职工配置不同展示方案，方案适配多语言，范围同标准钉。</w:t>
            </w:r>
          </w:p>
        </w:tc>
      </w:tr>
      <w:tr w14:paraId="72AD6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66285F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0B6125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1.添加自定义应用：钉钉官方应用、单位开通的三方应用和单位自建应用。</w:t>
            </w:r>
          </w:p>
        </w:tc>
      </w:tr>
      <w:tr w14:paraId="697C0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53E68B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0EA2B8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2.应用视觉风格：图标支持圆角矩形风格及线框风格，支持适配暗黑模式。</w:t>
            </w:r>
          </w:p>
        </w:tc>
      </w:tr>
      <w:tr w14:paraId="01E1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E5C04D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F93549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3.配置能力：可对应用进行替换/删除/调序操作，支持更改名称/更改图标。</w:t>
            </w:r>
          </w:p>
        </w:tc>
      </w:tr>
      <w:tr w14:paraId="6C57A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939C3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182CE6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4.配置范围：移动端吸顶栏区域，并支持配置「更多」，下拉吸顶栏后可按照分组展示。</w:t>
            </w:r>
          </w:p>
        </w:tc>
      </w:tr>
      <w:tr w14:paraId="0EA83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7F071D2">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E5093D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5.规则优先级：当某个人员在多条规则中被选中，以更高优先级规则生效（排序在页面更上方的规则优先级更高）。</w:t>
            </w:r>
          </w:p>
        </w:tc>
      </w:tr>
      <w:tr w14:paraId="1C69F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3F4EA70">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77A854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6.生效方式：重新登录或重启客户端。</w:t>
            </w:r>
          </w:p>
        </w:tc>
      </w:tr>
      <w:tr w14:paraId="62841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EFA37CD">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LOGO配置</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7A2F02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可自定义端内LOGO展示。</w:t>
            </w:r>
          </w:p>
        </w:tc>
      </w:tr>
      <w:tr w14:paraId="46071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EC73FF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4C1B01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1.专属LOGO支持自定义，位置展示在消息首页左上角，图片尺寸为72×360像素，支持深色模式+浅色模式。</w:t>
            </w:r>
          </w:p>
        </w:tc>
      </w:tr>
      <w:tr w14:paraId="1EFE7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AC008B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61F296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2.通用LOGO支持自定义，位置展示在切换组织处，图片尺寸为375x375像素，支持深色模式+浅色模式。</w:t>
            </w:r>
          </w:p>
        </w:tc>
      </w:tr>
      <w:tr w14:paraId="26D14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CDCC2C5">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启动图</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981AF1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可自定义配置移动端启动页，最多可配置5套方案同时生效，每套方案支持自定义素材、展示时间及展示时长。素材支持小于8MB的JPG、PNG、GIF格式；展示时长支持1-5秒内自定义设置；当同一个干部职工命中多套展示规则时，每次打开将轮流展示所命中的配置方案。</w:t>
            </w:r>
          </w:p>
        </w:tc>
      </w:tr>
      <w:tr w14:paraId="200B8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C3C848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3EF869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2.专属打包支持启动视频，mp4格式，大小限制1M内，时长限制2s内（在“App打包-打包素材管理”中配置）。</w:t>
            </w:r>
          </w:p>
        </w:tc>
      </w:tr>
      <w:tr w14:paraId="59875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24DE0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C6F9E6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3.生效方式：切换组织、重新登录或重启客户端。</w:t>
            </w:r>
          </w:p>
        </w:tc>
      </w:tr>
      <w:tr w14:paraId="22DCD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F81FC85">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专属主题色</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63D403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可自主更换客户端框架的主题肤色，支持分端配置主题色。</w:t>
            </w:r>
          </w:p>
        </w:tc>
      </w:tr>
      <w:tr w14:paraId="6987D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F58F39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3FD21E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1.移动端配置能力：顶部框架支持自定义主题肤色（渐变色风格）以及自定义主题图片；导航栏线框风格图标的选中态颜色支持自定义主题肤色。</w:t>
            </w:r>
          </w:p>
        </w:tc>
      </w:tr>
      <w:tr w14:paraId="0F4FB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CD879A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D9E82C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2.PC端配置能力：导航栏线框风格图标的选中态颜色支持自定义主题肤色，整体首页框架支持自定义主题肤色（单色及渐变色两种颜色风格）；导航栏支持自定义配置主题图片。</w:t>
            </w:r>
          </w:p>
        </w:tc>
      </w:tr>
      <w:tr w14:paraId="193BA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F5D08A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852E3F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3.生效范围：全员生效或仅部分干部职工生效。</w:t>
            </w:r>
          </w:p>
        </w:tc>
      </w:tr>
      <w:tr w14:paraId="1FEFE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09ECBF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FDA62E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4.生效方式：重新登录或重启客户端。</w:t>
            </w:r>
          </w:p>
        </w:tc>
      </w:tr>
      <w:tr w14:paraId="59711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0EB4F3F">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专属表情包</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182C0B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可自主上传/管理表情包，钉钉侧审核通过后，相应表情包可配置生效范围，相应干部职工可在表情面板中查看并使用对应专属表情。</w:t>
            </w:r>
          </w:p>
        </w:tc>
      </w:tr>
      <w:tr w14:paraId="264E7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95D680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EAABA8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1.上架表情包数量：最多可同时提交/上架20套表情包，并支持按部门、角色、人配置审核通过的表情包。</w:t>
            </w:r>
          </w:p>
        </w:tc>
      </w:tr>
      <w:tr w14:paraId="5C37B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309D2F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759948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2.表情雨规则：最多可同时生效10条触发规则，提供规则二次编辑及停用能力。</w:t>
            </w:r>
          </w:p>
        </w:tc>
      </w:tr>
      <w:tr w14:paraId="51A30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0924FE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DA4C18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3.生效范围：表情包在移动和PC端生效。表情雨仅在内部单聊和内部群中生效。</w:t>
            </w:r>
          </w:p>
        </w:tc>
      </w:tr>
      <w:tr w14:paraId="719C1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F4200C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766A2C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4.生效方式：重新登录或重启客户端。</w:t>
            </w:r>
          </w:p>
        </w:tc>
      </w:tr>
      <w:tr w14:paraId="5F6B0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EF5927D">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专属文字表情</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A84B25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可自主上传/管理文字表情，钉钉侧审核通过后，相应文字表情可配置生效范围，相应干部职工可在文字表情面板中查看并使用对应文字表情。</w:t>
            </w:r>
          </w:p>
        </w:tc>
      </w:tr>
      <w:tr w14:paraId="0B638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B61A06">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7E6051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1.创建文字表情数量：最多可同时提交10套表情组，审核通过后，可配置对应表情的生效范围（部门、角色、人）。</w:t>
            </w:r>
          </w:p>
        </w:tc>
      </w:tr>
      <w:tr w14:paraId="3F179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D91877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53D656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2.生效范围：文字表情在移动和PC端生效，按照主组织配置的文字表情展示在用户的文字表情面板中。</w:t>
            </w:r>
          </w:p>
        </w:tc>
      </w:tr>
      <w:tr w14:paraId="69465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2842CB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5F12A1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3.生效方式：按照用户所在主组织生效，需要重新登录或重启客户端。</w:t>
            </w:r>
          </w:p>
        </w:tc>
      </w:tr>
      <w:tr w14:paraId="46839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tcBorders>
              <w:top w:val="single" w:color="auto" w:sz="4" w:space="0"/>
              <w:left w:val="single" w:color="auto" w:sz="4" w:space="0"/>
              <w:bottom w:val="single" w:color="auto" w:sz="4" w:space="0"/>
              <w:right w:val="single" w:color="auto" w:sz="4" w:space="0"/>
            </w:tcBorders>
            <w:shd w:val="clear" w:color="auto" w:fill="FFFFFF"/>
            <w:vAlign w:val="center"/>
          </w:tcPr>
          <w:p w14:paraId="47E20816">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推送号管理</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350BCA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推送号管理：可提供推送号（升级提醒、福利社、新的好友通知、钉盘、教育动态、行业动态、待办助手、好习惯、钉钉应用中心、职场充电宝、直播、干部职工关怀及钉钉小秘书）。</w:t>
            </w:r>
          </w:p>
        </w:tc>
      </w:tr>
      <w:tr w14:paraId="6A7DD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5D31C8B">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更多管理</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10206F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入口管理：看看-动态、发现、运动、小目标、勋章、小程序、单位广场、福利社、智能办公硬件、客服与帮助、云盘-帮助、职场课堂广场、高级认证、钉钉指数、等的隐藏和展示。</w:t>
            </w:r>
          </w:p>
        </w:tc>
      </w:tr>
      <w:tr w14:paraId="27B94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4CFEB8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D4419DD">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功能管理，可允许或禁止使用以下功能：电话管理功能、发送代码片段功能、传图识字功能、云打印。</w:t>
            </w:r>
          </w:p>
        </w:tc>
      </w:tr>
      <w:tr w14:paraId="0CFE3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A8E7C2A">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智能人群</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67584D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提供多维度圈人能力，人群标签支持一键拉群。</w:t>
            </w:r>
          </w:p>
        </w:tc>
      </w:tr>
      <w:tr w14:paraId="646BF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5132B2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7B7AE5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1.根据干部职工画像圈选。</w:t>
            </w:r>
          </w:p>
        </w:tc>
      </w:tr>
      <w:tr w14:paraId="2168A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30D070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1ED711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2.自定义上传人群。</w:t>
            </w:r>
          </w:p>
        </w:tc>
      </w:tr>
      <w:tr w14:paraId="7D661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E5C357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33D8D7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3.通讯录圈选。</w:t>
            </w:r>
          </w:p>
        </w:tc>
      </w:tr>
      <w:tr w14:paraId="6F486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562BE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3DE31B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4.连接器方式对接人群数据圈选。</w:t>
            </w:r>
          </w:p>
        </w:tc>
      </w:tr>
      <w:tr w14:paraId="565AC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A9631E8">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智能运营</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F3B123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支持多渠道触达，可根据消息类型/紧急程度选择不同的渠道。</w:t>
            </w:r>
          </w:p>
        </w:tc>
      </w:tr>
      <w:tr w14:paraId="435EA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70F5D4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BA8C9C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1.移动端投放渠道：搜索底纹、搜索穹顶、搜索发现、banner头图、首页弹窗。</w:t>
            </w:r>
          </w:p>
        </w:tc>
      </w:tr>
      <w:tr w14:paraId="641DD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3FE0D2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41174D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2.四端消息渠道：钉钉小秘书。</w:t>
            </w:r>
          </w:p>
        </w:tc>
      </w:tr>
      <w:tr w14:paraId="69B25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ECD479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DAD122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3.权限设置：设置运营人员发送范围/渠道范围，选择发布活动是否需审核以及设置审核人员。</w:t>
            </w:r>
          </w:p>
        </w:tc>
      </w:tr>
      <w:tr w14:paraId="084ED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560252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18FCAF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4.单位年报素材模版：支持自定义背景图或者使用AIGC能力生成背景图、年报数据可按单位/部门/干部职工纬度的提供、支持自定义上传背景铃声、支持在线预览效果。</w:t>
            </w:r>
          </w:p>
        </w:tc>
      </w:tr>
      <w:tr w14:paraId="461F9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3DF971F">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服务台</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A71A23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专属钉底座包含：服务台机器人1个、2000条知识库、5个人工坐席。</w:t>
            </w:r>
          </w:p>
        </w:tc>
      </w:tr>
      <w:tr w14:paraId="6522D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2DEB1B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564B313">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专属钉底座包含产品功能。</w:t>
            </w:r>
          </w:p>
        </w:tc>
      </w:tr>
      <w:tr w14:paraId="30377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990F6A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7F5FA97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（1）机器人多轮问答：交互式对话，允许用户与机器人进行多次交流以获取所需的信息，并针对性回复解决方案；支持相似问法智能推荐。</w:t>
            </w:r>
          </w:p>
        </w:tc>
      </w:tr>
      <w:tr w14:paraId="141F0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7200E6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AD22A2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（2）机器人标准问答：支持文字、图片、富文本、卡片、视频等知识类型；支持相似问法智能推荐。</w:t>
            </w:r>
          </w:p>
        </w:tc>
      </w:tr>
      <w:tr w14:paraId="6453F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BAE3676">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4D96E32">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（3）机器人运营：包含全局名词、意图模型管理及训练、聚类标注、沉默问答的配置管理。</w:t>
            </w:r>
          </w:p>
        </w:tc>
      </w:tr>
      <w:tr w14:paraId="42272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12A6F2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6D499F5">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（4）渠道入口：包括钉钉渠道（单聊机器人/群聊艾特机器人/钉钉工作部署）、网页渠道、微信公众号快速入口。</w:t>
            </w:r>
          </w:p>
        </w:tc>
      </w:tr>
      <w:tr w14:paraId="30134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182B0D">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48AD605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（5）在线工作台：含IM会话（钉钉电脑端/手机端）、客服插件、会话转接、满意度评价等。</w:t>
            </w:r>
          </w:p>
        </w:tc>
      </w:tr>
      <w:tr w14:paraId="6CB5D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FEB206">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CB5350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（6）反向会话：客服可以主动发起和已结束服务的用户进行会话。</w:t>
            </w:r>
          </w:p>
        </w:tc>
      </w:tr>
      <w:tr w14:paraId="4875E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C455A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C5E9D09">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（7）消息推送：群发至钉钉成员；群发至服务群，支持内/外部群；群发消息已读/未读、撤回；发送的卡片消息支持查看详情，并可转发、评论、赞踩等。</w:t>
            </w:r>
          </w:p>
        </w:tc>
      </w:tr>
      <w:tr w14:paraId="7C14B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40C9AA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65DA60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（8）服务群管理：含自定义群模板、群应用、群机器人等</w:t>
            </w:r>
          </w:p>
        </w:tc>
      </w:tr>
      <w:tr w14:paraId="6A540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A805423">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5DDD11B">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（9）工单系统：支持工单自定义（含工单内容、工单流程、工单任务等）、工单SLA（含工单履约时效、履约规则等）。</w:t>
            </w:r>
          </w:p>
        </w:tc>
      </w:tr>
      <w:tr w14:paraId="3EDDD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29AE30">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48E80F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（10）数据洞察：1、在线实时数据；2、离线数据：含机器人、在线分析、服务小记、知识分析、工单分析数据。</w:t>
            </w:r>
          </w:p>
        </w:tc>
      </w:tr>
      <w:tr w14:paraId="75E24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B69C2C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51331A2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（11）角色权限：按功能及类别分配管理权限。</w:t>
            </w:r>
          </w:p>
        </w:tc>
      </w:tr>
      <w:tr w14:paraId="00615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F8FBBB7">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DF23DB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（12）能力中心：支持在知识答案中加入动态参数、支持在多轮问答回中加入系统判断规则。</w:t>
            </w:r>
          </w:p>
        </w:tc>
      </w:tr>
      <w:tr w14:paraId="7812D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BD1D4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621237A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（13）卡片工厂：可以自定义信息表单、业务选择器及交互卡片。</w:t>
            </w:r>
          </w:p>
        </w:tc>
      </w:tr>
      <w:tr w14:paraId="18368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2268A6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92BDCE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（14）开放能力：支持三方客户信息对接、工单开放API、数据、客服插件、知识库、消息推送等API；支持对接三方问答。</w:t>
            </w:r>
          </w:p>
        </w:tc>
      </w:tr>
      <w:tr w14:paraId="42C30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AA4588B">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53593F4">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（15）智能质检：基于客服在线聊天内容的服务质量质检。</w:t>
            </w:r>
          </w:p>
        </w:tc>
      </w:tr>
      <w:tr w14:paraId="143F6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8CAC37F">
            <w:pPr>
              <w:keepNext w:val="0"/>
              <w:keepLines w:val="0"/>
              <w:pageBreakBefore w:val="0"/>
              <w:widowControl/>
              <w:suppressLineNumbers w:val="0"/>
              <w:kinsoku/>
              <w:wordWrap/>
              <w:overflowPunct/>
              <w:topLinePunct w:val="0"/>
              <w:autoSpaceDE/>
              <w:autoSpaceDN/>
              <w:bidi w:val="0"/>
              <w:snapToGrid/>
              <w:spacing w:line="320" w:lineRule="exac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互动服务窗</w:t>
            </w: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4F2FAB0">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互动服务窗账号管理：每个组织最多可以创建100个互动服务窗账号，每个账号可以自定义账号名称、描述、运营人员（10个）、发送范围（全部干部职工或仅部分干部职工）、账号LOGO等信息，信息支持修改，支持设置黑名单，支持设置审核后发送。</w:t>
            </w:r>
          </w:p>
        </w:tc>
      </w:tr>
      <w:tr w14:paraId="1DBBB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069D69E">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45C126C">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2.角色及权限：管理员默认拥有创建账号及全部账号的管理权限，运营人员根据管理员的授权，可以拥有对应账号的管理权限。</w:t>
            </w:r>
          </w:p>
        </w:tc>
      </w:tr>
      <w:tr w14:paraId="406EC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5C15C6C">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1BB7AD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3.主页配置：支持自定义配置跳转链接（链接仅适用于移动端、PC端展示二维码需扫码点开）、支持自定义配置互动服务窗消息聚合首页。</w:t>
            </w:r>
          </w:p>
        </w:tc>
      </w:tr>
      <w:tr w14:paraId="7F91B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870EAF9">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97A9636">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4.菜单配置：服务号底部可最多配置三个菜单，每个菜单最多可添加五个子菜单，菜单支持自定义名称、跳转链接、打开方式（工作台打开、PC端侧边栏打开、浏览器打开）。</w:t>
            </w:r>
          </w:p>
        </w:tc>
      </w:tr>
      <w:tr w14:paraId="167DB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9E14A45">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D53009A">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5.消息类型：支持图文消息、链接消息、纯图消息、纯文消息、视频消息。</w:t>
            </w:r>
          </w:p>
        </w:tc>
      </w:tr>
      <w:tr w14:paraId="11F34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8C23BF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B2178E8">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6.发送设置：设置发送时间（即时或定时）、是否需要干部职工阅读回执、文章是否允许分享、文章是否允许组织外成员查看、文章是否允许评论。</w:t>
            </w:r>
          </w:p>
        </w:tc>
      </w:tr>
      <w:tr w14:paraId="0D210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AD3F5A">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5B92D0E">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7.发送方式：支持按选人组件发送、动态用户组发送，设置常用发送范围按常用标签发送、发送到群内。</w:t>
            </w:r>
          </w:p>
        </w:tc>
      </w:tr>
      <w:tr w14:paraId="2AA0F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53BE77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321CD4F">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8.评论管理：评论支持默认展示或仅展示精选评论；管理员可以对评论进行精选、置顶、删除、导出等操作。</w:t>
            </w:r>
          </w:p>
        </w:tc>
      </w:tr>
      <w:tr w14:paraId="43BAF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B71131">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213A7997">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9.文章加推：针对已发送的图文类型消息，可操作加推：内容发布 1 小时后才能加推。</w:t>
            </w:r>
          </w:p>
        </w:tc>
      </w:tr>
      <w:tr w14:paraId="6C918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A99DCB6">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1EDCA46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加推对象：如在消息内容中设置「阅读回执」功能，则加推对象是未点击签署阅读成员；如在消息内容中未设置「阅读回执」功能，则加推对象是未读成员。</w:t>
            </w:r>
          </w:p>
        </w:tc>
      </w:tr>
      <w:tr w14:paraId="4AC92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AFD48B4">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0580721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10.文章审核：支持消息（图文、链接、纯图、视频格式）审核。审核人通过后，运营人员会收到审核结果通知。</w:t>
            </w:r>
          </w:p>
        </w:tc>
      </w:tr>
      <w:tr w14:paraId="03E32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075"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1671FA8">
            <w:pPr>
              <w:keepNext w:val="0"/>
              <w:keepLines w:val="0"/>
              <w:pageBreakBefore w:val="0"/>
              <w:widowControl/>
              <w:kinsoku/>
              <w:wordWrap/>
              <w:overflowPunct/>
              <w:topLinePunct w:val="0"/>
              <w:autoSpaceDE/>
              <w:autoSpaceDN/>
              <w:bidi w:val="0"/>
              <w:snapToGrid/>
              <w:spacing w:line="320" w:lineRule="exact"/>
              <w:jc w:val="center"/>
              <w:rPr>
                <w:rFonts w:hint="eastAsia" w:ascii="宋体" w:hAnsi="宋体" w:eastAsia="宋体" w:cs="宋体"/>
                <w:i w:val="0"/>
                <w:iCs w:val="0"/>
                <w:color w:val="000000"/>
                <w:sz w:val="21"/>
                <w:szCs w:val="21"/>
                <w:highlight w:val="none"/>
                <w:u w:val="none"/>
              </w:rPr>
            </w:pPr>
          </w:p>
        </w:tc>
        <w:tc>
          <w:tcPr>
            <w:tcW w:w="7690" w:type="dxa"/>
            <w:tcBorders>
              <w:top w:val="single" w:color="auto" w:sz="4" w:space="0"/>
              <w:left w:val="single" w:color="auto" w:sz="4" w:space="0"/>
              <w:bottom w:val="single" w:color="auto" w:sz="4" w:space="0"/>
              <w:right w:val="single" w:color="auto" w:sz="4" w:space="0"/>
            </w:tcBorders>
            <w:shd w:val="clear" w:color="auto" w:fill="FFFFFF"/>
            <w:vAlign w:val="center"/>
          </w:tcPr>
          <w:p w14:paraId="308375F1">
            <w:pPr>
              <w:keepNext w:val="0"/>
              <w:keepLines w:val="0"/>
              <w:pageBreakBefore w:val="0"/>
              <w:widowControl/>
              <w:suppressLineNumbers w:val="0"/>
              <w:kinsoku/>
              <w:wordWrap/>
              <w:overflowPunct/>
              <w:topLinePunct w:val="0"/>
              <w:autoSpaceDE/>
              <w:autoSpaceDN/>
              <w:bidi w:val="0"/>
              <w:snapToGrid/>
              <w:spacing w:line="320" w:lineRule="exact"/>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数据管理：可以按照自定义时间选择趋势图或列表两种方式进行数据查看，字段包含：文章标题、发送时间、阅读人数、阅读率、转发次数、评论数、点赞数、回执数据；数据支持查看人员明细，明细支持导出。</w:t>
            </w:r>
          </w:p>
        </w:tc>
      </w:tr>
    </w:tbl>
    <w:p w14:paraId="18ECA87E">
      <w:pPr>
        <w:spacing w:line="440" w:lineRule="exact"/>
        <w:ind w:firstLine="482" w:firstLineChars="200"/>
        <w:rPr>
          <w:rFonts w:ascii="宋体" w:hAnsi="宋体"/>
          <w:b/>
          <w:bCs/>
          <w:color w:val="auto"/>
          <w:sz w:val="24"/>
          <w:highlight w:val="none"/>
        </w:rPr>
      </w:pPr>
      <w:r>
        <w:rPr>
          <w:rFonts w:hint="eastAsia" w:ascii="宋体" w:hAnsi="宋体"/>
          <w:b/>
          <w:bCs/>
          <w:color w:val="auto"/>
          <w:sz w:val="24"/>
          <w:highlight w:val="none"/>
        </w:rPr>
        <w:t>四、其他说明</w:t>
      </w:r>
    </w:p>
    <w:p w14:paraId="18F4E775">
      <w:pPr>
        <w:spacing w:line="42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1、投标人必须对材料的真实性负责，一旦发现造假行为，采购人将取消其</w:t>
      </w:r>
      <w:r>
        <w:rPr>
          <w:rFonts w:hint="eastAsia" w:ascii="宋体" w:hAnsi="宋体" w:eastAsia="宋体" w:cs="Times New Roman"/>
          <w:color w:val="auto"/>
          <w:sz w:val="24"/>
          <w:highlight w:val="none"/>
          <w:lang w:val="en-US" w:eastAsia="zh-CN"/>
        </w:rPr>
        <w:t>协商</w:t>
      </w:r>
      <w:r>
        <w:rPr>
          <w:rFonts w:hint="eastAsia" w:ascii="宋体" w:hAnsi="宋体" w:eastAsia="宋体" w:cs="Times New Roman"/>
          <w:color w:val="auto"/>
          <w:sz w:val="24"/>
          <w:highlight w:val="none"/>
        </w:rPr>
        <w:t>资格，已</w:t>
      </w:r>
      <w:r>
        <w:rPr>
          <w:rFonts w:hint="eastAsia" w:ascii="宋体" w:hAnsi="宋体" w:eastAsia="宋体" w:cs="Times New Roman"/>
          <w:color w:val="auto"/>
          <w:sz w:val="24"/>
          <w:highlight w:val="none"/>
          <w:lang w:val="en-US" w:eastAsia="zh-CN"/>
        </w:rPr>
        <w:t>成交</w:t>
      </w:r>
      <w:r>
        <w:rPr>
          <w:rFonts w:hint="eastAsia" w:ascii="宋体" w:hAnsi="宋体" w:eastAsia="宋体" w:cs="Times New Roman"/>
          <w:color w:val="auto"/>
          <w:sz w:val="24"/>
          <w:highlight w:val="none"/>
        </w:rPr>
        <w:t>的将取消其</w:t>
      </w:r>
      <w:r>
        <w:rPr>
          <w:rFonts w:hint="eastAsia" w:ascii="宋体" w:hAnsi="宋体" w:eastAsia="宋体" w:cs="Times New Roman"/>
          <w:color w:val="auto"/>
          <w:sz w:val="24"/>
          <w:highlight w:val="none"/>
          <w:lang w:val="en-US" w:eastAsia="zh-CN"/>
        </w:rPr>
        <w:t>成交</w:t>
      </w:r>
      <w:r>
        <w:rPr>
          <w:rFonts w:hint="eastAsia" w:ascii="宋体" w:hAnsi="宋体" w:eastAsia="宋体" w:cs="Times New Roman"/>
          <w:color w:val="auto"/>
          <w:sz w:val="24"/>
          <w:highlight w:val="none"/>
        </w:rPr>
        <w:t>资格。</w:t>
      </w:r>
    </w:p>
    <w:p w14:paraId="21E201C2">
      <w:pPr>
        <w:spacing w:line="42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2、本次采购过程中采购人提供的全部文件资料以及经采购人同意的项目技术要求等有关文件材料，均为合同的组成部分。</w:t>
      </w:r>
    </w:p>
    <w:p w14:paraId="761E7044">
      <w:pPr>
        <w:spacing w:line="42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eastAsia="宋体" w:cs="Times New Roman"/>
          <w:color w:val="auto"/>
          <w:sz w:val="24"/>
          <w:highlight w:val="none"/>
          <w:lang w:val="en-US" w:eastAsia="zh-CN"/>
        </w:rPr>
        <w:t>成交供应商</w:t>
      </w:r>
      <w:r>
        <w:rPr>
          <w:rFonts w:hint="eastAsia" w:ascii="宋体" w:hAnsi="宋体" w:eastAsia="宋体" w:cs="Times New Roman"/>
          <w:color w:val="auto"/>
          <w:sz w:val="24"/>
          <w:highlight w:val="none"/>
        </w:rPr>
        <w:t>在履行合同过程中</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所发生的全部生产、生活费用均由</w:t>
      </w:r>
      <w:r>
        <w:rPr>
          <w:rFonts w:hint="eastAsia" w:ascii="宋体" w:hAnsi="宋体" w:eastAsia="宋体" w:cs="Times New Roman"/>
          <w:color w:val="auto"/>
          <w:sz w:val="24"/>
          <w:highlight w:val="none"/>
          <w:lang w:val="en-US" w:eastAsia="zh-CN"/>
        </w:rPr>
        <w:t>成交供应商</w:t>
      </w:r>
      <w:r>
        <w:rPr>
          <w:rFonts w:hint="eastAsia" w:ascii="宋体" w:hAnsi="宋体" w:eastAsia="宋体" w:cs="Times New Roman"/>
          <w:color w:val="auto"/>
          <w:sz w:val="24"/>
          <w:highlight w:val="none"/>
        </w:rPr>
        <w:t>负责。</w:t>
      </w:r>
    </w:p>
    <w:p w14:paraId="34710614">
      <w:pPr>
        <w:spacing w:line="42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五、报价要求</w:t>
      </w:r>
    </w:p>
    <w:p w14:paraId="33BF3240">
      <w:pPr>
        <w:spacing w:line="420" w:lineRule="exact"/>
        <w:ind w:firstLine="482" w:firstLineChars="200"/>
        <w:rPr>
          <w:rFonts w:hint="eastAsia" w:ascii="宋体" w:hAnsi="宋体"/>
          <w:b/>
          <w:bCs w:val="0"/>
          <w:color w:val="auto"/>
          <w:sz w:val="24"/>
          <w:highlight w:val="none"/>
          <w:u w:val="none"/>
        </w:rPr>
      </w:pPr>
      <w:r>
        <w:rPr>
          <w:rFonts w:hint="eastAsia" w:ascii="宋体" w:hAnsi="宋体"/>
          <w:b/>
          <w:bCs w:val="0"/>
          <w:color w:val="auto"/>
          <w:sz w:val="24"/>
          <w:szCs w:val="20"/>
          <w:highlight w:val="none"/>
          <w:u w:val="none"/>
        </w:rPr>
        <w:t>1、本采购项目最高限价为人民币</w:t>
      </w:r>
      <w:r>
        <w:rPr>
          <w:rFonts w:hint="eastAsia" w:ascii="宋体" w:hAnsi="宋体"/>
          <w:b/>
          <w:bCs w:val="0"/>
          <w:color w:val="auto"/>
          <w:sz w:val="24"/>
          <w:szCs w:val="20"/>
          <w:highlight w:val="none"/>
          <w:u w:val="none"/>
          <w:lang w:val="en-US" w:eastAsia="zh-CN"/>
        </w:rPr>
        <w:t>200</w:t>
      </w:r>
      <w:r>
        <w:rPr>
          <w:rFonts w:hint="eastAsia" w:ascii="宋体" w:hAnsi="宋体"/>
          <w:b/>
          <w:bCs w:val="0"/>
          <w:color w:val="auto"/>
          <w:sz w:val="24"/>
          <w:szCs w:val="20"/>
          <w:highlight w:val="none"/>
          <w:u w:val="none"/>
        </w:rPr>
        <w:t>万元，采购人不接受高于此限价的投标文件，高于此限价的投标文件为无效投标。</w:t>
      </w:r>
    </w:p>
    <w:p w14:paraId="5327629F">
      <w:pPr>
        <w:spacing w:line="420" w:lineRule="exact"/>
        <w:ind w:firstLine="480" w:firstLineChars="200"/>
        <w:rPr>
          <w:rFonts w:hint="eastAsia" w:ascii="宋体" w:hAnsi="宋体"/>
          <w:color w:val="auto"/>
          <w:kern w:val="0"/>
          <w:sz w:val="24"/>
          <w:highlight w:val="none"/>
        </w:rPr>
      </w:pPr>
      <w:r>
        <w:rPr>
          <w:rFonts w:hint="eastAsia" w:ascii="宋体" w:hAnsi="宋体"/>
          <w:color w:val="auto"/>
          <w:sz w:val="24"/>
          <w:highlight w:val="none"/>
          <w:u w:val="none"/>
        </w:rPr>
        <w:t>2、</w:t>
      </w:r>
      <w:r>
        <w:rPr>
          <w:rFonts w:hint="eastAsia" w:ascii="宋体" w:hAnsi="宋体"/>
          <w:color w:val="auto"/>
          <w:kern w:val="0"/>
          <w:sz w:val="24"/>
          <w:highlight w:val="none"/>
          <w:u w:val="none"/>
        </w:rPr>
        <w:t>投标人应在对采购项目内容全部认可的前提</w:t>
      </w:r>
      <w:r>
        <w:rPr>
          <w:rFonts w:hint="eastAsia" w:ascii="宋体" w:hAnsi="宋体"/>
          <w:color w:val="auto"/>
          <w:kern w:val="0"/>
          <w:sz w:val="24"/>
          <w:highlight w:val="none"/>
        </w:rPr>
        <w:t>下报价。无论情况如何，招标人均认为投标人已对所采购项目的所有条件有了充分了解。招标人对投标人做出的任何推论、理解和结论均不负责任。</w:t>
      </w:r>
    </w:p>
    <w:p w14:paraId="43636084">
      <w:pPr>
        <w:spacing w:line="420" w:lineRule="exact"/>
        <w:ind w:firstLine="480" w:firstLineChars="200"/>
        <w:rPr>
          <w:rFonts w:hint="eastAsia"/>
          <w:color w:val="auto"/>
          <w:sz w:val="24"/>
          <w:highlight w:val="none"/>
        </w:rPr>
      </w:pPr>
      <w:r>
        <w:rPr>
          <w:rFonts w:hint="eastAsia" w:ascii="宋体" w:hAnsi="宋体"/>
          <w:color w:val="auto"/>
          <w:sz w:val="24"/>
          <w:highlight w:val="none"/>
        </w:rPr>
        <w:t>4、报价中要求包括此次采购服务的所有费用。报价是投标人对本次采购服务提出的各项支付金额的总和。上述金额是</w:t>
      </w:r>
      <w:r>
        <w:rPr>
          <w:rFonts w:ascii="宋体" w:hAnsi="宋体"/>
          <w:color w:val="auto"/>
          <w:sz w:val="24"/>
          <w:highlight w:val="none"/>
        </w:rPr>
        <w:t>乙方</w:t>
      </w:r>
      <w:r>
        <w:rPr>
          <w:rFonts w:hint="eastAsia" w:ascii="宋体" w:hAnsi="宋体"/>
          <w:color w:val="auto"/>
          <w:sz w:val="24"/>
          <w:highlight w:val="none"/>
        </w:rPr>
        <w:t>对本次采购服务各项支付金额的总和。上述金额包括</w:t>
      </w:r>
      <w:r>
        <w:rPr>
          <w:rFonts w:ascii="宋体" w:hAnsi="宋体"/>
          <w:color w:val="auto"/>
          <w:sz w:val="24"/>
          <w:highlight w:val="none"/>
        </w:rPr>
        <w:t>乙方</w:t>
      </w:r>
      <w:r>
        <w:rPr>
          <w:rFonts w:hint="eastAsia" w:ascii="宋体" w:hAnsi="宋体"/>
          <w:color w:val="auto"/>
          <w:sz w:val="24"/>
          <w:highlight w:val="none"/>
        </w:rPr>
        <w:t>完成上述内容所必须的质量保证与技术支持、代理服务费用和政策性文件规定的各项所需的全部费用。</w:t>
      </w:r>
    </w:p>
    <w:p w14:paraId="7F835873">
      <w:pPr>
        <w:spacing w:line="420" w:lineRule="exac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5、投标人根据自己的经营状况和掌握的市场信息自主报价。决定投标人投标文件的响应性只根据投标文件本身的内容，而不寻求外部的证据。</w:t>
      </w:r>
    </w:p>
    <w:p w14:paraId="3D271B2A">
      <w:pPr>
        <w:spacing w:line="420" w:lineRule="exact"/>
        <w:ind w:firstLine="480" w:firstLineChars="200"/>
        <w:rPr>
          <w:rFonts w:hint="eastAsia" w:ascii="宋体" w:hAnsi="宋体"/>
          <w:color w:val="auto"/>
          <w:sz w:val="24"/>
          <w:highlight w:val="none"/>
        </w:rPr>
      </w:pPr>
      <w:r>
        <w:rPr>
          <w:rFonts w:hint="eastAsia" w:ascii="宋体" w:hAnsi="宋体"/>
          <w:color w:val="auto"/>
          <w:kern w:val="0"/>
          <w:sz w:val="24"/>
          <w:highlight w:val="none"/>
        </w:rPr>
        <w:t>6、投标人应对采购文件中的条款做到正确理解，有疑义的条款应在采购答疑时提出，有疑义又没有在采购答疑时提出的，应按招标人的解释为准。</w:t>
      </w:r>
    </w:p>
    <w:p w14:paraId="7A3AEFB5">
      <w:pPr>
        <w:spacing w:line="440" w:lineRule="exact"/>
        <w:ind w:firstLine="482" w:firstLineChars="200"/>
        <w:rPr>
          <w:rFonts w:ascii="宋体" w:hAnsi="宋体"/>
          <w:b/>
          <w:bCs/>
          <w:color w:val="auto"/>
          <w:sz w:val="24"/>
          <w:highlight w:val="none"/>
        </w:rPr>
      </w:pPr>
      <w:r>
        <w:rPr>
          <w:rFonts w:hint="eastAsia" w:ascii="宋体" w:hAnsi="宋体"/>
          <w:b/>
          <w:bCs/>
          <w:color w:val="auto"/>
          <w:sz w:val="24"/>
          <w:highlight w:val="none"/>
        </w:rPr>
        <w:t>六、付款方式</w:t>
      </w:r>
    </w:p>
    <w:p w14:paraId="59C91BDE">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按本文件第三章合同条款中的相关条款执行。</w:t>
      </w:r>
    </w:p>
    <w:p w14:paraId="2B148694">
      <w:pPr>
        <w:spacing w:line="420" w:lineRule="exact"/>
        <w:ind w:firstLine="482" w:firstLineChars="200"/>
        <w:rPr>
          <w:rFonts w:hint="eastAsia"/>
          <w:b/>
          <w:color w:val="auto"/>
          <w:sz w:val="24"/>
          <w:highlight w:val="none"/>
        </w:rPr>
      </w:pPr>
      <w:r>
        <w:rPr>
          <w:rFonts w:hint="eastAsia" w:ascii="宋体" w:hAnsi="宋体"/>
          <w:b/>
          <w:color w:val="auto"/>
          <w:sz w:val="24"/>
          <w:highlight w:val="none"/>
        </w:rPr>
        <w:t>七、应充</w:t>
      </w:r>
      <w:r>
        <w:rPr>
          <w:rFonts w:hint="eastAsia"/>
          <w:b/>
          <w:color w:val="auto"/>
          <w:sz w:val="24"/>
          <w:highlight w:val="none"/>
        </w:rPr>
        <w:t>分响应的技术规范和商务条款</w:t>
      </w:r>
    </w:p>
    <w:p w14:paraId="58C93129">
      <w:pPr>
        <w:keepNext w:val="0"/>
        <w:keepLines w:val="0"/>
        <w:pageBreakBefore w:val="0"/>
        <w:widowControl w:val="0"/>
        <w:kinsoku/>
        <w:wordWrap/>
        <w:overflowPunct/>
        <w:topLinePunct w:val="0"/>
        <w:autoSpaceDE w:val="0"/>
        <w:autoSpaceDN w:val="0"/>
        <w:bidi w:val="0"/>
        <w:adjustRightInd w:val="0"/>
        <w:spacing w:before="73" w:beforeLines="25" w:after="73" w:afterLines="25" w:line="420" w:lineRule="exact"/>
        <w:ind w:firstLine="480" w:firstLineChars="200"/>
        <w:jc w:val="left"/>
        <w:textAlignment w:val="auto"/>
        <w:rPr>
          <w:rFonts w:hint="eastAsia"/>
          <w:color w:val="auto"/>
          <w:sz w:val="24"/>
          <w:highlight w:val="none"/>
        </w:rPr>
      </w:pPr>
      <w:r>
        <w:rPr>
          <w:rFonts w:hint="eastAsia"/>
          <w:color w:val="auto"/>
          <w:sz w:val="24"/>
          <w:highlight w:val="none"/>
        </w:rPr>
        <w:t>本文件所提出的技术规范及要求、付款方式、服务地点、服务期限、服务内容等重要商务要求，供应商应充分响应，否则评标委员会有权酌情认定为实质性或重大负偏离。</w:t>
      </w:r>
    </w:p>
    <w:p w14:paraId="28B33C81">
      <w:pPr>
        <w:keepNext w:val="0"/>
        <w:keepLines w:val="0"/>
        <w:pageBreakBefore w:val="0"/>
        <w:widowControl w:val="0"/>
        <w:kinsoku/>
        <w:wordWrap/>
        <w:overflowPunct/>
        <w:topLinePunct w:val="0"/>
        <w:autoSpaceDE w:val="0"/>
        <w:autoSpaceDN w:val="0"/>
        <w:bidi w:val="0"/>
        <w:adjustRightInd w:val="0"/>
        <w:spacing w:before="73" w:beforeLines="25" w:after="73" w:afterLines="25" w:line="420" w:lineRule="exact"/>
        <w:ind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八、其他说明及要求</w:t>
      </w:r>
    </w:p>
    <w:p w14:paraId="6ABBF678">
      <w:pPr>
        <w:spacing w:line="420" w:lineRule="exact"/>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采购标的的所属行业为</w:t>
      </w:r>
      <w:r>
        <w:rPr>
          <w:rFonts w:hint="eastAsia" w:ascii="宋体" w:hAnsi="宋体"/>
          <w:color w:val="auto"/>
          <w:sz w:val="24"/>
          <w:highlight w:val="none"/>
          <w:u w:val="single"/>
          <w:lang w:val="en-US" w:eastAsia="zh-CN"/>
        </w:rPr>
        <w:t>其他为列明行业</w:t>
      </w:r>
      <w:r>
        <w:rPr>
          <w:rFonts w:hint="eastAsia" w:ascii="宋体" w:hAnsi="宋体"/>
          <w:color w:val="auto"/>
          <w:sz w:val="24"/>
          <w:highlight w:val="none"/>
          <w:lang w:val="en-US" w:eastAsia="zh-CN"/>
        </w:rPr>
        <w:t>，根据《工业和信息化部、国家统计局、国家发展和改革委员会、财政部关于印发中小企业划型标准规定的通知》（工信部联企业[2011]300号）规定的划分标准填写。</w:t>
      </w:r>
    </w:p>
    <w:p w14:paraId="73D75AB0">
      <w:pPr>
        <w:rPr>
          <w:rFonts w:hint="eastAsia" w:ascii="黑体" w:hAnsi="宋体" w:eastAsia="黑体" w:cs="黑体"/>
          <w:color w:val="auto"/>
          <w:sz w:val="44"/>
          <w:szCs w:val="44"/>
          <w:highlight w:val="none"/>
          <w:shd w:val="clear" w:color="auto" w:fill="auto"/>
        </w:rPr>
      </w:pPr>
      <w:bookmarkStart w:id="160" w:name="_Toc120614281"/>
      <w:r>
        <w:rPr>
          <w:rFonts w:hint="eastAsia" w:ascii="黑体" w:hAnsi="宋体" w:eastAsia="黑体" w:cs="黑体"/>
          <w:color w:val="auto"/>
          <w:sz w:val="44"/>
          <w:szCs w:val="44"/>
          <w:highlight w:val="none"/>
          <w:shd w:val="clear" w:color="auto" w:fill="auto"/>
        </w:rPr>
        <w:br w:type="page"/>
      </w:r>
    </w:p>
    <w:p w14:paraId="2EE76CDB">
      <w:pPr>
        <w:pStyle w:val="11"/>
        <w:keepNext/>
        <w:spacing w:beforeAutospacing="0" w:afterAutospacing="0"/>
        <w:jc w:val="center"/>
        <w:outlineLvl w:val="0"/>
        <w:rPr>
          <w:color w:val="auto"/>
          <w:highlight w:val="none"/>
          <w:shd w:val="clear" w:color="auto" w:fill="auto"/>
        </w:rPr>
      </w:pPr>
      <w:bookmarkStart w:id="161" w:name="_Toc19860"/>
      <w:r>
        <w:rPr>
          <w:rFonts w:hint="eastAsia" w:ascii="黑体" w:hAnsi="宋体" w:eastAsia="黑体" w:cs="黑体"/>
          <w:color w:val="auto"/>
          <w:sz w:val="44"/>
          <w:szCs w:val="44"/>
          <w:highlight w:val="none"/>
          <w:shd w:val="clear" w:color="auto" w:fill="auto"/>
        </w:rPr>
        <w:t>第五章</w:t>
      </w:r>
      <w:r>
        <w:rPr>
          <w:rFonts w:hint="eastAsia" w:ascii="黑体" w:hAnsi="宋体" w:eastAsia="黑体" w:cs="黑体"/>
          <w:color w:val="auto"/>
          <w:sz w:val="44"/>
          <w:szCs w:val="44"/>
          <w:highlight w:val="none"/>
          <w:shd w:val="clear" w:color="auto" w:fill="auto"/>
          <w:lang w:val="en-US" w:eastAsia="zh-CN"/>
        </w:rPr>
        <w:t xml:space="preserve">  </w:t>
      </w:r>
      <w:r>
        <w:rPr>
          <w:rFonts w:hint="eastAsia" w:ascii="黑体" w:hAnsi="宋体" w:eastAsia="黑体" w:cs="黑体"/>
          <w:color w:val="auto"/>
          <w:sz w:val="44"/>
          <w:szCs w:val="44"/>
          <w:highlight w:val="none"/>
          <w:shd w:val="clear" w:color="auto" w:fill="auto"/>
        </w:rPr>
        <w:t>响应文件格式</w:t>
      </w:r>
      <w:bookmarkEnd w:id="161"/>
      <w:r>
        <w:rPr>
          <w:rFonts w:hint="eastAsia" w:ascii="黑体" w:hAnsi="宋体" w:eastAsia="黑体" w:cs="黑体"/>
          <w:color w:val="auto"/>
          <w:sz w:val="44"/>
          <w:szCs w:val="44"/>
          <w:highlight w:val="none"/>
          <w:shd w:val="clear" w:color="auto" w:fill="auto"/>
        </w:rPr>
        <w:t xml:space="preserve"> </w:t>
      </w:r>
    </w:p>
    <w:p w14:paraId="72018475">
      <w:pPr>
        <w:pStyle w:val="11"/>
        <w:spacing w:beforeAutospacing="0" w:afterAutospacing="0"/>
        <w:jc w:val="center"/>
        <w:rPr>
          <w:rFonts w:hint="eastAsia" w:ascii="宋体" w:hAnsi="宋体" w:eastAsia="宋体" w:cs="宋体"/>
          <w:b/>
          <w:color w:val="auto"/>
          <w:sz w:val="72"/>
          <w:szCs w:val="72"/>
          <w:highlight w:val="none"/>
          <w:shd w:val="clear" w:color="auto" w:fill="auto"/>
        </w:rPr>
      </w:pPr>
      <w:bookmarkStart w:id="162" w:name="_Toc49090576"/>
      <w:bookmarkEnd w:id="162"/>
      <w:bookmarkStart w:id="163" w:name="_Toc120614282"/>
      <w:bookmarkEnd w:id="163"/>
      <w:bookmarkStart w:id="164" w:name="_Hlt26671244"/>
      <w:bookmarkStart w:id="165" w:name="_Hlt26955039"/>
      <w:bookmarkStart w:id="166" w:name="_Toc26554094"/>
    </w:p>
    <w:p w14:paraId="18D4EE28">
      <w:pPr>
        <w:pStyle w:val="11"/>
        <w:spacing w:beforeAutospacing="0" w:afterAutospacing="0"/>
        <w:jc w:val="center"/>
        <w:rPr>
          <w:rFonts w:hint="eastAsia" w:ascii="宋体" w:hAnsi="宋体" w:eastAsia="宋体" w:cs="宋体"/>
          <w:b/>
          <w:color w:val="auto"/>
          <w:sz w:val="72"/>
          <w:szCs w:val="72"/>
          <w:highlight w:val="none"/>
          <w:shd w:val="clear" w:color="auto" w:fill="auto"/>
        </w:rPr>
      </w:pPr>
    </w:p>
    <w:p w14:paraId="6402E5C4">
      <w:pPr>
        <w:pStyle w:val="11"/>
        <w:spacing w:beforeAutospacing="0" w:afterAutospacing="0"/>
        <w:jc w:val="center"/>
        <w:rPr>
          <w:rFonts w:hint="eastAsia" w:ascii="宋体" w:hAnsi="宋体" w:eastAsia="宋体" w:cs="宋体"/>
          <w:b/>
          <w:color w:val="auto"/>
          <w:sz w:val="72"/>
          <w:szCs w:val="72"/>
          <w:highlight w:val="none"/>
          <w:shd w:val="clear" w:color="auto" w:fill="auto"/>
        </w:rPr>
      </w:pPr>
    </w:p>
    <w:p w14:paraId="23B95115">
      <w:pPr>
        <w:pStyle w:val="11"/>
        <w:spacing w:beforeAutospacing="0" w:afterAutospacing="0"/>
        <w:jc w:val="center"/>
        <w:rPr>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246DC9F8">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770D669A">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BBC5B1B">
      <w:pPr>
        <w:pStyle w:val="11"/>
        <w:spacing w:beforeAutospacing="0" w:afterAutospacing="0"/>
        <w:jc w:val="center"/>
        <w:rPr>
          <w:color w:val="auto"/>
          <w:highlight w:val="none"/>
          <w:shd w:val="clear" w:color="auto" w:fill="auto"/>
        </w:rPr>
      </w:pPr>
    </w:p>
    <w:p w14:paraId="65E6C912">
      <w:pPr>
        <w:pStyle w:val="11"/>
        <w:spacing w:beforeAutospacing="0" w:afterAutospacing="0"/>
        <w:jc w:val="center"/>
        <w:rPr>
          <w:color w:val="auto"/>
          <w:highlight w:val="none"/>
          <w:shd w:val="clear" w:color="auto" w:fill="auto"/>
        </w:rPr>
      </w:pPr>
    </w:p>
    <w:p w14:paraId="1D2FAD1B">
      <w:pPr>
        <w:pStyle w:val="11"/>
        <w:spacing w:beforeAutospacing="0" w:afterAutospacing="0"/>
        <w:jc w:val="center"/>
        <w:rPr>
          <w:color w:val="auto"/>
          <w:highlight w:val="none"/>
          <w:shd w:val="clear" w:color="auto" w:fill="auto"/>
        </w:rPr>
      </w:pPr>
    </w:p>
    <w:p w14:paraId="1C1565E0">
      <w:pPr>
        <w:pStyle w:val="11"/>
        <w:spacing w:beforeAutospacing="0" w:afterAutospacing="0"/>
        <w:jc w:val="center"/>
        <w:rPr>
          <w:color w:val="auto"/>
          <w:highlight w:val="none"/>
          <w:shd w:val="clear" w:color="auto" w:fill="auto"/>
        </w:rPr>
      </w:pPr>
    </w:p>
    <w:p w14:paraId="4764ECAC">
      <w:pPr>
        <w:pStyle w:val="11"/>
        <w:spacing w:beforeAutospacing="0" w:afterAutospacing="0"/>
        <w:jc w:val="center"/>
        <w:rPr>
          <w:color w:val="auto"/>
          <w:highlight w:val="none"/>
          <w:shd w:val="clear" w:color="auto" w:fill="auto"/>
        </w:rPr>
      </w:pPr>
    </w:p>
    <w:p w14:paraId="45FFDBB2">
      <w:pPr>
        <w:pStyle w:val="11"/>
        <w:spacing w:beforeAutospacing="0" w:afterAutospacing="0"/>
        <w:jc w:val="center"/>
        <w:rPr>
          <w:color w:val="auto"/>
          <w:highlight w:val="none"/>
          <w:shd w:val="clear" w:color="auto" w:fill="auto"/>
        </w:rPr>
      </w:pPr>
    </w:p>
    <w:p w14:paraId="1C4DB24A">
      <w:pPr>
        <w:pStyle w:val="11"/>
        <w:spacing w:beforeAutospacing="0" w:afterAutospacing="0"/>
        <w:jc w:val="center"/>
        <w:rPr>
          <w:color w:val="auto"/>
          <w:highlight w:val="none"/>
          <w:shd w:val="clear" w:color="auto" w:fill="auto"/>
        </w:rPr>
      </w:pPr>
    </w:p>
    <w:p w14:paraId="26E71D77">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4989ADBA">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6C6DD35D">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E918C1A">
      <w:pPr>
        <w:pStyle w:val="1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xml:space="preserve">            </w:t>
      </w:r>
    </w:p>
    <w:p w14:paraId="7596DCF3">
      <w:pPr>
        <w:pStyle w:val="11"/>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lang w:val="en-US" w:eastAsia="zh-CN"/>
        </w:rPr>
        <w:t>项 目</w:t>
      </w:r>
      <w:r>
        <w:rPr>
          <w:rFonts w:hint="eastAsia" w:ascii="宋体" w:hAnsi="宋体" w:eastAsia="宋体" w:cs="宋体"/>
          <w:b/>
          <w:color w:val="auto"/>
          <w:sz w:val="36"/>
          <w:szCs w:val="36"/>
          <w:highlight w:val="none"/>
          <w:shd w:val="clear" w:color="auto" w:fill="auto"/>
        </w:rPr>
        <w:t xml:space="preserve"> 编 号：</w:t>
      </w:r>
      <w:r>
        <w:rPr>
          <w:rFonts w:hint="eastAsia" w:ascii="宋体" w:hAnsi="宋体" w:eastAsia="宋体" w:cs="宋体"/>
          <w:b/>
          <w:color w:val="auto"/>
          <w:sz w:val="36"/>
          <w:szCs w:val="36"/>
          <w:highlight w:val="none"/>
          <w:u w:val="single"/>
          <w:shd w:val="clear" w:color="auto" w:fill="auto"/>
        </w:rPr>
        <w:t>            </w:t>
      </w:r>
    </w:p>
    <w:p w14:paraId="734FA936">
      <w:pPr>
        <w:pStyle w:val="11"/>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14:paraId="01E3CA95">
      <w:pPr>
        <w:pStyle w:val="11"/>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xml:space="preserve">              </w:t>
      </w:r>
    </w:p>
    <w:p w14:paraId="1C6E7F34">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4636A39">
      <w:pPr>
        <w:pStyle w:val="11"/>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0A838DD">
      <w:pPr>
        <w:pStyle w:val="1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43B3B06">
      <w:pPr>
        <w:pStyle w:val="1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0BC48DE4">
      <w:pPr>
        <w:pStyle w:val="1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74FBD8F">
      <w:pPr>
        <w:pStyle w:val="1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19DBC65B">
      <w:pPr>
        <w:pStyle w:val="11"/>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D2A73A0">
      <w:pPr>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br w:type="page"/>
      </w:r>
      <w:r>
        <w:rPr>
          <w:rFonts w:hint="eastAsia" w:ascii="宋体" w:hAnsi="宋体" w:eastAsia="宋体" w:cs="宋体"/>
          <w:b/>
          <w:color w:val="auto"/>
          <w:sz w:val="32"/>
          <w:szCs w:val="32"/>
          <w:highlight w:val="none"/>
          <w:shd w:val="clear" w:color="auto" w:fill="auto"/>
        </w:rPr>
        <w:t>响应文件目录</w:t>
      </w:r>
    </w:p>
    <w:p w14:paraId="0A390588">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D9FB5AF">
      <w:pPr>
        <w:pStyle w:val="11"/>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一、法人或者其他组织的营业执照等证明文件，自然人的身份证明</w:t>
      </w:r>
    </w:p>
    <w:p w14:paraId="0E3B5E45">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二、上一年度的财务状况报表（至少提供资产负债表、利润表、现金流量表，</w:t>
      </w:r>
    </w:p>
    <w:p w14:paraId="58C27AA3">
      <w:pPr>
        <w:pStyle w:val="11"/>
        <w:spacing w:beforeAutospacing="0" w:afterAutospacing="0"/>
        <w:jc w:val="both"/>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协商供应商成立不满一年无需提供）</w:t>
      </w:r>
    </w:p>
    <w:p w14:paraId="78AB3E61">
      <w:pPr>
        <w:pStyle w:val="11"/>
        <w:numPr>
          <w:ilvl w:val="0"/>
          <w:numId w:val="2"/>
        </w:numPr>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具备履行合同所必需的设备和专业技术能力的书面声明</w:t>
      </w:r>
    </w:p>
    <w:p w14:paraId="30CFC750">
      <w:pPr>
        <w:pStyle w:val="11"/>
        <w:numPr>
          <w:ilvl w:val="0"/>
          <w:numId w:val="0"/>
        </w:numPr>
        <w:spacing w:beforeAutospacing="0" w:afterAutospacing="0"/>
        <w:ind w:firstLine="480" w:firstLineChars="20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40D1366C">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五、参加政府采购活动前 3 年内在经营活动中没有重大违法记录的书面声明</w:t>
      </w:r>
    </w:p>
    <w:p w14:paraId="05135DDB">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六、特定资格要求的证明文件（如果本项目设置特定资格要求，则需要提供）</w:t>
      </w:r>
    </w:p>
    <w:p w14:paraId="65D0C1C9">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七、法人授权书</w:t>
      </w:r>
    </w:p>
    <w:p w14:paraId="6021FB5E">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八、单一来源响应函</w:t>
      </w:r>
    </w:p>
    <w:p w14:paraId="73DF76E4">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九、分项报价表</w:t>
      </w:r>
    </w:p>
    <w:p w14:paraId="5702C8F3">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十、</w:t>
      </w:r>
      <w:r>
        <w:rPr>
          <w:rFonts w:hint="eastAsia" w:ascii="宋体" w:hAnsi="宋体" w:eastAsia="宋体" w:cs="宋体"/>
          <w:i w:val="0"/>
          <w:iCs/>
          <w:color w:val="auto"/>
          <w:sz w:val="24"/>
          <w:szCs w:val="24"/>
          <w:highlight w:val="none"/>
          <w:u w:val="none"/>
          <w:shd w:val="clear" w:color="auto" w:fill="auto"/>
        </w:rPr>
        <w:t>技术要求响应及偏离表</w:t>
      </w:r>
    </w:p>
    <w:p w14:paraId="73DA025D">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一</w:t>
      </w:r>
      <w:r>
        <w:rPr>
          <w:rFonts w:hint="eastAsia" w:ascii="宋体" w:hAnsi="宋体" w:eastAsia="宋体" w:cs="宋体"/>
          <w:i w:val="0"/>
          <w:iCs/>
          <w:color w:val="auto"/>
          <w:sz w:val="24"/>
          <w:szCs w:val="24"/>
          <w:highlight w:val="none"/>
          <w:u w:val="none"/>
          <w:shd w:val="clear" w:color="auto" w:fill="auto"/>
        </w:rPr>
        <w:t>、商务要求响应及偏离表</w:t>
      </w:r>
    </w:p>
    <w:p w14:paraId="48EFFF5A">
      <w:pPr>
        <w:pStyle w:val="11"/>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kern w:val="0"/>
          <w:sz w:val="24"/>
          <w:szCs w:val="24"/>
          <w:highlight w:val="none"/>
          <w:u w:val="none"/>
          <w:shd w:val="clear" w:color="auto" w:fill="auto"/>
          <w:lang w:val="en-US" w:eastAsia="zh-CN"/>
        </w:rPr>
        <w:t>二</w:t>
      </w:r>
      <w:r>
        <w:rPr>
          <w:rFonts w:hint="eastAsia" w:ascii="宋体" w:hAnsi="宋体" w:eastAsia="宋体" w:cs="宋体"/>
          <w:i w:val="0"/>
          <w:iCs/>
          <w:color w:val="auto"/>
          <w:sz w:val="24"/>
          <w:szCs w:val="24"/>
          <w:highlight w:val="none"/>
          <w:u w:val="none"/>
          <w:shd w:val="clear" w:color="auto" w:fill="auto"/>
        </w:rPr>
        <w:t>、开标一览表</w:t>
      </w:r>
    </w:p>
    <w:p w14:paraId="660B8D16">
      <w:pPr>
        <w:pStyle w:val="11"/>
        <w:spacing w:beforeAutospacing="0" w:afterAutospacing="0" w:line="360" w:lineRule="auto"/>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kern w:val="0"/>
          <w:sz w:val="24"/>
          <w:szCs w:val="24"/>
          <w:highlight w:val="none"/>
          <w:u w:val="none"/>
          <w:shd w:val="clear" w:color="auto" w:fill="auto"/>
        </w:rPr>
        <w:t>十</w:t>
      </w:r>
      <w:r>
        <w:rPr>
          <w:rFonts w:hint="eastAsia" w:ascii="宋体" w:hAnsi="宋体" w:eastAsia="宋体" w:cs="宋体"/>
          <w:i w:val="0"/>
          <w:iCs/>
          <w:color w:val="auto"/>
          <w:kern w:val="0"/>
          <w:sz w:val="24"/>
          <w:szCs w:val="24"/>
          <w:highlight w:val="none"/>
          <w:u w:val="none"/>
          <w:shd w:val="clear" w:color="auto" w:fill="auto"/>
          <w:lang w:val="en-US" w:eastAsia="zh-CN"/>
        </w:rPr>
        <w:t>三</w:t>
      </w:r>
      <w:r>
        <w:rPr>
          <w:rFonts w:hint="eastAsia" w:ascii="宋体" w:hAnsi="宋体" w:eastAsia="宋体" w:cs="宋体"/>
          <w:i w:val="0"/>
          <w:iCs/>
          <w:color w:val="auto"/>
          <w:sz w:val="24"/>
          <w:szCs w:val="24"/>
          <w:highlight w:val="none"/>
          <w:u w:val="none"/>
          <w:shd w:val="clear" w:color="auto" w:fill="auto"/>
        </w:rPr>
        <w:t>、盐城市政府采购事前信用承诺书</w:t>
      </w:r>
    </w:p>
    <w:p w14:paraId="20A14EA5">
      <w:pPr>
        <w:pStyle w:val="1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p>
    <w:p w14:paraId="3890A701">
      <w:pPr>
        <w:pStyle w:val="11"/>
        <w:spacing w:beforeAutospacing="0" w:afterAutospacing="0" w:line="360" w:lineRule="auto"/>
        <w:ind w:firstLine="480"/>
        <w:jc w:val="both"/>
        <w:rPr>
          <w:rFonts w:ascii="宋体" w:hAnsi="宋体" w:eastAsia="宋体" w:cs="宋体"/>
          <w:color w:val="auto"/>
          <w:highlight w:val="none"/>
          <w:shd w:val="clear" w:color="auto" w:fill="auto"/>
        </w:rPr>
      </w:pPr>
      <w:r>
        <w:rPr>
          <w:color w:val="auto"/>
          <w:highlight w:val="none"/>
          <w:shd w:val="clear" w:color="auto" w:fill="auto"/>
        </w:rPr>
        <w:t> </w:t>
      </w:r>
    </w:p>
    <w:p w14:paraId="280D2B47">
      <w:pPr>
        <w:pStyle w:val="11"/>
        <w:spacing w:beforeAutospacing="0" w:afterAutospacing="0" w:line="0" w:lineRule="atLeast"/>
        <w:ind w:firstLine="480"/>
        <w:jc w:val="both"/>
        <w:rPr>
          <w:color w:val="auto"/>
          <w:highlight w:val="none"/>
          <w:shd w:val="clear" w:color="auto" w:fill="auto"/>
        </w:rPr>
      </w:pPr>
    </w:p>
    <w:p w14:paraId="3DFC843E">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1A81051">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7CFF3DC">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7929C8F">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A78CB21">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7D955A8C">
      <w:pPr>
        <w:pStyle w:val="11"/>
        <w:spacing w:beforeAutospacing="0" w:afterAutospacing="0" w:line="0" w:lineRule="atLeast"/>
        <w:ind w:firstLine="480"/>
        <w:jc w:val="both"/>
        <w:rPr>
          <w:color w:val="auto"/>
          <w:highlight w:val="none"/>
          <w:shd w:val="clear" w:color="auto" w:fill="auto"/>
        </w:rPr>
      </w:pPr>
    </w:p>
    <w:p w14:paraId="33FC138C">
      <w:pPr>
        <w:pStyle w:val="11"/>
        <w:spacing w:beforeAutospacing="0" w:afterAutospacing="0" w:line="0" w:lineRule="atLeast"/>
        <w:ind w:firstLine="480"/>
        <w:jc w:val="both"/>
        <w:rPr>
          <w:color w:val="auto"/>
          <w:highlight w:val="none"/>
          <w:shd w:val="clear" w:color="auto" w:fill="auto"/>
        </w:rPr>
      </w:pPr>
    </w:p>
    <w:p w14:paraId="7BE3A011">
      <w:pPr>
        <w:pStyle w:val="11"/>
        <w:spacing w:beforeAutospacing="0" w:afterAutospacing="0" w:line="0" w:lineRule="atLeast"/>
        <w:ind w:firstLine="480"/>
        <w:jc w:val="both"/>
        <w:rPr>
          <w:color w:val="auto"/>
          <w:highlight w:val="none"/>
          <w:shd w:val="clear" w:color="auto" w:fill="auto"/>
        </w:rPr>
      </w:pPr>
    </w:p>
    <w:p w14:paraId="14B369F7">
      <w:pPr>
        <w:pStyle w:val="11"/>
        <w:spacing w:beforeAutospacing="0" w:afterAutospacing="0" w:line="0" w:lineRule="atLeast"/>
        <w:ind w:firstLine="480"/>
        <w:jc w:val="both"/>
        <w:rPr>
          <w:color w:val="auto"/>
          <w:highlight w:val="none"/>
          <w:shd w:val="clear" w:color="auto" w:fill="auto"/>
        </w:rPr>
      </w:pPr>
    </w:p>
    <w:p w14:paraId="53C305AD">
      <w:pPr>
        <w:pStyle w:val="11"/>
        <w:spacing w:beforeAutospacing="0" w:afterAutospacing="0" w:line="0" w:lineRule="atLeast"/>
        <w:ind w:firstLine="480"/>
        <w:jc w:val="both"/>
        <w:rPr>
          <w:color w:val="auto"/>
          <w:highlight w:val="none"/>
          <w:shd w:val="clear" w:color="auto" w:fill="auto"/>
        </w:rPr>
      </w:pPr>
    </w:p>
    <w:p w14:paraId="0D2F7B6E">
      <w:pPr>
        <w:pStyle w:val="11"/>
        <w:spacing w:beforeAutospacing="0" w:afterAutospacing="0" w:line="0" w:lineRule="atLeast"/>
        <w:ind w:firstLine="480"/>
        <w:jc w:val="both"/>
        <w:rPr>
          <w:color w:val="auto"/>
          <w:highlight w:val="none"/>
          <w:shd w:val="clear" w:color="auto" w:fill="auto"/>
        </w:rPr>
      </w:pPr>
    </w:p>
    <w:p w14:paraId="796F13C2">
      <w:pPr>
        <w:pStyle w:val="11"/>
        <w:spacing w:beforeAutospacing="0" w:afterAutospacing="0" w:line="0" w:lineRule="atLeast"/>
        <w:ind w:firstLine="480"/>
        <w:jc w:val="both"/>
        <w:rPr>
          <w:color w:val="auto"/>
          <w:highlight w:val="none"/>
          <w:shd w:val="clear" w:color="auto" w:fill="auto"/>
        </w:rPr>
      </w:pPr>
    </w:p>
    <w:p w14:paraId="28C27B9A">
      <w:pPr>
        <w:pStyle w:val="11"/>
        <w:spacing w:beforeAutospacing="0" w:afterAutospacing="0" w:line="0" w:lineRule="atLeast"/>
        <w:ind w:firstLine="480"/>
        <w:jc w:val="both"/>
        <w:rPr>
          <w:color w:val="auto"/>
          <w:highlight w:val="none"/>
          <w:shd w:val="clear" w:color="auto" w:fill="auto"/>
        </w:rPr>
      </w:pPr>
    </w:p>
    <w:p w14:paraId="0123B106">
      <w:pPr>
        <w:pStyle w:val="11"/>
        <w:spacing w:beforeAutospacing="0" w:afterAutospacing="0" w:line="0" w:lineRule="atLeast"/>
        <w:ind w:firstLine="480"/>
        <w:jc w:val="both"/>
        <w:rPr>
          <w:color w:val="auto"/>
          <w:highlight w:val="none"/>
          <w:shd w:val="clear" w:color="auto" w:fill="auto"/>
        </w:rPr>
      </w:pPr>
    </w:p>
    <w:p w14:paraId="65270ECF">
      <w:pPr>
        <w:pStyle w:val="11"/>
        <w:spacing w:beforeAutospacing="0" w:afterAutospacing="0" w:line="0" w:lineRule="atLeast"/>
        <w:ind w:firstLine="480"/>
        <w:jc w:val="both"/>
        <w:rPr>
          <w:color w:val="auto"/>
          <w:highlight w:val="none"/>
          <w:shd w:val="clear" w:color="auto" w:fill="auto"/>
        </w:rPr>
      </w:pPr>
    </w:p>
    <w:p w14:paraId="6C58C84B">
      <w:pPr>
        <w:pStyle w:val="11"/>
        <w:spacing w:beforeAutospacing="0" w:afterAutospacing="0" w:line="0" w:lineRule="atLeast"/>
        <w:ind w:firstLine="480"/>
        <w:jc w:val="both"/>
        <w:rPr>
          <w:color w:val="auto"/>
          <w:highlight w:val="none"/>
          <w:shd w:val="clear" w:color="auto" w:fill="auto"/>
        </w:rPr>
      </w:pPr>
    </w:p>
    <w:p w14:paraId="39F38265">
      <w:pPr>
        <w:pStyle w:val="11"/>
        <w:spacing w:beforeAutospacing="0" w:afterAutospacing="0" w:line="0" w:lineRule="atLeast"/>
        <w:ind w:firstLine="480"/>
        <w:jc w:val="both"/>
        <w:rPr>
          <w:color w:val="auto"/>
          <w:highlight w:val="none"/>
          <w:shd w:val="clear" w:color="auto" w:fill="auto"/>
        </w:rPr>
      </w:pPr>
    </w:p>
    <w:p w14:paraId="020CAD59">
      <w:pPr>
        <w:pStyle w:val="11"/>
        <w:spacing w:beforeAutospacing="0" w:afterAutospacing="0" w:line="0" w:lineRule="atLeast"/>
        <w:ind w:firstLine="480"/>
        <w:jc w:val="both"/>
        <w:rPr>
          <w:color w:val="auto"/>
          <w:highlight w:val="none"/>
          <w:shd w:val="clear" w:color="auto" w:fill="auto"/>
        </w:rPr>
      </w:pPr>
    </w:p>
    <w:p w14:paraId="2C858760">
      <w:pPr>
        <w:pStyle w:val="11"/>
        <w:spacing w:beforeAutospacing="0" w:afterAutospacing="0" w:line="0" w:lineRule="atLeast"/>
        <w:ind w:firstLine="480"/>
        <w:jc w:val="both"/>
        <w:rPr>
          <w:color w:val="auto"/>
          <w:highlight w:val="none"/>
          <w:shd w:val="clear" w:color="auto" w:fill="auto"/>
        </w:rPr>
      </w:pPr>
    </w:p>
    <w:p w14:paraId="397C6FEB">
      <w:pPr>
        <w:pStyle w:val="11"/>
        <w:spacing w:beforeAutospacing="0" w:afterAutospacing="0" w:line="0" w:lineRule="atLeast"/>
        <w:ind w:firstLine="480"/>
        <w:jc w:val="both"/>
        <w:rPr>
          <w:color w:val="auto"/>
          <w:highlight w:val="none"/>
          <w:shd w:val="clear" w:color="auto" w:fill="auto"/>
        </w:rPr>
      </w:pPr>
    </w:p>
    <w:p w14:paraId="0718FDFA">
      <w:pPr>
        <w:pStyle w:val="11"/>
        <w:spacing w:beforeAutospacing="0" w:afterAutospacing="0" w:line="0" w:lineRule="atLeast"/>
        <w:ind w:firstLine="480"/>
        <w:jc w:val="both"/>
        <w:rPr>
          <w:color w:val="auto"/>
          <w:highlight w:val="none"/>
          <w:shd w:val="clear" w:color="auto" w:fill="auto"/>
        </w:rPr>
      </w:pPr>
    </w:p>
    <w:p w14:paraId="74EFD957">
      <w:pPr>
        <w:pStyle w:val="11"/>
        <w:spacing w:beforeAutospacing="0" w:afterAutospacing="0"/>
        <w:jc w:val="both"/>
        <w:rPr>
          <w:color w:val="auto"/>
          <w:highlight w:val="none"/>
          <w:shd w:val="clear" w:color="auto" w:fill="auto"/>
        </w:rPr>
      </w:pPr>
      <w:r>
        <w:rPr>
          <w:color w:val="auto"/>
          <w:highlight w:val="none"/>
          <w:shd w:val="clear" w:color="auto" w:fill="auto"/>
        </w:rPr>
        <w:t> </w:t>
      </w:r>
    </w:p>
    <w:p w14:paraId="48D0F391">
      <w:pPr>
        <w:pStyle w:val="11"/>
        <w:spacing w:beforeAutospacing="0" w:afterAutospacing="0"/>
        <w:jc w:val="both"/>
        <w:rPr>
          <w:color w:val="auto"/>
          <w:highlight w:val="none"/>
          <w:shd w:val="clear" w:color="auto" w:fill="auto"/>
        </w:rPr>
      </w:pPr>
      <w:r>
        <w:rPr>
          <w:color w:val="auto"/>
          <w:highlight w:val="none"/>
          <w:shd w:val="clear" w:color="auto" w:fill="auto"/>
        </w:rPr>
        <w:t> </w:t>
      </w:r>
    </w:p>
    <w:p w14:paraId="0A7DF962">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6C1FB9BB">
      <w:pPr>
        <w:pStyle w:val="11"/>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5633A11">
      <w:pPr>
        <w:pStyle w:val="11"/>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二、上一年度的财务状况报</w:t>
      </w:r>
      <w:r>
        <w:rPr>
          <w:rFonts w:hint="eastAsia" w:ascii="黑体" w:hAnsi="宋体" w:eastAsia="黑体" w:cs="黑体"/>
          <w:i/>
          <w:color w:val="auto"/>
          <w:sz w:val="32"/>
          <w:szCs w:val="32"/>
          <w:highlight w:val="none"/>
          <w:u w:val="single"/>
          <w:shd w:val="clear" w:color="auto" w:fill="auto"/>
          <w:lang w:val="en-US" w:eastAsia="zh-CN"/>
        </w:rPr>
        <w:t>表</w:t>
      </w:r>
    </w:p>
    <w:p w14:paraId="1FEDCFDE">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（至少提供资产负债表、利润表、现金流量表，协商供应商成立不满一年无需提供）</w:t>
      </w:r>
    </w:p>
    <w:p w14:paraId="70746FB8">
      <w:pPr>
        <w:pStyle w:val="11"/>
        <w:spacing w:beforeAutospacing="0" w:afterAutospacing="0"/>
        <w:jc w:val="both"/>
        <w:rPr>
          <w:color w:val="auto"/>
          <w:highlight w:val="none"/>
          <w:shd w:val="clear" w:color="auto" w:fill="auto"/>
        </w:rPr>
      </w:pPr>
      <w:r>
        <w:rPr>
          <w:color w:val="auto"/>
          <w:highlight w:val="none"/>
          <w:shd w:val="clear" w:color="auto" w:fill="auto"/>
        </w:rPr>
        <w:t> </w:t>
      </w:r>
    </w:p>
    <w:p w14:paraId="15163BAB">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05361B29">
      <w:pPr>
        <w:pStyle w:val="1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35036A43">
      <w:pPr>
        <w:pStyle w:val="11"/>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40D44093">
      <w:pPr>
        <w:pStyle w:val="11"/>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3A59290E">
      <w:pPr>
        <w:pStyle w:val="11"/>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2EF7B5E3">
      <w:pPr>
        <w:pStyle w:val="11"/>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3207958E">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 </w:t>
      </w:r>
    </w:p>
    <w:p w14:paraId="2EE3E3C5">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38CFE9DC">
      <w:pPr>
        <w:pStyle w:val="11"/>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52428515">
      <w:pPr>
        <w:pStyle w:val="11"/>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09B6BC46">
      <w:pPr>
        <w:pStyle w:val="11"/>
        <w:spacing w:beforeAutospacing="0" w:afterAutospacing="0"/>
        <w:jc w:val="both"/>
        <w:rPr>
          <w:color w:val="auto"/>
          <w:highlight w:val="none"/>
          <w:shd w:val="clear" w:color="auto" w:fill="auto"/>
        </w:rPr>
      </w:pPr>
      <w:r>
        <w:rPr>
          <w:color w:val="auto"/>
          <w:highlight w:val="none"/>
          <w:shd w:val="clear" w:color="auto" w:fill="auto"/>
        </w:rPr>
        <w:t> </w:t>
      </w:r>
    </w:p>
    <w:p w14:paraId="3A9909F6">
      <w:pPr>
        <w:pStyle w:val="11"/>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55BF7A10">
      <w:pPr>
        <w:pStyle w:val="11"/>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32C3D819">
      <w:pPr>
        <w:pStyle w:val="11"/>
        <w:spacing w:beforeAutospacing="0" w:afterAutospacing="0"/>
        <w:jc w:val="center"/>
        <w:rPr>
          <w:rFonts w:ascii="黑体" w:hAnsi="宋体" w:eastAsia="黑体" w:cs="黑体"/>
          <w:i/>
          <w:color w:val="auto"/>
          <w:sz w:val="32"/>
          <w:szCs w:val="32"/>
          <w:highlight w:val="none"/>
          <w:u w:val="single"/>
          <w:shd w:val="clear" w:color="auto" w:fill="auto"/>
        </w:rPr>
      </w:pPr>
      <w:bookmarkStart w:id="167" w:name="_Toc120614284"/>
    </w:p>
    <w:p w14:paraId="06370E4E">
      <w:pPr>
        <w:pStyle w:val="11"/>
        <w:spacing w:beforeAutospacing="0" w:afterAutospacing="0"/>
        <w:jc w:val="center"/>
        <w:rPr>
          <w:rFonts w:ascii="黑体" w:hAnsi="宋体" w:eastAsia="黑体" w:cs="黑体"/>
          <w:i/>
          <w:color w:val="auto"/>
          <w:sz w:val="32"/>
          <w:szCs w:val="32"/>
          <w:highlight w:val="none"/>
          <w:u w:val="single"/>
          <w:shd w:val="clear" w:color="auto" w:fill="auto"/>
        </w:rPr>
      </w:pPr>
    </w:p>
    <w:p w14:paraId="5A64D353">
      <w:pPr>
        <w:pStyle w:val="11"/>
        <w:spacing w:beforeAutospacing="0" w:afterAutospacing="0"/>
        <w:jc w:val="center"/>
        <w:rPr>
          <w:rFonts w:ascii="黑体" w:hAnsi="宋体" w:eastAsia="黑体" w:cs="黑体"/>
          <w:i/>
          <w:color w:val="auto"/>
          <w:sz w:val="32"/>
          <w:szCs w:val="32"/>
          <w:highlight w:val="none"/>
          <w:u w:val="single"/>
          <w:shd w:val="clear" w:color="auto" w:fill="auto"/>
        </w:rPr>
      </w:pPr>
    </w:p>
    <w:p w14:paraId="1A6BB0B3">
      <w:pPr>
        <w:pStyle w:val="11"/>
        <w:spacing w:beforeAutospacing="0" w:afterAutospacing="0"/>
        <w:jc w:val="center"/>
        <w:rPr>
          <w:rFonts w:ascii="黑体" w:hAnsi="宋体" w:eastAsia="黑体" w:cs="黑体"/>
          <w:i/>
          <w:color w:val="auto"/>
          <w:sz w:val="32"/>
          <w:szCs w:val="32"/>
          <w:highlight w:val="none"/>
          <w:u w:val="single"/>
          <w:shd w:val="clear" w:color="auto" w:fill="auto"/>
        </w:rPr>
      </w:pPr>
    </w:p>
    <w:p w14:paraId="1B485EB9">
      <w:pPr>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br w:type="page"/>
      </w:r>
      <w:r>
        <w:rPr>
          <w:rFonts w:hint="eastAsia" w:ascii="黑体" w:hAnsi="宋体" w:eastAsia="黑体" w:cs="黑体"/>
          <w:i/>
          <w:color w:val="auto"/>
          <w:sz w:val="32"/>
          <w:szCs w:val="32"/>
          <w:highlight w:val="none"/>
          <w:u w:val="single"/>
          <w:shd w:val="clear" w:color="auto" w:fill="auto"/>
        </w:rPr>
        <w:t>七、法人授权书</w:t>
      </w:r>
    </w:p>
    <w:p w14:paraId="46B2812B">
      <w:pPr>
        <w:pStyle w:val="11"/>
        <w:tabs>
          <w:tab w:val="left" w:pos="360"/>
        </w:tabs>
        <w:spacing w:beforeAutospacing="0" w:afterAutospacing="0"/>
        <w:ind w:firstLine="480"/>
        <w:jc w:val="both"/>
        <w:rPr>
          <w:rFonts w:ascii="Times New Roman" w:hAnsi="Times New Roman"/>
          <w:color w:val="auto"/>
          <w:highlight w:val="none"/>
          <w:shd w:val="clear" w:color="auto" w:fill="auto"/>
        </w:rPr>
      </w:pPr>
    </w:p>
    <w:p w14:paraId="50F47055">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3CE5C6DA">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0B42111E">
      <w:pPr>
        <w:pStyle w:val="1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2E652ACF">
      <w:pPr>
        <w:pStyle w:val="11"/>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754CAB65">
      <w:pPr>
        <w:pStyle w:val="11"/>
        <w:tabs>
          <w:tab w:val="left" w:pos="360"/>
        </w:tabs>
        <w:spacing w:beforeAutospacing="0" w:afterAutospacing="0"/>
        <w:ind w:firstLine="480" w:firstLineChars="200"/>
        <w:jc w:val="both"/>
        <w:rPr>
          <w:color w:val="auto"/>
          <w:highlight w:val="non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11A1F780">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xml:space="preserve">                                         </w:t>
      </w:r>
    </w:p>
    <w:p w14:paraId="4626E4F2">
      <w:pPr>
        <w:pStyle w:val="11"/>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日期：</w:t>
      </w:r>
      <w:bookmarkStart w:id="168" w:name="_Hlt26671380"/>
      <w:bookmarkStart w:id="169" w:name="_格式3__银行出具的资信证明"/>
      <w:bookmarkStart w:id="170" w:name="_Hlt26955070"/>
      <w:r>
        <w:rPr>
          <w:rFonts w:ascii="Times New Roman" w:hAnsi="Times New Roman"/>
          <w:color w:val="auto"/>
          <w:highlight w:val="none"/>
          <w:u w:val="single"/>
          <w:shd w:val="clear" w:color="auto" w:fill="auto"/>
        </w:rPr>
        <w:t xml:space="preserve">                                         </w:t>
      </w:r>
    </w:p>
    <w:p w14:paraId="17A5C0FE">
      <w:pPr>
        <w:pStyle w:val="1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416CDA70">
      <w:pPr>
        <w:pStyle w:val="11"/>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F38E6A0">
      <w:pPr>
        <w:pStyle w:val="11"/>
        <w:spacing w:beforeAutospacing="0" w:afterAutospacing="0"/>
        <w:ind w:firstLine="420"/>
        <w:jc w:val="both"/>
        <w:rPr>
          <w:color w:val="auto"/>
          <w:highlight w:val="none"/>
          <w:shd w:val="clear" w:color="auto" w:fill="auto"/>
        </w:rPr>
      </w:pPr>
      <w:r>
        <w:rPr>
          <w:color w:val="auto"/>
          <w:highlight w:val="none"/>
          <w:shd w:val="clear" w:color="auto" w:fill="auto"/>
        </w:rPr>
        <w:t> </w:t>
      </w:r>
    </w:p>
    <w:p w14:paraId="7CB4E8F3">
      <w:pPr>
        <w:pStyle w:val="11"/>
        <w:spacing w:beforeAutospacing="0" w:afterAutospacing="0"/>
        <w:jc w:val="both"/>
        <w:rPr>
          <w:color w:val="auto"/>
          <w:highlight w:val="none"/>
          <w:shd w:val="clear" w:color="auto" w:fill="auto"/>
        </w:rPr>
      </w:pPr>
      <w:r>
        <w:rPr>
          <w:color w:val="auto"/>
          <w:highlight w:val="none"/>
          <w:shd w:val="clear" w:color="auto" w:fill="auto"/>
        </w:rPr>
        <w:t> </w:t>
      </w:r>
    </w:p>
    <w:p w14:paraId="64F4B9F4">
      <w:pPr>
        <w:pStyle w:val="11"/>
        <w:keepNext/>
        <w:keepLines/>
        <w:spacing w:before="260" w:beforeAutospacing="0" w:after="260" w:afterAutospacing="0" w:line="415" w:lineRule="auto"/>
        <w:jc w:val="center"/>
        <w:rPr>
          <w:color w:val="auto"/>
          <w:highlight w:val="none"/>
          <w:shd w:val="clear" w:color="auto" w:fill="auto"/>
        </w:rPr>
      </w:pPr>
      <w:r>
        <w:rPr>
          <w:rFonts w:hint="eastAsia" w:ascii="宋体" w:hAnsi="宋体" w:eastAsia="宋体" w:cs="宋体"/>
          <w:b/>
          <w:color w:val="auto"/>
          <w:highlight w:val="none"/>
          <w:shd w:val="clear" w:color="auto" w:fill="auto"/>
        </w:rPr>
        <w:br w:type="page"/>
      </w:r>
      <w:r>
        <w:rPr>
          <w:rFonts w:hint="eastAsia" w:ascii="黑体" w:hAnsi="宋体" w:eastAsia="黑体" w:cs="黑体"/>
          <w:b/>
          <w:i/>
          <w:color w:val="auto"/>
          <w:sz w:val="32"/>
          <w:szCs w:val="32"/>
          <w:highlight w:val="none"/>
          <w:u w:val="single"/>
          <w:shd w:val="clear" w:color="auto" w:fill="auto"/>
        </w:rPr>
        <w:t>八、单一来源响应函</w:t>
      </w:r>
    </w:p>
    <w:p w14:paraId="0754FABC">
      <w:pPr>
        <w:pStyle w:val="11"/>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eastAsia="zh-CN"/>
        </w:rPr>
        <w:t>江苏鼎一建设项目管理有限公司</w:t>
      </w:r>
    </w:p>
    <w:p w14:paraId="4DDD7305">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w:t>
      </w:r>
      <w:r>
        <w:rPr>
          <w:rFonts w:hint="eastAsia" w:ascii="宋体" w:hAnsi="宋体" w:eastAsia="宋体" w:cs="宋体"/>
          <w:color w:val="auto"/>
          <w:highlight w:val="none"/>
          <w:shd w:val="clear" w:color="auto" w:fill="auto"/>
          <w:lang w:eastAsia="zh-CN"/>
        </w:rPr>
        <w:t>JSZC-320921-</w:t>
      </w:r>
      <w:r>
        <w:rPr>
          <w:rFonts w:hint="eastAsia" w:ascii="宋体" w:hAnsi="宋体" w:eastAsia="宋体" w:cs="宋体"/>
          <w:color w:val="auto"/>
          <w:highlight w:val="none"/>
          <w:shd w:val="clear" w:color="auto" w:fill="auto"/>
        </w:rPr>
        <w:t>***</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号采购文件，正式授权下述签字人______(姓名)代表我方______________（供应商的名称），全权处理本次项目单一来源采购的有关事宜。</w:t>
      </w:r>
    </w:p>
    <w:p w14:paraId="750B62A6">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51A9882D">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1.按采购文件规定的各项要求，向买方提供所需货物、服务（包含与货物相关的服务及与服务相关的货物）。</w:t>
      </w:r>
    </w:p>
    <w:p w14:paraId="32CF4307">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2.我们已详细审核全部采购文件及其有效补充文件，我们知道必须放弃提出含糊不清或误解问题的权利。</w:t>
      </w:r>
    </w:p>
    <w:p w14:paraId="5D760BC9">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3.我们同意从规定的单一来源协商时间起遵循本响应文件，并在规定的单一来源协商有效期期满之前均具有约束力。</w:t>
      </w:r>
    </w:p>
    <w:p w14:paraId="00ADFBD0">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4.同意向贵方提供贵方可能另外要求的与单一来源采购有关的任何证据或资料，并保证我方已提供和将要提供的文件是真实的、准确的。</w:t>
      </w:r>
    </w:p>
    <w:p w14:paraId="0A1B9346">
      <w:pPr>
        <w:pStyle w:val="11"/>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5.一旦我方成交,我方将根据采购文件的规定，严格履行合同的责任和义务,并保证在采购文件规定的时间完成项目，交付买方验收、使用。</w:t>
      </w:r>
    </w:p>
    <w:p w14:paraId="06C6999B">
      <w:pPr>
        <w:pStyle w:val="11"/>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6.我方与本次单一来源采购有关的正式通讯地址为：</w:t>
      </w:r>
    </w:p>
    <w:p w14:paraId="7114CE10">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1007A9C1">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279822A8">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3159E062">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395440CD">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323C550E">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35F146AA">
      <w:pPr>
        <w:pStyle w:val="11"/>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493D6EB5">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70767FF">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F7B56F6">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9E2430A">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13A93C8">
      <w:pPr>
        <w:pStyle w:val="11"/>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130516D">
      <w:pPr>
        <w:pStyle w:val="11"/>
        <w:spacing w:beforeAutospacing="0" w:afterAutospacing="0" w:line="0" w:lineRule="atLeast"/>
        <w:ind w:firstLine="240"/>
        <w:jc w:val="center"/>
        <w:rPr>
          <w:color w:val="auto"/>
          <w:highlight w:val="none"/>
          <w:shd w:val="clear" w:color="auto" w:fill="auto"/>
        </w:rPr>
      </w:pPr>
    </w:p>
    <w:p w14:paraId="68356722">
      <w:pPr>
        <w:pStyle w:val="11"/>
        <w:spacing w:beforeAutospacing="0" w:afterAutospacing="0" w:line="0" w:lineRule="atLeast"/>
        <w:ind w:firstLine="240"/>
        <w:jc w:val="center"/>
        <w:rPr>
          <w:color w:val="auto"/>
          <w:highlight w:val="none"/>
          <w:shd w:val="clear" w:color="auto" w:fill="auto"/>
        </w:rPr>
      </w:pPr>
    </w:p>
    <w:p w14:paraId="2351A6CF">
      <w:pPr>
        <w:pStyle w:val="11"/>
        <w:spacing w:beforeAutospacing="0" w:afterAutospacing="0" w:line="0" w:lineRule="atLeast"/>
        <w:ind w:firstLine="240"/>
        <w:jc w:val="center"/>
        <w:rPr>
          <w:color w:val="auto"/>
          <w:highlight w:val="none"/>
          <w:shd w:val="clear" w:color="auto" w:fill="auto"/>
        </w:rPr>
      </w:pPr>
    </w:p>
    <w:p w14:paraId="6BEB82FD">
      <w:pPr>
        <w:pStyle w:val="11"/>
        <w:spacing w:beforeAutospacing="0" w:afterAutospacing="0" w:line="0" w:lineRule="atLeast"/>
        <w:ind w:firstLine="240"/>
        <w:jc w:val="center"/>
        <w:rPr>
          <w:color w:val="auto"/>
          <w:highlight w:val="none"/>
          <w:shd w:val="clear" w:color="auto" w:fill="auto"/>
        </w:rPr>
      </w:pPr>
    </w:p>
    <w:p w14:paraId="5190670B">
      <w:pPr>
        <w:pStyle w:val="11"/>
        <w:spacing w:beforeAutospacing="0" w:afterAutospacing="0" w:line="0" w:lineRule="atLeast"/>
        <w:ind w:firstLine="240"/>
        <w:jc w:val="center"/>
        <w:rPr>
          <w:color w:val="auto"/>
          <w:highlight w:val="none"/>
          <w:shd w:val="clear" w:color="auto" w:fill="auto"/>
        </w:rPr>
      </w:pPr>
    </w:p>
    <w:p w14:paraId="16F644C0">
      <w:pPr>
        <w:pStyle w:val="11"/>
        <w:spacing w:beforeAutospacing="0" w:afterAutospacing="0" w:line="0" w:lineRule="atLeast"/>
        <w:ind w:firstLine="240"/>
        <w:jc w:val="center"/>
        <w:rPr>
          <w:color w:val="auto"/>
          <w:highlight w:val="none"/>
          <w:shd w:val="clear" w:color="auto" w:fill="auto"/>
        </w:rPr>
      </w:pPr>
    </w:p>
    <w:p w14:paraId="0A84A71E">
      <w:pPr>
        <w:pStyle w:val="11"/>
        <w:spacing w:beforeAutospacing="0" w:afterAutospacing="0" w:line="0" w:lineRule="atLeast"/>
        <w:ind w:firstLine="240"/>
        <w:jc w:val="center"/>
        <w:rPr>
          <w:color w:val="auto"/>
          <w:highlight w:val="none"/>
          <w:shd w:val="clear" w:color="auto" w:fill="auto"/>
        </w:rPr>
      </w:pPr>
    </w:p>
    <w:p w14:paraId="7837EC39">
      <w:pPr>
        <w:pStyle w:val="11"/>
        <w:spacing w:beforeAutospacing="0" w:afterAutospacing="0" w:line="0" w:lineRule="atLeast"/>
        <w:ind w:firstLine="240"/>
        <w:jc w:val="center"/>
        <w:rPr>
          <w:color w:val="auto"/>
          <w:highlight w:val="none"/>
          <w:shd w:val="clear" w:color="auto" w:fill="auto"/>
        </w:rPr>
      </w:pPr>
    </w:p>
    <w:p w14:paraId="2B75EBBE">
      <w:pPr>
        <w:pStyle w:val="11"/>
        <w:spacing w:beforeAutospacing="0" w:afterAutospacing="0" w:line="0" w:lineRule="atLeast"/>
        <w:ind w:firstLine="240"/>
        <w:jc w:val="center"/>
        <w:rPr>
          <w:color w:val="auto"/>
          <w:highlight w:val="none"/>
          <w:shd w:val="clear" w:color="auto" w:fill="auto"/>
        </w:rPr>
      </w:pPr>
    </w:p>
    <w:p w14:paraId="3F2B7780">
      <w:pPr>
        <w:pStyle w:val="11"/>
        <w:spacing w:beforeAutospacing="0" w:afterAutospacing="0" w:line="0" w:lineRule="atLeast"/>
        <w:ind w:firstLine="240"/>
        <w:jc w:val="center"/>
        <w:rPr>
          <w:color w:val="auto"/>
          <w:highlight w:val="none"/>
          <w:shd w:val="clear" w:color="auto" w:fill="auto"/>
        </w:rPr>
      </w:pPr>
    </w:p>
    <w:p w14:paraId="3A6ECA03">
      <w:pPr>
        <w:pStyle w:val="11"/>
        <w:spacing w:beforeAutospacing="0" w:afterAutospacing="0" w:line="0" w:lineRule="atLeast"/>
        <w:ind w:firstLine="240"/>
        <w:jc w:val="center"/>
        <w:rPr>
          <w:color w:val="auto"/>
          <w:highlight w:val="none"/>
          <w:shd w:val="clear" w:color="auto" w:fill="auto"/>
        </w:rPr>
      </w:pPr>
    </w:p>
    <w:p w14:paraId="38578DDA">
      <w:pPr>
        <w:pStyle w:val="11"/>
        <w:spacing w:beforeAutospacing="0" w:afterAutospacing="0" w:line="0" w:lineRule="atLeast"/>
        <w:ind w:firstLine="240"/>
        <w:jc w:val="center"/>
        <w:rPr>
          <w:color w:val="auto"/>
          <w:highlight w:val="none"/>
          <w:shd w:val="clear" w:color="auto" w:fill="auto"/>
        </w:rPr>
      </w:pPr>
    </w:p>
    <w:p w14:paraId="110C0E16">
      <w:pPr>
        <w:pStyle w:val="11"/>
        <w:spacing w:beforeAutospacing="0" w:afterAutospacing="0" w:line="0" w:lineRule="atLeast"/>
        <w:ind w:firstLine="321"/>
        <w:jc w:val="center"/>
        <w:rPr>
          <w:color w:val="auto"/>
          <w:highlight w:val="none"/>
          <w:shd w:val="clear" w:color="auto" w:fill="auto"/>
        </w:rPr>
      </w:pPr>
      <w:r>
        <w:rPr>
          <w:color w:val="auto"/>
          <w:highlight w:val="none"/>
          <w:shd w:val="clear" w:color="auto" w:fill="auto"/>
        </w:rPr>
        <w:t> </w:t>
      </w:r>
    </w:p>
    <w:p w14:paraId="5BE65643">
      <w:pPr>
        <w:pStyle w:val="11"/>
        <w:spacing w:beforeAutospacing="0" w:afterAutospacing="0"/>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lang w:val="en-US" w:eastAsia="zh-CN"/>
        </w:rPr>
        <w:br w:type="page"/>
      </w:r>
      <w:r>
        <w:rPr>
          <w:rFonts w:hint="eastAsia" w:ascii="黑体" w:hAnsi="宋体" w:eastAsia="黑体" w:cs="黑体"/>
          <w:b/>
          <w:color w:val="auto"/>
          <w:sz w:val="32"/>
          <w:szCs w:val="32"/>
          <w:highlight w:val="none"/>
          <w:shd w:val="clear" w:color="auto" w:fill="auto"/>
          <w:lang w:val="en-US" w:eastAsia="zh-CN"/>
        </w:rPr>
        <w:t>九</w:t>
      </w:r>
      <w:r>
        <w:rPr>
          <w:rFonts w:hint="eastAsia" w:ascii="黑体" w:hAnsi="宋体" w:eastAsia="黑体" w:cs="黑体"/>
          <w:b/>
          <w:color w:val="auto"/>
          <w:sz w:val="32"/>
          <w:szCs w:val="32"/>
          <w:highlight w:val="none"/>
          <w:shd w:val="clear" w:color="auto" w:fill="auto"/>
        </w:rPr>
        <w:t>、分项报价表（服务类）</w:t>
      </w:r>
    </w:p>
    <w:tbl>
      <w:tblPr>
        <w:tblStyle w:val="13"/>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2D79BF3D">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383017">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BFEE">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DE91">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82CA">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710E">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3BA4">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75FE0">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6</w:t>
            </w:r>
          </w:p>
        </w:tc>
      </w:tr>
      <w:tr w14:paraId="4188400A">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96979">
            <w:pPr>
              <w:rPr>
                <w:rFonts w:ascii="宋体"/>
                <w:color w:val="auto"/>
                <w:sz w:val="24"/>
                <w:highlight w:val="none"/>
                <w:shd w:val="clear" w:color="auto" w:fill="auto"/>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EFA3">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EFAC">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9BD98">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D46A">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23E8">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w:t>
            </w:r>
          </w:p>
          <w:p w14:paraId="6D069718">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3D24">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分项</w:t>
            </w:r>
          </w:p>
          <w:p w14:paraId="56252699">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总价</w:t>
            </w:r>
          </w:p>
        </w:tc>
      </w:tr>
      <w:tr w14:paraId="2C4EA49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B343">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2E366">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AAE5">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87AE">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7DE5">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73A74">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0136">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73C8880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111B">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8D20A">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0B37">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8BCB">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CE8A8">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7298">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EB26">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2A4C46F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62A0">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548D">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9A9B">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10827">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F6D7">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4186">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EB43">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047558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2D12">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578B">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DA4C">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F2A6">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CD8D">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0023B">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F208">
            <w:pPr>
              <w:pStyle w:val="11"/>
              <w:spacing w:beforeAutospacing="0" w:afterAutospacing="0" w:line="0" w:lineRule="atLeast"/>
              <w:jc w:val="center"/>
              <w:rPr>
                <w:color w:val="auto"/>
                <w:highlight w:val="none"/>
                <w:shd w:val="clear" w:color="auto" w:fill="auto"/>
              </w:rPr>
            </w:pPr>
            <w:r>
              <w:rPr>
                <w:color w:val="auto"/>
                <w:highlight w:val="none"/>
                <w:shd w:val="clear" w:color="auto" w:fill="auto"/>
              </w:rPr>
              <w:t> </w:t>
            </w:r>
          </w:p>
        </w:tc>
      </w:tr>
      <w:tr w14:paraId="4E8C2F75">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23650B">
            <w:pPr>
              <w:pStyle w:val="11"/>
              <w:spacing w:beforeAutospacing="0" w:afterAutospacing="0" w:line="0" w:lineRule="atLeast"/>
              <w:jc w:val="center"/>
              <w:rPr>
                <w:color w:val="auto"/>
                <w:highlight w:val="none"/>
                <w:shd w:val="clear" w:color="auto" w:fill="auto"/>
              </w:rPr>
            </w:pPr>
            <w:r>
              <w:rPr>
                <w:rFonts w:hint="eastAsia" w:ascii="宋体" w:hAnsi="宋体" w:eastAsia="宋体" w:cs="宋体"/>
                <w:color w:val="auto"/>
                <w:highlight w:val="none"/>
                <w:shd w:val="clear" w:color="auto" w:fill="auto"/>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33E5">
            <w:pPr>
              <w:pStyle w:val="11"/>
              <w:spacing w:beforeAutospacing="0" w:afterAutospacing="0" w:line="0" w:lineRule="atLeast"/>
              <w:jc w:val="both"/>
              <w:rPr>
                <w:color w:val="auto"/>
                <w:highlight w:val="none"/>
                <w:shd w:val="clear" w:color="auto" w:fill="auto"/>
              </w:rPr>
            </w:pPr>
            <w:r>
              <w:rPr>
                <w:color w:val="auto"/>
                <w:highlight w:val="none"/>
                <w:shd w:val="clear" w:color="auto" w:fill="auto"/>
              </w:rPr>
              <w:t> </w:t>
            </w:r>
          </w:p>
        </w:tc>
      </w:tr>
    </w:tbl>
    <w:p w14:paraId="1245E393">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其他所有</w:t>
      </w:r>
      <w:r>
        <w:rPr>
          <w:rFonts w:hint="eastAsia" w:ascii="宋体" w:hAnsi="宋体" w:eastAsia="宋体" w:cs="宋体"/>
          <w:color w:val="auto"/>
          <w:highlight w:val="none"/>
          <w:shd w:val="clear" w:color="auto" w:fill="auto"/>
        </w:rPr>
        <w:t>费用。</w:t>
      </w:r>
    </w:p>
    <w:p w14:paraId="318AA9B4">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备注：该表仅适用于项目采用货币报价的情形。项目采用折扣率报价的，如需要填写报价明细表的，请项目经办人自行设计表格。招标文件定稿后该备注删除。</w:t>
      </w:r>
    </w:p>
    <w:p w14:paraId="48DC8EED">
      <w:pP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val="en-US" w:eastAsia="zh-CN"/>
        </w:rPr>
        <w:br w:type="page"/>
      </w:r>
    </w:p>
    <w:p w14:paraId="76B37431">
      <w:pPr>
        <w:pStyle w:val="11"/>
        <w:spacing w:beforeAutospacing="0" w:afterAutospacing="0"/>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lang w:val="en-US" w:eastAsia="zh-CN"/>
        </w:rPr>
        <w:t>十</w:t>
      </w:r>
      <w:r>
        <w:rPr>
          <w:rFonts w:hint="eastAsia" w:ascii="宋体" w:hAnsi="宋体" w:eastAsia="宋体" w:cs="宋体"/>
          <w:b/>
          <w:color w:val="auto"/>
          <w:sz w:val="32"/>
          <w:szCs w:val="32"/>
          <w:highlight w:val="none"/>
          <w:shd w:val="clear" w:color="auto" w:fill="auto"/>
        </w:rPr>
        <w:t>、</w:t>
      </w:r>
      <w:r>
        <w:rPr>
          <w:rFonts w:hint="eastAsia" w:ascii="黑体" w:hAnsi="宋体" w:eastAsia="黑体" w:cs="黑体"/>
          <w:b/>
          <w:color w:val="auto"/>
          <w:sz w:val="32"/>
          <w:szCs w:val="32"/>
          <w:highlight w:val="none"/>
          <w:shd w:val="clear" w:color="auto" w:fill="auto"/>
        </w:rPr>
        <w:t>技术要求响应及偏离表（分包号：**）</w:t>
      </w:r>
    </w:p>
    <w:tbl>
      <w:tblPr>
        <w:tblStyle w:val="13"/>
        <w:tblW w:w="8520" w:type="dxa"/>
        <w:tblCellSpacing w:w="0" w:type="dxa"/>
        <w:tblInd w:w="10" w:type="dxa"/>
        <w:tblLayout w:type="fixed"/>
        <w:tblCellMar>
          <w:top w:w="0" w:type="dxa"/>
          <w:left w:w="108" w:type="dxa"/>
          <w:bottom w:w="0" w:type="dxa"/>
          <w:right w:w="108" w:type="dxa"/>
        </w:tblCellMar>
      </w:tblPr>
      <w:tblGrid>
        <w:gridCol w:w="795"/>
        <w:gridCol w:w="2769"/>
        <w:gridCol w:w="2608"/>
        <w:gridCol w:w="1247"/>
        <w:gridCol w:w="1101"/>
      </w:tblGrid>
      <w:tr w14:paraId="28C4C837">
        <w:tblPrEx>
          <w:tblCellMar>
            <w:top w:w="0" w:type="dxa"/>
            <w:left w:w="108" w:type="dxa"/>
            <w:bottom w:w="0" w:type="dxa"/>
            <w:right w:w="108" w:type="dxa"/>
          </w:tblCellMar>
        </w:tblPrEx>
        <w:trPr>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5817C">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ECDD">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FA72">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B155">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A4736">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179105D5">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10F872E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CE8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1B3D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77A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BB0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B6D2">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6918863D">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CC22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566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2E21">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EDB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3359">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B34B841">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1CF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AAB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706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059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F32A">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111130D">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DEB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A26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C291">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A82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518AE">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7261C6A8">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BBA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351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DB8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339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D22C">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4620E5DE">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5B6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776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B7F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9614">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B71F">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4A2F4298">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A4C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63F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1D9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8F0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2482">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292BCF3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5CF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D9EE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EBF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0D62D">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1229">
            <w:pPr>
              <w:pStyle w:val="11"/>
              <w:spacing w:beforeAutospacing="0" w:afterAutospacing="0"/>
              <w:jc w:val="center"/>
              <w:rPr>
                <w:color w:val="auto"/>
                <w:highlight w:val="none"/>
                <w:shd w:val="clear" w:color="auto" w:fill="auto"/>
              </w:rPr>
            </w:pPr>
            <w:r>
              <w:rPr>
                <w:color w:val="auto"/>
                <w:highlight w:val="none"/>
                <w:shd w:val="clear" w:color="auto" w:fill="auto"/>
              </w:rPr>
              <w:t> </w:t>
            </w:r>
          </w:p>
        </w:tc>
      </w:tr>
    </w:tbl>
    <w:p w14:paraId="2A290A19">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2AD2B7CF">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BF1192E">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363A5076">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736DEFBA">
      <w:pPr>
        <w:pStyle w:val="11"/>
        <w:spacing w:beforeAutospacing="0" w:afterAutospacing="0"/>
        <w:jc w:val="center"/>
        <w:rPr>
          <w:color w:val="auto"/>
          <w:highlight w:val="none"/>
          <w:shd w:val="clear" w:color="auto" w:fill="auto"/>
        </w:rPr>
      </w:pPr>
      <w:r>
        <w:rPr>
          <w:color w:val="auto"/>
          <w:highlight w:val="none"/>
          <w:shd w:val="clear" w:color="auto" w:fill="auto"/>
        </w:rPr>
        <w:t> </w:t>
      </w:r>
    </w:p>
    <w:p w14:paraId="1A1C906B">
      <w:pPr>
        <w:pStyle w:val="11"/>
        <w:spacing w:beforeAutospacing="0" w:afterAutospacing="0"/>
        <w:jc w:val="both"/>
        <w:rPr>
          <w:color w:val="auto"/>
          <w:highlight w:val="none"/>
          <w:shd w:val="clear" w:color="auto" w:fill="auto"/>
        </w:rPr>
      </w:pPr>
      <w:r>
        <w:rPr>
          <w:color w:val="auto"/>
          <w:highlight w:val="none"/>
          <w:shd w:val="clear" w:color="auto" w:fill="auto"/>
        </w:rPr>
        <w:t> </w:t>
      </w:r>
    </w:p>
    <w:p w14:paraId="3E37D36C">
      <w:pPr>
        <w:pStyle w:val="11"/>
        <w:spacing w:beforeAutospacing="0" w:afterAutospacing="0"/>
        <w:jc w:val="both"/>
        <w:rPr>
          <w:color w:val="auto"/>
          <w:highlight w:val="none"/>
          <w:shd w:val="clear" w:color="auto" w:fill="auto"/>
        </w:rPr>
      </w:pPr>
      <w:r>
        <w:rPr>
          <w:color w:val="auto"/>
          <w:highlight w:val="none"/>
          <w:shd w:val="clear" w:color="auto" w:fill="auto"/>
        </w:rPr>
        <w:t> </w:t>
      </w:r>
    </w:p>
    <w:p w14:paraId="01A84D73">
      <w:pPr>
        <w:pStyle w:val="11"/>
        <w:spacing w:beforeAutospacing="0" w:afterAutospacing="0"/>
        <w:jc w:val="both"/>
        <w:rPr>
          <w:color w:val="auto"/>
          <w:highlight w:val="none"/>
          <w:shd w:val="clear" w:color="auto" w:fill="auto"/>
        </w:rPr>
      </w:pPr>
      <w:r>
        <w:rPr>
          <w:color w:val="auto"/>
          <w:highlight w:val="none"/>
          <w:shd w:val="clear" w:color="auto" w:fill="auto"/>
        </w:rPr>
        <w:t> </w:t>
      </w:r>
    </w:p>
    <w:p w14:paraId="290C0D11">
      <w:pPr>
        <w:pStyle w:val="11"/>
        <w:spacing w:beforeAutospacing="0" w:afterAutospacing="0"/>
        <w:jc w:val="both"/>
        <w:rPr>
          <w:color w:val="auto"/>
          <w:highlight w:val="none"/>
          <w:shd w:val="clear" w:color="auto" w:fill="auto"/>
        </w:rPr>
      </w:pPr>
      <w:r>
        <w:rPr>
          <w:color w:val="auto"/>
          <w:highlight w:val="none"/>
          <w:shd w:val="clear" w:color="auto" w:fill="auto"/>
        </w:rPr>
        <w:t> </w:t>
      </w:r>
    </w:p>
    <w:p w14:paraId="15FBE0CB">
      <w:pPr>
        <w:pStyle w:val="11"/>
        <w:spacing w:beforeAutospacing="0" w:afterAutospacing="0"/>
        <w:jc w:val="both"/>
        <w:rPr>
          <w:color w:val="auto"/>
          <w:highlight w:val="none"/>
          <w:shd w:val="clear" w:color="auto" w:fill="auto"/>
        </w:rPr>
      </w:pPr>
      <w:r>
        <w:rPr>
          <w:color w:val="auto"/>
          <w:highlight w:val="none"/>
          <w:shd w:val="clear" w:color="auto" w:fill="auto"/>
        </w:rPr>
        <w:t> </w:t>
      </w:r>
    </w:p>
    <w:p w14:paraId="1C96C186">
      <w:pPr>
        <w:pStyle w:val="11"/>
        <w:spacing w:beforeAutospacing="0" w:afterAutospacing="0"/>
        <w:jc w:val="both"/>
        <w:rPr>
          <w:color w:val="auto"/>
          <w:highlight w:val="none"/>
          <w:shd w:val="clear" w:color="auto" w:fill="auto"/>
        </w:rPr>
      </w:pPr>
    </w:p>
    <w:p w14:paraId="140A417C">
      <w:pPr>
        <w:pStyle w:val="11"/>
        <w:spacing w:beforeAutospacing="0" w:afterAutospacing="0"/>
        <w:jc w:val="both"/>
        <w:rPr>
          <w:color w:val="auto"/>
          <w:highlight w:val="none"/>
          <w:shd w:val="clear" w:color="auto" w:fill="auto"/>
        </w:rPr>
      </w:pPr>
    </w:p>
    <w:p w14:paraId="6DAED705">
      <w:pPr>
        <w:pStyle w:val="11"/>
        <w:spacing w:beforeAutospacing="0" w:afterAutospacing="0"/>
        <w:jc w:val="both"/>
        <w:rPr>
          <w:color w:val="auto"/>
          <w:highlight w:val="none"/>
          <w:shd w:val="clear" w:color="auto" w:fill="auto"/>
        </w:rPr>
      </w:pPr>
    </w:p>
    <w:p w14:paraId="16FC2DD2">
      <w:pPr>
        <w:pStyle w:val="11"/>
        <w:spacing w:beforeAutospacing="0" w:afterAutospacing="0"/>
        <w:jc w:val="both"/>
        <w:rPr>
          <w:color w:val="auto"/>
          <w:highlight w:val="none"/>
          <w:shd w:val="clear" w:color="auto" w:fill="auto"/>
        </w:rPr>
      </w:pPr>
    </w:p>
    <w:p w14:paraId="782D4ADA">
      <w:pPr>
        <w:pStyle w:val="11"/>
        <w:spacing w:beforeAutospacing="0" w:afterAutospacing="0"/>
        <w:jc w:val="both"/>
        <w:rPr>
          <w:color w:val="auto"/>
          <w:highlight w:val="none"/>
          <w:shd w:val="clear" w:color="auto" w:fill="auto"/>
        </w:rPr>
      </w:pPr>
    </w:p>
    <w:p w14:paraId="2C891B72">
      <w:pPr>
        <w:pStyle w:val="11"/>
        <w:spacing w:beforeAutospacing="0" w:afterAutospacing="0"/>
        <w:jc w:val="both"/>
        <w:rPr>
          <w:color w:val="auto"/>
          <w:highlight w:val="none"/>
          <w:shd w:val="clear" w:color="auto" w:fill="auto"/>
        </w:rPr>
      </w:pPr>
    </w:p>
    <w:p w14:paraId="4876823F">
      <w:pPr>
        <w:pStyle w:val="11"/>
        <w:spacing w:beforeAutospacing="0" w:afterAutospacing="0"/>
        <w:jc w:val="both"/>
        <w:rPr>
          <w:color w:val="auto"/>
          <w:highlight w:val="none"/>
          <w:shd w:val="clear" w:color="auto" w:fill="auto"/>
        </w:rPr>
      </w:pPr>
    </w:p>
    <w:p w14:paraId="4979448A">
      <w:pPr>
        <w:pStyle w:val="11"/>
        <w:spacing w:beforeAutospacing="0" w:afterAutospacing="0"/>
        <w:jc w:val="both"/>
        <w:rPr>
          <w:color w:val="auto"/>
          <w:highlight w:val="none"/>
          <w:shd w:val="clear" w:color="auto" w:fill="auto"/>
        </w:rPr>
      </w:pPr>
    </w:p>
    <w:p w14:paraId="29C35BF4">
      <w:pPr>
        <w:pStyle w:val="11"/>
        <w:spacing w:beforeAutospacing="0" w:afterAutospacing="0"/>
        <w:jc w:val="both"/>
        <w:rPr>
          <w:color w:val="auto"/>
          <w:highlight w:val="none"/>
          <w:shd w:val="clear" w:color="auto" w:fill="auto"/>
        </w:rPr>
      </w:pPr>
    </w:p>
    <w:p w14:paraId="4AFABEFA">
      <w:pPr>
        <w:pStyle w:val="11"/>
        <w:spacing w:beforeAutospacing="0" w:afterAutospacing="0"/>
        <w:jc w:val="both"/>
        <w:rPr>
          <w:color w:val="auto"/>
          <w:highlight w:val="none"/>
          <w:shd w:val="clear" w:color="auto" w:fill="auto"/>
        </w:rPr>
      </w:pPr>
    </w:p>
    <w:p w14:paraId="667AB33A">
      <w:pPr>
        <w:pStyle w:val="11"/>
        <w:spacing w:beforeAutospacing="0" w:afterAutospacing="0"/>
        <w:jc w:val="both"/>
        <w:rPr>
          <w:color w:val="auto"/>
          <w:highlight w:val="none"/>
          <w:shd w:val="clear" w:color="auto" w:fill="auto"/>
        </w:rPr>
      </w:pPr>
      <w:r>
        <w:rPr>
          <w:color w:val="auto"/>
          <w:highlight w:val="none"/>
          <w:shd w:val="clear" w:color="auto" w:fill="auto"/>
        </w:rPr>
        <w:t> </w:t>
      </w:r>
    </w:p>
    <w:p w14:paraId="45995873">
      <w:pPr>
        <w:pStyle w:val="11"/>
        <w:spacing w:beforeAutospacing="0" w:afterAutospacing="0"/>
        <w:jc w:val="both"/>
        <w:rPr>
          <w:color w:val="auto"/>
          <w:highlight w:val="none"/>
          <w:shd w:val="clear" w:color="auto" w:fill="auto"/>
        </w:rPr>
      </w:pPr>
      <w:r>
        <w:rPr>
          <w:color w:val="auto"/>
          <w:highlight w:val="none"/>
          <w:shd w:val="clear" w:color="auto" w:fill="auto"/>
        </w:rPr>
        <w:t> </w:t>
      </w:r>
    </w:p>
    <w:p w14:paraId="7856167E">
      <w:pPr>
        <w:pStyle w:val="11"/>
        <w:spacing w:beforeAutospacing="0" w:afterAutospacing="0"/>
        <w:jc w:val="both"/>
        <w:rPr>
          <w:color w:val="auto"/>
          <w:highlight w:val="none"/>
          <w:shd w:val="clear" w:color="auto" w:fill="auto"/>
        </w:rPr>
      </w:pPr>
      <w:r>
        <w:rPr>
          <w:color w:val="auto"/>
          <w:highlight w:val="none"/>
          <w:shd w:val="clear" w:color="auto" w:fill="auto"/>
        </w:rPr>
        <w:t> </w:t>
      </w:r>
    </w:p>
    <w:p w14:paraId="6ED2111B">
      <w:pPr>
        <w:pStyle w:val="11"/>
        <w:spacing w:beforeAutospacing="0" w:afterAutospacing="0"/>
        <w:jc w:val="center"/>
        <w:rPr>
          <w:color w:val="auto"/>
          <w:highlight w:val="none"/>
          <w:shd w:val="clear" w:color="auto" w:fill="auto"/>
        </w:rPr>
      </w:pPr>
      <w:bookmarkStart w:id="171" w:name="_Hlt26955054"/>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一</w:t>
      </w:r>
      <w:r>
        <w:rPr>
          <w:rFonts w:hint="eastAsia" w:ascii="黑体" w:hAnsi="宋体" w:eastAsia="黑体" w:cs="黑体"/>
          <w:b/>
          <w:color w:val="auto"/>
          <w:sz w:val="32"/>
          <w:szCs w:val="32"/>
          <w:highlight w:val="none"/>
          <w:shd w:val="clear" w:color="auto" w:fill="auto"/>
        </w:rPr>
        <w:t>、商务要求响应及偏离表（分包号：**）</w:t>
      </w:r>
    </w:p>
    <w:tbl>
      <w:tblPr>
        <w:tblStyle w:val="13"/>
        <w:tblW w:w="8520" w:type="dxa"/>
        <w:tblCellSpacing w:w="0" w:type="dxa"/>
        <w:tblInd w:w="10" w:type="dxa"/>
        <w:tblLayout w:type="fixed"/>
        <w:tblCellMar>
          <w:top w:w="0" w:type="dxa"/>
          <w:left w:w="108" w:type="dxa"/>
          <w:bottom w:w="0" w:type="dxa"/>
          <w:right w:w="108" w:type="dxa"/>
        </w:tblCellMar>
      </w:tblPr>
      <w:tblGrid>
        <w:gridCol w:w="763"/>
        <w:gridCol w:w="2801"/>
        <w:gridCol w:w="2608"/>
        <w:gridCol w:w="1247"/>
        <w:gridCol w:w="1101"/>
      </w:tblGrid>
      <w:tr w14:paraId="7AC6C9C4">
        <w:tblPrEx>
          <w:tblCellMar>
            <w:top w:w="0" w:type="dxa"/>
            <w:left w:w="108" w:type="dxa"/>
            <w:bottom w:w="0" w:type="dxa"/>
            <w:right w:w="108" w:type="dxa"/>
          </w:tblCellMar>
        </w:tblPrEx>
        <w:trPr>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CCCA">
            <w:pPr>
              <w:pStyle w:val="11"/>
              <w:spacing w:beforeAutospacing="0" w:afterAutospacing="0"/>
              <w:jc w:val="center"/>
              <w:rPr>
                <w:color w:val="auto"/>
                <w:highlight w:val="none"/>
                <w:shd w:val="clear" w:color="auto" w:fill="auto"/>
              </w:rPr>
            </w:pPr>
            <w:bookmarkStart w:id="172" w:name="_Hlt26671343"/>
            <w:bookmarkStart w:id="173" w:name="_Hlt26955064"/>
            <w:bookmarkStart w:id="174" w:name="_Hlt26671372"/>
            <w:bookmarkStart w:id="175" w:name="_Hlt26782999"/>
            <w:bookmarkStart w:id="176" w:name="_Hlt26609391"/>
            <w:bookmarkStart w:id="177" w:name="_Hlt24879081"/>
            <w:bookmarkStart w:id="178" w:name="_Hlt26955056"/>
            <w:bookmarkStart w:id="179" w:name="_Hlt26580838"/>
            <w:r>
              <w:rPr>
                <w:rFonts w:hint="eastAsia" w:ascii="宋体" w:hAnsi="宋体" w:eastAsia="宋体" w:cs="宋体"/>
                <w:color w:val="auto"/>
                <w:highlight w:val="none"/>
                <w:shd w:val="clear" w:color="auto" w:fill="auto"/>
              </w:rPr>
              <w:t>序号</w:t>
            </w:r>
          </w:p>
          <w:bookmarkEnd w:id="172"/>
          <w:bookmarkEnd w:id="173"/>
          <w:bookmarkEnd w:id="174"/>
          <w:bookmarkEnd w:id="175"/>
          <w:bookmarkEnd w:id="176"/>
          <w:bookmarkEnd w:id="177"/>
          <w:bookmarkEnd w:id="178"/>
          <w:bookmarkEnd w:id="179"/>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570B">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AEBF">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CFD1">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B040">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952A00D">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2EA5A43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A4AE">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8CA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DFC1">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284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0679">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419B7BEB">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C27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01F68">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467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9D7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6908">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260773B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CB91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88D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21B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04C6">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7F6B">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28E8FCB7">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509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CB9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FA3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1A4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76F3">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5336B540">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D855">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7AD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1959">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EA7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778E">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070DF0AD">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0F12">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E31F">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84C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01BA">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4620">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4879B883">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73CE">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8080">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1C57">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CF9B">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8E9D">
            <w:pPr>
              <w:pStyle w:val="11"/>
              <w:spacing w:beforeAutospacing="0" w:afterAutospacing="0"/>
              <w:jc w:val="center"/>
              <w:rPr>
                <w:color w:val="auto"/>
                <w:highlight w:val="none"/>
                <w:shd w:val="clear" w:color="auto" w:fill="auto"/>
              </w:rPr>
            </w:pPr>
            <w:r>
              <w:rPr>
                <w:color w:val="auto"/>
                <w:highlight w:val="none"/>
                <w:shd w:val="clear" w:color="auto" w:fill="auto"/>
              </w:rPr>
              <w:t> </w:t>
            </w:r>
          </w:p>
        </w:tc>
      </w:tr>
      <w:tr w14:paraId="0B07DACE">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965C">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9077F">
            <w:pPr>
              <w:pStyle w:val="11"/>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D8D3">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995E">
            <w:pPr>
              <w:pStyle w:val="11"/>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337F">
            <w:pPr>
              <w:pStyle w:val="11"/>
              <w:spacing w:beforeAutospacing="0" w:afterAutospacing="0"/>
              <w:jc w:val="center"/>
              <w:rPr>
                <w:color w:val="auto"/>
                <w:highlight w:val="none"/>
                <w:shd w:val="clear" w:color="auto" w:fill="auto"/>
              </w:rPr>
            </w:pPr>
            <w:r>
              <w:rPr>
                <w:color w:val="auto"/>
                <w:highlight w:val="none"/>
                <w:shd w:val="clear" w:color="auto" w:fill="auto"/>
              </w:rPr>
              <w:t> </w:t>
            </w:r>
          </w:p>
        </w:tc>
      </w:tr>
    </w:tbl>
    <w:p w14:paraId="14D3BEDB">
      <w:pPr>
        <w:pStyle w:val="11"/>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499239A1">
      <w:pPr>
        <w:pStyle w:val="1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16504A24">
      <w:pPr>
        <w:pStyle w:val="11"/>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313F2033">
      <w:pPr>
        <w:pStyle w:val="11"/>
        <w:spacing w:beforeAutospacing="0" w:afterAutospacing="0" w:line="480" w:lineRule="auto"/>
        <w:jc w:val="both"/>
        <w:rPr>
          <w:color w:val="auto"/>
          <w:highlight w:val="none"/>
          <w:shd w:val="clear" w:color="auto" w:fill="auto"/>
        </w:rPr>
      </w:pPr>
    </w:p>
    <w:p w14:paraId="6CA93AE1">
      <w:pPr>
        <w:pStyle w:val="11"/>
        <w:spacing w:beforeAutospacing="0" w:afterAutospacing="0" w:line="480" w:lineRule="auto"/>
        <w:jc w:val="both"/>
        <w:rPr>
          <w:color w:val="auto"/>
          <w:highlight w:val="none"/>
          <w:shd w:val="clear" w:color="auto" w:fill="auto"/>
        </w:rPr>
      </w:pPr>
    </w:p>
    <w:p w14:paraId="25667210">
      <w:pPr>
        <w:pStyle w:val="11"/>
        <w:spacing w:beforeAutospacing="0" w:afterAutospacing="0" w:line="480" w:lineRule="auto"/>
        <w:jc w:val="both"/>
        <w:rPr>
          <w:color w:val="auto"/>
          <w:highlight w:val="none"/>
          <w:shd w:val="clear" w:color="auto" w:fill="auto"/>
        </w:rPr>
      </w:pPr>
    </w:p>
    <w:p w14:paraId="7E551F55">
      <w:pPr>
        <w:pStyle w:val="11"/>
        <w:spacing w:beforeAutospacing="0" w:afterAutospacing="0" w:line="480" w:lineRule="auto"/>
        <w:jc w:val="both"/>
        <w:rPr>
          <w:color w:val="auto"/>
          <w:highlight w:val="none"/>
          <w:shd w:val="clear" w:color="auto" w:fill="auto"/>
        </w:rPr>
      </w:pPr>
    </w:p>
    <w:p w14:paraId="44C8A2FE">
      <w:pPr>
        <w:pStyle w:val="11"/>
        <w:spacing w:beforeAutospacing="0" w:afterAutospacing="0" w:line="480" w:lineRule="auto"/>
        <w:jc w:val="both"/>
        <w:rPr>
          <w:color w:val="auto"/>
          <w:highlight w:val="none"/>
          <w:shd w:val="clear" w:color="auto" w:fill="auto"/>
        </w:rPr>
      </w:pPr>
    </w:p>
    <w:p w14:paraId="3A9EE600">
      <w:pPr>
        <w:pStyle w:val="11"/>
        <w:spacing w:beforeAutospacing="0" w:afterAutospacing="0" w:line="480" w:lineRule="auto"/>
        <w:jc w:val="both"/>
        <w:rPr>
          <w:color w:val="auto"/>
          <w:highlight w:val="none"/>
          <w:shd w:val="clear" w:color="auto" w:fill="auto"/>
        </w:rPr>
      </w:pPr>
    </w:p>
    <w:p w14:paraId="393BB135">
      <w:pPr>
        <w:pStyle w:val="11"/>
        <w:spacing w:beforeAutospacing="0" w:afterAutospacing="0" w:line="480" w:lineRule="auto"/>
        <w:jc w:val="both"/>
        <w:rPr>
          <w:color w:val="auto"/>
          <w:highlight w:val="none"/>
          <w:shd w:val="clear" w:color="auto" w:fill="auto"/>
        </w:rPr>
      </w:pPr>
    </w:p>
    <w:p w14:paraId="4E10C64B">
      <w:pPr>
        <w:pStyle w:val="11"/>
        <w:spacing w:beforeAutospacing="0" w:afterAutospacing="0" w:line="480" w:lineRule="auto"/>
        <w:jc w:val="both"/>
        <w:rPr>
          <w:color w:val="auto"/>
          <w:highlight w:val="none"/>
          <w:shd w:val="clear" w:color="auto" w:fill="auto"/>
        </w:rPr>
      </w:pPr>
    </w:p>
    <w:p w14:paraId="5B41AEF7">
      <w:pPr>
        <w:pStyle w:val="11"/>
        <w:spacing w:beforeAutospacing="0" w:afterAutospacing="0" w:line="480" w:lineRule="auto"/>
        <w:jc w:val="both"/>
        <w:rPr>
          <w:color w:val="auto"/>
          <w:highlight w:val="none"/>
          <w:shd w:val="clear" w:color="auto" w:fill="auto"/>
        </w:rPr>
      </w:pPr>
    </w:p>
    <w:bookmarkEnd w:id="28"/>
    <w:bookmarkEnd w:id="40"/>
    <w:bookmarkEnd w:id="87"/>
    <w:bookmarkEnd w:id="88"/>
    <w:bookmarkEnd w:id="89"/>
    <w:bookmarkEnd w:id="90"/>
    <w:bookmarkEnd w:id="91"/>
    <w:bookmarkEnd w:id="92"/>
    <w:bookmarkEnd w:id="93"/>
    <w:bookmarkEnd w:id="94"/>
    <w:bookmarkEnd w:id="103"/>
    <w:bookmarkEnd w:id="104"/>
    <w:bookmarkEnd w:id="111"/>
    <w:bookmarkEnd w:id="154"/>
    <w:bookmarkEnd w:id="155"/>
    <w:bookmarkEnd w:id="160"/>
    <w:bookmarkEnd w:id="164"/>
    <w:bookmarkEnd w:id="165"/>
    <w:bookmarkEnd w:id="166"/>
    <w:bookmarkEnd w:id="167"/>
    <w:bookmarkEnd w:id="168"/>
    <w:bookmarkEnd w:id="169"/>
    <w:bookmarkEnd w:id="170"/>
    <w:bookmarkEnd w:id="171"/>
    <w:p w14:paraId="72CA5A2B">
      <w:pPr>
        <w:pStyle w:val="11"/>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二</w:t>
      </w:r>
      <w:r>
        <w:rPr>
          <w:rFonts w:hint="eastAsia" w:ascii="黑体" w:hAnsi="宋体" w:eastAsia="黑体" w:cs="黑体"/>
          <w:b/>
          <w:i/>
          <w:color w:val="auto"/>
          <w:sz w:val="32"/>
          <w:szCs w:val="32"/>
          <w:highlight w:val="none"/>
          <w:u w:val="single"/>
        </w:rPr>
        <w:t>、开标一览表</w:t>
      </w:r>
    </w:p>
    <w:p w14:paraId="70B14AA4">
      <w:pPr>
        <w:pStyle w:val="11"/>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1"/>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11"/>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3"/>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1"/>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1"/>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11"/>
        <w:spacing w:beforeAutospacing="0" w:afterAutospacing="0"/>
        <w:jc w:val="both"/>
        <w:rPr>
          <w:color w:val="auto"/>
          <w:highlight w:val="none"/>
        </w:rPr>
      </w:pPr>
      <w:r>
        <w:rPr>
          <w:color w:val="auto"/>
          <w:highlight w:val="none"/>
        </w:rPr>
        <w:t> </w:t>
      </w:r>
    </w:p>
    <w:p w14:paraId="15F53820">
      <w:pPr>
        <w:pStyle w:val="11"/>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1"/>
        <w:spacing w:beforeAutospacing="0" w:afterAutospacing="0"/>
        <w:ind w:firstLine="480"/>
        <w:jc w:val="both"/>
        <w:rPr>
          <w:color w:val="auto"/>
          <w:highlight w:val="none"/>
        </w:rPr>
      </w:pPr>
      <w:r>
        <w:rPr>
          <w:color w:val="auto"/>
          <w:highlight w:val="none"/>
        </w:rPr>
        <w:t> </w:t>
      </w:r>
    </w:p>
    <w:p w14:paraId="6B5C7339">
      <w:pPr>
        <w:pStyle w:val="11"/>
        <w:spacing w:beforeAutospacing="0" w:afterAutospacing="0"/>
        <w:jc w:val="center"/>
        <w:rPr>
          <w:color w:val="auto"/>
          <w:highlight w:val="none"/>
          <w:shd w:val="clear" w:color="auto" w:fill="auto"/>
        </w:rPr>
      </w:pPr>
    </w:p>
    <w:p w14:paraId="1B13D9B0">
      <w:pPr>
        <w:rPr>
          <w:rFonts w:hint="eastAsia" w:ascii="黑体" w:hAnsi="宋体" w:eastAsia="黑体" w:cs="黑体"/>
          <w:b/>
          <w:color w:val="auto"/>
          <w:kern w:val="0"/>
          <w:sz w:val="32"/>
          <w:szCs w:val="32"/>
          <w:highlight w:val="none"/>
          <w:shd w:val="clear" w:color="auto" w:fill="auto"/>
          <w:lang w:val="en-US" w:eastAsia="zh-CN" w:bidi="ar-SA"/>
        </w:rPr>
      </w:pPr>
      <w:r>
        <w:rPr>
          <w:rFonts w:hint="eastAsia" w:ascii="黑体" w:hAnsi="宋体" w:eastAsia="黑体" w:cs="黑体"/>
          <w:b/>
          <w:color w:val="auto"/>
          <w:kern w:val="0"/>
          <w:sz w:val="32"/>
          <w:szCs w:val="32"/>
          <w:highlight w:val="none"/>
          <w:shd w:val="clear" w:color="auto" w:fill="auto"/>
          <w:lang w:val="en-US" w:eastAsia="zh-CN" w:bidi="ar-SA"/>
        </w:rPr>
        <w:br w:type="page"/>
      </w:r>
    </w:p>
    <w:p w14:paraId="52D5F293">
      <w:pPr>
        <w:widowControl/>
        <w:spacing w:line="499" w:lineRule="atLeast"/>
        <w:ind w:firstLine="1600"/>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三</w:t>
      </w:r>
      <w:r>
        <w:rPr>
          <w:rFonts w:hint="eastAsia" w:ascii="宋体" w:hAnsi="宋体" w:eastAsia="宋体" w:cs="宋体"/>
          <w:b/>
          <w:bCs/>
          <w:color w:val="auto"/>
          <w:sz w:val="32"/>
          <w:szCs w:val="32"/>
          <w:highlight w:val="none"/>
          <w:shd w:val="clear" w:color="auto" w:fill="auto"/>
        </w:rPr>
        <w:t>、盐城市政府采购事前信用承诺书</w:t>
      </w:r>
    </w:p>
    <w:p w14:paraId="3D63424C">
      <w:pPr>
        <w:widowControl/>
        <w:spacing w:line="499" w:lineRule="atLeast"/>
        <w:ind w:firstLine="640"/>
        <w:jc w:val="left"/>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w:t>
      </w:r>
    </w:p>
    <w:p w14:paraId="4FA82C87">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580A309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0E039DC2">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38D46DB">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51F47E2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1641FAF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05459A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47F8DEE7">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008A28A">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7B9EC78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r>
        <w:rPr>
          <w:rFonts w:hint="eastAsia" w:ascii="宋体" w:hAnsi="宋体" w:eastAsia="宋体" w:cs="宋体"/>
          <w:color w:val="auto"/>
          <w:sz w:val="24"/>
          <w:highlight w:val="none"/>
          <w:shd w:val="clear" w:color="auto" w:fill="auto"/>
          <w:lang w:val="en-US" w:eastAsia="zh-CN"/>
        </w:rPr>
        <w:t>或盖章</w:t>
      </w:r>
      <w:r>
        <w:rPr>
          <w:rFonts w:hint="eastAsia" w:ascii="宋体" w:hAnsi="宋体" w:eastAsia="宋体" w:cs="宋体"/>
          <w:color w:val="auto"/>
          <w:sz w:val="24"/>
          <w:highlight w:val="none"/>
          <w:shd w:val="clear" w:color="auto" w:fill="auto"/>
        </w:rPr>
        <w:t>：</w:t>
      </w:r>
    </w:p>
    <w:p w14:paraId="7F6473C5">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27D354C5">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 月 日</w:t>
      </w:r>
    </w:p>
    <w:p w14:paraId="78A3FAC7">
      <w:pPr>
        <w:pStyle w:val="11"/>
        <w:spacing w:beforeAutospacing="0" w:afterAutospacing="0"/>
        <w:jc w:val="center"/>
        <w:rPr>
          <w:color w:val="auto"/>
          <w:highlight w:val="none"/>
          <w:shd w:val="clear" w:color="auto" w:fill="auto"/>
        </w:rPr>
      </w:pPr>
    </w:p>
    <w:p w14:paraId="2C3D5838">
      <w:pPr>
        <w:rPr>
          <w:color w:val="auto"/>
          <w:highlight w:val="none"/>
          <w:shd w:val="clear" w:color="auto" w:fill="auto"/>
        </w:rPr>
      </w:pPr>
    </w:p>
    <w:p w14:paraId="76E9D5C9">
      <w:pPr>
        <w:jc w:val="center"/>
        <w:rPr>
          <w:color w:val="auto"/>
          <w:highlight w:val="none"/>
        </w:rPr>
      </w:pPr>
      <w:r>
        <w:rPr>
          <w:rFonts w:hint="eastAsia" w:ascii="宋体" w:hAnsi="宋体" w:eastAsia="宋体" w:cs="宋体"/>
          <w:b/>
          <w:color w:val="auto"/>
          <w:sz w:val="32"/>
          <w:szCs w:val="32"/>
          <w:highlight w:val="none"/>
          <w:shd w:val="clear" w:color="auto" w:fill="auto"/>
        </w:rPr>
        <w:br w:type="page"/>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服务</w:t>
      </w:r>
      <w:r>
        <w:rPr>
          <w:rFonts w:hint="eastAsia" w:ascii="黑体" w:hAnsi="宋体" w:eastAsia="黑体" w:cs="黑体"/>
          <w:b/>
          <w:color w:val="auto"/>
          <w:sz w:val="32"/>
          <w:szCs w:val="32"/>
          <w:highlight w:val="none"/>
        </w:rPr>
        <w:t>）（分包号：**）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江苏鼎一建设项目管理有限公司</w:t>
      </w:r>
      <w:r>
        <w:rPr>
          <w:rFonts w:hint="eastAsia"/>
          <w:color w:val="auto"/>
          <w:sz w:val="24"/>
          <w:highlight w:val="none"/>
        </w:rPr>
        <w:t>组织的</w:t>
      </w:r>
      <w:r>
        <w:rPr>
          <w:rFonts w:hint="eastAsia"/>
          <w:i/>
          <w:iCs/>
          <w:color w:val="auto"/>
          <w:sz w:val="24"/>
          <w:szCs w:val="24"/>
          <w:highlight w:val="none"/>
          <w:u w:val="single"/>
          <w:lang w:eastAsia="zh-CN"/>
        </w:rPr>
        <w:t>响水县重大项目建设服务中心</w:t>
      </w:r>
      <w:r>
        <w:rPr>
          <w:rFonts w:hint="eastAsia"/>
          <w:color w:val="auto"/>
          <w:sz w:val="24"/>
          <w:szCs w:val="20"/>
          <w:highlight w:val="none"/>
        </w:rPr>
        <w:t>，</w:t>
      </w:r>
      <w:r>
        <w:rPr>
          <w:rFonts w:hint="eastAsia"/>
          <w:color w:val="auto"/>
          <w:sz w:val="24"/>
          <w:highlight w:val="none"/>
          <w:lang w:val="en-US" w:eastAsia="zh-CN"/>
        </w:rPr>
        <w:t>项目</w:t>
      </w:r>
      <w:r>
        <w:rPr>
          <w:rFonts w:hint="eastAsia"/>
          <w:color w:val="auto"/>
          <w:sz w:val="24"/>
          <w:highlight w:val="none"/>
        </w:rPr>
        <w:t>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3"/>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3"/>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1"/>
        <w:spacing w:beforeAutospacing="0" w:afterAutospacing="0" w:line="0" w:lineRule="atLeast"/>
        <w:ind w:right="720"/>
        <w:jc w:val="both"/>
        <w:rPr>
          <w:color w:val="auto"/>
          <w:highlight w:val="none"/>
        </w:rPr>
      </w:pPr>
      <w:r>
        <w:rPr>
          <w:color w:val="auto"/>
          <w:highlight w:val="none"/>
        </w:rPr>
        <w:t> </w:t>
      </w:r>
    </w:p>
    <w:p w14:paraId="6CD49601">
      <w:pPr>
        <w:pStyle w:val="11"/>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1"/>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1"/>
        <w:spacing w:beforeAutospacing="0" w:afterAutospacing="0" w:line="0" w:lineRule="atLeast"/>
        <w:ind w:firstLine="240"/>
        <w:jc w:val="both"/>
        <w:rPr>
          <w:color w:val="auto"/>
          <w:highlight w:val="none"/>
        </w:rPr>
      </w:pPr>
      <w:r>
        <w:rPr>
          <w:color w:val="auto"/>
          <w:highlight w:val="none"/>
        </w:rPr>
        <w:t> </w:t>
      </w:r>
    </w:p>
    <w:p w14:paraId="5FD8B9FE">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20F50C71">
      <w:pPr>
        <w:rPr>
          <w:rFonts w:hint="eastAsia" w:ascii="宋体" w:hAnsi="宋体" w:eastAsia="宋体" w:cs="宋体"/>
          <w:b/>
          <w:color w:val="auto"/>
          <w:sz w:val="32"/>
          <w:szCs w:val="32"/>
          <w:highlight w:val="none"/>
          <w:shd w:val="clear" w:color="auto" w:fill="auto"/>
        </w:rPr>
      </w:pPr>
    </w:p>
    <w:p w14:paraId="576D1864">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r>
    </w:p>
    <w:p w14:paraId="60F78AA4">
      <w:pPr>
        <w:pStyle w:val="11"/>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37F02ED2">
      <w:pPr>
        <w:pStyle w:val="11"/>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6DDB366A">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A94F3DE">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0095C0D1">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CDEA2B0">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7F698FC">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3E9E3DF6">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A93504">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EAA9573">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21EF87">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7825DCDB">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5C9F7614">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7959A127">
      <w:pPr>
        <w:pStyle w:val="11"/>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2ED60F9A">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F5DB51C">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46A9CC39">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采购文件获取日期：</w:t>
      </w:r>
      <w:r>
        <w:rPr>
          <w:rFonts w:hint="eastAsia" w:ascii="宋体" w:hAnsi="宋体" w:eastAsia="宋体" w:cs="宋体"/>
          <w:color w:val="auto"/>
          <w:highlight w:val="none"/>
          <w:u w:val="single"/>
          <w:shd w:val="clear" w:color="auto" w:fill="auto"/>
        </w:rPr>
        <w:t xml:space="preserve">                             </w:t>
      </w:r>
    </w:p>
    <w:p w14:paraId="1A79C5A2">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61BC99D4">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50C81945">
      <w:pPr>
        <w:pStyle w:val="1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1943EA30">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2275C321">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3AE5F46B">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679021C6">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019F05A7">
      <w:pPr>
        <w:pStyle w:val="11"/>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5671B5B9">
      <w:pPr>
        <w:pStyle w:val="11"/>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15C1160C">
      <w:pPr>
        <w:pStyle w:val="11"/>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7431B490">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710C0583">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257103A">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7374C3F2">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0418C11E">
      <w:pPr>
        <w:pStyle w:val="11"/>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1FAD31FC">
      <w:pPr>
        <w:pStyle w:val="11"/>
        <w:widowControl/>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EA75B">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04AAC3">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04AAC3">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AE187">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15A03">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B815A03">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C5813">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F18C35C7"/>
    <w:multiLevelType w:val="singleLevel"/>
    <w:tmpl w:val="F18C35C7"/>
    <w:lvl w:ilvl="0" w:tentative="0">
      <w:start w:val="3"/>
      <w:numFmt w:val="chineseCounting"/>
      <w:suff w:val="nothing"/>
      <w:lvlText w:val="%1、"/>
      <w:lvlJc w:val="left"/>
      <w:rPr>
        <w:rFonts w:hint="eastAsia"/>
      </w:rPr>
    </w:lvl>
  </w:abstractNum>
  <w:abstractNum w:abstractNumId="2">
    <w:nsid w:val="21DE2C61"/>
    <w:multiLevelType w:val="singleLevel"/>
    <w:tmpl w:val="21DE2C61"/>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15C33"/>
    <w:rsid w:val="000519DB"/>
    <w:rsid w:val="000B6058"/>
    <w:rsid w:val="00172A27"/>
    <w:rsid w:val="001F04E3"/>
    <w:rsid w:val="002173A0"/>
    <w:rsid w:val="002A4E99"/>
    <w:rsid w:val="003900C7"/>
    <w:rsid w:val="00447269"/>
    <w:rsid w:val="004529E6"/>
    <w:rsid w:val="00460BA9"/>
    <w:rsid w:val="00463848"/>
    <w:rsid w:val="004C0AA7"/>
    <w:rsid w:val="004F36D8"/>
    <w:rsid w:val="005107E6"/>
    <w:rsid w:val="00545247"/>
    <w:rsid w:val="006014D4"/>
    <w:rsid w:val="0069065B"/>
    <w:rsid w:val="006F0739"/>
    <w:rsid w:val="008A770C"/>
    <w:rsid w:val="00997378"/>
    <w:rsid w:val="009C1120"/>
    <w:rsid w:val="00A54D6F"/>
    <w:rsid w:val="00A937A2"/>
    <w:rsid w:val="00BD6304"/>
    <w:rsid w:val="00C80A8D"/>
    <w:rsid w:val="00CE7224"/>
    <w:rsid w:val="00D550E3"/>
    <w:rsid w:val="00D9577C"/>
    <w:rsid w:val="00EC2235"/>
    <w:rsid w:val="00F24641"/>
    <w:rsid w:val="00F61032"/>
    <w:rsid w:val="00FD2179"/>
    <w:rsid w:val="00FE254C"/>
    <w:rsid w:val="01161381"/>
    <w:rsid w:val="012226E8"/>
    <w:rsid w:val="014036E0"/>
    <w:rsid w:val="015C3D17"/>
    <w:rsid w:val="027A75D8"/>
    <w:rsid w:val="02851591"/>
    <w:rsid w:val="02BD5381"/>
    <w:rsid w:val="02D505AD"/>
    <w:rsid w:val="02EC06FE"/>
    <w:rsid w:val="02F56D74"/>
    <w:rsid w:val="034E4AD1"/>
    <w:rsid w:val="037E0789"/>
    <w:rsid w:val="04CB5FDF"/>
    <w:rsid w:val="04CF1FA6"/>
    <w:rsid w:val="056E5657"/>
    <w:rsid w:val="062C42CE"/>
    <w:rsid w:val="067D77AC"/>
    <w:rsid w:val="068A6E34"/>
    <w:rsid w:val="076B2FD2"/>
    <w:rsid w:val="07994E3B"/>
    <w:rsid w:val="07A02A3F"/>
    <w:rsid w:val="07A40F48"/>
    <w:rsid w:val="0854758E"/>
    <w:rsid w:val="088279AD"/>
    <w:rsid w:val="08992D34"/>
    <w:rsid w:val="09132265"/>
    <w:rsid w:val="091D7CD0"/>
    <w:rsid w:val="0A176CD8"/>
    <w:rsid w:val="0AAC1C8D"/>
    <w:rsid w:val="0ABC363A"/>
    <w:rsid w:val="0AD8294B"/>
    <w:rsid w:val="0B0A425E"/>
    <w:rsid w:val="0B4B3B00"/>
    <w:rsid w:val="0B751E66"/>
    <w:rsid w:val="0B8A23C1"/>
    <w:rsid w:val="0BAE3813"/>
    <w:rsid w:val="0C8353F1"/>
    <w:rsid w:val="0C96371F"/>
    <w:rsid w:val="0CB217A3"/>
    <w:rsid w:val="0D103128"/>
    <w:rsid w:val="0D4D2FC1"/>
    <w:rsid w:val="0E0362D5"/>
    <w:rsid w:val="0E966A8C"/>
    <w:rsid w:val="0EE61CD2"/>
    <w:rsid w:val="0F4D1A20"/>
    <w:rsid w:val="0F570C13"/>
    <w:rsid w:val="0F6D24BC"/>
    <w:rsid w:val="0F7D537E"/>
    <w:rsid w:val="10007707"/>
    <w:rsid w:val="101B439F"/>
    <w:rsid w:val="11AB711C"/>
    <w:rsid w:val="124675EC"/>
    <w:rsid w:val="124B075F"/>
    <w:rsid w:val="12F015A0"/>
    <w:rsid w:val="135576AB"/>
    <w:rsid w:val="139513AE"/>
    <w:rsid w:val="13B93252"/>
    <w:rsid w:val="14477BA7"/>
    <w:rsid w:val="14BA7E1E"/>
    <w:rsid w:val="152E016A"/>
    <w:rsid w:val="15F06BD1"/>
    <w:rsid w:val="15FB249C"/>
    <w:rsid w:val="164E1E13"/>
    <w:rsid w:val="169263C8"/>
    <w:rsid w:val="16A61788"/>
    <w:rsid w:val="16E86EC4"/>
    <w:rsid w:val="17666D47"/>
    <w:rsid w:val="177E4C81"/>
    <w:rsid w:val="18BC4109"/>
    <w:rsid w:val="193260E4"/>
    <w:rsid w:val="194D1260"/>
    <w:rsid w:val="19835197"/>
    <w:rsid w:val="19C808E7"/>
    <w:rsid w:val="19D36B2C"/>
    <w:rsid w:val="1A226249"/>
    <w:rsid w:val="1A2878E5"/>
    <w:rsid w:val="1A4F2C83"/>
    <w:rsid w:val="1ACB2BD5"/>
    <w:rsid w:val="1AD2708F"/>
    <w:rsid w:val="1AD67034"/>
    <w:rsid w:val="1B3A35E0"/>
    <w:rsid w:val="1B5F5046"/>
    <w:rsid w:val="1B9509DF"/>
    <w:rsid w:val="1BA002D8"/>
    <w:rsid w:val="1CAC4347"/>
    <w:rsid w:val="1D1C1092"/>
    <w:rsid w:val="1D605A5A"/>
    <w:rsid w:val="1D790876"/>
    <w:rsid w:val="1D9E652E"/>
    <w:rsid w:val="1DFD1285"/>
    <w:rsid w:val="1E032835"/>
    <w:rsid w:val="1E1862E1"/>
    <w:rsid w:val="1E262080"/>
    <w:rsid w:val="1EC70509"/>
    <w:rsid w:val="1ED61CF8"/>
    <w:rsid w:val="1EE73F05"/>
    <w:rsid w:val="1F4A0271"/>
    <w:rsid w:val="1FC7762D"/>
    <w:rsid w:val="20733730"/>
    <w:rsid w:val="20A83FAF"/>
    <w:rsid w:val="215025DE"/>
    <w:rsid w:val="21930E82"/>
    <w:rsid w:val="21A600A9"/>
    <w:rsid w:val="21CC717D"/>
    <w:rsid w:val="21F65475"/>
    <w:rsid w:val="22424AA4"/>
    <w:rsid w:val="228F6446"/>
    <w:rsid w:val="22F62B8A"/>
    <w:rsid w:val="23254D08"/>
    <w:rsid w:val="23534E2B"/>
    <w:rsid w:val="242C02D7"/>
    <w:rsid w:val="24533DC2"/>
    <w:rsid w:val="24DF1DD4"/>
    <w:rsid w:val="24E23DF2"/>
    <w:rsid w:val="2532334D"/>
    <w:rsid w:val="254E4396"/>
    <w:rsid w:val="25B85CB3"/>
    <w:rsid w:val="26750FF7"/>
    <w:rsid w:val="27194423"/>
    <w:rsid w:val="27290FC5"/>
    <w:rsid w:val="286C5A1C"/>
    <w:rsid w:val="28E359C4"/>
    <w:rsid w:val="28FE41FC"/>
    <w:rsid w:val="29345C52"/>
    <w:rsid w:val="2996274E"/>
    <w:rsid w:val="2A4648B7"/>
    <w:rsid w:val="2B005440"/>
    <w:rsid w:val="2B4D0F88"/>
    <w:rsid w:val="2BAE17CE"/>
    <w:rsid w:val="2C03574A"/>
    <w:rsid w:val="2C5A1872"/>
    <w:rsid w:val="2C7B3B05"/>
    <w:rsid w:val="2CC277F5"/>
    <w:rsid w:val="2D5E5D04"/>
    <w:rsid w:val="2DF950BB"/>
    <w:rsid w:val="2E5E7AF7"/>
    <w:rsid w:val="2EE73822"/>
    <w:rsid w:val="2F8A06C1"/>
    <w:rsid w:val="2FAD4FD9"/>
    <w:rsid w:val="2FB346FB"/>
    <w:rsid w:val="2FE1763D"/>
    <w:rsid w:val="2FFA5778"/>
    <w:rsid w:val="30495C84"/>
    <w:rsid w:val="30650005"/>
    <w:rsid w:val="310333AD"/>
    <w:rsid w:val="31522189"/>
    <w:rsid w:val="31705600"/>
    <w:rsid w:val="32802438"/>
    <w:rsid w:val="329E6CD8"/>
    <w:rsid w:val="32D77AA0"/>
    <w:rsid w:val="33147C55"/>
    <w:rsid w:val="33440753"/>
    <w:rsid w:val="33773E42"/>
    <w:rsid w:val="34E14EA2"/>
    <w:rsid w:val="34E346A0"/>
    <w:rsid w:val="359B1151"/>
    <w:rsid w:val="35AD49A2"/>
    <w:rsid w:val="36172BC3"/>
    <w:rsid w:val="36BE6EA2"/>
    <w:rsid w:val="36CA3005"/>
    <w:rsid w:val="36CC7C95"/>
    <w:rsid w:val="36EB650A"/>
    <w:rsid w:val="372F1B4E"/>
    <w:rsid w:val="378133A9"/>
    <w:rsid w:val="37F43104"/>
    <w:rsid w:val="3819336A"/>
    <w:rsid w:val="383A233E"/>
    <w:rsid w:val="386D031B"/>
    <w:rsid w:val="39101F1B"/>
    <w:rsid w:val="392D7EB3"/>
    <w:rsid w:val="39720FC7"/>
    <w:rsid w:val="39822409"/>
    <w:rsid w:val="39876623"/>
    <w:rsid w:val="39B319C0"/>
    <w:rsid w:val="39CD52E9"/>
    <w:rsid w:val="3A64388F"/>
    <w:rsid w:val="3ABB2462"/>
    <w:rsid w:val="3AF64E5C"/>
    <w:rsid w:val="3B0B043D"/>
    <w:rsid w:val="3BB645EB"/>
    <w:rsid w:val="3BDF2457"/>
    <w:rsid w:val="3CE90B2F"/>
    <w:rsid w:val="3D23372C"/>
    <w:rsid w:val="3D532A3A"/>
    <w:rsid w:val="3D983022"/>
    <w:rsid w:val="3DF80C94"/>
    <w:rsid w:val="3E064F5A"/>
    <w:rsid w:val="3E161B6B"/>
    <w:rsid w:val="3E7F5998"/>
    <w:rsid w:val="3F0056DB"/>
    <w:rsid w:val="3F1A3023"/>
    <w:rsid w:val="3F243A9D"/>
    <w:rsid w:val="3FA7706D"/>
    <w:rsid w:val="40350295"/>
    <w:rsid w:val="40514D88"/>
    <w:rsid w:val="4058639A"/>
    <w:rsid w:val="406E1D8D"/>
    <w:rsid w:val="41221D2D"/>
    <w:rsid w:val="42053C57"/>
    <w:rsid w:val="42214BD9"/>
    <w:rsid w:val="42324DFA"/>
    <w:rsid w:val="42862F6A"/>
    <w:rsid w:val="42990030"/>
    <w:rsid w:val="431353F3"/>
    <w:rsid w:val="43455446"/>
    <w:rsid w:val="435A7DA3"/>
    <w:rsid w:val="43A35D9D"/>
    <w:rsid w:val="4469669F"/>
    <w:rsid w:val="44DA072F"/>
    <w:rsid w:val="451B27E5"/>
    <w:rsid w:val="454D0F8E"/>
    <w:rsid w:val="45FC0A54"/>
    <w:rsid w:val="461D469A"/>
    <w:rsid w:val="466976E6"/>
    <w:rsid w:val="46EA0CE7"/>
    <w:rsid w:val="46F320F9"/>
    <w:rsid w:val="470D4256"/>
    <w:rsid w:val="470E352E"/>
    <w:rsid w:val="472208AE"/>
    <w:rsid w:val="47704C41"/>
    <w:rsid w:val="47B925F3"/>
    <w:rsid w:val="485F25C5"/>
    <w:rsid w:val="48910AEC"/>
    <w:rsid w:val="48B3170D"/>
    <w:rsid w:val="48B453AA"/>
    <w:rsid w:val="493C7DE9"/>
    <w:rsid w:val="4A1E13B4"/>
    <w:rsid w:val="4A2C49B0"/>
    <w:rsid w:val="4A7D1B0F"/>
    <w:rsid w:val="4AAC50D1"/>
    <w:rsid w:val="4BE05239"/>
    <w:rsid w:val="4C5A2B74"/>
    <w:rsid w:val="4D2D20D9"/>
    <w:rsid w:val="4D93478D"/>
    <w:rsid w:val="4DA074F7"/>
    <w:rsid w:val="4DA33F07"/>
    <w:rsid w:val="4DDE52C0"/>
    <w:rsid w:val="4F027E1C"/>
    <w:rsid w:val="4F0A0A7E"/>
    <w:rsid w:val="50100AB3"/>
    <w:rsid w:val="50774EC9"/>
    <w:rsid w:val="50A1397F"/>
    <w:rsid w:val="51C75DFE"/>
    <w:rsid w:val="51D4384D"/>
    <w:rsid w:val="52741FCB"/>
    <w:rsid w:val="52D06B10"/>
    <w:rsid w:val="52F842BF"/>
    <w:rsid w:val="53536515"/>
    <w:rsid w:val="536B21BA"/>
    <w:rsid w:val="53A862CC"/>
    <w:rsid w:val="53F00B8B"/>
    <w:rsid w:val="542A0FDA"/>
    <w:rsid w:val="547277F2"/>
    <w:rsid w:val="547B0B30"/>
    <w:rsid w:val="54ED53D0"/>
    <w:rsid w:val="54F161CB"/>
    <w:rsid w:val="54F975CB"/>
    <w:rsid w:val="55091CCC"/>
    <w:rsid w:val="56307253"/>
    <w:rsid w:val="56453199"/>
    <w:rsid w:val="571B6F4E"/>
    <w:rsid w:val="577C44E3"/>
    <w:rsid w:val="582F6DAB"/>
    <w:rsid w:val="58AD45AF"/>
    <w:rsid w:val="58D4718C"/>
    <w:rsid w:val="59A82CA5"/>
    <w:rsid w:val="5A702623"/>
    <w:rsid w:val="5AD536B4"/>
    <w:rsid w:val="5AEA4CCC"/>
    <w:rsid w:val="5B031B11"/>
    <w:rsid w:val="5B96574B"/>
    <w:rsid w:val="5C5A652B"/>
    <w:rsid w:val="5C751149"/>
    <w:rsid w:val="5CC826A5"/>
    <w:rsid w:val="5CD56B70"/>
    <w:rsid w:val="5D777C27"/>
    <w:rsid w:val="5DD1318C"/>
    <w:rsid w:val="5DE138D8"/>
    <w:rsid w:val="5E1921ED"/>
    <w:rsid w:val="5EDC2437"/>
    <w:rsid w:val="5F3E605D"/>
    <w:rsid w:val="5F7D5E8E"/>
    <w:rsid w:val="5F7F522A"/>
    <w:rsid w:val="5FC67A7F"/>
    <w:rsid w:val="5FDA6D43"/>
    <w:rsid w:val="5FE13A7D"/>
    <w:rsid w:val="60107EBF"/>
    <w:rsid w:val="601337BB"/>
    <w:rsid w:val="603D1BCE"/>
    <w:rsid w:val="618F13C5"/>
    <w:rsid w:val="61DD46AC"/>
    <w:rsid w:val="62A87E16"/>
    <w:rsid w:val="62CA561A"/>
    <w:rsid w:val="6313315F"/>
    <w:rsid w:val="63CD6C1F"/>
    <w:rsid w:val="64A56430"/>
    <w:rsid w:val="65984BDE"/>
    <w:rsid w:val="65B6037E"/>
    <w:rsid w:val="65BB2793"/>
    <w:rsid w:val="65E75C0B"/>
    <w:rsid w:val="665648D4"/>
    <w:rsid w:val="667027CF"/>
    <w:rsid w:val="6688694C"/>
    <w:rsid w:val="66C3409C"/>
    <w:rsid w:val="67530DBD"/>
    <w:rsid w:val="67673354"/>
    <w:rsid w:val="68245589"/>
    <w:rsid w:val="68777DD2"/>
    <w:rsid w:val="69796AD5"/>
    <w:rsid w:val="69983CE0"/>
    <w:rsid w:val="6A1C1694"/>
    <w:rsid w:val="6A751DB0"/>
    <w:rsid w:val="6AB95533"/>
    <w:rsid w:val="6B037E0E"/>
    <w:rsid w:val="6BDE41BB"/>
    <w:rsid w:val="6BF07522"/>
    <w:rsid w:val="6C5462A8"/>
    <w:rsid w:val="6C917FD7"/>
    <w:rsid w:val="6D043AA1"/>
    <w:rsid w:val="6D937032"/>
    <w:rsid w:val="6EBD6FDF"/>
    <w:rsid w:val="6EC42E1A"/>
    <w:rsid w:val="6EF03395"/>
    <w:rsid w:val="6EF94940"/>
    <w:rsid w:val="70A772A4"/>
    <w:rsid w:val="71BB7860"/>
    <w:rsid w:val="72440385"/>
    <w:rsid w:val="727F2F91"/>
    <w:rsid w:val="736E54E1"/>
    <w:rsid w:val="73761484"/>
    <w:rsid w:val="73B43D93"/>
    <w:rsid w:val="73ED4347"/>
    <w:rsid w:val="742F670E"/>
    <w:rsid w:val="743F3C99"/>
    <w:rsid w:val="74835482"/>
    <w:rsid w:val="74877DC7"/>
    <w:rsid w:val="75610B49"/>
    <w:rsid w:val="75890D8F"/>
    <w:rsid w:val="75B043EA"/>
    <w:rsid w:val="76D90F68"/>
    <w:rsid w:val="775A1BFE"/>
    <w:rsid w:val="778B72A4"/>
    <w:rsid w:val="77C1540B"/>
    <w:rsid w:val="783E7320"/>
    <w:rsid w:val="78CB19C0"/>
    <w:rsid w:val="78F35EFE"/>
    <w:rsid w:val="78F9378E"/>
    <w:rsid w:val="78FF5669"/>
    <w:rsid w:val="793275BA"/>
    <w:rsid w:val="793C7C90"/>
    <w:rsid w:val="79A724F1"/>
    <w:rsid w:val="7A083FAF"/>
    <w:rsid w:val="7A4B7878"/>
    <w:rsid w:val="7A6D100D"/>
    <w:rsid w:val="7ABE2599"/>
    <w:rsid w:val="7B232E76"/>
    <w:rsid w:val="7B97037C"/>
    <w:rsid w:val="7BF32209"/>
    <w:rsid w:val="7C56760C"/>
    <w:rsid w:val="7C5F16F8"/>
    <w:rsid w:val="7C9D3E10"/>
    <w:rsid w:val="7CAF2E48"/>
    <w:rsid w:val="7CB122FF"/>
    <w:rsid w:val="7CCB7B89"/>
    <w:rsid w:val="7D2A47D7"/>
    <w:rsid w:val="7D761851"/>
    <w:rsid w:val="7DBA67DE"/>
    <w:rsid w:val="7DF53ACA"/>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1"/>
    <w:unhideWhenUsed/>
    <w:qFormat/>
    <w:uiPriority w:val="0"/>
    <w:pPr>
      <w:spacing w:after="120"/>
    </w:pPr>
    <w:rPr>
      <w:rFonts w:ascii="Calibri" w:hAnsi="Calibri"/>
      <w:kern w:val="2"/>
      <w:szCs w:val="22"/>
    </w:rPr>
  </w:style>
  <w:style w:type="paragraph" w:styleId="5">
    <w:name w:val="Body Text Indent"/>
    <w:basedOn w:val="1"/>
    <w:next w:val="6"/>
    <w:qFormat/>
    <w:uiPriority w:val="99"/>
    <w:pPr>
      <w:ind w:firstLine="420"/>
    </w:pPr>
    <w:rPr>
      <w:kern w:val="0"/>
      <w:szCs w:val="21"/>
    </w:rPr>
  </w:style>
  <w:style w:type="paragraph" w:styleId="6">
    <w:name w:val="envelope return"/>
    <w:basedOn w:val="1"/>
    <w:qFormat/>
    <w:uiPriority w:val="0"/>
    <w:pPr>
      <w:snapToGrid w:val="0"/>
    </w:pPr>
    <w:rPr>
      <w:rFonts w:ascii="Arial" w:hAnsi="Arial"/>
    </w:rPr>
  </w:style>
  <w:style w:type="paragraph" w:styleId="7">
    <w:name w:val="Plain Text"/>
    <w:basedOn w:val="1"/>
    <w:unhideWhenUsed/>
    <w:qFormat/>
    <w:uiPriority w:val="99"/>
    <w:rPr>
      <w:rFonts w:hint="eastAsia" w:ascii="宋体" w:hAnsi="Courier New"/>
      <w:sz w:val="21"/>
    </w:rPr>
  </w:style>
  <w:style w:type="paragraph" w:styleId="8">
    <w:name w:val="footer"/>
    <w:basedOn w:val="1"/>
    <w:link w:val="17"/>
    <w:autoRedefine/>
    <w:qFormat/>
    <w:uiPriority w:val="0"/>
    <w:pPr>
      <w:tabs>
        <w:tab w:val="center" w:pos="4153"/>
        <w:tab w:val="right" w:pos="8306"/>
      </w:tabs>
      <w:snapToGrid w:val="0"/>
      <w:jc w:val="left"/>
    </w:pPr>
    <w:rPr>
      <w:sz w:val="18"/>
      <w:szCs w:val="18"/>
    </w:rPr>
  </w:style>
  <w:style w:type="paragraph" w:styleId="9">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style>
  <w:style w:type="paragraph" w:styleId="11">
    <w:name w:val="Normal (Web)"/>
    <w:basedOn w:val="1"/>
    <w:autoRedefine/>
    <w:qFormat/>
    <w:uiPriority w:val="0"/>
    <w:pPr>
      <w:spacing w:beforeAutospacing="1" w:afterAutospacing="1"/>
      <w:jc w:val="left"/>
    </w:pPr>
    <w:rPr>
      <w:rFonts w:cs="Times New Roman"/>
      <w:kern w:val="0"/>
      <w:sz w:val="24"/>
    </w:rPr>
  </w:style>
  <w:style w:type="paragraph" w:styleId="12">
    <w:name w:val="Body Text First Indent 2"/>
    <w:basedOn w:val="5"/>
    <w:next w:val="1"/>
    <w:qFormat/>
    <w:uiPriority w:val="0"/>
    <w:pPr>
      <w:ind w:firstLine="200" w:firstLineChars="200"/>
    </w:pPr>
  </w:style>
  <w:style w:type="paragraph" w:customStyle="1" w:styleId="15">
    <w:name w:val="样式 首行缩进:  2 字符"/>
    <w:basedOn w:val="1"/>
    <w:qFormat/>
    <w:uiPriority w:val="99"/>
    <w:pPr>
      <w:ind w:firstLine="560"/>
    </w:pPr>
    <w:rPr>
      <w:rFonts w:cs="宋体"/>
      <w:sz w:val="24"/>
    </w:rPr>
  </w:style>
  <w:style w:type="character" w:customStyle="1" w:styleId="16">
    <w:name w:val="页眉 Char"/>
    <w:basedOn w:val="14"/>
    <w:link w:val="9"/>
    <w:autoRedefine/>
    <w:qFormat/>
    <w:uiPriority w:val="0"/>
    <w:rPr>
      <w:rFonts w:asciiTheme="minorHAnsi" w:hAnsiTheme="minorHAnsi" w:eastAsiaTheme="minorEastAsia" w:cstheme="minorBidi"/>
      <w:kern w:val="2"/>
      <w:sz w:val="18"/>
      <w:szCs w:val="18"/>
    </w:rPr>
  </w:style>
  <w:style w:type="character" w:customStyle="1" w:styleId="17">
    <w:name w:val="页脚 Char"/>
    <w:basedOn w:val="14"/>
    <w:link w:val="8"/>
    <w:autoRedefine/>
    <w:qFormat/>
    <w:uiPriority w:val="0"/>
    <w:rPr>
      <w:rFonts w:asciiTheme="minorHAnsi" w:hAnsiTheme="minorHAnsi" w:eastAsiaTheme="minorEastAsia" w:cstheme="minorBidi"/>
      <w:kern w:val="2"/>
      <w:sz w:val="18"/>
      <w:szCs w:val="18"/>
    </w:rPr>
  </w:style>
  <w:style w:type="paragraph" w:customStyle="1" w:styleId="18">
    <w:name w:val="正文首行缩进 21"/>
    <w:basedOn w:val="19"/>
    <w:qFormat/>
    <w:uiPriority w:val="0"/>
    <w:pPr>
      <w:ind w:firstLine="420"/>
    </w:pPr>
  </w:style>
  <w:style w:type="paragraph" w:customStyle="1" w:styleId="19">
    <w:name w:val="正文文本缩进1"/>
    <w:basedOn w:val="1"/>
    <w:qFormat/>
    <w:uiPriority w:val="0"/>
    <w:pPr>
      <w:spacing w:after="120"/>
      <w:ind w:left="420"/>
    </w:pPr>
  </w:style>
  <w:style w:type="paragraph" w:customStyle="1" w:styleId="20">
    <w:name w:val="纯文本1"/>
    <w:basedOn w:val="1"/>
    <w:qFormat/>
    <w:uiPriority w:val="0"/>
    <w:pPr>
      <w:spacing w:before="156" w:after="156" w:line="400" w:lineRule="exact"/>
    </w:pPr>
    <w:rPr>
      <w:rFonts w:ascii="宋体" w:hAnsi="Courier New" w:eastAsia="宋体"/>
      <w:sz w:val="24"/>
      <w:szCs w:val="24"/>
      <w:lang w:val="en-US" w:eastAsia="zh-CN" w:bidi="ar-SA"/>
    </w:rPr>
  </w:style>
  <w:style w:type="paragraph" w:customStyle="1" w:styleId="21">
    <w:name w:val="正文1"/>
    <w:basedOn w:val="22"/>
    <w:qFormat/>
    <w:uiPriority w:val="0"/>
    <w:pPr>
      <w:spacing w:line="400" w:lineRule="exact"/>
      <w:ind w:firstLine="420"/>
    </w:pPr>
    <w:rPr>
      <w:rFonts w:ascii="宋体" w:hAnsi="宋体"/>
      <w:szCs w:val="21"/>
    </w:rPr>
  </w:style>
  <w:style w:type="paragraph" w:customStyle="1" w:styleId="22">
    <w:name w:val="正文11"/>
    <w:next w:val="23"/>
    <w:qFormat/>
    <w:uiPriority w:val="0"/>
    <w:pPr>
      <w:spacing w:line="856" w:lineRule="atLeast"/>
      <w:jc w:val="both"/>
    </w:pPr>
    <w:rPr>
      <w:rFonts w:ascii="Times New Roman" w:hAnsi="Times New Roman" w:eastAsia="宋体" w:cs="Times New Roman"/>
      <w:color w:val="000000"/>
      <w:sz w:val="21"/>
      <w:lang w:val="en-US" w:eastAsia="zh-CN" w:bidi="ar-SA"/>
    </w:rPr>
  </w:style>
  <w:style w:type="paragraph" w:customStyle="1" w:styleId="23">
    <w:name w:val="文本块1"/>
    <w:basedOn w:val="22"/>
    <w:qFormat/>
    <w:uiPriority w:val="0"/>
    <w:pPr>
      <w:ind w:left="256" w:right="6" w:firstLine="624"/>
    </w:pPr>
    <w:rPr>
      <w:rFonts w:eastAsia="仿宋"/>
      <w:sz w:val="28"/>
    </w:rPr>
  </w:style>
  <w:style w:type="character" w:customStyle="1" w:styleId="24">
    <w:name w:val="三级目录"/>
    <w:qFormat/>
    <w:uiPriority w:val="0"/>
    <w:rPr>
      <w:rFonts w:hint="default" w:ascii="宋体" w:hAnsi="宋体"/>
      <w:b/>
      <w:bCs/>
      <w:sz w:val="23"/>
    </w:rPr>
  </w:style>
  <w:style w:type="paragraph" w:customStyle="1" w:styleId="2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6">
    <w:name w:val="页脚1"/>
    <w:basedOn w:val="1"/>
    <w:unhideWhenUsed/>
    <w:qFormat/>
    <w:uiPriority w:val="99"/>
    <w:pPr>
      <w:tabs>
        <w:tab w:val="center" w:pos="4153"/>
        <w:tab w:val="right" w:pos="8306"/>
      </w:tabs>
      <w:jc w:val="left"/>
    </w:pPr>
    <w:rPr>
      <w:sz w:val="18"/>
      <w:szCs w:val="18"/>
    </w:rPr>
  </w:style>
  <w:style w:type="paragraph" w:customStyle="1" w:styleId="27">
    <w:name w:val="表格内容"/>
    <w:basedOn w:val="1"/>
    <w:next w:val="1"/>
    <w:qFormat/>
    <w:uiPriority w:val="0"/>
    <w:pPr>
      <w:spacing w:line="360" w:lineRule="auto"/>
      <w:ind w:firstLine="0" w:firstLineChars="0"/>
    </w:pPr>
    <w:rPr>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49</Pages>
  <Words>129</Words>
  <Characters>162</Characters>
  <Lines>129</Lines>
  <Paragraphs>36</Paragraphs>
  <TotalTime>30</TotalTime>
  <ScaleCrop>false</ScaleCrop>
  <LinksUpToDate>false</LinksUpToDate>
  <CharactersWithSpaces>215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一个人</cp:lastModifiedBy>
  <cp:lastPrinted>2025-06-23T07:43:00Z</cp:lastPrinted>
  <dcterms:modified xsi:type="dcterms:W3CDTF">2026-08-07T00:10:43Z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392C3528A8E1474DAABDABCA9B859444_13</vt:lpwstr>
  </property>
  <property fmtid="{D5CDD505-2E9C-101B-9397-08002B2CF9AE}" pid="4" name="KSOTemplateDocerSaveRecord">
    <vt:lpwstr>eyJoZGlkIjoiYTI3NGU2NThmZWVjYmRiNTQ1NjM4Mzk0ZGMxZGQ3ZmMiLCJ1c2VySWQiOiIyNjYxNTYwNjkifQ==</vt:lpwstr>
  </property>
</Properties>
</file>