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8600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highlight w:val="none"/>
        </w:rPr>
      </w:pPr>
      <w:bookmarkStart w:id="126" w:name="_GoBack"/>
    </w:p>
    <w:p w14:paraId="32D9308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highlight w:val="none"/>
          <w:lang w:eastAsia="zh-CN"/>
        </w:rPr>
      </w:pPr>
    </w:p>
    <w:p w14:paraId="5128980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太仓市政府采购</w:t>
      </w:r>
    </w:p>
    <w:p w14:paraId="1D5CC8E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 </w:t>
      </w:r>
    </w:p>
    <w:p w14:paraId="0B939AD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招 标 文 件</w:t>
      </w:r>
    </w:p>
    <w:p w14:paraId="38A7CC9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highlight w:val="none"/>
          <w:lang w:eastAsia="zh-CN"/>
        </w:rPr>
        <w:t> </w:t>
      </w:r>
    </w:p>
    <w:p w14:paraId="185FEC2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highlight w:val="none"/>
          <w:lang w:eastAsia="zh-CN"/>
        </w:rPr>
      </w:pPr>
      <w:r>
        <w:rPr>
          <w:rFonts w:hint="eastAsia" w:ascii="宋体" w:hAnsi="宋体" w:eastAsia="宋体" w:cs="宋体"/>
          <w:highlight w:val="none"/>
          <w:lang w:eastAsia="zh-CN"/>
        </w:rPr>
        <w:t> </w:t>
      </w:r>
    </w:p>
    <w:p w14:paraId="32F3A2AF">
      <w:pPr>
        <w:pBdr>
          <w:top w:val="none" w:color="000000" w:sz="0" w:space="0"/>
          <w:left w:val="none" w:color="000000" w:sz="0" w:space="0"/>
          <w:bottom w:val="none" w:color="000000" w:sz="0" w:space="0"/>
          <w:right w:val="none" w:color="000000" w:sz="0" w:space="0"/>
        </w:pBdr>
        <w:spacing w:line="85" w:lineRule="atLeast"/>
        <w:jc w:val="right"/>
        <w:rPr>
          <w:rFonts w:hint="eastAsia" w:ascii="宋体" w:hAnsi="宋体" w:eastAsia="宋体" w:cs="宋体"/>
          <w:highlight w:val="none"/>
          <w:lang w:eastAsia="zh-CN"/>
        </w:rPr>
      </w:pPr>
      <w:r>
        <w:rPr>
          <w:rFonts w:hint="eastAsia" w:ascii="宋体" w:hAnsi="宋体" w:eastAsia="宋体" w:cs="宋体"/>
          <w:sz w:val="32"/>
          <w:highlight w:val="none"/>
          <w:lang w:eastAsia="zh-CN"/>
        </w:rPr>
        <w:t> </w:t>
      </w:r>
    </w:p>
    <w:p w14:paraId="47B4D97B">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bookmarkStart w:id="0" w:name="OLE_LINK1"/>
      <w:r>
        <w:rPr>
          <w:rFonts w:hint="eastAsia" w:ascii="宋体" w:hAnsi="宋体" w:eastAsia="宋体" w:cs="宋体"/>
          <w:b/>
          <w:sz w:val="36"/>
          <w:highlight w:val="none"/>
          <w:lang w:eastAsia="zh-CN"/>
        </w:rPr>
        <w:t>项目编号：JSZC-320585-JZCG-G2026-0081</w:t>
      </w:r>
    </w:p>
    <w:p w14:paraId="00082F96">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项目名称：太仓市智慧城市新型基础设施建设（第二批）</w:t>
      </w:r>
    </w:p>
    <w:p w14:paraId="5516302F">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采购单位：太仓市公安局</w:t>
      </w:r>
    </w:p>
    <w:bookmarkEnd w:id="0"/>
    <w:p w14:paraId="4F4358BC">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采购项目类别：服务类</w:t>
      </w:r>
    </w:p>
    <w:p w14:paraId="65B00DB8">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标的所属行业：（十二）软件和信息服务业</w:t>
      </w:r>
    </w:p>
    <w:p w14:paraId="2E0B3B7D">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44"/>
          <w:highlight w:val="none"/>
          <w:lang w:eastAsia="zh-CN"/>
        </w:rPr>
      </w:pPr>
    </w:p>
    <w:p w14:paraId="7FF5F69C">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highlight w:val="none"/>
          <w:lang w:eastAsia="zh-CN"/>
        </w:rPr>
      </w:pPr>
      <w:r>
        <w:rPr>
          <w:rFonts w:hint="eastAsia" w:ascii="宋体" w:hAnsi="宋体" w:eastAsia="宋体" w:cs="宋体"/>
          <w:sz w:val="44"/>
          <w:highlight w:val="none"/>
          <w:lang w:eastAsia="zh-CN"/>
        </w:rPr>
        <w:t>苏州市公共资源交易中心太仓分中心</w:t>
      </w:r>
    </w:p>
    <w:p w14:paraId="1A02B476">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44"/>
          <w:highlight w:val="none"/>
          <w:lang w:eastAsia="zh-CN"/>
        </w:rPr>
      </w:pPr>
    </w:p>
    <w:p w14:paraId="74D1DB05">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28"/>
          <w:highlight w:val="none"/>
          <w:lang w:eastAsia="zh-CN"/>
        </w:rPr>
      </w:pPr>
      <w:r>
        <w:rPr>
          <w:rFonts w:hint="eastAsia" w:ascii="宋体" w:hAnsi="宋体" w:eastAsia="宋体" w:cs="宋体"/>
          <w:sz w:val="44"/>
          <w:highlight w:val="none"/>
          <w:lang w:eastAsia="zh-CN"/>
        </w:rPr>
        <w:t>2026年8月</w:t>
      </w:r>
    </w:p>
    <w:p w14:paraId="31CC4BF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058A69F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2A0F130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1F59AA2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4DE1F70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70CFC03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36"/>
          <w:highlight w:val="none"/>
          <w:lang w:eastAsia="zh-CN"/>
        </w:rPr>
        <w:t>目 录</w:t>
      </w:r>
    </w:p>
    <w:p w14:paraId="6D0D8F3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30"/>
          <w:highlight w:val="none"/>
          <w:lang w:eastAsia="zh-CN"/>
        </w:rPr>
      </w:pPr>
    </w:p>
    <w:p w14:paraId="3C3C026E">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第一部分：招标公告</w:t>
      </w:r>
    </w:p>
    <w:p w14:paraId="6535FA85">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第二部分：投标人须知</w:t>
      </w:r>
    </w:p>
    <w:p w14:paraId="62D8A1DF">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第三部分：项目需求</w:t>
      </w:r>
    </w:p>
    <w:p w14:paraId="2BC6D4E2">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第四部分：投标文件格式</w:t>
      </w:r>
    </w:p>
    <w:p w14:paraId="05E1B90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第五部分：评标方法与评标标准</w:t>
      </w:r>
    </w:p>
    <w:p w14:paraId="3F83C344">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第六部分：合同主要条款</w:t>
      </w:r>
    </w:p>
    <w:p w14:paraId="3CE6E85C">
      <w:pPr>
        <w:pBdr>
          <w:top w:val="none" w:color="000000" w:sz="0" w:space="0"/>
          <w:left w:val="none" w:color="000000" w:sz="0" w:space="0"/>
          <w:bottom w:val="none" w:color="000000" w:sz="0" w:space="0"/>
          <w:right w:val="none" w:color="000000" w:sz="0" w:space="0"/>
        </w:pBdr>
        <w:spacing w:before="240" w:after="240" w:line="520" w:lineRule="exac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016CF767">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4C5BE60F">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7C95BDC4">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179DF839">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22486B77">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4F4F7604">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366F63BA">
      <w:pPr>
        <w:jc w:val="center"/>
        <w:rPr>
          <w:rFonts w:hint="eastAsia" w:ascii="宋体" w:hAnsi="宋体" w:eastAsia="宋体" w:cs="宋体"/>
          <w:b/>
          <w:sz w:val="44"/>
          <w:highlight w:val="none"/>
        </w:rPr>
      </w:pPr>
      <w:r>
        <w:rPr>
          <w:rFonts w:hint="eastAsia" w:ascii="宋体" w:hAnsi="宋体" w:eastAsia="宋体" w:cs="宋体"/>
          <w:b/>
          <w:sz w:val="44"/>
          <w:highlight w:val="none"/>
        </w:rPr>
        <w:t>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招标公告</w:t>
      </w:r>
    </w:p>
    <w:tbl>
      <w:tblPr>
        <w:tblStyle w:val="4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0E027BF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6A519C1A">
            <w:pPr>
              <w:pStyle w:val="4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项目概况</w:t>
            </w:r>
          </w:p>
          <w:p w14:paraId="57DE80DD">
            <w:pPr>
              <w:pStyle w:val="4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太仓市智慧城市新型基础设施建设（第二批） JSZC-320585-JZCG-G2026-0081招标项目的潜在投标人应在“苏采云</w:t>
            </w:r>
            <w:r>
              <w:rPr>
                <w:rFonts w:hint="eastAsia" w:ascii="宋体" w:hAnsi="宋体" w:eastAsia="宋体" w:cs="宋体"/>
                <w:sz w:val="24"/>
                <w:szCs w:val="24"/>
                <w:highlight w:val="none"/>
                <w:shd w:val="clear" w:color="auto" w:fill="FFFFFF"/>
                <w:lang w:eastAsia="zh-CN"/>
              </w:rPr>
              <w:t>”系统（网址：http://jszfcg.jsczt.cn/）自行下载获取招标文件，并于2026-09-20 09:30 （北京时间）前递交投标文件。</w:t>
            </w:r>
          </w:p>
        </w:tc>
      </w:tr>
    </w:tbl>
    <w:p w14:paraId="1059CEB4">
      <w:pPr>
        <w:pStyle w:val="4"/>
        <w:keepNext w:val="0"/>
        <w:keepLines w:val="0"/>
        <w:spacing w:before="0" w:after="0" w:line="48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一、项目基本情况</w:t>
      </w:r>
    </w:p>
    <w:p w14:paraId="605B966C">
      <w:pPr>
        <w:pStyle w:val="40"/>
        <w:spacing w:after="0" w:line="480" w:lineRule="exact"/>
        <w:ind w:firstLine="480" w:firstLineChars="200"/>
        <w:rPr>
          <w:rFonts w:hint="eastAsia" w:ascii="宋体" w:hAnsi="宋体" w:eastAsia="宋体" w:cs="宋体"/>
          <w:sz w:val="24"/>
          <w:szCs w:val="24"/>
          <w:highlight w:val="none"/>
          <w:lang w:eastAsia="zh-CN"/>
        </w:rPr>
      </w:pPr>
      <w:bookmarkStart w:id="1" w:name="OLE_LINK14"/>
      <w:r>
        <w:rPr>
          <w:rFonts w:hint="eastAsia" w:ascii="宋体" w:hAnsi="宋体" w:eastAsia="宋体" w:cs="宋体"/>
          <w:sz w:val="24"/>
          <w:szCs w:val="24"/>
          <w:highlight w:val="none"/>
          <w:shd w:val="clear" w:color="auto" w:fill="FFFFFF"/>
          <w:lang w:eastAsia="zh-CN"/>
        </w:rPr>
        <w:t>项目编号：JSZC-320585-JZCG-G2026-0081</w:t>
      </w:r>
    </w:p>
    <w:bookmarkEnd w:id="1"/>
    <w:p w14:paraId="34A68E91">
      <w:pPr>
        <w:pStyle w:val="4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    项目名称：太仓市智慧城市新型基础设施建设（第二批）</w:t>
      </w:r>
    </w:p>
    <w:p w14:paraId="74B828A4">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预算金额：849.78万元</w:t>
      </w:r>
    </w:p>
    <w:p w14:paraId="57FBFEDB">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最高限价：无；</w:t>
      </w:r>
    </w:p>
    <w:p w14:paraId="796D0B52">
      <w:pPr>
        <w:pStyle w:val="40"/>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采购方式：公开招标 </w:t>
      </w:r>
    </w:p>
    <w:p w14:paraId="67583AFA">
      <w:pPr>
        <w:pStyle w:val="40"/>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采购需求：</w:t>
      </w:r>
    </w:p>
    <w:p w14:paraId="3EDB8221">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主要建设内容包括视频巡检车系统、车辆解析应用系统、交通信控综合指挥平台、执法音视频智能分析系统、案卷智能审核系统等，进一步提升城市智能感知、交通指挥与便民服务能力。具体内容详见第三部分项目需求。</w:t>
      </w:r>
    </w:p>
    <w:p w14:paraId="061C08C1">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合同履行期限：4个月完成项目，验收结束后，进入三年的免费维保期。</w:t>
      </w:r>
    </w:p>
    <w:p w14:paraId="7C8882A4">
      <w:pPr>
        <w:pStyle w:val="40"/>
        <w:shd w:val="clear" w:color="auto" w:fill="FFFFFF"/>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本项目（是/否）接受联合体投标：不接受联合体</w:t>
      </w:r>
    </w:p>
    <w:p w14:paraId="1C08C611">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二、申请人的资格要求</w:t>
      </w:r>
    </w:p>
    <w:p w14:paraId="17A330A7">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（一）满足《中华人民共和国政府采购法》第二十二条规定；</w:t>
      </w:r>
    </w:p>
    <w:p w14:paraId="6A8E2C2A">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1.具有独立承担民事责任的能力证明。包括法人或者其他组织的营业执照等证明文件，自然人的身份证明；</w:t>
      </w:r>
    </w:p>
    <w:p w14:paraId="6B413B9E">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2.具有良好的商业信誉和健全的财务会计制度证明。</w:t>
      </w:r>
    </w:p>
    <w:p w14:paraId="40991FF9">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3.具备履行合同所必需的设备和专业技术能力的证明材料或承诺；</w:t>
      </w:r>
    </w:p>
    <w:p w14:paraId="4D6C6BCC">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4.依法缴纳税收和社会保障资金的相关资料；</w:t>
      </w:r>
    </w:p>
    <w:p w14:paraId="537050DE">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5.参加政府采购活动前三年内在经营活动中没有重大违法记录的书面声明函；</w:t>
      </w:r>
    </w:p>
    <w:p w14:paraId="16DB33BC">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件当事人名单、政府采购严重失信行为记录名单。</w:t>
      </w:r>
    </w:p>
    <w:p w14:paraId="725C7A07">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7.采购文件要求的其他资格证明文件</w:t>
      </w:r>
    </w:p>
    <w:p w14:paraId="60C24A5D">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（二）落实政府采购政策需满足的资格要求：</w:t>
      </w:r>
    </w:p>
    <w:p w14:paraId="18ABBA50">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本项目非专门面向中小企业采购</w:t>
      </w:r>
    </w:p>
    <w:p w14:paraId="0F175174">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（三）本项目的特定资格要求： </w:t>
      </w:r>
    </w:p>
    <w:p w14:paraId="0C9C8013">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6AE9FD77">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（四）拒绝下述供应商参加本次采购活动：</w:t>
      </w:r>
    </w:p>
    <w:p w14:paraId="2DADB0A6">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1、供应商单位负责人为同一人或者存在直接控股、管理关系的不同供应商，不得参加同一合同项下的政府采购活动。</w:t>
      </w:r>
    </w:p>
    <w:p w14:paraId="7B5E91DD">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2、凡为采购项目提供整体设计、规范编制或者项目管理、监理、检测等服务的供应商，不得再参加本项目的采购活动。</w:t>
      </w:r>
    </w:p>
    <w:p w14:paraId="760EC903">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3、法人的分支机构不得参加响应活动（除银行、保险、石油石化、电力、电信等行业特殊情况外）。</w:t>
      </w:r>
    </w:p>
    <w:p w14:paraId="30427080">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FE2B470">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三、获取招标文件</w:t>
      </w:r>
    </w:p>
    <w:p w14:paraId="37313A01">
      <w:pPr>
        <w:pStyle w:val="40"/>
        <w:spacing w:after="0"/>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时间：自招标文件公告发布之日起5个工作日</w:t>
      </w:r>
    </w:p>
    <w:p w14:paraId="768B0204">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地点：“苏采云”系统（网址：http://jszfcg.jsczt.cn/）自行下载 </w:t>
      </w:r>
    </w:p>
    <w:p w14:paraId="4DD9427F">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方式：自行下载 </w:t>
      </w:r>
    </w:p>
    <w:p w14:paraId="22D8E378">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售价：0.00元 </w:t>
      </w:r>
    </w:p>
    <w:p w14:paraId="759B4A8E">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四、提交投标文件截止时间、开标时间和地点</w:t>
      </w:r>
    </w:p>
    <w:p w14:paraId="6188333A">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2026-09-20 09:30 （北京时间）</w:t>
      </w:r>
    </w:p>
    <w:p w14:paraId="41222BD6">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 </w:t>
      </w:r>
    </w:p>
    <w:p w14:paraId="56F87C92">
      <w:pPr>
        <w:pStyle w:val="4"/>
        <w:keepNext w:val="0"/>
        <w:keepLines w:val="0"/>
        <w:shd w:val="clear" w:color="auto" w:fill="FFFFFF"/>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五、公告期限</w:t>
      </w:r>
    </w:p>
    <w:p w14:paraId="15CFBFFD">
      <w:pPr>
        <w:pStyle w:val="40"/>
        <w:shd w:val="clear" w:color="auto" w:fill="FFFFFF"/>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自本公告发布之日起5个工作日。</w:t>
      </w:r>
    </w:p>
    <w:p w14:paraId="5E05034E">
      <w:pPr>
        <w:pStyle w:val="4"/>
        <w:keepNext w:val="0"/>
        <w:keepLines w:val="0"/>
        <w:spacing w:before="0" w:after="0" w:line="44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六、其他补充事宜</w:t>
      </w:r>
    </w:p>
    <w:p w14:paraId="015CC299">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1、本项目需要使用CA数字证书制作、上传电子投标文件完成电子投标，请供应商在参加投标活动前办理好CA数字证书申领及电子签章等操作。</w:t>
      </w:r>
    </w:p>
    <w:p w14:paraId="5EA21357">
      <w:pPr>
        <w:spacing w:after="0" w:line="500" w:lineRule="atLeas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ACCCD72">
      <w:pPr>
        <w:spacing w:after="0" w:line="500" w:lineRule="atLeast"/>
        <w:ind w:firstLine="482" w:firstLineChars="200"/>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3、本项目采用不见面开标，投标人开标时无需到开标现场进行解密，采取网上开标大厅解密电子投标文件，投标人远程解密要求如下：</w:t>
      </w:r>
    </w:p>
    <w:p w14:paraId="6DF24F60">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03DC023A">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2）投标人登录苏采云系统，点击开标大厅，选择开标项目，完成不见面开标流程。</w:t>
      </w:r>
    </w:p>
    <w:p w14:paraId="2A4E115C">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3）投标截止时间后根据系统提示解密电子投标文件。</w:t>
      </w:r>
      <w:r>
        <w:rPr>
          <w:rFonts w:hint="eastAsia" w:ascii="宋体" w:hAnsi="宋体" w:eastAsia="宋体" w:cs="宋体"/>
          <w:b/>
          <w:sz w:val="24"/>
          <w:szCs w:val="24"/>
          <w:highlight w:val="none"/>
          <w:lang w:eastAsia="zh-CN"/>
        </w:rPr>
        <w:t>解密时间为15分钟，</w:t>
      </w:r>
      <w:r>
        <w:rPr>
          <w:rFonts w:hint="eastAsia" w:ascii="宋体" w:hAnsi="宋体" w:eastAsia="宋体" w:cs="宋体"/>
          <w:sz w:val="24"/>
          <w:szCs w:val="24"/>
          <w:highlight w:val="none"/>
          <w:lang w:eastAsia="zh-CN"/>
        </w:rPr>
        <w:t>未在规定时间内完成解密，其投标文件将被拒绝，不参与后续投标流程。</w:t>
      </w:r>
    </w:p>
    <w:p w14:paraId="0FFCC94C">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6FC31809">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r>
        <w:rPr>
          <w:rFonts w:hint="eastAsia" w:ascii="宋体" w:hAnsi="宋体" w:eastAsia="宋体" w:cs="宋体"/>
          <w:b/>
          <w:sz w:val="24"/>
          <w:szCs w:val="24"/>
          <w:highlight w:val="none"/>
          <w:lang w:eastAsia="zh-CN"/>
        </w:rPr>
        <w:t>有关苏采云系统驱动安装，</w:t>
      </w:r>
      <w:r>
        <w:rPr>
          <w:rFonts w:hint="eastAsia" w:ascii="宋体" w:hAnsi="宋体" w:eastAsia="宋体" w:cs="宋体"/>
          <w:sz w:val="24"/>
          <w:szCs w:val="24"/>
          <w:highlight w:val="none"/>
          <w:lang w:eastAsia="zh-CN"/>
        </w:rPr>
        <w:t>登录苏州政府采购网，点击页面底部苏采云图标，进入苏采云政府采购一体化平台，点击“驱动下载”，下载</w:t>
      </w:r>
      <w:r>
        <w:rPr>
          <w:rFonts w:hint="eastAsia" w:ascii="宋体" w:hAnsi="宋体" w:eastAsia="宋体" w:cs="宋体"/>
          <w:b/>
          <w:sz w:val="24"/>
          <w:szCs w:val="24"/>
          <w:highlight w:val="none"/>
          <w:lang w:eastAsia="zh-CN"/>
        </w:rPr>
        <w:t>“政务CA、方正签章控件驱动安装包及安装说明”</w:t>
      </w:r>
      <w:r>
        <w:rPr>
          <w:rFonts w:hint="eastAsia" w:ascii="宋体" w:hAnsi="宋体" w:eastAsia="宋体" w:cs="宋体"/>
          <w:sz w:val="24"/>
          <w:szCs w:val="24"/>
          <w:highlight w:val="none"/>
          <w:lang w:eastAsia="zh-CN"/>
        </w:rPr>
        <w:t>文件，按要求安装驱动。</w:t>
      </w:r>
    </w:p>
    <w:p w14:paraId="2A7E10A6">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r>
        <w:rPr>
          <w:rFonts w:hint="eastAsia" w:ascii="宋体" w:hAnsi="宋体" w:eastAsia="宋体" w:cs="宋体"/>
          <w:b/>
          <w:sz w:val="24"/>
          <w:szCs w:val="24"/>
          <w:highlight w:val="none"/>
          <w:lang w:eastAsia="zh-CN"/>
        </w:rPr>
        <w:t>有关供应商注册、报名、下载电子招标文件、制作上传电子投标文件</w:t>
      </w:r>
      <w:r>
        <w:rPr>
          <w:rFonts w:hint="eastAsia" w:ascii="宋体" w:hAnsi="宋体" w:eastAsia="宋体" w:cs="宋体"/>
          <w:sz w:val="24"/>
          <w:szCs w:val="24"/>
          <w:highlight w:val="none"/>
          <w:lang w:eastAsia="zh-CN"/>
        </w:rPr>
        <w:t>、不见面开标及其他注意事项登录苏州政府采购网，在“下载中心”栏目下载“</w:t>
      </w:r>
      <w:r>
        <w:rPr>
          <w:rFonts w:hint="eastAsia" w:ascii="宋体" w:hAnsi="宋体" w:eastAsia="宋体" w:cs="宋体"/>
          <w:b/>
          <w:sz w:val="24"/>
          <w:szCs w:val="24"/>
          <w:highlight w:val="none"/>
          <w:lang w:eastAsia="zh-CN"/>
        </w:rPr>
        <w:t>苏采云系统供应商操作</w:t>
      </w:r>
      <w:r>
        <w:rPr>
          <w:rFonts w:hint="eastAsia" w:ascii="宋体" w:hAnsi="宋体" w:eastAsia="宋体" w:cs="宋体"/>
          <w:b/>
          <w:bCs/>
          <w:sz w:val="24"/>
          <w:szCs w:val="24"/>
          <w:highlight w:val="none"/>
          <w:lang w:eastAsia="zh-CN"/>
        </w:rPr>
        <w:t>手册</w:t>
      </w:r>
      <w:r>
        <w:rPr>
          <w:rFonts w:hint="eastAsia" w:ascii="宋体" w:hAnsi="宋体" w:eastAsia="宋体" w:cs="宋体"/>
          <w:sz w:val="24"/>
          <w:szCs w:val="24"/>
          <w:highlight w:val="none"/>
          <w:lang w:eastAsia="zh-CN"/>
        </w:rPr>
        <w:t>”查阅。</w:t>
      </w:r>
    </w:p>
    <w:p w14:paraId="4151820D">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6、有关办理CA数字申领及电子签章事项，登录苏州政府采购网，点击页面底部苏采云图标，进入苏采云政府采购一体化平台，下载“新CA办理指南”文件查阅。</w:t>
      </w:r>
    </w:p>
    <w:p w14:paraId="6EF70D14">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7、有关电子投标制作技术疑问，请咨询苏采云软件公司客服：13914088964、18261002950、0519-86722802</w:t>
      </w:r>
    </w:p>
    <w:p w14:paraId="16BDA8BC">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8、政府采购监督电话：0512-53512539</w:t>
      </w:r>
    </w:p>
    <w:p w14:paraId="04FF0081">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9、本次招标投标保证金：本项目无须缴纳投标保证金。</w:t>
      </w:r>
    </w:p>
    <w:p w14:paraId="45C2FDED">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10、政府采购信用融资政策：中标供应商可凭政府采购合同办理融资贷款，详情请见江苏政府采购网“政采贷”专栏。</w:t>
      </w:r>
    </w:p>
    <w:p w14:paraId="64943540">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24CBD562">
      <w:pPr>
        <w:pStyle w:val="4"/>
        <w:keepNext w:val="0"/>
        <w:keepLines w:val="0"/>
        <w:spacing w:before="0" w:after="0" w:line="48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七、对本次招标提出询问，请按以下方式联系</w:t>
      </w:r>
    </w:p>
    <w:p w14:paraId="3AC5D11E">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1.采购人信息 </w:t>
      </w:r>
    </w:p>
    <w:p w14:paraId="51F42E6F">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单位名称：太仓市公安局</w:t>
      </w:r>
    </w:p>
    <w:p w14:paraId="1FA63D8E">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    址：太仓市上海东路 58 号‌</w:t>
      </w:r>
    </w:p>
    <w:p w14:paraId="47943346">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联系人：陆健</w:t>
      </w:r>
    </w:p>
    <w:p w14:paraId="1B7FD13C">
      <w:pPr>
        <w:pStyle w:val="40"/>
        <w:spacing w:after="0" w:line="500" w:lineRule="exact"/>
        <w:ind w:firstLine="480"/>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 ：13913763377</w:t>
      </w:r>
      <w:r>
        <w:rPr>
          <w:rFonts w:hint="eastAsia" w:ascii="宋体" w:hAnsi="宋体" w:eastAsia="宋体" w:cs="宋体"/>
          <w:color w:val="333333"/>
          <w:sz w:val="24"/>
          <w:szCs w:val="24"/>
          <w:highlight w:val="none"/>
          <w:shd w:val="clear" w:color="auto" w:fill="FFFFFF"/>
          <w:lang w:eastAsia="zh-CN"/>
        </w:rPr>
        <w:t xml:space="preserve"> </w:t>
      </w:r>
    </w:p>
    <w:p w14:paraId="118AA53E">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2.采购代理机构信息（如有）</w:t>
      </w:r>
    </w:p>
    <w:p w14:paraId="0EF20914">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单位名称：苏州市公共资源交易中心太仓分中心</w:t>
      </w:r>
    </w:p>
    <w:p w14:paraId="7652F7AA">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单位地址：太仓市陆渡街道万金北路88号3栋</w:t>
      </w:r>
    </w:p>
    <w:p w14:paraId="67F425D3">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联系人：张倩</w:t>
      </w:r>
    </w:p>
    <w:p w14:paraId="1C5BED3E">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联系电话：0512-53890581</w:t>
      </w:r>
    </w:p>
    <w:p w14:paraId="0DA911FB">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3.项目联系方式</w:t>
      </w:r>
    </w:p>
    <w:p w14:paraId="2A239557">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项目联系人：张倩</w:t>
      </w:r>
    </w:p>
    <w:p w14:paraId="3224E533">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电话：0512-53890581</w:t>
      </w:r>
    </w:p>
    <w:p w14:paraId="4C79B104">
      <w:pPr>
        <w:pStyle w:val="40"/>
        <w:spacing w:after="0" w:line="480" w:lineRule="exact"/>
        <w:rPr>
          <w:rFonts w:hint="eastAsia" w:ascii="宋体" w:hAnsi="宋体" w:eastAsia="宋体" w:cs="宋体"/>
          <w:sz w:val="24"/>
          <w:szCs w:val="24"/>
          <w:highlight w:val="none"/>
          <w:shd w:val="clear" w:color="auto" w:fill="FFFFFF"/>
          <w:lang w:eastAsia="zh-CN"/>
        </w:rPr>
      </w:pPr>
    </w:p>
    <w:p w14:paraId="7388B7F9">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5F06BD46">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097FCF9">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01D0AE6F">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DC080DC">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第二部分  投标人须知</w:t>
      </w:r>
    </w:p>
    <w:p w14:paraId="1D1C5C0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一、说明和释义</w:t>
      </w:r>
    </w:p>
    <w:p w14:paraId="64035CC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 说明</w:t>
      </w:r>
    </w:p>
    <w:p w14:paraId="700BD94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1.1本招标文件仅适用于苏州市公共资源交易中心太仓分中心组织的招标活动。</w:t>
      </w:r>
    </w:p>
    <w:p w14:paraId="119C14A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1.2本次招标活动及因本次招标产生的合同受中国法律制约和保护。</w:t>
      </w:r>
    </w:p>
    <w:p w14:paraId="2BCFF3B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1.3本招标文件的解释权属于苏州市公共资源交易中心太仓分中心。</w:t>
      </w:r>
    </w:p>
    <w:p w14:paraId="63C4EEF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 词语释义</w:t>
      </w:r>
    </w:p>
    <w:p w14:paraId="151185B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2.1采购代理机构：具体组织实施招标活动的法人。本项目采购代理机构是苏州市公共资源交易中心太仓分中心。</w:t>
      </w:r>
    </w:p>
    <w:p w14:paraId="5C44094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2.2投标人：经认定有资格响应招标，参加投标竞争的法人或其他组织和自然人。</w:t>
      </w:r>
    </w:p>
    <w:p w14:paraId="392511C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2.3响应：投标人根据采购人或采购代理机构发布的招标文件，编制投标文件并按规定投标的行为。</w:t>
      </w:r>
    </w:p>
    <w:p w14:paraId="5E2709F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2.4合同：采供双方根据招标文件和中标的投标文件及中标通知书规定的内容签署的以书面形式所达成的协议，包括所有的附件、附录和构成协议的所有文件。</w:t>
      </w:r>
    </w:p>
    <w:p w14:paraId="1AB5C4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2.5甲方（采购方）：合同中明确规定的实际购买货物和服务的法人或其他组织和自然人（采购人）</w:t>
      </w:r>
    </w:p>
    <w:p w14:paraId="4A446EE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2.6乙方（供应商）：合同中规定的向采购方提供货物和服务的法人或其他组织和自然人（中标人）</w:t>
      </w:r>
    </w:p>
    <w:p w14:paraId="3E5EC89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2.7货物：系指乙方按招标采购文件规定，应向甲方提供的一切设备、备品、备件、工具、手册及其它有关技术资料和材料。</w:t>
      </w:r>
    </w:p>
    <w:p w14:paraId="55431A2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0A504D2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2.9知识产权：指专利权、商标权、著作权等无形财产专有权的统称。</w:t>
      </w:r>
    </w:p>
    <w:p w14:paraId="45AD717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2.10天：日历日。</w:t>
      </w:r>
    </w:p>
    <w:p w14:paraId="29E7C6D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2.11交货地点：合同中明确约定的乙方提交的货物和服务最终到达地点。</w:t>
      </w:r>
    </w:p>
    <w:p w14:paraId="3BC303D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2.12 合同价款：根据合同规定，乙方在正确地履行合同义务后甲方应支付乙方的价款。</w:t>
      </w:r>
    </w:p>
    <w:p w14:paraId="43760BC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2.13 产地：货物开采、生长、生产、最终制造、加工或提供服务的来源地。</w:t>
      </w:r>
    </w:p>
    <w:p w14:paraId="22AE49C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2.14不可抗力：不能预见、不能避免并且不能克服的客观情况。</w:t>
      </w:r>
    </w:p>
    <w:p w14:paraId="135211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2.15 实质性响应：满足有关本次采购标的、数量、质量、价款或者报酬、履行期限、履行地点和方式、违约责任和解决争议方法等要求。</w:t>
      </w:r>
    </w:p>
    <w:p w14:paraId="4E63B49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2142BD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2.17进口产品：指通过中国海关报关验收进入中国境内且产自境外的产品。</w:t>
      </w:r>
    </w:p>
    <w:p w14:paraId="3AE3DF2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2.18书面形式：指书面文字、合同书、信件和传真等可以有形地表现所载内容的形式。</w:t>
      </w:r>
    </w:p>
    <w:p w14:paraId="52F3DC0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二、 投标人</w:t>
      </w:r>
    </w:p>
    <w:p w14:paraId="704C55E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 合格投标人的基本条件</w:t>
      </w:r>
    </w:p>
    <w:p w14:paraId="3B89421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3.1符合《中华人民共和国政府采购法》第二十二条第一款之规定；</w:t>
      </w:r>
    </w:p>
    <w:p w14:paraId="1BB9098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3.2满足本文件实质性条款的规定。</w:t>
      </w:r>
    </w:p>
    <w:p w14:paraId="24AE669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4．合格投标人的特定条件</w:t>
      </w:r>
    </w:p>
    <w:p w14:paraId="51A288B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4.1 按招标公告规定。</w:t>
      </w:r>
    </w:p>
    <w:p w14:paraId="6362E65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5. 投标人代表</w:t>
      </w:r>
    </w:p>
    <w:p w14:paraId="642B4AA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5.1指全权代表投标人参加投标活动并签署投标文件的人，如果投标人代表不是法人代表，须持有《法人代表授权委托书》（详见统一格式）。</w:t>
      </w:r>
    </w:p>
    <w:p w14:paraId="6BDAF713">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6. 联合投标</w:t>
      </w:r>
    </w:p>
    <w:p w14:paraId="4A4586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6.1按招标公告规定。</w:t>
      </w:r>
    </w:p>
    <w:p w14:paraId="683339D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7. 投标费用 </w:t>
      </w:r>
    </w:p>
    <w:p w14:paraId="103FE18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7.1投标人应自行承担所有准备及参加投标的相关费用。不论投标结果如何，采购代理机构在任何情况下均无义务也无责任承担这些费用。</w:t>
      </w:r>
    </w:p>
    <w:p w14:paraId="7DBABBE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7.2 本次招标项目不收取标书费及中标服务费，请投标人在投标时充分考虑这一因素。</w:t>
      </w:r>
    </w:p>
    <w:p w14:paraId="7FC73C9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三、招标文件说明</w:t>
      </w:r>
    </w:p>
    <w:p w14:paraId="196B9AF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8. 招标文件</w:t>
      </w:r>
    </w:p>
    <w:p w14:paraId="502494D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66E4B1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8.2招标文件及其更正文件不是直接从采购代理机构或指定媒体获得的，采购代理机构对招标文件及其补遗的真实性、完整性不承担任何责任。</w:t>
      </w:r>
    </w:p>
    <w:p w14:paraId="7044063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9. 招标文件的澄清</w:t>
      </w:r>
    </w:p>
    <w:p w14:paraId="7CAFBA7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9.1投标人在获取招标文件后，若有疑问，应于投标截止时间之前，向采购代理机构提出，采购代理机构将予以解答。</w:t>
      </w:r>
    </w:p>
    <w:p w14:paraId="7C91F19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9.2如有必要，问题答复将以“变更公告”形式由采购代理机构按照本须知第10条的规定发出。</w:t>
      </w:r>
    </w:p>
    <w:p w14:paraId="05EE709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10.招标文件的修改</w:t>
      </w:r>
    </w:p>
    <w:p w14:paraId="2762545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10.1采购代理机构无论出于自己的考虑，还是出于对投标人提问的澄清，均可对已发出的招标文件用补充文件的方式进行必要澄清或者修改。</w:t>
      </w:r>
    </w:p>
    <w:p w14:paraId="024AF86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112977D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10.3招标文件的更正（含澄清、修改等）内容与原招标文件在同一内容上表述不一致时，以发出日期最接近开标时间的公告为准。</w:t>
      </w:r>
    </w:p>
    <w:p w14:paraId="7EE751D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0B3AA030">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10.5招标文件若有最新的答疑文件，投标供应商必须下载并使用该文件制作新的电子投标文件，否则将无法完成电子投标文件的上传及投标。</w:t>
      </w:r>
    </w:p>
    <w:p w14:paraId="631FFC3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11.质疑</w:t>
      </w:r>
    </w:p>
    <w:p w14:paraId="5D1BE5A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12472F4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4FEDCCA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11.3上述应知其权益受到损害之日是指：</w:t>
      </w:r>
    </w:p>
    <w:p w14:paraId="70D0E0E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11.3.1对采购文件提出质疑的，为获取采购文件或者采购文件公告期限届满之日起计算；</w:t>
      </w:r>
    </w:p>
    <w:p w14:paraId="1852087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11.3.2对采购过程提出质疑的，自采购程序环节结束之日起计算；</w:t>
      </w:r>
    </w:p>
    <w:p w14:paraId="1E1C915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11.3.3对中标结果提出质疑的，自中标结果公告期限届满之日起计算。</w:t>
      </w:r>
    </w:p>
    <w:p w14:paraId="49002F4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 供应商提出质疑应当提交质疑函和必要的证明材料。质疑函应当包括下列内容：</w:t>
      </w:r>
    </w:p>
    <w:p w14:paraId="2721FED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11.4.1 供应商的姓名或者名称、地址、邮编、联系人及联系电话；</w:t>
      </w:r>
    </w:p>
    <w:p w14:paraId="5E39A43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11.4.2 质疑项目的名称、编号；</w:t>
      </w:r>
    </w:p>
    <w:p w14:paraId="645CC6D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11.4.3 具体、明确的质疑事项和与质疑事项相关的请求；</w:t>
      </w:r>
    </w:p>
    <w:p w14:paraId="5644F42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11.4.4 事实依据；</w:t>
      </w:r>
    </w:p>
    <w:p w14:paraId="2E586CE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11.4.5 必要的法律依据；</w:t>
      </w:r>
    </w:p>
    <w:p w14:paraId="11563B0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11.4.6 提出质疑的日期。</w:t>
      </w:r>
    </w:p>
    <w:p w14:paraId="34241B7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11.5质疑函的格式和内容应当符合财政部《政府采购供应商质疑函范本》 要求，质疑函范本在财政部官网上提供下载。</w:t>
      </w:r>
    </w:p>
    <w:p w14:paraId="683F8C5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 提交质疑函同时应当附如下证明材料：</w:t>
      </w:r>
    </w:p>
    <w:p w14:paraId="68F797B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11.6.1对采购文件提出质疑的供应商提供参加本项目的“交易文件下载确认单”；</w:t>
      </w:r>
    </w:p>
    <w:p w14:paraId="7D84CEA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11.6.2质疑供应商的营业执照复印件加盖单位公章；</w:t>
      </w:r>
    </w:p>
    <w:p w14:paraId="6AF7CD5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11.6.3质疑供应商法定代表人身份证复印件加盖单位公章；</w:t>
      </w:r>
    </w:p>
    <w:p w14:paraId="3F8CFD7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1EE3772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p>
    <w:p w14:paraId="175EAEE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11.8供应商对招标项目技术、商务及其他要求，以及评审细则、标准提出询问或质疑的，应向采购人提出；供应商对采购过程及中标结果提出询问或质疑的，应向采购代理机构提出；</w:t>
      </w:r>
    </w:p>
    <w:p w14:paraId="266842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11.9 供应商如对本项目提出质疑须在法定质疑期内一次性提出针对同一采购程序环节的质疑。</w:t>
      </w:r>
    </w:p>
    <w:p w14:paraId="08D0361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11.10接受质疑函联系方式见采购公告联系事项。</w:t>
      </w:r>
    </w:p>
    <w:p w14:paraId="36B7B48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四、 投标文件说明</w:t>
      </w:r>
    </w:p>
    <w:p w14:paraId="40962E6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12、提示与要求</w:t>
      </w:r>
    </w:p>
    <w:p w14:paraId="5C802E6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12.1投标人应仔细阅读招标文件的所有内容，按招标文件的要求提供投标文件，并保证所提供的全部资料的真实性，以使其投标对招标文件做出实质性响应，否则，其投标可能被拒绝。</w:t>
      </w:r>
    </w:p>
    <w:p w14:paraId="3C818D6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12.2无论是否递交投标文件，投标人都应将招标文件及以后的所有通知、文件等视为保密文件。</w:t>
      </w:r>
    </w:p>
    <w:p w14:paraId="511A435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13. 投标文件计量单位和使用文字</w:t>
      </w:r>
    </w:p>
    <w:p w14:paraId="77955C4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13.1投标文件中所使用的计量单位，除招标文件中有特殊要求外，均应使用中华人民共和国法定计量单位。</w:t>
      </w:r>
    </w:p>
    <w:p w14:paraId="3802188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43742CA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14. 知识产权</w:t>
      </w:r>
    </w:p>
    <w:p w14:paraId="5AE1667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1425E497">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 投标文件的组成</w:t>
      </w:r>
    </w:p>
    <w:p w14:paraId="0CBF2F27">
      <w:pPr>
        <w:pBdr>
          <w:top w:val="none" w:color="000000" w:sz="0" w:space="0"/>
          <w:left w:val="none" w:color="000000" w:sz="0" w:space="0"/>
          <w:bottom w:val="none" w:color="000000" w:sz="0" w:space="0"/>
          <w:right w:val="none" w:color="000000" w:sz="0" w:space="0"/>
        </w:pBdr>
        <w:spacing w:after="0" w:line="439" w:lineRule="atLeast"/>
        <w:ind w:firstLine="12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15.1报价部分（详见投标文件格式）：</w:t>
      </w:r>
    </w:p>
    <w:p w14:paraId="1D80AAC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15.1.1封面</w:t>
      </w:r>
    </w:p>
    <w:p w14:paraId="6C249CA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15.1.2《开标一览表》(统一格式)；</w:t>
      </w:r>
    </w:p>
    <w:p w14:paraId="539AEF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15.1.3公开分项报价表；</w:t>
      </w:r>
    </w:p>
    <w:p w14:paraId="79EAFDBE">
      <w:pPr>
        <w:pBdr>
          <w:top w:val="none" w:color="000000" w:sz="0" w:space="0"/>
          <w:left w:val="none" w:color="000000" w:sz="0" w:space="0"/>
          <w:bottom w:val="none" w:color="000000" w:sz="0" w:space="0"/>
          <w:right w:val="none" w:color="000000" w:sz="0" w:space="0"/>
        </w:pBdr>
        <w:spacing w:after="0" w:line="439" w:lineRule="atLeast"/>
        <w:ind w:firstLine="12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 投标正文部分（包含资质证明和技术部分）</w:t>
      </w:r>
    </w:p>
    <w:p w14:paraId="4715600D">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15.2.1资质证明文件部分</w:t>
      </w:r>
    </w:p>
    <w:p w14:paraId="1A12C0A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15.2.1.1关于资格文件的声明函（详见投标文件格式）；</w:t>
      </w:r>
    </w:p>
    <w:p w14:paraId="5C753F5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15.2.1.2投标承诺函（详见投标文件格式）；</w:t>
      </w:r>
    </w:p>
    <w:p w14:paraId="190B34A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15.2.1.3投标人基本情况表（详见投标文件格式）；</w:t>
      </w:r>
    </w:p>
    <w:p w14:paraId="5DEF10C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15.2.1.4投标人法定代表人身份证复印件；</w:t>
      </w:r>
    </w:p>
    <w:p w14:paraId="3762972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15.2.1.5投标人法定代表人授权委托书原件（如有授权）（详见投标文件格式）</w:t>
      </w:r>
    </w:p>
    <w:p w14:paraId="5C4D813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15.2.1.6投标人授权代理人身份证复印件（如有授权）</w:t>
      </w:r>
    </w:p>
    <w:p w14:paraId="24640BB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15.2.1.7投标单位营业执照副本或三证合一营业执照复印件；</w:t>
      </w:r>
    </w:p>
    <w:p w14:paraId="2D21CC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15.2.1.8投标人参加本次政府采购活动前的财务状况报告或者银行出具的资信证明；</w:t>
      </w:r>
    </w:p>
    <w:p w14:paraId="04B35CC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15.2.1.9投标人根据项目需求提供履行合同所必需的设备和专业技术能力的证明材料；</w:t>
      </w:r>
    </w:p>
    <w:p w14:paraId="6FFC266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15.2.1.10投标人参加本次政府采购活动前半年（至少一个月）依法缴纳税收和社会保障资金的证明材料；</w:t>
      </w:r>
    </w:p>
    <w:p w14:paraId="3759EF8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15.2.1.11投标人参加政府采购活动前三年在经营活动中没有重大违法记录的书面申明（详见投标文件格式）；</w:t>
      </w:r>
    </w:p>
    <w:p w14:paraId="1047954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15.2.1.12投标人证明其符合招标文件规定的投标人特定资格条件的证书、证明和文件材料；（如有）</w:t>
      </w:r>
    </w:p>
    <w:p w14:paraId="25362F8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15.2.1.13中小企业声明函</w:t>
      </w:r>
    </w:p>
    <w:p w14:paraId="2AC99E5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15.2.1.14残疾人福利性单位声明函（如有）；</w:t>
      </w:r>
    </w:p>
    <w:p w14:paraId="13CB483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15.2.1.15监狱企业证明文件（如有）</w:t>
      </w:r>
    </w:p>
    <w:p w14:paraId="789E480F">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15.2.2技术部分</w:t>
      </w:r>
    </w:p>
    <w:p w14:paraId="6B3F5EB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15.2.2.1服务要求偏离表（详见投标文件格式）；</w:t>
      </w:r>
    </w:p>
    <w:p w14:paraId="792232B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15.2.2.2商务要求偏离表（详见投标文件格式）；</w:t>
      </w:r>
    </w:p>
    <w:p w14:paraId="3001011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15.2.2.3项目的技术及服务方案；</w:t>
      </w:r>
    </w:p>
    <w:p w14:paraId="319351A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15.2.2.4项目实施方案和进度方案；</w:t>
      </w:r>
    </w:p>
    <w:p w14:paraId="7BB14BE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15.2.2.5质量保证措施和承诺；</w:t>
      </w:r>
    </w:p>
    <w:p w14:paraId="5BB92ED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15.2.2.6售后服务内容；</w:t>
      </w:r>
    </w:p>
    <w:p w14:paraId="6A46ACD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15.2.2.7企业类似业绩一览表</w:t>
      </w:r>
    </w:p>
    <w:p w14:paraId="3460CF6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15.2.2.8投入本项目技术（服务）人员一览表及相关证明材料；</w:t>
      </w:r>
    </w:p>
    <w:p w14:paraId="0101777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15.2.2.9其他投标人认为需要提供的材料；</w:t>
      </w:r>
    </w:p>
    <w:p w14:paraId="3050C9E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265F5DB2">
      <w:pPr>
        <w:pBdr>
          <w:top w:val="none" w:color="000000" w:sz="0" w:space="0"/>
          <w:left w:val="none" w:color="000000" w:sz="0" w:space="0"/>
          <w:bottom w:val="none" w:color="000000" w:sz="0" w:space="0"/>
          <w:right w:val="none" w:color="000000" w:sz="0" w:space="0"/>
        </w:pBdr>
        <w:spacing w:after="0" w:line="439" w:lineRule="atLeast"/>
        <w:ind w:firstLine="14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15.3投标文件由15.1、15.2款规定的内容共同组成。</w:t>
      </w:r>
    </w:p>
    <w:p w14:paraId="339A376A">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16. 投标文件编制要求   </w:t>
      </w:r>
    </w:p>
    <w:p w14:paraId="3E4CB31D">
      <w:pPr>
        <w:pBdr>
          <w:top w:val="none" w:color="000000" w:sz="0" w:space="0"/>
          <w:left w:val="none" w:color="000000" w:sz="0" w:space="0"/>
          <w:bottom w:val="none" w:color="000000" w:sz="0" w:space="0"/>
          <w:right w:val="none" w:color="000000" w:sz="0" w:space="0"/>
        </w:pBdr>
        <w:spacing w:after="0" w:line="439" w:lineRule="atLeast"/>
        <w:ind w:firstLine="424"/>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16.1</w:t>
      </w:r>
      <w:r>
        <w:rPr>
          <w:rFonts w:hint="eastAsia" w:ascii="宋体" w:hAnsi="宋体" w:eastAsia="宋体" w:cs="宋体"/>
          <w:b/>
          <w:color w:val="000000"/>
          <w:sz w:val="24"/>
          <w:highlight w:val="none"/>
          <w:lang w:eastAsia="zh-CN"/>
        </w:rPr>
        <w:t>电子投标文件编制要求：</w:t>
      </w:r>
      <w:r>
        <w:rPr>
          <w:rFonts w:hint="eastAsia" w:ascii="宋体" w:hAnsi="宋体" w:eastAsia="宋体" w:cs="宋体"/>
          <w:color w:val="000000"/>
          <w:sz w:val="24"/>
          <w:highlight w:val="none"/>
          <w:lang w:eastAsia="zh-CN"/>
        </w:rPr>
        <w:t>投标人应使用</w:t>
      </w:r>
      <w:r>
        <w:rPr>
          <w:rFonts w:hint="eastAsia" w:ascii="宋体" w:hAnsi="宋体" w:eastAsia="宋体" w:cs="宋体"/>
          <w:b/>
          <w:color w:val="000000"/>
          <w:sz w:val="24"/>
          <w:highlight w:val="none"/>
          <w:lang w:eastAsia="zh-CN"/>
        </w:rPr>
        <w:t>招标文件要求的投标文件制作软件制作电子投标文件</w:t>
      </w:r>
      <w:r>
        <w:rPr>
          <w:rFonts w:hint="eastAsia" w:ascii="宋体" w:hAnsi="宋体" w:eastAsia="宋体" w:cs="宋体"/>
          <w:color w:val="000000"/>
          <w:sz w:val="24"/>
          <w:highlight w:val="none"/>
          <w:lang w:eastAsia="zh-CN"/>
        </w:rPr>
        <w:t>，电子投标文件按招标文件规定的格式制作，如果未按要求制作上传，可能导致投标无效。</w:t>
      </w:r>
    </w:p>
    <w:p w14:paraId="1F803A5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17. 投标报价（编制）要求的说明</w:t>
      </w:r>
    </w:p>
    <w:p w14:paraId="1549D7E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4CEC34F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1CB8101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17.3 一项投标内容只允许一个报价，采购代理机构不接受任何有选择性的投标报价。</w:t>
      </w:r>
    </w:p>
    <w:p w14:paraId="5C4D221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17.4投标文件报价中的单价和总价全部采用人民币表示，除非合同的特殊条款另有规定。</w:t>
      </w:r>
    </w:p>
    <w:p w14:paraId="16216B8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17.5最低的投标报价或最高的折扣比例是中标的重要条件，但不是中标的唯一条件。</w:t>
      </w:r>
    </w:p>
    <w:p w14:paraId="1B26E31A">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18. 投标保证金</w:t>
      </w:r>
    </w:p>
    <w:p w14:paraId="3DE313B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本项目无须缴纳投标保证金</w:t>
      </w:r>
      <w:r>
        <w:rPr>
          <w:rFonts w:hint="eastAsia" w:ascii="宋体" w:hAnsi="宋体" w:eastAsia="宋体" w:cs="宋体"/>
          <w:b/>
          <w:color w:val="000000"/>
          <w:sz w:val="24"/>
          <w:highlight w:val="none"/>
          <w:lang w:eastAsia="zh-CN"/>
        </w:rPr>
        <w:t>。</w:t>
      </w:r>
    </w:p>
    <w:p w14:paraId="4B793BC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19. 投标文件的有效期</w:t>
      </w:r>
    </w:p>
    <w:p w14:paraId="04F8619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19.1在本招标文件规定的开标之日起九十（90）天内，投标人所提交的投标文件应保持有效。</w:t>
      </w:r>
      <w:r>
        <w:rPr>
          <w:rFonts w:hint="eastAsia" w:ascii="宋体" w:hAnsi="宋体" w:eastAsia="宋体" w:cs="宋体"/>
          <w:b/>
          <w:color w:val="000000"/>
          <w:sz w:val="24"/>
          <w:highlight w:val="none"/>
          <w:lang w:eastAsia="zh-CN"/>
        </w:rPr>
        <w:t>有效期短于这个规定期限的投标文件，将被认定为未实质性响应招标文件要求。</w:t>
      </w:r>
    </w:p>
    <w:p w14:paraId="47C4E58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67A72A3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五、 投标文件的提交、撤回和修改</w:t>
      </w:r>
    </w:p>
    <w:p w14:paraId="130A56B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20. 投标文件的上传、提交</w:t>
      </w:r>
    </w:p>
    <w:p w14:paraId="0EAD9E2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20.</w:t>
      </w:r>
      <w:r>
        <w:rPr>
          <w:rFonts w:hint="eastAsia" w:ascii="宋体" w:hAnsi="宋体" w:eastAsia="宋体" w:cs="宋体"/>
          <w:b/>
          <w:color w:val="000000"/>
          <w:sz w:val="24"/>
          <w:highlight w:val="none"/>
          <w:lang w:eastAsia="zh-CN"/>
        </w:rPr>
        <w:t>1投标人应将制作好的加密电子投标文件按要求在投标截止时间前上传到交易系统平台中。</w:t>
      </w:r>
    </w:p>
    <w:p w14:paraId="3599C2D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21. 投标截止时间</w:t>
      </w:r>
    </w:p>
    <w:p w14:paraId="66D4AF8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21.1</w:t>
      </w:r>
      <w:r>
        <w:rPr>
          <w:rFonts w:hint="eastAsia" w:ascii="宋体" w:hAnsi="宋体" w:eastAsia="宋体" w:cs="宋体"/>
          <w:b/>
          <w:color w:val="000000"/>
          <w:sz w:val="24"/>
          <w:highlight w:val="none"/>
          <w:lang w:eastAsia="zh-CN"/>
        </w:rPr>
        <w:t>电子投标文件必须按招标公告中规定的网上投标截止时间前提交</w:t>
      </w:r>
      <w:r>
        <w:rPr>
          <w:rFonts w:hint="eastAsia" w:ascii="宋体" w:hAnsi="宋体" w:eastAsia="宋体" w:cs="宋体"/>
          <w:color w:val="000000"/>
          <w:sz w:val="24"/>
          <w:highlight w:val="none"/>
          <w:lang w:eastAsia="zh-CN"/>
        </w:rPr>
        <w:t>，</w:t>
      </w:r>
      <w:r>
        <w:rPr>
          <w:rFonts w:hint="eastAsia" w:ascii="宋体" w:hAnsi="宋体" w:eastAsia="宋体" w:cs="宋体"/>
          <w:b/>
          <w:color w:val="000000"/>
          <w:sz w:val="24"/>
          <w:highlight w:val="none"/>
          <w:lang w:eastAsia="zh-CN"/>
        </w:rPr>
        <w:t>否则投标无效</w:t>
      </w:r>
      <w:r>
        <w:rPr>
          <w:rFonts w:hint="eastAsia" w:ascii="宋体" w:hAnsi="宋体" w:eastAsia="宋体" w:cs="宋体"/>
          <w:color w:val="000000"/>
          <w:sz w:val="24"/>
          <w:highlight w:val="none"/>
          <w:lang w:eastAsia="zh-CN"/>
        </w:rPr>
        <w:t>。</w:t>
      </w:r>
    </w:p>
    <w:p w14:paraId="085EF72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21.2采购代理机构推迟投标截止时间时，应以更正公告的形式，通知所有投标人。在这种情况下，采购代理机构和投标人的权利和义务将受到新的截止期的约束。</w:t>
      </w:r>
    </w:p>
    <w:p w14:paraId="3E3C91F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21.3在投标截止时间止，采购代理机构于本项目（或标段）收到的电子投标文件少于三份的，采购代理机构有权宣布本项目（或标段）招标失败。</w:t>
      </w:r>
    </w:p>
    <w:p w14:paraId="34B7D7A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22. 投标文件的修改和撤回</w:t>
      </w:r>
    </w:p>
    <w:p w14:paraId="0BD8898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22.1投标人在提交投标文件截止时间前，可对其投标文件进行撤回或修改。</w:t>
      </w:r>
    </w:p>
    <w:p w14:paraId="0D21609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23.2开标后投标人不得撤回投标。</w:t>
      </w:r>
    </w:p>
    <w:p w14:paraId="5483DC3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六、开标和评标</w:t>
      </w:r>
    </w:p>
    <w:p w14:paraId="61A530B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23. 开标</w:t>
      </w:r>
    </w:p>
    <w:p w14:paraId="194B599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23.1采购代理机构按采购公告规定的时间、地点主持不见面开标活动。开标仪式由采购代理机构、采购人等主持。</w:t>
      </w:r>
    </w:p>
    <w:p w14:paraId="7AB8BFA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23.2</w:t>
      </w:r>
      <w:r>
        <w:rPr>
          <w:rFonts w:hint="eastAsia" w:ascii="宋体" w:hAnsi="宋体" w:eastAsia="宋体" w:cs="宋体"/>
          <w:b/>
          <w:color w:val="000000"/>
          <w:sz w:val="24"/>
          <w:highlight w:val="none"/>
          <w:lang w:eastAsia="zh-CN"/>
        </w:rPr>
        <w:t>参加开标的投标法定代表人或授权代理人须在项目开标前登录苏采云不见面开标系统，进入网上不见面开标大厅，做好相关准备工作。</w:t>
      </w:r>
    </w:p>
    <w:p w14:paraId="1C9D8D0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23.3</w:t>
      </w:r>
      <w:r>
        <w:rPr>
          <w:rFonts w:hint="eastAsia" w:ascii="宋体" w:hAnsi="宋体" w:eastAsia="宋体" w:cs="宋体"/>
          <w:b/>
          <w:color w:val="000000"/>
          <w:sz w:val="24"/>
          <w:highlight w:val="none"/>
          <w:lang w:eastAsia="zh-CN"/>
        </w:rPr>
        <w:t>本项目开标后在规定的解密时间内，投标人须自行登录网上开标大厅解密投标文件，解密时间为30分钟，因自身原因导致解密失败的，由投标人自行承担相关责任。</w:t>
      </w:r>
    </w:p>
    <w:p w14:paraId="6337850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23.4采购代理机构在开标仪式上，将公布投标人的名称、投标价格，并将作唱标记录。</w:t>
      </w:r>
    </w:p>
    <w:p w14:paraId="63F74EA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highlight w:val="none"/>
          <w:lang w:eastAsia="zh-CN"/>
        </w:rPr>
        <w:t>应通过不见面开标大厅提出</w:t>
      </w:r>
      <w:r>
        <w:rPr>
          <w:rFonts w:hint="eastAsia" w:ascii="宋体" w:hAnsi="宋体" w:eastAsia="宋体" w:cs="宋体"/>
          <w:color w:val="000000"/>
          <w:sz w:val="24"/>
          <w:highlight w:val="none"/>
          <w:lang w:eastAsia="zh-CN"/>
        </w:rPr>
        <w:t>询问或者回避申请。采购人、采购代理机构对投标人代表提出的询问或者回避申请应当及时处理。</w:t>
      </w:r>
    </w:p>
    <w:p w14:paraId="2192740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24. 评标委员会</w:t>
      </w:r>
    </w:p>
    <w:p w14:paraId="0A7B06D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24.1评标委员会由采购人或委托采购代理机构依法组建，负责本项目的评标事务。</w:t>
      </w:r>
    </w:p>
    <w:p w14:paraId="2CC14F9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24.2评标委员会独立履行下列职责：</w:t>
      </w:r>
    </w:p>
    <w:p w14:paraId="0F16977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24.2.1审查投标文件是否符合招标文件的要求，并作出评价；</w:t>
      </w:r>
    </w:p>
    <w:p w14:paraId="70BD7AA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24.2.2可以要求投标供应商对投标文件有关事项作出解释或澄清；</w:t>
      </w:r>
    </w:p>
    <w:p w14:paraId="301680D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24.2.3推荐中标候选供应商名单，或者受采购人委托按照事先确定的办法直接确定中标供应商；</w:t>
      </w:r>
    </w:p>
    <w:p w14:paraId="6A5A098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24.2.4向采购代理机构或者有关部门报告非法干预评标工作的行为；</w:t>
      </w:r>
    </w:p>
    <w:p w14:paraId="1B2C742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24.3评标委员会成员应当履行下列义务：</w:t>
      </w:r>
    </w:p>
    <w:p w14:paraId="1371F76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24.3.1遵纪守法，客观、公正、廉洁地履行职责；</w:t>
      </w:r>
    </w:p>
    <w:p w14:paraId="162C28F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24.3.2按照招标文件规定的评标办法和评标标准进行评标，对评审意见承担个人责任；</w:t>
      </w:r>
    </w:p>
    <w:p w14:paraId="372B843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24.3.3对评标过程和结果，以及投标人的商业秘密保密；</w:t>
      </w:r>
    </w:p>
    <w:p w14:paraId="1B7AE8B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24.3.4参与评标报告的起草；</w:t>
      </w:r>
    </w:p>
    <w:p w14:paraId="553EDF6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24.3.5配合采购代理机构答复投标供应商提出的质疑；</w:t>
      </w:r>
    </w:p>
    <w:p w14:paraId="680CE58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24.3.6配合相关部门的投诉处理工作；</w:t>
      </w:r>
    </w:p>
    <w:p w14:paraId="51CE62F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25. 评标内容的保密</w:t>
      </w:r>
    </w:p>
    <w:p w14:paraId="75B70E9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25.1公开开标后，直到宣布授予中标供应商合同为止，凡属于审查、澄清、评价和比较投标的所有资料，有关授予合同的信息都不应向投标人或与评标无关的其他人泄露。</w:t>
      </w:r>
    </w:p>
    <w:p w14:paraId="0AB7C2E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25.2 在投标文件的审查、澄清、评价和比较以及授予合同的过程中，投标人对采购代理机构和评标委员会成员施加影响的任何行为，都将取消其投标资格。</w:t>
      </w:r>
    </w:p>
    <w:p w14:paraId="46BCB7C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25.3在评标期间，采购代理机构将通过指定联络人与投标人进行联系。</w:t>
      </w:r>
    </w:p>
    <w:p w14:paraId="50E2953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26.对投标文件初审</w:t>
      </w:r>
    </w:p>
    <w:p w14:paraId="1F8470D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26.1投标文件初审分为资格性检查和符合性检查。</w:t>
      </w:r>
    </w:p>
    <w:p w14:paraId="36E9077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26.1.1资格性检查。依据法律法规和招标文件的规定，采购人或者采购代理机构依法对投标人的资格进行审查。对投标文件中的资格证明等进行审查，以确定投标供应商是否具备投标资格。</w:t>
      </w:r>
    </w:p>
    <w:p w14:paraId="24CF947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 关于信用记录查询：</w:t>
      </w:r>
    </w:p>
    <w:p w14:paraId="4A7FF4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9C14CA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26.1.2.1查询时间：评标阶段</w:t>
      </w:r>
    </w:p>
    <w:p w14:paraId="77A60DD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26.1.2.2查询渠道：通过“信用中国”网站、中国政府采购网等渠道查询相关主体信用记录。</w:t>
      </w:r>
    </w:p>
    <w:p w14:paraId="386DB7E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6435588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26.1.2.4信用记录使用规则：评审小组在对供应商进行资格性审查时，应根据查询结果对供应商的不良信用记录逐项甄别确认。</w:t>
      </w:r>
    </w:p>
    <w:p w14:paraId="6D915E8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26.1.3符合性检查。依据招标文件的规定，从投标文件的有效性、完整性和对招标文件的响应程度进行审查，以确定是否对招标文件的实质性要求作出响应。</w:t>
      </w:r>
    </w:p>
    <w:p w14:paraId="7CE418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5594FCD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26.2.1 不同投标人的投标文件由同一单位或者个人编制；</w:t>
      </w:r>
    </w:p>
    <w:p w14:paraId="4FB3E41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26.2.2不同投标人委托同一单位或者个人办理投标事宜；</w:t>
      </w:r>
    </w:p>
    <w:p w14:paraId="43435F5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26.2.3不同投标人的投标文件载明的项目管理成员或者联系人员为同一人；</w:t>
      </w:r>
    </w:p>
    <w:p w14:paraId="0AAC690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26.2.4不同投标人的投标文件异常一致或者投标报价呈规律性差异；</w:t>
      </w:r>
    </w:p>
    <w:p w14:paraId="13466A7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26.2.5不同投标人的投标文件相互混装；</w:t>
      </w:r>
    </w:p>
    <w:p w14:paraId="0F6F3C2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3963BE1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427F95D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33A39EF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26.6评标委员会将对确定为实质性响应的投标进行审核，看其是否有计算上或累加上的算术错误，修正错误的原则如下：</w:t>
      </w:r>
    </w:p>
    <w:p w14:paraId="27161F0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26.6.1投标文件中开标一览表（报价表）内容与投标文件中相应内容不一致的，以开标一览表（报价表）为准；</w:t>
      </w:r>
    </w:p>
    <w:p w14:paraId="16B048D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26.6.2大写金额和小写金额不一致的，以大写金额为准；</w:t>
      </w:r>
    </w:p>
    <w:p w14:paraId="03E689D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26.6.3单价金额小数点或者百分比有明显错位的，以开标一览表的总价为准，并修改单价；</w:t>
      </w:r>
    </w:p>
    <w:p w14:paraId="3E43BA8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26.6.4总价金额与按单价汇总金额不一致的，以单价金额计算结果为准。</w:t>
      </w:r>
    </w:p>
    <w:p w14:paraId="4756AAD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同时出现两种以上不一致的，按照前款规定的顺序修正。修正后的报价按照本须知26.6条规定经投标人确认后产生约束力，投标人不确认的，其投标无效。</w:t>
      </w:r>
    </w:p>
    <w:p w14:paraId="62E430D3">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hint="eastAsia" w:cs="微软雅黑" w:asciiTheme="minorEastAsia" w:hAnsiTheme="minorEastAsia" w:eastAsiaTheme="minorEastAsia"/>
          <w:b/>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6731F620">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异常低价投标（响应）审查的情形和具体要求如下：</w:t>
      </w:r>
    </w:p>
    <w:p w14:paraId="02BC23E9">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投标（响应）报价低于全部通过符合性审查供应商投标（响应）报价平均值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06BA65E8">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投标（响应）报价低于通过符合性审查的次低报价供应商投标（响应）报价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37E43AF8">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投标（响应）报价低于采购项目最高限价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w:t>
      </w:r>
    </w:p>
    <w:p w14:paraId="49B703B7">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评审委员会基于专业判断，认为供应商报价过低，有可能影响产品质量或者不能诚信履约的其他情形。</w:t>
      </w:r>
    </w:p>
    <w:p w14:paraId="0D1666EA">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26.8</w:t>
      </w:r>
      <w:r>
        <w:rPr>
          <w:rFonts w:asciiTheme="minorEastAsia" w:hAnsiTheme="minorEastAsia" w:eastAsiaTheme="minorEastAsia"/>
          <w:b/>
          <w:sz w:val="24"/>
          <w:szCs w:val="24"/>
          <w:highlight w:val="none"/>
          <w:lang w:eastAsia="zh-CN"/>
        </w:rPr>
        <w:t xml:space="preserve"> </w:t>
      </w:r>
      <w:r>
        <w:rPr>
          <w:rFonts w:hint="eastAsia" w:ascii="宋体" w:hAnsi="宋体" w:eastAsia="宋体" w:cs="宋体"/>
          <w:b/>
          <w:bCs/>
          <w:sz w:val="24"/>
          <w:highlight w:val="none"/>
          <w:lang w:eastAsia="zh-CN"/>
        </w:rPr>
        <w:t>评审委员会启动异常低价投标（响应）审查后，属于前述第</w:t>
      </w:r>
      <w:r>
        <w:rPr>
          <w:rFonts w:ascii="宋体" w:hAnsi="宋体" w:cs="宋体"/>
          <w:b/>
          <w:bCs/>
          <w:sz w:val="24"/>
          <w:highlight w:val="none"/>
          <w:lang w:eastAsia="zh-CN"/>
        </w:rPr>
        <w:t>1</w:t>
      </w:r>
      <w:r>
        <w:rPr>
          <w:rFonts w:hint="eastAsia" w:ascii="宋体" w:hAnsi="宋体" w:eastAsia="宋体" w:cs="宋体"/>
          <w:b/>
          <w:bCs/>
          <w:sz w:val="24"/>
          <w:highlight w:val="none"/>
          <w:lang w:eastAsia="zh-CN"/>
        </w:rPr>
        <w:t>项至第</w:t>
      </w:r>
      <w:r>
        <w:rPr>
          <w:rFonts w:ascii="宋体" w:hAnsi="宋体" w:cs="宋体"/>
          <w:b/>
          <w:bCs/>
          <w:sz w:val="24"/>
          <w:highlight w:val="none"/>
          <w:lang w:eastAsia="zh-CN"/>
        </w:rPr>
        <w:t>4</w:t>
      </w:r>
      <w:r>
        <w:rPr>
          <w:rFonts w:hint="eastAsia" w:ascii="宋体" w:hAnsi="宋体" w:eastAsia="宋体" w:cs="宋体"/>
          <w:b/>
          <w:bCs/>
          <w:sz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lang w:eastAsia="zh-CN"/>
        </w:rPr>
        <w:t>30</w:t>
      </w:r>
      <w:r>
        <w:rPr>
          <w:rFonts w:hint="eastAsia" w:ascii="宋体" w:hAnsi="宋体" w:eastAsia="宋体" w:cs="宋体"/>
          <w:b/>
          <w:bCs/>
          <w:sz w:val="24"/>
          <w:highlight w:val="none"/>
          <w:lang w:eastAsia="zh-CN"/>
        </w:rPr>
        <w:t>分钟。其中，属于第</w:t>
      </w:r>
      <w:r>
        <w:rPr>
          <w:rFonts w:ascii="宋体" w:hAnsi="宋体" w:cs="宋体"/>
          <w:b/>
          <w:bCs/>
          <w:sz w:val="24"/>
          <w:highlight w:val="none"/>
          <w:lang w:eastAsia="zh-CN"/>
        </w:rPr>
        <w:t>3</w:t>
      </w:r>
      <w:r>
        <w:rPr>
          <w:rFonts w:hint="eastAsia" w:ascii="宋体" w:hAnsi="宋体" w:eastAsia="宋体" w:cs="宋体"/>
          <w:b/>
          <w:bCs/>
          <w:sz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highlight w:val="none"/>
          <w:lang w:eastAsia="zh-CN"/>
        </w:rPr>
        <w:t>。</w:t>
      </w:r>
      <w:r>
        <w:rPr>
          <w:rFonts w:asciiTheme="minorEastAsia" w:hAnsiTheme="minorEastAsia" w:eastAsiaTheme="minorEastAsia"/>
          <w:b/>
          <w:sz w:val="24"/>
          <w:szCs w:val="24"/>
          <w:highlight w:val="none"/>
          <w:lang w:eastAsia="zh-CN"/>
        </w:rPr>
        <w:br w:type="textWrapping"/>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ascii="宋体" w:hAnsi="宋体" w:eastAsia="宋体" w:cs="宋体"/>
          <w:b/>
          <w:bCs/>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76D3E9">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评标委员会对投标文件的判定，只依据投标内容本身，不依靠开标后的任何外来证明。</w:t>
      </w:r>
    </w:p>
    <w:p w14:paraId="7CAC4E42">
      <w:pPr>
        <w:pStyle w:val="201"/>
        <w:spacing w:line="480" w:lineRule="exact"/>
        <w:ind w:firstLine="480" w:firstLineChars="200"/>
        <w:rPr>
          <w:rFonts w:hint="eastAsia" w:ascii="宋体" w:hAnsi="宋体" w:eastAsia="宋体" w:cs="宋体"/>
          <w:color w:val="000000"/>
          <w:sz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评标委员会将拒绝被确定为非实质性响应的投标，投标人不能通过修正或撤销不符之处而使其投标成为实质性响应的投标。</w:t>
      </w:r>
    </w:p>
    <w:p w14:paraId="79433827">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27.投标的澄清</w:t>
      </w:r>
    </w:p>
    <w:p w14:paraId="22CE2BE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5A76060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28.无效投标和废标</w:t>
      </w:r>
    </w:p>
    <w:p w14:paraId="7CD1B8E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28.1无效投标的具体情形有：  </w:t>
      </w:r>
    </w:p>
    <w:p w14:paraId="14AF032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28.1.1投标文件未按招标文件要求签署、盖章或电子签章的；</w:t>
      </w:r>
    </w:p>
    <w:p w14:paraId="1919DB6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28.1.2不具备招标文件中规定的资格要求的；</w:t>
      </w:r>
    </w:p>
    <w:p w14:paraId="100289C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28.1.3报价超过招标文件中规定的预算金额或者最高限价的；</w:t>
      </w:r>
    </w:p>
    <w:p w14:paraId="4C6D950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28.1.4</w:t>
      </w:r>
      <w:r>
        <w:rPr>
          <w:rFonts w:hint="eastAsia" w:ascii="宋体" w:hAnsi="宋体" w:eastAsia="宋体" w:cs="宋体"/>
          <w:b/>
          <w:color w:val="000000"/>
          <w:sz w:val="24"/>
          <w:highlight w:val="none"/>
          <w:lang w:eastAsia="zh-CN"/>
        </w:rPr>
        <w:t>不同投标人的投标文件使用同一台电脑编制的；</w:t>
      </w:r>
    </w:p>
    <w:p w14:paraId="22FBFF2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28.1.5投标文件含有采购人不能接受的附加条件的；</w:t>
      </w:r>
    </w:p>
    <w:p w14:paraId="3879009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28.1.6法律、法规和招标文件规定的其他无效情形。</w:t>
      </w:r>
    </w:p>
    <w:p w14:paraId="1518973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 在招标采购中，出现下列情形之一的，应予废标：</w:t>
      </w:r>
    </w:p>
    <w:p w14:paraId="6B6EFF0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28.2.1符合专业条件的供应商或者对招标文件作实质响应的供应商不足三家的；</w:t>
      </w:r>
    </w:p>
    <w:p w14:paraId="1C3BE4F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28.2.2出现影响采购公正的违法、违规行为的；</w:t>
      </w:r>
    </w:p>
    <w:p w14:paraId="40CC0E7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28.2.3投标人的报价均超过了采购预算，采购人不能支付的；</w:t>
      </w:r>
    </w:p>
    <w:p w14:paraId="6F545F5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28.2.4因重大变故，采购任务取消的。</w:t>
      </w:r>
    </w:p>
    <w:p w14:paraId="12DAAAE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28.3 废标后，采购人应当将废标理由通知所有投标人。</w:t>
      </w:r>
    </w:p>
    <w:p w14:paraId="69DC3EF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29. 投标文件的评价和比较</w:t>
      </w:r>
    </w:p>
    <w:p w14:paraId="4168165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29.1评标委员会按招标文件规定的评标方法和标准，仅对资格性检查和符合性检查合格的投标文件进行商务和技术评估，综合比较与评价。</w:t>
      </w:r>
    </w:p>
    <w:p w14:paraId="512D0F0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48A70F3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29.2.1服务的质量保证（保障）内容；</w:t>
      </w:r>
    </w:p>
    <w:p w14:paraId="4C003C6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29.2.2服务配备的人员；</w:t>
      </w:r>
    </w:p>
    <w:p w14:paraId="4019F97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29.2.3投标者的资信情况和履约能力；</w:t>
      </w:r>
    </w:p>
    <w:p w14:paraId="3F83E6A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29.2.4投标者提供的其他优惠条件；</w:t>
      </w:r>
    </w:p>
    <w:p w14:paraId="4233824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29.2.5参与本项目政府采购工作的态度及信誉；</w:t>
      </w:r>
    </w:p>
    <w:p w14:paraId="4D18FAA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29.2.6最低的投标报价或最高的折扣比例是中标的重要条件，但不是唯一条件。</w:t>
      </w:r>
    </w:p>
    <w:p w14:paraId="525519A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七、授予合同</w:t>
      </w:r>
    </w:p>
    <w:p w14:paraId="25C724D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30. 中标供应商的确认          </w:t>
      </w:r>
    </w:p>
    <w:p w14:paraId="63DC426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30.1评标委员会按招标文件规定的评标方法和标准进行详细评审后，按采购人的委托向采购人推荐中标候选单位或根据采购人授权直接确定中标供应商。</w:t>
      </w:r>
    </w:p>
    <w:p w14:paraId="13EBAF5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30.2经评标委员会评审并确定中标供应商后，采购人或授权采购代理机构将在规定的时间内将中标结果在相关媒体上予以公告。</w:t>
      </w:r>
    </w:p>
    <w:p w14:paraId="53B2CBF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0D46918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30.4质疑函递交地点及联系方式详见公告内容</w:t>
      </w:r>
    </w:p>
    <w:p w14:paraId="6749ABA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31. 合同授予标准</w:t>
      </w:r>
    </w:p>
    <w:p w14:paraId="104A133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31.1采购人将把合同授予其投标文件在实质上响应招标文件要求和按本须知规定评选出的投标人。确定为中标的投标人必须具有实施本合同的能力和资源。</w:t>
      </w:r>
    </w:p>
    <w:p w14:paraId="04CEC7C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0BD388C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32. 中标通知书</w:t>
      </w:r>
    </w:p>
    <w:p w14:paraId="4D33A99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51FECC04">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32.2中标通知书在中标公告发布后将发布在苏采云系统中，中标通知书发布之日视为中标供应商领取之日，中标供应商在中标结果公告届满之日起30日内自行在苏采云系统中下载打印。</w:t>
      </w:r>
    </w:p>
    <w:p w14:paraId="36E5A97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p>
    <w:p w14:paraId="23A234C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32.4中标通知书将成为合同的组成部分。</w:t>
      </w:r>
    </w:p>
    <w:p w14:paraId="20CFC99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 xml:space="preserve"> 32.5采购代理机构对未中标供应商不承担解释未中标原因的义务。</w:t>
      </w:r>
    </w:p>
    <w:p w14:paraId="5E75F6D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33.履约保证金</w:t>
      </w:r>
    </w:p>
    <w:p w14:paraId="6E8B13B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33.1中标供应商按合同约定要求提交履约保证金。</w:t>
      </w:r>
    </w:p>
    <w:p w14:paraId="687FE7C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33.2履约保证金用以约束供应商在合同履行中的行为，弥补合同执行中由于自身行为可能给采购人带来的各种损失。</w:t>
      </w:r>
    </w:p>
    <w:p w14:paraId="0DEBEC8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33.3履约保证金（无息）将在中标供应商合同履行完毕且质保期满后，采购人在五个工作日内退返中标供应商。</w:t>
      </w:r>
    </w:p>
    <w:p w14:paraId="2EDEB19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ascii="宋体" w:hAnsi="宋体" w:eastAsia="宋体" w:cs="宋体"/>
          <w:sz w:val="24"/>
          <w:szCs w:val="24"/>
          <w:highlight w:val="none"/>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304FDBE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34. 合同的签订</w:t>
      </w:r>
    </w:p>
    <w:p w14:paraId="02B4E66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70F8701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34.2中标供应商应按中标通知书中中规定，由法定代表人或授权代理人与采购人代表签订合同，否则按放弃中标权处理。</w:t>
      </w:r>
    </w:p>
    <w:p w14:paraId="05F1C8D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34.3签订合同及合同条款应以招标文件和中标供应商的投标文件及其澄清文件为依据。</w:t>
      </w:r>
    </w:p>
    <w:p w14:paraId="27B231B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34.4中标人无正当理由拒签合同的，或在签订合同时向采购人提出附加条件或者更改合同实质性内容的，采购人可取消其中标资格，同时由中标人承担相应的法律责任。</w:t>
      </w:r>
    </w:p>
    <w:p w14:paraId="7A2A75B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49F238A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八、政府采购相关政策</w:t>
      </w:r>
    </w:p>
    <w:p w14:paraId="6C745CC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35.节能产品和环境标志产品</w:t>
      </w:r>
    </w:p>
    <w:p w14:paraId="4717E64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7AEB182C">
      <w:pPr>
        <w:pBdr>
          <w:top w:val="none" w:color="000000" w:sz="0" w:space="0"/>
          <w:left w:val="none" w:color="000000" w:sz="0" w:space="0"/>
          <w:bottom w:val="none" w:color="000000" w:sz="0" w:space="0"/>
          <w:right w:val="none" w:color="000000" w:sz="0" w:space="0"/>
        </w:pBdr>
        <w:spacing w:after="0" w:line="50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36.</w:t>
      </w:r>
      <w:r>
        <w:rPr>
          <w:rFonts w:ascii="宋体" w:hAnsi="宋体" w:eastAsia="宋体" w:cs="宋体"/>
          <w:b/>
          <w:bCs/>
          <w:sz w:val="24"/>
          <w:szCs w:val="24"/>
          <w:highlight w:val="none"/>
          <w:lang w:eastAsia="zh-CN"/>
        </w:rPr>
        <w:t>中小企业相关政策：</w:t>
      </w:r>
    </w:p>
    <w:p w14:paraId="280B4805">
      <w:pPr>
        <w:pBdr>
          <w:top w:val="none" w:color="000000" w:sz="0" w:space="0"/>
          <w:left w:val="none" w:color="000000" w:sz="0" w:space="0"/>
          <w:bottom w:val="none" w:color="000000" w:sz="0" w:space="0"/>
          <w:right w:val="none" w:color="000000" w:sz="0" w:space="0"/>
        </w:pBdr>
        <w:spacing w:after="0" w:line="460" w:lineRule="exact"/>
        <w:ind w:firstLine="482"/>
        <w:rPr>
          <w:rFonts w:cs="宋体" w:asciiTheme="minorEastAsia" w:hAnsiTheme="minorEastAsia"/>
          <w:bCs/>
          <w:sz w:val="24"/>
          <w:highlight w:val="none"/>
          <w:lang w:eastAsia="zh-CN"/>
        </w:rPr>
      </w:pPr>
      <w:r>
        <w:rPr>
          <w:rFonts w:hint="eastAsia" w:cs="宋体" w:asciiTheme="minorEastAsia" w:hAnsiTheme="minorEastAsia"/>
          <w:bCs/>
          <w:sz w:val="24"/>
          <w:highlight w:val="none"/>
          <w:lang w:eastAsia="zh-CN"/>
        </w:rPr>
        <w:t>36.1</w:t>
      </w:r>
      <w:r>
        <w:rPr>
          <w:rFonts w:hint="eastAsia" w:cs="仿宋" w:asciiTheme="minorEastAsia" w:hAnsiTheme="minorEastAsia"/>
          <w:sz w:val="24"/>
          <w:szCs w:val="24"/>
          <w:highlight w:val="none"/>
          <w:lang w:eastAsia="zh-CN"/>
        </w:rPr>
        <w:t>根据《政府采购促进中小企业发展管理办法》（财库﹝</w:t>
      </w:r>
      <w:r>
        <w:rPr>
          <w:rFonts w:cs="仿宋" w:asciiTheme="minorEastAsia" w:hAnsiTheme="minorEastAsia"/>
          <w:sz w:val="24"/>
          <w:szCs w:val="24"/>
          <w:highlight w:val="none"/>
          <w:lang w:eastAsia="zh-CN"/>
        </w:rPr>
        <w:t>2020﹞46号）</w:t>
      </w:r>
      <w:r>
        <w:rPr>
          <w:rFonts w:hint="eastAsia" w:cs="仿宋" w:asciiTheme="minorEastAsia" w:hAnsiTheme="minorEastAsia"/>
          <w:sz w:val="24"/>
          <w:szCs w:val="24"/>
          <w:highlight w:val="none"/>
          <w:lang w:eastAsia="zh-CN"/>
        </w:rPr>
        <w:t>规定，</w:t>
      </w:r>
      <w:r>
        <w:rPr>
          <w:rFonts w:cs="仿宋" w:asciiTheme="minorEastAsia" w:hAnsiTheme="minorEastAsia"/>
          <w:sz w:val="24"/>
          <w:szCs w:val="24"/>
          <w:highlight w:val="none"/>
          <w:lang w:eastAsia="zh-CN"/>
        </w:rPr>
        <w:t>第二条 本办法所称中小企业，是指在中华人民共和国境内依法设立，依据国务院批准的中小企业划分标准确定的中型企业、小型企业和微型企业，</w:t>
      </w:r>
      <w:r>
        <w:rPr>
          <w:rFonts w:cs="仿宋" w:asciiTheme="minorEastAsia" w:hAnsiTheme="minorEastAsia"/>
          <w:b/>
          <w:sz w:val="24"/>
          <w:szCs w:val="24"/>
          <w:highlight w:val="none"/>
          <w:lang w:eastAsia="zh-CN"/>
        </w:rPr>
        <w:t>但与大企业的负责人为同一人，或者与大企业存在直接控股、管理关系的除外</w:t>
      </w:r>
      <w:r>
        <w:rPr>
          <w:rFonts w:cs="仿宋" w:asciiTheme="minorEastAsia" w:hAnsiTheme="minorEastAsia"/>
          <w:sz w:val="24"/>
          <w:szCs w:val="24"/>
          <w:highlight w:val="none"/>
          <w:lang w:eastAsia="zh-CN"/>
        </w:rPr>
        <w:t>。符合中小企业划分标准的个体工商户，</w:t>
      </w:r>
      <w:r>
        <w:rPr>
          <w:rFonts w:cs="仿宋" w:asciiTheme="minorEastAsia" w:hAnsiTheme="minorEastAsia"/>
          <w:sz w:val="24"/>
          <w:highlight w:val="none"/>
          <w:lang w:eastAsia="zh-CN"/>
        </w:rPr>
        <w:t>在政府采购活动中视同中小企业。</w:t>
      </w:r>
    </w:p>
    <w:p w14:paraId="53D6C15B">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1</w:t>
      </w:r>
      <w:r>
        <w:rPr>
          <w:rFonts w:cs="仿宋" w:asciiTheme="minorEastAsia" w:hAnsiTheme="minorEastAsia"/>
          <w:sz w:val="24"/>
          <w:highlight w:val="none"/>
          <w:lang w:eastAsia="zh-CN"/>
        </w:rPr>
        <w:t>）在货物采购项目中，货物由小、微企业制造，即货物由小、微企业生产且使用该小、微企业商号或者注册商标。对其报价给予20%的扣除，扣除后的价格参与价格评审。</w:t>
      </w:r>
    </w:p>
    <w:p w14:paraId="70C49C3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2</w:t>
      </w:r>
      <w:r>
        <w:rPr>
          <w:rFonts w:cs="仿宋" w:asciiTheme="minorEastAsia" w:hAnsiTheme="minorEastAsia"/>
          <w:sz w:val="24"/>
          <w:highlight w:val="none"/>
          <w:lang w:eastAsia="zh-CN"/>
        </w:rPr>
        <w:t>）在服务采购项目中，服务由小、微企业承接，即提供服务的人员为小、微企业依照《中华人民共和国劳动合同法》订立劳动合同的从业人员。对其报价给予20%的扣除，扣除后的价格参与价格评审。</w:t>
      </w:r>
    </w:p>
    <w:p w14:paraId="41A9FA3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3</w:t>
      </w:r>
      <w:r>
        <w:rPr>
          <w:rFonts w:cs="仿宋" w:asciiTheme="minorEastAsia" w:hAnsiTheme="minorEastAsia"/>
          <w:sz w:val="24"/>
          <w:highlight w:val="none"/>
          <w:lang w:eastAsia="zh-CN"/>
        </w:rPr>
        <w:t>）在货物采购项目中，供应商提供的货物既有小、微企业制造货物，也有中、大型企业制造货物的，不享受本办法规定的小、微企业价格扶持政策。</w:t>
      </w:r>
    </w:p>
    <w:p w14:paraId="30F10326">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4</w:t>
      </w:r>
      <w:r>
        <w:rPr>
          <w:rFonts w:cs="仿宋" w:asciiTheme="minorEastAsia" w:hAnsiTheme="minorEastAsia"/>
          <w:sz w:val="24"/>
          <w:highlight w:val="none"/>
          <w:lang w:eastAsia="zh-CN"/>
        </w:rPr>
        <w:t>）以联合体形式参加政府采购活动，联合体各方均为中小企业的，联合体视同中小企业。其中，联合体各方均为小微企业的，联合体视同小微企业。</w:t>
      </w:r>
    </w:p>
    <w:p w14:paraId="29128340">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5</w:t>
      </w:r>
      <w:r>
        <w:rPr>
          <w:rFonts w:cs="仿宋" w:asciiTheme="minorEastAsia" w:hAnsiTheme="minorEastAsia"/>
          <w:sz w:val="24"/>
          <w:highlight w:val="none"/>
          <w:lang w:eastAsia="zh-CN"/>
        </w:rPr>
        <w:t>）符合中小企业划分标准的个体工商户，在政府采购活动中视同中小企业。</w:t>
      </w:r>
    </w:p>
    <w:p w14:paraId="4641FBCD">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6</w:t>
      </w:r>
      <w:r>
        <w:rPr>
          <w:rFonts w:cs="仿宋" w:asciiTheme="minorEastAsia" w:hAnsiTheme="minorEastAsia"/>
          <w:sz w:val="24"/>
          <w:highlight w:val="none"/>
          <w:lang w:eastAsia="zh-CN"/>
        </w:rPr>
        <w:t>）残疾人福利性单位及监狱企业视同小型企业，享受评审中价格扣除等促进中小企业发展的政府采购政策。</w:t>
      </w:r>
    </w:p>
    <w:p w14:paraId="6C65C13C">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bCs/>
          <w:color w:val="000000"/>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7</w:t>
      </w:r>
      <w:r>
        <w:rPr>
          <w:rFonts w:cs="仿宋" w:asciiTheme="minorEastAsia" w:hAnsiTheme="minorEastAsia"/>
          <w:sz w:val="24"/>
          <w:highlight w:val="none"/>
          <w:lang w:eastAsia="zh-CN"/>
        </w:rPr>
        <w:t xml:space="preserve">）供应商按照本办法规定提供声明函内容不实的，属于提供虚假材料谋取中标、 </w:t>
      </w:r>
      <w:r>
        <w:rPr>
          <w:rFonts w:hint="eastAsia" w:cs="仿宋" w:asciiTheme="minorEastAsia" w:hAnsiTheme="minorEastAsia"/>
          <w:sz w:val="24"/>
          <w:highlight w:val="none"/>
          <w:lang w:eastAsia="zh-CN"/>
        </w:rPr>
        <w:t>成交，</w:t>
      </w:r>
      <w:r>
        <w:rPr>
          <w:rFonts w:cs="仿宋" w:asciiTheme="minorEastAsia" w:hAnsiTheme="minorEastAsia"/>
          <w:sz w:val="24"/>
          <w:highlight w:val="none"/>
          <w:lang w:eastAsia="zh-CN"/>
        </w:rPr>
        <w:t xml:space="preserve"> </w:t>
      </w:r>
      <w:r>
        <w:rPr>
          <w:rFonts w:hint="eastAsia" w:cs="仿宋" w:asciiTheme="minorEastAsia" w:hAnsiTheme="minorEastAsia"/>
          <w:sz w:val="24"/>
          <w:highlight w:val="none"/>
          <w:lang w:eastAsia="zh-CN"/>
        </w:rPr>
        <w:t>依照《中华人民共和国政府采购法》</w:t>
      </w:r>
      <w:r>
        <w:rPr>
          <w:rFonts w:cs="仿宋" w:asciiTheme="minorEastAsia" w:hAnsiTheme="minorEastAsia"/>
          <w:sz w:val="24"/>
          <w:highlight w:val="none"/>
          <w:lang w:eastAsia="zh-CN"/>
        </w:rPr>
        <w:t xml:space="preserve"> </w:t>
      </w:r>
      <w:r>
        <w:rPr>
          <w:rFonts w:hint="eastAsia" w:cs="仿宋" w:asciiTheme="minorEastAsia" w:hAnsiTheme="minorEastAsia"/>
          <w:sz w:val="24"/>
          <w:highlight w:val="none"/>
          <w:lang w:eastAsia="zh-CN"/>
        </w:rPr>
        <w:t>等国家有关规定追究相应责任。</w:t>
      </w:r>
    </w:p>
    <w:p w14:paraId="16B30BD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37.绿色数据中心政策</w:t>
      </w:r>
    </w:p>
    <w:p w14:paraId="6DDAFAD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color w:val="000000"/>
          <w:sz w:val="24"/>
          <w:highlight w:val="none"/>
          <w:lang w:eastAsia="zh-CN"/>
        </w:rPr>
      </w:pPr>
      <w:r>
        <w:rPr>
          <w:rFonts w:hint="eastAsia" w:ascii="宋体" w:hAnsi="宋体" w:eastAsia="宋体" w:cs="宋体"/>
          <w:sz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4D711D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38.商品包装、快递包装政策</w:t>
      </w:r>
    </w:p>
    <w:p w14:paraId="49D3E38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color w:val="000000"/>
          <w:sz w:val="24"/>
          <w:highlight w:val="none"/>
          <w:lang w:eastAsia="zh-CN"/>
        </w:rPr>
      </w:pPr>
      <w:r>
        <w:rPr>
          <w:rFonts w:hint="eastAsia" w:ascii="宋体" w:hAnsi="宋体" w:eastAsia="宋体" w:cs="宋体"/>
          <w:sz w:val="24"/>
          <w:highlight w:val="none"/>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60CCB95D">
      <w:pPr>
        <w:pBdr>
          <w:top w:val="none" w:color="000000" w:sz="0" w:space="0"/>
          <w:left w:val="none" w:color="000000" w:sz="0" w:space="0"/>
          <w:bottom w:val="none" w:color="000000" w:sz="0" w:space="0"/>
          <w:right w:val="none" w:color="000000" w:sz="0" w:space="0"/>
        </w:pBdr>
        <w:spacing w:after="0" w:line="500" w:lineRule="exact"/>
        <w:rPr>
          <w:rFonts w:ascii="宋体" w:hAnsi="宋体" w:cs="宋体"/>
          <w:b/>
          <w:sz w:val="24"/>
          <w:highlight w:val="none"/>
          <w:lang w:eastAsia="zh-CN"/>
        </w:rPr>
      </w:pPr>
      <w:r>
        <w:rPr>
          <w:rFonts w:hint="eastAsia" w:ascii="宋体" w:hAnsi="宋体" w:cs="宋体"/>
          <w:b/>
          <w:sz w:val="24"/>
          <w:highlight w:val="none"/>
          <w:lang w:eastAsia="zh-CN"/>
        </w:rPr>
        <w:t>3</w:t>
      </w:r>
      <w:r>
        <w:rPr>
          <w:rFonts w:ascii="宋体" w:hAnsi="宋体" w:cs="宋体"/>
          <w:b/>
          <w:sz w:val="24"/>
          <w:highlight w:val="none"/>
          <w:lang w:eastAsia="zh-CN"/>
        </w:rPr>
        <w:t>9</w:t>
      </w:r>
      <w:r>
        <w:rPr>
          <w:rFonts w:hint="eastAsia" w:ascii="宋体" w:hAnsi="宋体" w:cs="宋体"/>
          <w:b/>
          <w:sz w:val="24"/>
          <w:highlight w:val="none"/>
          <w:lang w:eastAsia="zh-CN"/>
        </w:rPr>
        <w:t>.采购本国产品的支持政策</w:t>
      </w:r>
    </w:p>
    <w:p w14:paraId="28F00046">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A474EF4">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2</w:t>
      </w:r>
      <w:r>
        <w:rPr>
          <w:rFonts w:hint="eastAsia" w:ascii="宋体" w:hAnsi="宋体" w:cs="宋体"/>
          <w:sz w:val="24"/>
          <w:highlight w:val="none"/>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CACB218">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3</w:t>
      </w:r>
      <w:r>
        <w:rPr>
          <w:rFonts w:hint="eastAsia" w:ascii="宋体" w:hAnsi="宋体" w:cs="宋体"/>
          <w:sz w:val="24"/>
          <w:highlight w:val="none"/>
          <w:lang w:eastAsia="zh-CN"/>
        </w:rPr>
        <w:t xml:space="preserve"> 本项目政府采购活动中既有本国产品又有非本国产品参与竞争的，依法对本国产品给予价格评审优惠，</w:t>
      </w:r>
      <w:r>
        <w:rPr>
          <w:rFonts w:hint="eastAsia" w:ascii="宋体" w:hAnsi="宋体" w:cs="宋体"/>
          <w:b/>
          <w:sz w:val="24"/>
          <w:highlight w:val="none"/>
          <w:lang w:eastAsia="zh-CN"/>
        </w:rPr>
        <w:t>对本国产品的报价给予20%的价格扣除，用扣除后的价格参与评审。</w:t>
      </w:r>
    </w:p>
    <w:p w14:paraId="48391930">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4</w:t>
      </w:r>
      <w:r>
        <w:rPr>
          <w:rFonts w:hint="eastAsia" w:ascii="宋体" w:hAnsi="宋体" w:cs="宋体"/>
          <w:sz w:val="24"/>
          <w:highlight w:val="none"/>
          <w:lang w:eastAsia="zh-CN"/>
        </w:rPr>
        <w:t xml:space="preserve"> </w:t>
      </w:r>
      <w:bookmarkStart w:id="2" w:name="OLE_LINK3"/>
      <w:bookmarkStart w:id="3" w:name="OLE_LINK2"/>
      <w:r>
        <w:rPr>
          <w:rFonts w:hint="eastAsia" w:ascii="宋体" w:hAnsi="宋体" w:cs="宋体"/>
          <w:sz w:val="24"/>
          <w:highlight w:val="none"/>
          <w:lang w:eastAsia="zh-CN"/>
        </w:rPr>
        <w:t>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bookmarkEnd w:id="2"/>
      <w:bookmarkEnd w:id="3"/>
    </w:p>
    <w:p w14:paraId="51881171">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5</w:t>
      </w:r>
      <w:r>
        <w:rPr>
          <w:rFonts w:hint="eastAsia" w:ascii="宋体" w:hAnsi="宋体" w:cs="宋体"/>
          <w:sz w:val="24"/>
          <w:highlight w:val="none"/>
          <w:lang w:eastAsia="zh-CN"/>
        </w:rPr>
        <w:t xml:space="preserve"> 供应商需按照招标文件的要求提供《关于符合本国产品标准的声明函》（以下简称《声明函》），</w:t>
      </w:r>
      <w:r>
        <w:rPr>
          <w:rFonts w:hint="eastAsia" w:ascii="宋体" w:hAnsi="宋体" w:cs="宋体"/>
          <w:b/>
          <w:sz w:val="24"/>
          <w:highlight w:val="none"/>
          <w:lang w:eastAsia="zh-CN"/>
        </w:rPr>
        <w:t>如不提供将不享受本国产品价格评审优惠。</w:t>
      </w:r>
    </w:p>
    <w:p w14:paraId="6C11EF12">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6</w:t>
      </w:r>
      <w:r>
        <w:rPr>
          <w:rFonts w:hint="eastAsia" w:ascii="宋体" w:hAnsi="宋体" w:cs="宋体"/>
          <w:b/>
          <w:sz w:val="24"/>
          <w:highlight w:val="none"/>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070D6946">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7</w:t>
      </w:r>
      <w:r>
        <w:rPr>
          <w:rFonts w:hint="eastAsia" w:ascii="宋体" w:hAnsi="宋体" w:cs="宋体"/>
          <w:sz w:val="24"/>
          <w:highlight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88C4CEA">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highlight w:val="none"/>
          <w:lang w:eastAsia="zh-CN"/>
        </w:rPr>
      </w:pPr>
      <w:r>
        <w:rPr>
          <w:rFonts w:hint="eastAsia" w:ascii="宋体" w:hAnsi="宋体" w:cs="宋体"/>
          <w:b/>
          <w:sz w:val="24"/>
          <w:highlight w:val="none"/>
          <w:lang w:eastAsia="zh-CN"/>
        </w:rPr>
        <w:t>九、其他事项</w:t>
      </w:r>
    </w:p>
    <w:p w14:paraId="296F8679">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highlight w:val="none"/>
          <w:lang w:eastAsia="zh-CN"/>
        </w:rPr>
      </w:pPr>
      <w:r>
        <w:rPr>
          <w:rFonts w:ascii="宋体" w:hAnsi="宋体" w:cs="宋体"/>
          <w:b/>
          <w:sz w:val="24"/>
          <w:highlight w:val="none"/>
          <w:lang w:eastAsia="zh-CN"/>
        </w:rPr>
        <w:t>40</w:t>
      </w:r>
      <w:r>
        <w:rPr>
          <w:rFonts w:hint="eastAsia" w:ascii="宋体" w:hAnsi="宋体" w:cs="宋体"/>
          <w:b/>
          <w:sz w:val="24"/>
          <w:highlight w:val="none"/>
          <w:lang w:eastAsia="zh-CN"/>
        </w:rPr>
        <w:t>. 监督和公证</w:t>
      </w:r>
    </w:p>
    <w:p w14:paraId="3686A527">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highlight w:val="none"/>
          <w:lang w:eastAsia="zh-CN"/>
        </w:rPr>
      </w:pPr>
      <w:r>
        <w:rPr>
          <w:rFonts w:ascii="宋体" w:hAnsi="宋体" w:cs="宋体"/>
          <w:sz w:val="24"/>
          <w:highlight w:val="none"/>
          <w:lang w:eastAsia="zh-CN"/>
        </w:rPr>
        <w:t>40</w:t>
      </w:r>
      <w:r>
        <w:rPr>
          <w:rFonts w:hint="eastAsia" w:ascii="宋体" w:hAnsi="宋体" w:cs="宋体"/>
          <w:sz w:val="24"/>
          <w:highlight w:val="none"/>
          <w:lang w:eastAsia="zh-CN"/>
        </w:rPr>
        <w:t>.1政府有关监督部门将对招投标全过程进行监督。</w:t>
      </w:r>
    </w:p>
    <w:p w14:paraId="667A90CC">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highlight w:val="none"/>
          <w:lang w:eastAsia="zh-CN"/>
        </w:rPr>
      </w:pPr>
      <w:r>
        <w:rPr>
          <w:rFonts w:ascii="宋体" w:hAnsi="宋体" w:cs="宋体"/>
          <w:sz w:val="24"/>
          <w:highlight w:val="none"/>
          <w:lang w:eastAsia="zh-CN"/>
        </w:rPr>
        <w:t>40</w:t>
      </w:r>
      <w:r>
        <w:rPr>
          <w:rFonts w:hint="eastAsia" w:ascii="宋体" w:hAnsi="宋体" w:cs="宋体"/>
          <w:sz w:val="24"/>
          <w:highlight w:val="none"/>
          <w:lang w:eastAsia="zh-CN"/>
        </w:rPr>
        <w:t>.2采购代理机构的招标过程将依采购人申请，通过公证机关进行公证。</w:t>
      </w:r>
    </w:p>
    <w:p w14:paraId="0711D4D4">
      <w:pPr>
        <w:pBdr>
          <w:top w:val="none" w:color="000000" w:sz="0" w:space="0"/>
          <w:left w:val="none" w:color="000000" w:sz="0" w:space="0"/>
          <w:bottom w:val="none" w:color="000000" w:sz="0" w:space="0"/>
          <w:right w:val="none" w:color="000000" w:sz="0" w:space="0"/>
        </w:pBdr>
        <w:spacing w:after="0" w:line="440" w:lineRule="exact"/>
        <w:rPr>
          <w:rFonts w:ascii="宋体" w:hAnsi="宋体" w:cs="宋体"/>
          <w:b/>
          <w:bCs/>
          <w:sz w:val="24"/>
          <w:highlight w:val="none"/>
          <w:lang w:eastAsia="zh-CN"/>
        </w:rPr>
      </w:pPr>
      <w:r>
        <w:rPr>
          <w:rFonts w:hint="eastAsia" w:ascii="宋体" w:hAnsi="宋体" w:cs="宋体"/>
          <w:b/>
          <w:bCs/>
          <w:sz w:val="24"/>
          <w:highlight w:val="none"/>
          <w:lang w:eastAsia="zh-CN"/>
        </w:rPr>
        <w:t>4</w:t>
      </w:r>
      <w:r>
        <w:rPr>
          <w:rFonts w:ascii="宋体" w:hAnsi="宋体" w:cs="宋体"/>
          <w:b/>
          <w:bCs/>
          <w:sz w:val="24"/>
          <w:highlight w:val="none"/>
          <w:lang w:eastAsia="zh-CN"/>
        </w:rPr>
        <w:t>1</w:t>
      </w:r>
      <w:r>
        <w:rPr>
          <w:rFonts w:hint="eastAsia" w:ascii="宋体" w:hAnsi="宋体" w:cs="宋体"/>
          <w:b/>
          <w:bCs/>
          <w:sz w:val="24"/>
          <w:highlight w:val="none"/>
          <w:lang w:eastAsia="zh-CN"/>
        </w:rPr>
        <w:t>.未尽事宜</w:t>
      </w:r>
    </w:p>
    <w:p w14:paraId="521E8003">
      <w:pPr>
        <w:spacing w:after="0" w:line="440" w:lineRule="exact"/>
        <w:ind w:firstLine="480" w:firstLineChars="200"/>
        <w:rPr>
          <w:rFonts w:ascii="宋体" w:hAnsi="宋体" w:cs="宋体"/>
          <w:b/>
          <w:sz w:val="24"/>
          <w:highlight w:val="none"/>
          <w:lang w:eastAsia="zh-CN"/>
        </w:rPr>
      </w:pPr>
      <w:r>
        <w:rPr>
          <w:rFonts w:hint="eastAsia" w:ascii="宋体" w:hAnsi="宋体" w:cs="宋体"/>
          <w:sz w:val="24"/>
          <w:highlight w:val="none"/>
          <w:lang w:eastAsia="zh-CN"/>
        </w:rPr>
        <w:t>按《中华人民共和国政府采购法》及其他有关法律法规的规定执行。</w:t>
      </w:r>
    </w:p>
    <w:p w14:paraId="7721D95D">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689CC2AA">
      <w:pPr>
        <w:pBdr>
          <w:top w:val="none" w:color="000000" w:sz="0" w:space="0"/>
          <w:left w:val="none" w:color="000000" w:sz="0" w:space="0"/>
          <w:bottom w:val="none" w:color="000000" w:sz="0" w:space="0"/>
          <w:right w:val="none" w:color="000000" w:sz="0" w:space="0"/>
        </w:pBdr>
        <w:spacing w:after="0"/>
        <w:ind w:firstLine="440" w:firstLineChars="200"/>
        <w:rPr>
          <w:rFonts w:hint="eastAsia" w:ascii="宋体" w:hAnsi="宋体" w:eastAsia="宋体" w:cs="宋体"/>
          <w:highlight w:val="none"/>
          <w:lang w:eastAsia="zh-CN"/>
        </w:rPr>
      </w:pPr>
    </w:p>
    <w:p w14:paraId="60E4D397">
      <w:pPr>
        <w:pBdr>
          <w:top w:val="none" w:color="000000" w:sz="0" w:space="0"/>
          <w:left w:val="none" w:color="000000" w:sz="0" w:space="0"/>
          <w:bottom w:val="none" w:color="000000" w:sz="0" w:space="0"/>
          <w:right w:val="none" w:color="000000" w:sz="0" w:space="0"/>
        </w:pBdr>
        <w:spacing w:after="0" w:line="440" w:lineRule="exact"/>
        <w:jc w:val="center"/>
        <w:rPr>
          <w:rFonts w:hint="eastAsia" w:ascii="宋体" w:hAnsi="宋体" w:eastAsia="宋体" w:cs="宋体"/>
          <w:b/>
          <w:color w:val="000000"/>
          <w:sz w:val="44"/>
          <w:highlight w:val="none"/>
          <w:lang w:eastAsia="zh-CN"/>
        </w:rPr>
      </w:pPr>
      <w:bookmarkStart w:id="4" w:name="OLE_LINK4"/>
      <w:r>
        <w:rPr>
          <w:rFonts w:hint="eastAsia" w:ascii="宋体" w:hAnsi="宋体" w:eastAsia="宋体" w:cs="宋体"/>
          <w:b/>
          <w:color w:val="000000"/>
          <w:sz w:val="44"/>
          <w:highlight w:val="none"/>
          <w:lang w:eastAsia="zh-CN"/>
        </w:rPr>
        <w:t>第三部分   项目需求</w:t>
      </w:r>
      <w:bookmarkEnd w:id="4"/>
      <w:bookmarkStart w:id="5" w:name="_Toc19021"/>
    </w:p>
    <w:bookmarkEnd w:id="5"/>
    <w:p w14:paraId="45962DE8">
      <w:pPr>
        <w:pStyle w:val="4"/>
        <w:keepNext w:val="0"/>
        <w:keepLines w:val="0"/>
        <w:spacing w:before="0" w:after="0" w:line="480" w:lineRule="exact"/>
        <w:jc w:val="both"/>
        <w:rPr>
          <w:rStyle w:val="48"/>
          <w:rFonts w:hint="eastAsia" w:ascii="宋体" w:hAnsi="宋体" w:eastAsia="宋体" w:cs="宋体"/>
          <w:sz w:val="28"/>
          <w:szCs w:val="28"/>
          <w:highlight w:val="none"/>
          <w:shd w:val="clear" w:color="auto" w:fill="FFFFFF"/>
          <w:lang w:eastAsia="zh-CN"/>
        </w:rPr>
      </w:pPr>
      <w:r>
        <w:rPr>
          <w:rStyle w:val="48"/>
          <w:rFonts w:hint="eastAsia" w:ascii="宋体" w:hAnsi="宋体" w:eastAsia="宋体" w:cs="宋体"/>
          <w:sz w:val="28"/>
          <w:szCs w:val="28"/>
          <w:highlight w:val="none"/>
          <w:shd w:val="clear" w:color="auto" w:fill="FFFFFF"/>
          <w:lang w:eastAsia="zh-CN"/>
        </w:rPr>
        <w:t>一、项目背景</w:t>
      </w:r>
    </w:p>
    <w:p w14:paraId="2D6C0642">
      <w:pPr>
        <w:pStyle w:val="201"/>
        <w:spacing w:line="500" w:lineRule="exact"/>
        <w:ind w:firstLine="480" w:firstLineChars="200"/>
        <w:jc w:val="both"/>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随着太仓智慧交通一期项目的实施落地以及太仓市智慧城市新型基础设施软硬件配套项目的建设，在初步建成全市交通感知基础网络和智慧城市软硬件底座的前提下，原有建设内容已完成阶段性建设目标，有效夯实了太仓交通数字化管控与城市新基建基础支撑能力，为城市智慧治理、交通秩序管控、基础资源统筹提供了初步保障。</w:t>
      </w:r>
    </w:p>
    <w:p w14:paraId="2438D7D0">
      <w:pPr>
        <w:pStyle w:val="201"/>
        <w:spacing w:line="500" w:lineRule="exact"/>
        <w:ind w:firstLine="480" w:firstLineChars="200"/>
        <w:jc w:val="both"/>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为充分盘活前期已建投资成果，进一步补齐原有两大项目体系短板、延伸建设链条、完善功能闭环，打通从前端感知、算力支撑到业务应用的全链路体系，本次在原有两大项目建设基础上增补相关建设内容。通过针对性提档升级、功能延伸和配套完善，实现存量资源复用、增量功能补强，全面提升太仓全域交通综合治理效能和智慧城市基础设施整体完备度，更好支撑城市常态化智慧运行、临沪一体化协同发展和民生服务品质提升，构建更全面、更精细、更智能的太仓智慧城市与智慧交通一体化运行体系。</w:t>
      </w:r>
    </w:p>
    <w:p w14:paraId="33BC0521">
      <w:pPr>
        <w:pStyle w:val="201"/>
        <w:spacing w:line="480" w:lineRule="exact"/>
        <w:rPr>
          <w:rStyle w:val="48"/>
          <w:rFonts w:hint="eastAsia" w:cs="宋体" w:asciiTheme="minorEastAsia" w:hAnsiTheme="minorEastAsia" w:eastAsiaTheme="minorEastAsia"/>
          <w:sz w:val="24"/>
          <w:szCs w:val="24"/>
          <w:highlight w:val="none"/>
          <w:shd w:val="clear" w:color="auto" w:fill="FFFFFF"/>
          <w:lang w:eastAsia="zh-CN"/>
        </w:rPr>
      </w:pPr>
      <w:r>
        <w:rPr>
          <w:rStyle w:val="48"/>
          <w:rFonts w:hint="eastAsia" w:cs="宋体" w:asciiTheme="minorEastAsia" w:hAnsiTheme="minorEastAsia" w:eastAsiaTheme="minorEastAsia"/>
          <w:sz w:val="24"/>
          <w:szCs w:val="24"/>
          <w:highlight w:val="none"/>
          <w:shd w:val="clear" w:color="auto" w:fill="FFFFFF"/>
          <w:lang w:eastAsia="zh-CN"/>
        </w:rPr>
        <w:t>二、项目需求</w:t>
      </w:r>
    </w:p>
    <w:p w14:paraId="4F1D902A">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（一）建设清单</w:t>
      </w:r>
    </w:p>
    <w:tbl>
      <w:tblPr>
        <w:tblStyle w:val="45"/>
        <w:tblW w:w="8971" w:type="dxa"/>
        <w:tblInd w:w="392" w:type="dxa"/>
        <w:tblLayout w:type="autofit"/>
        <w:tblCellMar>
          <w:top w:w="0" w:type="dxa"/>
          <w:left w:w="108" w:type="dxa"/>
          <w:bottom w:w="0" w:type="dxa"/>
          <w:right w:w="108" w:type="dxa"/>
        </w:tblCellMar>
      </w:tblPr>
      <w:tblGrid>
        <w:gridCol w:w="1044"/>
        <w:gridCol w:w="1613"/>
        <w:gridCol w:w="5281"/>
        <w:gridCol w:w="457"/>
        <w:gridCol w:w="576"/>
      </w:tblGrid>
      <w:tr w14:paraId="1E94BED9">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C30788B">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序号</w:t>
            </w:r>
          </w:p>
        </w:tc>
        <w:tc>
          <w:tcPr>
            <w:tcW w:w="1613" w:type="dxa"/>
            <w:tcBorders>
              <w:top w:val="single" w:color="000000" w:sz="4" w:space="0"/>
              <w:left w:val="single" w:color="000000" w:sz="4" w:space="0"/>
              <w:bottom w:val="single" w:color="000000" w:sz="4" w:space="0"/>
              <w:right w:val="single" w:color="000000" w:sz="4" w:space="0"/>
            </w:tcBorders>
            <w:vAlign w:val="center"/>
          </w:tcPr>
          <w:p w14:paraId="2A8D4BCE">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功能模块</w:t>
            </w:r>
            <w:r>
              <w:rPr>
                <w:rFonts w:hint="eastAsia" w:asciiTheme="minorEastAsia" w:hAnsiTheme="minorEastAsia" w:eastAsiaTheme="minorEastAsia"/>
                <w:b/>
                <w:bCs/>
                <w:color w:val="000000"/>
                <w:sz w:val="24"/>
                <w:szCs w:val="24"/>
                <w:highlight w:val="none"/>
                <w:lang w:eastAsia="zh-CN" w:bidi="ar"/>
              </w:rPr>
              <w:t>/</w:t>
            </w:r>
            <w:r>
              <w:rPr>
                <w:rFonts w:hint="eastAsia" w:cs="微软雅黑" w:asciiTheme="minorEastAsia" w:hAnsiTheme="minorEastAsia" w:eastAsiaTheme="minorEastAsia"/>
                <w:b/>
                <w:bCs/>
                <w:color w:val="000000"/>
                <w:sz w:val="24"/>
                <w:szCs w:val="24"/>
                <w:highlight w:val="none"/>
                <w:lang w:eastAsia="zh-CN" w:bidi="ar"/>
              </w:rPr>
              <w:t>设备名称</w:t>
            </w:r>
          </w:p>
        </w:tc>
        <w:tc>
          <w:tcPr>
            <w:tcW w:w="5281" w:type="dxa"/>
            <w:tcBorders>
              <w:top w:val="single" w:color="000000" w:sz="4" w:space="0"/>
              <w:left w:val="single" w:color="000000" w:sz="4" w:space="0"/>
              <w:bottom w:val="single" w:color="000000" w:sz="4" w:space="0"/>
              <w:right w:val="single" w:color="000000" w:sz="4" w:space="0"/>
            </w:tcBorders>
            <w:vAlign w:val="center"/>
          </w:tcPr>
          <w:p w14:paraId="09A1F97A">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功能描述</w:t>
            </w:r>
            <w:r>
              <w:rPr>
                <w:rFonts w:hint="eastAsia" w:asciiTheme="minorEastAsia" w:hAnsiTheme="minorEastAsia" w:eastAsiaTheme="minorEastAsia"/>
                <w:b/>
                <w:bCs/>
                <w:color w:val="000000"/>
                <w:sz w:val="24"/>
                <w:szCs w:val="24"/>
                <w:highlight w:val="none"/>
                <w:lang w:eastAsia="zh-CN" w:bidi="ar"/>
              </w:rPr>
              <w:t>/</w:t>
            </w:r>
            <w:r>
              <w:rPr>
                <w:rFonts w:hint="eastAsia" w:cs="微软雅黑" w:asciiTheme="minorEastAsia" w:hAnsiTheme="minorEastAsia" w:eastAsiaTheme="minorEastAsia"/>
                <w:b/>
                <w:bCs/>
                <w:color w:val="000000"/>
                <w:sz w:val="24"/>
                <w:szCs w:val="24"/>
                <w:highlight w:val="none"/>
                <w:lang w:eastAsia="zh-CN" w:bidi="ar"/>
              </w:rPr>
              <w:t>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25EC766B">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单位</w:t>
            </w:r>
          </w:p>
        </w:tc>
        <w:tc>
          <w:tcPr>
            <w:tcW w:w="0" w:type="auto"/>
            <w:tcBorders>
              <w:top w:val="single" w:color="000000" w:sz="4" w:space="0"/>
              <w:left w:val="single" w:color="000000" w:sz="4" w:space="0"/>
              <w:bottom w:val="single" w:color="000000" w:sz="4" w:space="0"/>
              <w:right w:val="single" w:color="000000" w:sz="4" w:space="0"/>
            </w:tcBorders>
            <w:vAlign w:val="center"/>
          </w:tcPr>
          <w:p w14:paraId="7B87AA14">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数量</w:t>
            </w:r>
          </w:p>
        </w:tc>
      </w:tr>
      <w:tr w14:paraId="7CBC0B5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B6A4ECB">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一</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485D91EB">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视频巡检车违停抓拍系统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48B3CBD9">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4A017C1">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3632D61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50D278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74B37017">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违停智能识别抓拍</w:t>
            </w:r>
          </w:p>
        </w:tc>
        <w:tc>
          <w:tcPr>
            <w:tcW w:w="5281" w:type="dxa"/>
            <w:tcBorders>
              <w:top w:val="single" w:color="000000" w:sz="4" w:space="0"/>
              <w:left w:val="single" w:color="000000" w:sz="4" w:space="0"/>
              <w:bottom w:val="single" w:color="000000" w:sz="4" w:space="0"/>
              <w:right w:val="single" w:color="000000" w:sz="4" w:space="0"/>
            </w:tcBorders>
            <w:vAlign w:val="center"/>
          </w:tcPr>
          <w:p w14:paraId="22E005B6">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依托巡检车载硬件设备搭建违停识别体系，集成车牌识别、</w:t>
            </w:r>
            <w:r>
              <w:rPr>
                <w:rFonts w:hint="eastAsia" w:asciiTheme="minorEastAsia" w:hAnsiTheme="minorEastAsia" w:eastAsiaTheme="minorEastAsia"/>
                <w:color w:val="000000"/>
                <w:sz w:val="24"/>
                <w:szCs w:val="24"/>
                <w:highlight w:val="none"/>
                <w:lang w:eastAsia="zh-CN" w:bidi="ar"/>
              </w:rPr>
              <w:t xml:space="preserve">GPS </w:t>
            </w:r>
            <w:r>
              <w:rPr>
                <w:rFonts w:hint="eastAsia" w:cs="微软雅黑" w:asciiTheme="minorEastAsia" w:hAnsiTheme="minorEastAsia" w:eastAsiaTheme="minorEastAsia"/>
                <w:color w:val="000000"/>
                <w:sz w:val="24"/>
                <w:szCs w:val="24"/>
                <w:highlight w:val="none"/>
                <w:lang w:eastAsia="zh-CN" w:bidi="ar"/>
              </w:rPr>
              <w:t>定位融合技术，结合泊位台账、违停管控道路地理信息判定车辆停放位置；系统支持多轮巡检交叉核验机制，精准识别泊位外违法停放车辆，输出有效违停告警。</w:t>
            </w:r>
          </w:p>
        </w:tc>
        <w:tc>
          <w:tcPr>
            <w:tcW w:w="457" w:type="dxa"/>
            <w:tcBorders>
              <w:top w:val="single" w:color="000000" w:sz="4" w:space="0"/>
              <w:left w:val="single" w:color="000000" w:sz="4" w:space="0"/>
              <w:bottom w:val="single" w:color="000000" w:sz="4" w:space="0"/>
              <w:right w:val="single" w:color="000000" w:sz="4" w:space="0"/>
            </w:tcBorders>
            <w:vAlign w:val="center"/>
          </w:tcPr>
          <w:p w14:paraId="0747EB9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D24C1F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41067B7">
        <w:tblPrEx>
          <w:tblCellMar>
            <w:top w:w="0" w:type="dxa"/>
            <w:left w:w="108" w:type="dxa"/>
            <w:bottom w:w="0" w:type="dxa"/>
            <w:right w:w="108" w:type="dxa"/>
          </w:tblCellMar>
        </w:tblPrEx>
        <w:trPr>
          <w:trHeight w:val="23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74CC9D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37E8E705">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数据库适配</w:t>
            </w:r>
          </w:p>
        </w:tc>
        <w:tc>
          <w:tcPr>
            <w:tcW w:w="5281" w:type="dxa"/>
            <w:tcBorders>
              <w:top w:val="single" w:color="000000" w:sz="4" w:space="0"/>
              <w:left w:val="single" w:color="000000" w:sz="4" w:space="0"/>
              <w:bottom w:val="single" w:color="000000" w:sz="4" w:space="0"/>
              <w:right w:val="single" w:color="000000" w:sz="4" w:space="0"/>
            </w:tcBorders>
            <w:vAlign w:val="center"/>
          </w:tcPr>
          <w:p w14:paraId="7CF38C72">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按照甲方要求的数据库进行部署、参数配置、运维适配等工作，保障全业务功能稳定运行。</w:t>
            </w:r>
          </w:p>
        </w:tc>
        <w:tc>
          <w:tcPr>
            <w:tcW w:w="457" w:type="dxa"/>
            <w:tcBorders>
              <w:top w:val="single" w:color="000000" w:sz="4" w:space="0"/>
              <w:left w:val="single" w:color="000000" w:sz="4" w:space="0"/>
              <w:bottom w:val="single" w:color="000000" w:sz="4" w:space="0"/>
              <w:right w:val="single" w:color="000000" w:sz="4" w:space="0"/>
            </w:tcBorders>
            <w:vAlign w:val="center"/>
          </w:tcPr>
          <w:p w14:paraId="265FE54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7EAC18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86C460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467860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228CF337">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平台数据上报对接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145B3B75">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系统严格按照违停数据对接规范文档执行全量数据上报，所有上报字段、传输协议、报文格式、交互逻辑均以定稿文档为唯一标准。</w:t>
            </w:r>
          </w:p>
        </w:tc>
        <w:tc>
          <w:tcPr>
            <w:tcW w:w="457" w:type="dxa"/>
            <w:tcBorders>
              <w:top w:val="single" w:color="000000" w:sz="4" w:space="0"/>
              <w:left w:val="single" w:color="000000" w:sz="4" w:space="0"/>
              <w:bottom w:val="single" w:color="000000" w:sz="4" w:space="0"/>
              <w:right w:val="single" w:color="000000" w:sz="4" w:space="0"/>
            </w:tcBorders>
            <w:vAlign w:val="center"/>
          </w:tcPr>
          <w:p w14:paraId="0B04AD0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D6DCD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44D50D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CC61FF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17C59995">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智能防误拍算法</w:t>
            </w:r>
          </w:p>
        </w:tc>
        <w:tc>
          <w:tcPr>
            <w:tcW w:w="5281" w:type="dxa"/>
            <w:tcBorders>
              <w:top w:val="single" w:color="000000" w:sz="4" w:space="0"/>
              <w:left w:val="single" w:color="000000" w:sz="4" w:space="0"/>
              <w:bottom w:val="single" w:color="000000" w:sz="4" w:space="0"/>
              <w:right w:val="single" w:color="000000" w:sz="4" w:space="0"/>
            </w:tcBorders>
            <w:vAlign w:val="center"/>
          </w:tcPr>
          <w:p w14:paraId="12A1A1DA">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违停识别搭载距离校验算法，实时判定违停车辆与巡检车辆空间距离；车辆超出有效识别距离、且无备案停车位的，系统自动跳过违停判定，杜绝远距离无效误抓拍。</w:t>
            </w:r>
          </w:p>
        </w:tc>
        <w:tc>
          <w:tcPr>
            <w:tcW w:w="457" w:type="dxa"/>
            <w:tcBorders>
              <w:top w:val="single" w:color="000000" w:sz="4" w:space="0"/>
              <w:left w:val="single" w:color="000000" w:sz="4" w:space="0"/>
              <w:bottom w:val="single" w:color="000000" w:sz="4" w:space="0"/>
              <w:right w:val="single" w:color="000000" w:sz="4" w:space="0"/>
            </w:tcBorders>
            <w:vAlign w:val="center"/>
          </w:tcPr>
          <w:p w14:paraId="5DCAEE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D3CE5E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06BDA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5226A1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644C0FF3">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违停取证图片合成及水印规范</w:t>
            </w:r>
          </w:p>
        </w:tc>
        <w:tc>
          <w:tcPr>
            <w:tcW w:w="5281" w:type="dxa"/>
            <w:tcBorders>
              <w:top w:val="single" w:color="000000" w:sz="4" w:space="0"/>
              <w:left w:val="single" w:color="000000" w:sz="4" w:space="0"/>
              <w:bottom w:val="single" w:color="000000" w:sz="4" w:space="0"/>
              <w:right w:val="single" w:color="000000" w:sz="4" w:space="0"/>
            </w:tcBorders>
            <w:vAlign w:val="center"/>
          </w:tcPr>
          <w:p w14:paraId="550CCE31">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取证照片按照甲方要求合成取证材料；所有抓拍图片水印样式、内容、位置严格按照甲方规范统一配置。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674F23B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21ADFC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94990D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9A5FDD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200802F7">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违停道路电子标定</w:t>
            </w:r>
          </w:p>
        </w:tc>
        <w:tc>
          <w:tcPr>
            <w:tcW w:w="5281" w:type="dxa"/>
            <w:tcBorders>
              <w:top w:val="single" w:color="000000" w:sz="4" w:space="0"/>
              <w:left w:val="single" w:color="000000" w:sz="4" w:space="0"/>
              <w:bottom w:val="single" w:color="000000" w:sz="4" w:space="0"/>
              <w:right w:val="single" w:color="000000" w:sz="4" w:space="0"/>
            </w:tcBorders>
            <w:vAlign w:val="center"/>
          </w:tcPr>
          <w:p w14:paraId="6E6679BF">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支持使用专用标定软件，依据《违停抓拍道路相关信息表》完成违停管控道路坐标划定；道路标定数据可一键下发同步至所有巡检车辆，支持根据现场实际路况动态调整、更新道路标定范围。</w:t>
            </w:r>
          </w:p>
        </w:tc>
        <w:tc>
          <w:tcPr>
            <w:tcW w:w="457" w:type="dxa"/>
            <w:tcBorders>
              <w:top w:val="single" w:color="000000" w:sz="4" w:space="0"/>
              <w:left w:val="single" w:color="000000" w:sz="4" w:space="0"/>
              <w:bottom w:val="single" w:color="000000" w:sz="4" w:space="0"/>
              <w:right w:val="single" w:color="000000" w:sz="4" w:space="0"/>
            </w:tcBorders>
            <w:vAlign w:val="center"/>
          </w:tcPr>
          <w:p w14:paraId="6C59812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0BDB80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42E469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645D5E8">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二</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602BE44B">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公安车辆解析应用系统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0EE2083C">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062AA5C">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524F1C5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E57E1E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3C82583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车辆解析算法</w:t>
            </w:r>
          </w:p>
        </w:tc>
        <w:tc>
          <w:tcPr>
            <w:tcW w:w="5281" w:type="dxa"/>
            <w:tcBorders>
              <w:top w:val="single" w:color="000000" w:sz="4" w:space="0"/>
              <w:left w:val="single" w:color="000000" w:sz="4" w:space="0"/>
              <w:bottom w:val="single" w:color="000000" w:sz="4" w:space="0"/>
              <w:right w:val="single" w:color="000000" w:sz="4" w:space="0"/>
            </w:tcBorders>
            <w:vAlign w:val="center"/>
          </w:tcPr>
          <w:p w14:paraId="6F7E6AF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5FDAD97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9D6037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821949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FFFB722">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三</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502178A7">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涉案车辆管理系统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2F1E8EB0">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254BE9E">
            <w:pPr>
              <w:pStyle w:val="201"/>
              <w:spacing w:line="400" w:lineRule="exact"/>
              <w:jc w:val="center"/>
              <w:rPr>
                <w:rFonts w:hint="eastAsia" w:asciiTheme="minorEastAsia" w:hAnsiTheme="minorEastAsia" w:eastAsiaTheme="minorEastAsia"/>
                <w:b/>
                <w:color w:val="000000"/>
                <w:sz w:val="24"/>
                <w:szCs w:val="24"/>
                <w:highlight w:val="none"/>
              </w:rPr>
            </w:pPr>
          </w:p>
        </w:tc>
      </w:tr>
      <w:tr w14:paraId="1480D23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B4DE2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05EA040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涉案车辆</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（公安网）</w:t>
            </w:r>
          </w:p>
        </w:tc>
        <w:tc>
          <w:tcPr>
            <w:tcW w:w="5281" w:type="dxa"/>
            <w:tcBorders>
              <w:top w:val="single" w:color="000000" w:sz="4" w:space="0"/>
              <w:left w:val="single" w:color="000000" w:sz="4" w:space="0"/>
              <w:bottom w:val="single" w:color="000000" w:sz="4" w:space="0"/>
              <w:right w:val="single" w:color="000000" w:sz="4" w:space="0"/>
            </w:tcBorders>
            <w:vAlign w:val="center"/>
          </w:tcPr>
          <w:p w14:paraId="7DAA59A9">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B3E9AAA">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BC01F61">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08BC051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D0D32C4">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6E61582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车辆暂扣</w:t>
            </w:r>
          </w:p>
        </w:tc>
        <w:tc>
          <w:tcPr>
            <w:tcW w:w="5281" w:type="dxa"/>
            <w:tcBorders>
              <w:top w:val="single" w:color="000000" w:sz="4" w:space="0"/>
              <w:left w:val="single" w:color="000000" w:sz="4" w:space="0"/>
              <w:bottom w:val="single" w:color="000000" w:sz="4" w:space="0"/>
              <w:right w:val="single" w:color="000000" w:sz="4" w:space="0"/>
            </w:tcBorders>
            <w:vAlign w:val="center"/>
          </w:tcPr>
          <w:p w14:paraId="2780A16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车辆的暂扣由执法交警在公安内网网络环境下进行暂扣行为，开具强制措施凭证。如果车辆信息不清晰，无法开具强制措施凭证，但是又需要拖移车辆的情况，可以通过</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开具车辆暂扣凭证。民警使用警务通涉案车辆</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扫描开具的强制措施凭证编号条码，读取六合一中该强凭信息，补充完善其他信息，完成扣车登记。民警现场登记车辆暂扣信息时，扫描防水二维码标签的编号，将该二维码标签的编号与车辆绑定，作为后续车辆流转的标识身份。</w:t>
            </w:r>
          </w:p>
        </w:tc>
        <w:tc>
          <w:tcPr>
            <w:tcW w:w="457" w:type="dxa"/>
            <w:tcBorders>
              <w:top w:val="single" w:color="000000" w:sz="4" w:space="0"/>
              <w:left w:val="single" w:color="000000" w:sz="4" w:space="0"/>
              <w:bottom w:val="single" w:color="000000" w:sz="4" w:space="0"/>
              <w:right w:val="single" w:color="000000" w:sz="4" w:space="0"/>
            </w:tcBorders>
            <w:vAlign w:val="center"/>
          </w:tcPr>
          <w:p w14:paraId="0CBD757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B4F35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367EE5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01B24F5">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1C65A54C">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val="zh-CN" w:eastAsia="zh-CN" w:bidi="ar"/>
              </w:rPr>
              <w:t>车辆管理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283035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民警可查看</w:t>
            </w:r>
            <w:r>
              <w:rPr>
                <w:rFonts w:hint="eastAsia" w:asciiTheme="minorEastAsia" w:hAnsiTheme="minorEastAsia" w:eastAsiaTheme="minorEastAsia"/>
                <w:color w:val="000000"/>
                <w:sz w:val="24"/>
                <w:szCs w:val="24"/>
                <w:highlight w:val="none"/>
                <w:lang w:eastAsia="zh-CN" w:bidi="ar"/>
              </w:rPr>
              <w:t>24</w:t>
            </w:r>
            <w:r>
              <w:rPr>
                <w:rFonts w:hint="eastAsia" w:cs="微软雅黑" w:asciiTheme="minorEastAsia" w:hAnsiTheme="minorEastAsia" w:eastAsiaTheme="minorEastAsia"/>
                <w:color w:val="000000"/>
                <w:sz w:val="24"/>
                <w:szCs w:val="24"/>
                <w:highlight w:val="none"/>
                <w:lang w:eastAsia="zh-CN" w:bidi="ar"/>
              </w:rPr>
              <w:t>小时内录入的车辆信息，可以在</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上对刚登记的车辆信息进行修改更正。</w:t>
            </w:r>
          </w:p>
        </w:tc>
        <w:tc>
          <w:tcPr>
            <w:tcW w:w="457" w:type="dxa"/>
            <w:tcBorders>
              <w:top w:val="single" w:color="000000" w:sz="4" w:space="0"/>
              <w:left w:val="single" w:color="000000" w:sz="4" w:space="0"/>
              <w:bottom w:val="single" w:color="000000" w:sz="4" w:space="0"/>
              <w:right w:val="single" w:color="000000" w:sz="4" w:space="0"/>
            </w:tcBorders>
            <w:vAlign w:val="center"/>
          </w:tcPr>
          <w:p w14:paraId="7724EDC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5EC4150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638350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52F1A9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5B1B889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违法车辆处理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A53E71D">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FD630B5">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7175C2F">
            <w:pPr>
              <w:pStyle w:val="201"/>
              <w:spacing w:line="400" w:lineRule="exact"/>
              <w:jc w:val="center"/>
              <w:rPr>
                <w:rFonts w:hint="eastAsia" w:asciiTheme="minorEastAsia" w:hAnsiTheme="minorEastAsia" w:eastAsiaTheme="minorEastAsia"/>
                <w:color w:val="000000"/>
                <w:sz w:val="24"/>
                <w:szCs w:val="24"/>
                <w:highlight w:val="none"/>
              </w:rPr>
            </w:pPr>
          </w:p>
        </w:tc>
      </w:tr>
      <w:tr w14:paraId="73C825E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557A2C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3E0CF74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车辆信息管理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27714D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查看核对该暂扣车的停放信息，并对车辆的暂扣信息进行调整和完善，确定车辆的载重载客信息。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7D666E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DA3E65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A59CF6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063767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62C3D7B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车辆发还</w:t>
            </w:r>
          </w:p>
        </w:tc>
        <w:tc>
          <w:tcPr>
            <w:tcW w:w="5281" w:type="dxa"/>
            <w:tcBorders>
              <w:top w:val="single" w:color="000000" w:sz="4" w:space="0"/>
              <w:left w:val="single" w:color="000000" w:sz="4" w:space="0"/>
              <w:bottom w:val="single" w:color="000000" w:sz="4" w:space="0"/>
              <w:right w:val="single" w:color="000000" w:sz="4" w:space="0"/>
            </w:tcBorders>
            <w:vAlign w:val="center"/>
          </w:tcPr>
          <w:p w14:paraId="0E38762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对允许发还的车辆，进行发还处理，以及计算各费用，打印放车单，并推送放车信息到停车场。</w:t>
            </w:r>
          </w:p>
        </w:tc>
        <w:tc>
          <w:tcPr>
            <w:tcW w:w="457" w:type="dxa"/>
            <w:tcBorders>
              <w:top w:val="single" w:color="000000" w:sz="4" w:space="0"/>
              <w:left w:val="single" w:color="000000" w:sz="4" w:space="0"/>
              <w:bottom w:val="single" w:color="000000" w:sz="4" w:space="0"/>
              <w:right w:val="single" w:color="000000" w:sz="4" w:space="0"/>
            </w:tcBorders>
            <w:vAlign w:val="center"/>
          </w:tcPr>
          <w:p w14:paraId="271A9A9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2A9E24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076BA3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2774D1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tcBorders>
              <w:top w:val="single" w:color="000000" w:sz="4" w:space="0"/>
              <w:left w:val="single" w:color="000000" w:sz="4" w:space="0"/>
              <w:bottom w:val="single" w:color="000000" w:sz="4" w:space="0"/>
              <w:right w:val="single" w:color="000000" w:sz="4" w:space="0"/>
            </w:tcBorders>
            <w:vAlign w:val="center"/>
          </w:tcPr>
          <w:p w14:paraId="25D4F93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车辆放车单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7669A3F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车辆发还信息登记完毕后，民警在涉案车辆管理系统中打印放车单，领车人凭放车单至停车场进行车辆领取。</w:t>
            </w:r>
          </w:p>
        </w:tc>
        <w:tc>
          <w:tcPr>
            <w:tcW w:w="457" w:type="dxa"/>
            <w:tcBorders>
              <w:top w:val="single" w:color="000000" w:sz="4" w:space="0"/>
              <w:left w:val="single" w:color="000000" w:sz="4" w:space="0"/>
              <w:bottom w:val="single" w:color="000000" w:sz="4" w:space="0"/>
              <w:right w:val="single" w:color="000000" w:sz="4" w:space="0"/>
            </w:tcBorders>
            <w:vAlign w:val="center"/>
          </w:tcPr>
          <w:p w14:paraId="4DC45E0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156F80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1BB600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5D3230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6FF4A93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事故车辆处理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80C5509">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C26FAA2">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E69F3D0">
            <w:pPr>
              <w:pStyle w:val="201"/>
              <w:spacing w:line="400" w:lineRule="exact"/>
              <w:jc w:val="center"/>
              <w:rPr>
                <w:rFonts w:hint="eastAsia" w:asciiTheme="minorEastAsia" w:hAnsiTheme="minorEastAsia" w:eastAsiaTheme="minorEastAsia"/>
                <w:color w:val="000000"/>
                <w:sz w:val="24"/>
                <w:szCs w:val="24"/>
                <w:highlight w:val="none"/>
              </w:rPr>
            </w:pPr>
          </w:p>
        </w:tc>
      </w:tr>
      <w:tr w14:paraId="00FAD0F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C5FFB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4937D40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车辆信息管理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DCE907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对暂扣的事故车辆进行信息管理，填写和完善必要信息，核对车辆的救援和停放情况，并对事故车辆的后续处理类型进行分类：</w:t>
            </w:r>
            <w:r>
              <w:rPr>
                <w:rFonts w:hint="eastAsia" w:asciiTheme="minorEastAsia" w:hAnsiTheme="minorEastAsia" w:eastAsiaTheme="minorEastAsia"/>
                <w:color w:val="000000"/>
                <w:sz w:val="24"/>
                <w:szCs w:val="24"/>
                <w:highlight w:val="none"/>
                <w:lang w:eastAsia="zh-CN" w:bidi="ar"/>
              </w:rPr>
              <w:t>1.</w:t>
            </w:r>
            <w:r>
              <w:rPr>
                <w:rFonts w:hint="eastAsia" w:cs="微软雅黑" w:asciiTheme="minorEastAsia" w:hAnsiTheme="minorEastAsia" w:eastAsiaTheme="minorEastAsia"/>
                <w:color w:val="000000"/>
                <w:sz w:val="24"/>
                <w:szCs w:val="24"/>
                <w:highlight w:val="none"/>
                <w:lang w:eastAsia="zh-CN" w:bidi="ar"/>
              </w:rPr>
              <w:t>简易处理，</w:t>
            </w:r>
            <w:r>
              <w:rPr>
                <w:rFonts w:hint="eastAsia" w:asciiTheme="minorEastAsia" w:hAnsiTheme="minorEastAsia" w:eastAsiaTheme="minorEastAsia"/>
                <w:color w:val="000000"/>
                <w:sz w:val="24"/>
                <w:szCs w:val="24"/>
                <w:highlight w:val="none"/>
                <w:lang w:eastAsia="zh-CN" w:bidi="ar"/>
              </w:rPr>
              <w:t>2.</w:t>
            </w:r>
            <w:r>
              <w:rPr>
                <w:rFonts w:hint="eastAsia" w:cs="微软雅黑" w:asciiTheme="minorEastAsia" w:hAnsiTheme="minorEastAsia" w:eastAsiaTheme="minorEastAsia"/>
                <w:color w:val="000000"/>
                <w:sz w:val="24"/>
                <w:szCs w:val="24"/>
                <w:highlight w:val="none"/>
                <w:lang w:eastAsia="zh-CN" w:bidi="ar"/>
              </w:rPr>
              <w:t>一般程序事故</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不验车</w:t>
            </w:r>
            <w:r>
              <w:rPr>
                <w:rFonts w:hint="eastAsia" w:asciiTheme="minorEastAsia" w:hAnsiTheme="minorEastAsia" w:eastAsiaTheme="minorEastAsia"/>
                <w:color w:val="000000"/>
                <w:sz w:val="24"/>
                <w:szCs w:val="24"/>
                <w:highlight w:val="none"/>
                <w:lang w:eastAsia="zh-CN" w:bidi="ar"/>
              </w:rPr>
              <w:t>),3.</w:t>
            </w:r>
            <w:r>
              <w:rPr>
                <w:rFonts w:hint="eastAsia" w:cs="微软雅黑" w:asciiTheme="minorEastAsia" w:hAnsiTheme="minorEastAsia" w:eastAsiaTheme="minorEastAsia"/>
                <w:color w:val="000000"/>
                <w:sz w:val="24"/>
                <w:szCs w:val="24"/>
                <w:highlight w:val="none"/>
                <w:lang w:eastAsia="zh-CN" w:bidi="ar"/>
              </w:rPr>
              <w:t>一般程序事故。</w:t>
            </w:r>
          </w:p>
        </w:tc>
        <w:tc>
          <w:tcPr>
            <w:tcW w:w="457" w:type="dxa"/>
            <w:tcBorders>
              <w:top w:val="single" w:color="000000" w:sz="4" w:space="0"/>
              <w:left w:val="single" w:color="000000" w:sz="4" w:space="0"/>
              <w:bottom w:val="single" w:color="000000" w:sz="4" w:space="0"/>
              <w:right w:val="single" w:color="000000" w:sz="4" w:space="0"/>
            </w:tcBorders>
            <w:vAlign w:val="center"/>
          </w:tcPr>
          <w:p w14:paraId="788A448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B74F57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FD5F7A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130819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2CE8EF4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车辆放车单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7F303F3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车辆发还信息登记完毕后，民警在涉案车辆管理系统中打印放车单，领车人凭放车单至停车场进行车辆领取。</w:t>
            </w:r>
          </w:p>
        </w:tc>
        <w:tc>
          <w:tcPr>
            <w:tcW w:w="457" w:type="dxa"/>
            <w:tcBorders>
              <w:top w:val="single" w:color="000000" w:sz="4" w:space="0"/>
              <w:left w:val="single" w:color="000000" w:sz="4" w:space="0"/>
              <w:bottom w:val="single" w:color="000000" w:sz="4" w:space="0"/>
              <w:right w:val="single" w:color="000000" w:sz="4" w:space="0"/>
            </w:tcBorders>
            <w:vAlign w:val="center"/>
          </w:tcPr>
          <w:p w14:paraId="78F5D69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A364A8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71619A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E89CC7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7776613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车辆转移</w:t>
            </w:r>
          </w:p>
        </w:tc>
        <w:tc>
          <w:tcPr>
            <w:tcW w:w="5281" w:type="dxa"/>
            <w:tcBorders>
              <w:top w:val="single" w:color="000000" w:sz="4" w:space="0"/>
              <w:left w:val="single" w:color="000000" w:sz="4" w:space="0"/>
              <w:bottom w:val="single" w:color="000000" w:sz="4" w:space="0"/>
              <w:right w:val="single" w:color="000000" w:sz="4" w:space="0"/>
            </w:tcBorders>
            <w:vAlign w:val="center"/>
          </w:tcPr>
          <w:p w14:paraId="137CC00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暂扣车辆处理过程中，需要进行部门、人员或者停车场移交的，需要进行信息登记和修改，调整部门或人员的，移交处理权，需要移交停车场的，提交移交信息后，需要原停车场做出场操作，以及接收停车场做入场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33E0350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B5FD90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7A10AE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5E28D9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6F5E614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车辆催告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12C69399">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7190E0D">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73CEEC6">
            <w:pPr>
              <w:pStyle w:val="201"/>
              <w:spacing w:line="400" w:lineRule="exact"/>
              <w:jc w:val="center"/>
              <w:rPr>
                <w:rFonts w:hint="eastAsia" w:asciiTheme="minorEastAsia" w:hAnsiTheme="minorEastAsia" w:eastAsiaTheme="minorEastAsia"/>
                <w:color w:val="000000"/>
                <w:sz w:val="24"/>
                <w:szCs w:val="24"/>
                <w:highlight w:val="none"/>
              </w:rPr>
            </w:pPr>
          </w:p>
        </w:tc>
      </w:tr>
      <w:tr w14:paraId="1ED44DB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82C2C1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5.1</w:t>
            </w:r>
          </w:p>
        </w:tc>
        <w:tc>
          <w:tcPr>
            <w:tcW w:w="1613" w:type="dxa"/>
            <w:tcBorders>
              <w:top w:val="single" w:color="000000" w:sz="4" w:space="0"/>
              <w:left w:val="single" w:color="000000" w:sz="4" w:space="0"/>
              <w:bottom w:val="single" w:color="000000" w:sz="4" w:space="0"/>
              <w:right w:val="single" w:color="000000" w:sz="4" w:space="0"/>
            </w:tcBorders>
            <w:vAlign w:val="center"/>
          </w:tcPr>
          <w:p w14:paraId="61A5397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电话</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短信催告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1A9A576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对超期不来处理的扣留车辆，系统提示需要进行电话</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短信催告，电话催告时，系统记录催告的时间、地点、受话人等信息和通话记录照片或截屏。系统也可通过公安系统的短信平台，根据扣车登记时记录的当事人电话号码进行短信催告，系统记录催告的短信内容、时间、是否发送成功作为催告依据；若短信发送失败，则系统会自动再次发送催告短信，直至成功。</w:t>
            </w:r>
          </w:p>
        </w:tc>
        <w:tc>
          <w:tcPr>
            <w:tcW w:w="457" w:type="dxa"/>
            <w:tcBorders>
              <w:top w:val="single" w:color="000000" w:sz="4" w:space="0"/>
              <w:left w:val="single" w:color="000000" w:sz="4" w:space="0"/>
              <w:bottom w:val="single" w:color="000000" w:sz="4" w:space="0"/>
              <w:right w:val="single" w:color="000000" w:sz="4" w:space="0"/>
            </w:tcBorders>
            <w:vAlign w:val="center"/>
          </w:tcPr>
          <w:p w14:paraId="2E180E1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BE0817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F7E280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1B5121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5.2</w:t>
            </w:r>
          </w:p>
        </w:tc>
        <w:tc>
          <w:tcPr>
            <w:tcW w:w="1613" w:type="dxa"/>
            <w:tcBorders>
              <w:top w:val="single" w:color="000000" w:sz="4" w:space="0"/>
              <w:left w:val="single" w:color="000000" w:sz="4" w:space="0"/>
              <w:bottom w:val="single" w:color="000000" w:sz="4" w:space="0"/>
              <w:right w:val="single" w:color="000000" w:sz="4" w:space="0"/>
            </w:tcBorders>
            <w:vAlign w:val="center"/>
          </w:tcPr>
          <w:p w14:paraId="2A84865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邮寄催告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3922FDC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对电话</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短信催告后依旧没有处理的的车辆，系统将提示进行邮寄催告，同时记录邮寄的邮戳编号、邮戳图片等作为催告内容在系统中留痕保存。</w:t>
            </w:r>
          </w:p>
        </w:tc>
        <w:tc>
          <w:tcPr>
            <w:tcW w:w="457" w:type="dxa"/>
            <w:tcBorders>
              <w:top w:val="single" w:color="000000" w:sz="4" w:space="0"/>
              <w:left w:val="single" w:color="000000" w:sz="4" w:space="0"/>
              <w:bottom w:val="single" w:color="000000" w:sz="4" w:space="0"/>
              <w:right w:val="single" w:color="000000" w:sz="4" w:space="0"/>
            </w:tcBorders>
            <w:vAlign w:val="center"/>
          </w:tcPr>
          <w:p w14:paraId="0E6F191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72207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D4BC08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5D26A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64463E4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公告申请</w:t>
            </w:r>
          </w:p>
        </w:tc>
        <w:tc>
          <w:tcPr>
            <w:tcW w:w="5281" w:type="dxa"/>
            <w:tcBorders>
              <w:top w:val="single" w:color="000000" w:sz="4" w:space="0"/>
              <w:left w:val="single" w:color="000000" w:sz="4" w:space="0"/>
              <w:bottom w:val="single" w:color="000000" w:sz="4" w:space="0"/>
              <w:right w:val="single" w:color="000000" w:sz="4" w:space="0"/>
            </w:tcBorders>
            <w:vAlign w:val="center"/>
          </w:tcPr>
          <w:p w14:paraId="75CF3BB8">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A330891">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2DC6CEF">
            <w:pPr>
              <w:pStyle w:val="201"/>
              <w:spacing w:line="400" w:lineRule="exact"/>
              <w:jc w:val="center"/>
              <w:rPr>
                <w:rFonts w:hint="eastAsia" w:asciiTheme="minorEastAsia" w:hAnsiTheme="minorEastAsia" w:eastAsiaTheme="minorEastAsia"/>
                <w:color w:val="000000"/>
                <w:sz w:val="24"/>
                <w:szCs w:val="24"/>
                <w:highlight w:val="none"/>
              </w:rPr>
            </w:pPr>
          </w:p>
        </w:tc>
      </w:tr>
      <w:tr w14:paraId="7C9BC67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E25BB4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6.1</w:t>
            </w:r>
          </w:p>
        </w:tc>
        <w:tc>
          <w:tcPr>
            <w:tcW w:w="1613" w:type="dxa"/>
            <w:tcBorders>
              <w:top w:val="single" w:color="000000" w:sz="4" w:space="0"/>
              <w:left w:val="single" w:color="000000" w:sz="4" w:space="0"/>
              <w:bottom w:val="single" w:color="000000" w:sz="4" w:space="0"/>
              <w:right w:val="single" w:color="000000" w:sz="4" w:space="0"/>
            </w:tcBorders>
            <w:vAlign w:val="center"/>
          </w:tcPr>
          <w:p w14:paraId="488DB70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申请公告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7FB28E0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系统对符合条件的车辆进行公告提醒，由各基层单位对确实需要进行公告的车辆提出公告申请，登记车架号照片、发动机（电机）号照片、强措单照片、手续照片等资料，申请统一上报至大队，由审核单位进行集中审核。</w:t>
            </w:r>
          </w:p>
        </w:tc>
        <w:tc>
          <w:tcPr>
            <w:tcW w:w="457" w:type="dxa"/>
            <w:tcBorders>
              <w:top w:val="single" w:color="000000" w:sz="4" w:space="0"/>
              <w:left w:val="single" w:color="000000" w:sz="4" w:space="0"/>
              <w:bottom w:val="single" w:color="000000" w:sz="4" w:space="0"/>
              <w:right w:val="single" w:color="000000" w:sz="4" w:space="0"/>
            </w:tcBorders>
            <w:vAlign w:val="center"/>
          </w:tcPr>
          <w:p w14:paraId="7FFECB1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CC27F5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8A0AFF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F19439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6.2</w:t>
            </w:r>
          </w:p>
        </w:tc>
        <w:tc>
          <w:tcPr>
            <w:tcW w:w="1613" w:type="dxa"/>
            <w:tcBorders>
              <w:top w:val="single" w:color="000000" w:sz="4" w:space="0"/>
              <w:left w:val="single" w:color="000000" w:sz="4" w:space="0"/>
              <w:bottom w:val="single" w:color="000000" w:sz="4" w:space="0"/>
              <w:right w:val="single" w:color="000000" w:sz="4" w:space="0"/>
            </w:tcBorders>
            <w:vAlign w:val="center"/>
          </w:tcPr>
          <w:p w14:paraId="074367B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发起公告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3FEE288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由民警对达到可公告的车辆进行发起公告申请。</w:t>
            </w:r>
          </w:p>
        </w:tc>
        <w:tc>
          <w:tcPr>
            <w:tcW w:w="457" w:type="dxa"/>
            <w:tcBorders>
              <w:top w:val="single" w:color="000000" w:sz="4" w:space="0"/>
              <w:left w:val="single" w:color="000000" w:sz="4" w:space="0"/>
              <w:bottom w:val="single" w:color="000000" w:sz="4" w:space="0"/>
              <w:right w:val="single" w:color="000000" w:sz="4" w:space="0"/>
            </w:tcBorders>
            <w:vAlign w:val="center"/>
          </w:tcPr>
          <w:p w14:paraId="2E94949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1603E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7311D9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78AE0D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6.3</w:t>
            </w:r>
          </w:p>
        </w:tc>
        <w:tc>
          <w:tcPr>
            <w:tcW w:w="1613" w:type="dxa"/>
            <w:tcBorders>
              <w:top w:val="single" w:color="000000" w:sz="4" w:space="0"/>
              <w:left w:val="single" w:color="000000" w:sz="4" w:space="0"/>
              <w:bottom w:val="single" w:color="000000" w:sz="4" w:space="0"/>
              <w:right w:val="single" w:color="000000" w:sz="4" w:space="0"/>
            </w:tcBorders>
            <w:vAlign w:val="center"/>
          </w:tcPr>
          <w:p w14:paraId="45E11AC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公告中</w:t>
            </w:r>
          </w:p>
        </w:tc>
        <w:tc>
          <w:tcPr>
            <w:tcW w:w="5281" w:type="dxa"/>
            <w:tcBorders>
              <w:top w:val="single" w:color="000000" w:sz="4" w:space="0"/>
              <w:left w:val="single" w:color="000000" w:sz="4" w:space="0"/>
              <w:bottom w:val="single" w:color="000000" w:sz="4" w:space="0"/>
              <w:right w:val="single" w:color="000000" w:sz="4" w:space="0"/>
            </w:tcBorders>
            <w:vAlign w:val="center"/>
          </w:tcPr>
          <w:p w14:paraId="67CC5F3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3</w:t>
            </w:r>
            <w:r>
              <w:rPr>
                <w:rFonts w:hint="eastAsia" w:cs="微软雅黑" w:asciiTheme="minorEastAsia" w:hAnsiTheme="minorEastAsia" w:eastAsiaTheme="minorEastAsia"/>
                <w:color w:val="000000"/>
                <w:sz w:val="24"/>
                <w:szCs w:val="24"/>
                <w:highlight w:val="none"/>
                <w:lang w:eastAsia="zh-CN" w:bidi="ar"/>
              </w:rPr>
              <w:t>个月公告期内车辆数据的展示。</w:t>
            </w:r>
          </w:p>
        </w:tc>
        <w:tc>
          <w:tcPr>
            <w:tcW w:w="457" w:type="dxa"/>
            <w:tcBorders>
              <w:top w:val="single" w:color="000000" w:sz="4" w:space="0"/>
              <w:left w:val="single" w:color="000000" w:sz="4" w:space="0"/>
              <w:bottom w:val="single" w:color="000000" w:sz="4" w:space="0"/>
              <w:right w:val="single" w:color="000000" w:sz="4" w:space="0"/>
            </w:tcBorders>
            <w:vAlign w:val="center"/>
          </w:tcPr>
          <w:p w14:paraId="266D998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5A85E2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D09B05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249FE4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6.4</w:t>
            </w:r>
          </w:p>
        </w:tc>
        <w:tc>
          <w:tcPr>
            <w:tcW w:w="1613" w:type="dxa"/>
            <w:tcBorders>
              <w:top w:val="single" w:color="000000" w:sz="4" w:space="0"/>
              <w:left w:val="single" w:color="000000" w:sz="4" w:space="0"/>
              <w:bottom w:val="single" w:color="000000" w:sz="4" w:space="0"/>
              <w:right w:val="single" w:color="000000" w:sz="4" w:space="0"/>
            </w:tcBorders>
            <w:vAlign w:val="center"/>
          </w:tcPr>
          <w:p w14:paraId="1BABE4D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公告结束</w:t>
            </w:r>
          </w:p>
        </w:tc>
        <w:tc>
          <w:tcPr>
            <w:tcW w:w="5281" w:type="dxa"/>
            <w:tcBorders>
              <w:top w:val="single" w:color="000000" w:sz="4" w:space="0"/>
              <w:left w:val="single" w:color="000000" w:sz="4" w:space="0"/>
              <w:bottom w:val="single" w:color="000000" w:sz="4" w:space="0"/>
              <w:right w:val="single" w:color="000000" w:sz="4" w:space="0"/>
            </w:tcBorders>
            <w:vAlign w:val="center"/>
          </w:tcPr>
          <w:p w14:paraId="2C78102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对于公告审核通过的车辆，管理员将定时进行打包，按要求生成公告文件，由管理员在指定网站发布公告，并在涉案车辆系统中对公告的车辆做发布处理，系统开始计算公告时间。</w:t>
            </w:r>
          </w:p>
        </w:tc>
        <w:tc>
          <w:tcPr>
            <w:tcW w:w="457" w:type="dxa"/>
            <w:tcBorders>
              <w:top w:val="single" w:color="000000" w:sz="4" w:space="0"/>
              <w:left w:val="single" w:color="000000" w:sz="4" w:space="0"/>
              <w:bottom w:val="single" w:color="000000" w:sz="4" w:space="0"/>
              <w:right w:val="single" w:color="000000" w:sz="4" w:space="0"/>
            </w:tcBorders>
            <w:vAlign w:val="center"/>
          </w:tcPr>
          <w:p w14:paraId="1510C3D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F3706B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2C93FF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7BEB7D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6.5</w:t>
            </w:r>
          </w:p>
        </w:tc>
        <w:tc>
          <w:tcPr>
            <w:tcW w:w="1613" w:type="dxa"/>
            <w:tcBorders>
              <w:top w:val="single" w:color="000000" w:sz="4" w:space="0"/>
              <w:left w:val="single" w:color="000000" w:sz="4" w:space="0"/>
              <w:bottom w:val="single" w:color="000000" w:sz="4" w:space="0"/>
              <w:right w:val="single" w:color="000000" w:sz="4" w:space="0"/>
            </w:tcBorders>
            <w:vAlign w:val="center"/>
          </w:tcPr>
          <w:p w14:paraId="2AA0BDA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公告管理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399839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对当前和历史的公告进行管理。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635B223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A3C34F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D4CD41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A815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644F200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4A8D9985">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547546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C7D4856">
            <w:pPr>
              <w:pStyle w:val="201"/>
              <w:spacing w:line="400" w:lineRule="exact"/>
              <w:jc w:val="center"/>
              <w:rPr>
                <w:rFonts w:hint="eastAsia" w:asciiTheme="minorEastAsia" w:hAnsiTheme="minorEastAsia" w:eastAsiaTheme="minorEastAsia"/>
                <w:color w:val="000000"/>
                <w:sz w:val="24"/>
                <w:szCs w:val="24"/>
                <w:highlight w:val="none"/>
              </w:rPr>
            </w:pPr>
          </w:p>
        </w:tc>
      </w:tr>
      <w:tr w14:paraId="3EF9143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770A5A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7.1</w:t>
            </w:r>
          </w:p>
        </w:tc>
        <w:tc>
          <w:tcPr>
            <w:tcW w:w="1613" w:type="dxa"/>
            <w:tcBorders>
              <w:top w:val="single" w:color="000000" w:sz="4" w:space="0"/>
              <w:left w:val="single" w:color="000000" w:sz="4" w:space="0"/>
              <w:bottom w:val="single" w:color="000000" w:sz="4" w:space="0"/>
              <w:right w:val="single" w:color="000000" w:sz="4" w:space="0"/>
            </w:tcBorders>
            <w:vAlign w:val="center"/>
          </w:tcPr>
          <w:p w14:paraId="4790062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放车明细</w:t>
            </w:r>
          </w:p>
        </w:tc>
        <w:tc>
          <w:tcPr>
            <w:tcW w:w="5281" w:type="dxa"/>
            <w:tcBorders>
              <w:top w:val="single" w:color="000000" w:sz="4" w:space="0"/>
              <w:left w:val="single" w:color="000000" w:sz="4" w:space="0"/>
              <w:bottom w:val="single" w:color="000000" w:sz="4" w:space="0"/>
              <w:right w:val="single" w:color="000000" w:sz="4" w:space="0"/>
            </w:tcBorders>
            <w:vAlign w:val="center"/>
          </w:tcPr>
          <w:p w14:paraId="7B49FEF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显示已发还车辆的数据，并进行数据导出。</w:t>
            </w:r>
          </w:p>
        </w:tc>
        <w:tc>
          <w:tcPr>
            <w:tcW w:w="457" w:type="dxa"/>
            <w:tcBorders>
              <w:top w:val="single" w:color="000000" w:sz="4" w:space="0"/>
              <w:left w:val="single" w:color="000000" w:sz="4" w:space="0"/>
              <w:bottom w:val="single" w:color="000000" w:sz="4" w:space="0"/>
              <w:right w:val="single" w:color="000000" w:sz="4" w:space="0"/>
            </w:tcBorders>
            <w:vAlign w:val="center"/>
          </w:tcPr>
          <w:p w14:paraId="60C7CF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C6021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95B9A9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8A1DB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7.2</w:t>
            </w:r>
          </w:p>
        </w:tc>
        <w:tc>
          <w:tcPr>
            <w:tcW w:w="1613" w:type="dxa"/>
            <w:tcBorders>
              <w:top w:val="single" w:color="000000" w:sz="4" w:space="0"/>
              <w:left w:val="single" w:color="000000" w:sz="4" w:space="0"/>
              <w:bottom w:val="single" w:color="000000" w:sz="4" w:space="0"/>
              <w:right w:val="single" w:color="000000" w:sz="4" w:space="0"/>
            </w:tcBorders>
            <w:vAlign w:val="center"/>
          </w:tcPr>
          <w:p w14:paraId="71A38A4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停车场统计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29FC2BF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按各中队维度进行数量统计、按载重载客类型进行数量统计、按停放状态进行统计、统计各停车场的停放费用、统计各停车场施救的拖车和吊车费用。</w:t>
            </w:r>
          </w:p>
        </w:tc>
        <w:tc>
          <w:tcPr>
            <w:tcW w:w="457" w:type="dxa"/>
            <w:tcBorders>
              <w:top w:val="single" w:color="000000" w:sz="4" w:space="0"/>
              <w:left w:val="single" w:color="000000" w:sz="4" w:space="0"/>
              <w:bottom w:val="single" w:color="000000" w:sz="4" w:space="0"/>
              <w:right w:val="single" w:color="000000" w:sz="4" w:space="0"/>
            </w:tcBorders>
            <w:vAlign w:val="center"/>
          </w:tcPr>
          <w:p w14:paraId="4A2EA34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A3AB5C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FD6213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A462E8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7.3</w:t>
            </w:r>
          </w:p>
        </w:tc>
        <w:tc>
          <w:tcPr>
            <w:tcW w:w="1613" w:type="dxa"/>
            <w:tcBorders>
              <w:top w:val="single" w:color="000000" w:sz="4" w:space="0"/>
              <w:left w:val="single" w:color="000000" w:sz="4" w:space="0"/>
              <w:bottom w:val="single" w:color="000000" w:sz="4" w:space="0"/>
              <w:right w:val="single" w:color="000000" w:sz="4" w:space="0"/>
            </w:tcBorders>
            <w:vAlign w:val="center"/>
          </w:tcPr>
          <w:p w14:paraId="4172E5A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各中队统计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6FE1FD6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按所在停车场进行统计、按处理情况进行统计。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4BC262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B5465E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26F048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4C419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720DC00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停车场数据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148DA691">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93BB543">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2A581BD">
            <w:pPr>
              <w:pStyle w:val="201"/>
              <w:spacing w:line="400" w:lineRule="exact"/>
              <w:jc w:val="center"/>
              <w:rPr>
                <w:rFonts w:hint="eastAsia" w:asciiTheme="minorEastAsia" w:hAnsiTheme="minorEastAsia" w:eastAsiaTheme="minorEastAsia"/>
                <w:color w:val="000000"/>
                <w:sz w:val="24"/>
                <w:szCs w:val="24"/>
                <w:highlight w:val="none"/>
              </w:rPr>
            </w:pPr>
          </w:p>
        </w:tc>
      </w:tr>
      <w:tr w14:paraId="14896B8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80E8DB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8.1</w:t>
            </w:r>
          </w:p>
        </w:tc>
        <w:tc>
          <w:tcPr>
            <w:tcW w:w="1613" w:type="dxa"/>
            <w:tcBorders>
              <w:top w:val="single" w:color="000000" w:sz="4" w:space="0"/>
              <w:left w:val="single" w:color="000000" w:sz="4" w:space="0"/>
              <w:bottom w:val="single" w:color="000000" w:sz="4" w:space="0"/>
              <w:right w:val="single" w:color="000000" w:sz="4" w:space="0"/>
            </w:tcBorders>
            <w:vAlign w:val="center"/>
          </w:tcPr>
          <w:p w14:paraId="215F359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本单位施救车辆信息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5C97BDB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对本单位施救车辆信息进行管理。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445609D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3C480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D8DF58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6EFDFF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c>
          <w:tcPr>
            <w:tcW w:w="1613" w:type="dxa"/>
            <w:tcBorders>
              <w:top w:val="single" w:color="000000" w:sz="4" w:space="0"/>
              <w:left w:val="single" w:color="000000" w:sz="4" w:space="0"/>
              <w:bottom w:val="single" w:color="000000" w:sz="4" w:space="0"/>
              <w:right w:val="single" w:color="000000" w:sz="4" w:space="0"/>
            </w:tcBorders>
            <w:vAlign w:val="center"/>
          </w:tcPr>
          <w:p w14:paraId="6B707F4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施救未入场车辆信息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55CF40D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对施救未入场车辆信息进行管理。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0AF89DE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ECD85A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BD254F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A10C7A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8.3</w:t>
            </w:r>
          </w:p>
        </w:tc>
        <w:tc>
          <w:tcPr>
            <w:tcW w:w="1613" w:type="dxa"/>
            <w:tcBorders>
              <w:top w:val="single" w:color="000000" w:sz="4" w:space="0"/>
              <w:left w:val="single" w:color="000000" w:sz="4" w:space="0"/>
              <w:bottom w:val="single" w:color="000000" w:sz="4" w:space="0"/>
              <w:right w:val="single" w:color="000000" w:sz="4" w:space="0"/>
            </w:tcBorders>
            <w:vAlign w:val="center"/>
          </w:tcPr>
          <w:p w14:paraId="30C857C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待转入车辆信息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10DCBF7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对待转入车辆信息进行管理。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7FAA255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D66CCF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DDBA3D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F1309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8.4</w:t>
            </w:r>
          </w:p>
        </w:tc>
        <w:tc>
          <w:tcPr>
            <w:tcW w:w="1613" w:type="dxa"/>
            <w:tcBorders>
              <w:top w:val="single" w:color="000000" w:sz="4" w:space="0"/>
              <w:left w:val="single" w:color="000000" w:sz="4" w:space="0"/>
              <w:bottom w:val="single" w:color="000000" w:sz="4" w:space="0"/>
              <w:right w:val="single" w:color="000000" w:sz="4" w:space="0"/>
            </w:tcBorders>
            <w:vAlign w:val="center"/>
          </w:tcPr>
          <w:p w14:paraId="5870ED1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停放中车辆信息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7F4562D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对停放中车辆信息进行管理。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23ED2B1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C9A13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FA1D04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E2834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8.5</w:t>
            </w:r>
          </w:p>
        </w:tc>
        <w:tc>
          <w:tcPr>
            <w:tcW w:w="1613" w:type="dxa"/>
            <w:tcBorders>
              <w:top w:val="single" w:color="000000" w:sz="4" w:space="0"/>
              <w:left w:val="single" w:color="000000" w:sz="4" w:space="0"/>
              <w:bottom w:val="single" w:color="000000" w:sz="4" w:space="0"/>
              <w:right w:val="single" w:color="000000" w:sz="4" w:space="0"/>
            </w:tcBorders>
            <w:vAlign w:val="center"/>
          </w:tcPr>
          <w:p w14:paraId="37715AC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待出场车辆信息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12B52C5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对待出场车辆信息进行管理。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4B72AC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941E2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9E097A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DC00D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8.6</w:t>
            </w:r>
          </w:p>
        </w:tc>
        <w:tc>
          <w:tcPr>
            <w:tcW w:w="1613" w:type="dxa"/>
            <w:tcBorders>
              <w:top w:val="single" w:color="000000" w:sz="4" w:space="0"/>
              <w:left w:val="single" w:color="000000" w:sz="4" w:space="0"/>
              <w:bottom w:val="single" w:color="000000" w:sz="4" w:space="0"/>
              <w:right w:val="single" w:color="000000" w:sz="4" w:space="0"/>
            </w:tcBorders>
            <w:vAlign w:val="center"/>
          </w:tcPr>
          <w:p w14:paraId="0BE3510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已出场车辆信息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2AA782A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对已出场车辆信息进行管理。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774B509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F5EFB6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194B73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827DD8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0C6B674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数据监管</w:t>
            </w:r>
          </w:p>
        </w:tc>
        <w:tc>
          <w:tcPr>
            <w:tcW w:w="5281" w:type="dxa"/>
            <w:tcBorders>
              <w:top w:val="single" w:color="000000" w:sz="4" w:space="0"/>
              <w:left w:val="single" w:color="000000" w:sz="4" w:space="0"/>
              <w:bottom w:val="single" w:color="000000" w:sz="4" w:space="0"/>
              <w:right w:val="single" w:color="000000" w:sz="4" w:space="0"/>
            </w:tcBorders>
            <w:vAlign w:val="center"/>
          </w:tcPr>
          <w:p w14:paraId="0F65EEB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未施救车辆数据；施救未入场车辆；未指派处理人车辆；违法超期车辆；简易处理事故处理超</w:t>
            </w:r>
            <w:r>
              <w:rPr>
                <w:rFonts w:hint="eastAsia" w:asciiTheme="minorEastAsia" w:hAnsiTheme="minorEastAsia" w:eastAsiaTheme="minorEastAsia"/>
                <w:color w:val="000000"/>
                <w:sz w:val="24"/>
                <w:szCs w:val="24"/>
                <w:highlight w:val="none"/>
                <w:lang w:eastAsia="zh-CN" w:bidi="ar"/>
              </w:rPr>
              <w:t>3</w:t>
            </w:r>
            <w:r>
              <w:rPr>
                <w:rFonts w:hint="eastAsia" w:cs="微软雅黑" w:asciiTheme="minorEastAsia" w:hAnsiTheme="minorEastAsia" w:eastAsiaTheme="minorEastAsia"/>
                <w:color w:val="000000"/>
                <w:sz w:val="24"/>
                <w:szCs w:val="24"/>
                <w:highlight w:val="none"/>
                <w:lang w:eastAsia="zh-CN" w:bidi="ar"/>
              </w:rPr>
              <w:t>个工作日车辆；一般程序事故不验车超</w:t>
            </w:r>
            <w:r>
              <w:rPr>
                <w:rFonts w:hint="eastAsia" w:asciiTheme="minorEastAsia" w:hAnsiTheme="minorEastAsia" w:eastAsiaTheme="minorEastAsia"/>
                <w:color w:val="000000"/>
                <w:sz w:val="24"/>
                <w:szCs w:val="24"/>
                <w:highlight w:val="none"/>
                <w:lang w:eastAsia="zh-CN" w:bidi="ar"/>
              </w:rPr>
              <w:t>10</w:t>
            </w:r>
            <w:r>
              <w:rPr>
                <w:rFonts w:hint="eastAsia" w:cs="微软雅黑" w:asciiTheme="minorEastAsia" w:hAnsiTheme="minorEastAsia" w:eastAsiaTheme="minorEastAsia"/>
                <w:color w:val="000000"/>
                <w:sz w:val="24"/>
                <w:szCs w:val="24"/>
                <w:highlight w:val="none"/>
                <w:lang w:eastAsia="zh-CN" w:bidi="ar"/>
              </w:rPr>
              <w:t>工作日车辆；一般程序事故发还超期车辆；民警已发还，但当事人未领取车辆。</w:t>
            </w:r>
          </w:p>
        </w:tc>
        <w:tc>
          <w:tcPr>
            <w:tcW w:w="457" w:type="dxa"/>
            <w:tcBorders>
              <w:top w:val="single" w:color="000000" w:sz="4" w:space="0"/>
              <w:left w:val="single" w:color="000000" w:sz="4" w:space="0"/>
              <w:bottom w:val="single" w:color="000000" w:sz="4" w:space="0"/>
              <w:right w:val="single" w:color="000000" w:sz="4" w:space="0"/>
            </w:tcBorders>
            <w:vAlign w:val="center"/>
          </w:tcPr>
          <w:p w14:paraId="5483360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8BD4F3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802CE4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1448DD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w:t>
            </w:r>
          </w:p>
        </w:tc>
        <w:tc>
          <w:tcPr>
            <w:tcW w:w="1613" w:type="dxa"/>
            <w:tcBorders>
              <w:top w:val="single" w:color="000000" w:sz="4" w:space="0"/>
              <w:left w:val="single" w:color="000000" w:sz="4" w:space="0"/>
              <w:bottom w:val="single" w:color="000000" w:sz="4" w:space="0"/>
              <w:right w:val="single" w:color="000000" w:sz="4" w:space="0"/>
            </w:tcBorders>
            <w:vAlign w:val="center"/>
          </w:tcPr>
          <w:p w14:paraId="1E02766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基础配置管理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F852C93">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30BF778">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D2177EE">
            <w:pPr>
              <w:pStyle w:val="201"/>
              <w:spacing w:line="400" w:lineRule="exact"/>
              <w:jc w:val="center"/>
              <w:rPr>
                <w:rFonts w:hint="eastAsia" w:asciiTheme="minorEastAsia" w:hAnsiTheme="minorEastAsia" w:eastAsiaTheme="minorEastAsia"/>
                <w:color w:val="000000"/>
                <w:sz w:val="24"/>
                <w:szCs w:val="24"/>
                <w:highlight w:val="none"/>
              </w:rPr>
            </w:pPr>
          </w:p>
        </w:tc>
      </w:tr>
      <w:tr w14:paraId="26BD65A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EB0A4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10.1</w:t>
            </w:r>
          </w:p>
        </w:tc>
        <w:tc>
          <w:tcPr>
            <w:tcW w:w="1613" w:type="dxa"/>
            <w:tcBorders>
              <w:top w:val="single" w:color="000000" w:sz="4" w:space="0"/>
              <w:left w:val="single" w:color="000000" w:sz="4" w:space="0"/>
              <w:bottom w:val="single" w:color="000000" w:sz="4" w:space="0"/>
              <w:right w:val="single" w:color="000000" w:sz="4" w:space="0"/>
            </w:tcBorders>
            <w:vAlign w:val="center"/>
          </w:tcPr>
          <w:p w14:paraId="19AE537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停车场管理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FC4C8A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对系统参与的停车场基本信息进行管理和维护。</w:t>
            </w:r>
          </w:p>
        </w:tc>
        <w:tc>
          <w:tcPr>
            <w:tcW w:w="457" w:type="dxa"/>
            <w:tcBorders>
              <w:top w:val="single" w:color="000000" w:sz="4" w:space="0"/>
              <w:left w:val="single" w:color="000000" w:sz="4" w:space="0"/>
              <w:bottom w:val="single" w:color="000000" w:sz="4" w:space="0"/>
              <w:right w:val="single" w:color="000000" w:sz="4" w:space="0"/>
            </w:tcBorders>
            <w:vAlign w:val="center"/>
          </w:tcPr>
          <w:p w14:paraId="4B52B95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F9DE09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FEB925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AF1BA5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10.2</w:t>
            </w:r>
          </w:p>
        </w:tc>
        <w:tc>
          <w:tcPr>
            <w:tcW w:w="1613" w:type="dxa"/>
            <w:tcBorders>
              <w:top w:val="single" w:color="000000" w:sz="4" w:space="0"/>
              <w:left w:val="single" w:color="000000" w:sz="4" w:space="0"/>
              <w:bottom w:val="single" w:color="000000" w:sz="4" w:space="0"/>
              <w:right w:val="single" w:color="000000" w:sz="4" w:space="0"/>
            </w:tcBorders>
            <w:vAlign w:val="center"/>
          </w:tcPr>
          <w:p w14:paraId="3686936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工作日设置</w:t>
            </w:r>
          </w:p>
        </w:tc>
        <w:tc>
          <w:tcPr>
            <w:tcW w:w="5281" w:type="dxa"/>
            <w:tcBorders>
              <w:top w:val="single" w:color="000000" w:sz="4" w:space="0"/>
              <w:left w:val="single" w:color="000000" w:sz="4" w:space="0"/>
              <w:bottom w:val="single" w:color="000000" w:sz="4" w:space="0"/>
              <w:right w:val="single" w:color="000000" w:sz="4" w:space="0"/>
            </w:tcBorders>
            <w:vAlign w:val="center"/>
          </w:tcPr>
          <w:p w14:paraId="63D2345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因费用计算涉及工作日和非工作日，需要对每年的工作日进行初始化以及实际情况的修改维护。</w:t>
            </w:r>
          </w:p>
        </w:tc>
        <w:tc>
          <w:tcPr>
            <w:tcW w:w="457" w:type="dxa"/>
            <w:tcBorders>
              <w:top w:val="single" w:color="000000" w:sz="4" w:space="0"/>
              <w:left w:val="single" w:color="000000" w:sz="4" w:space="0"/>
              <w:bottom w:val="single" w:color="000000" w:sz="4" w:space="0"/>
              <w:right w:val="single" w:color="000000" w:sz="4" w:space="0"/>
            </w:tcBorders>
            <w:vAlign w:val="center"/>
          </w:tcPr>
          <w:p w14:paraId="122F61A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EC1E7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6C2792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B5AF2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10.3</w:t>
            </w:r>
          </w:p>
        </w:tc>
        <w:tc>
          <w:tcPr>
            <w:tcW w:w="1613" w:type="dxa"/>
            <w:tcBorders>
              <w:top w:val="single" w:color="000000" w:sz="4" w:space="0"/>
              <w:left w:val="single" w:color="000000" w:sz="4" w:space="0"/>
              <w:bottom w:val="single" w:color="000000" w:sz="4" w:space="0"/>
              <w:right w:val="single" w:color="000000" w:sz="4" w:space="0"/>
            </w:tcBorders>
            <w:vAlign w:val="center"/>
          </w:tcPr>
          <w:p w14:paraId="6B075E2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救援人员管理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4B42F1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对各停车场涉及道路救援的人员账号进行增删改查操作。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5F7EC0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CA0254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9D103E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DAE594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10.4</w:t>
            </w:r>
          </w:p>
        </w:tc>
        <w:tc>
          <w:tcPr>
            <w:tcW w:w="1613" w:type="dxa"/>
            <w:tcBorders>
              <w:top w:val="single" w:color="000000" w:sz="4" w:space="0"/>
              <w:left w:val="single" w:color="000000" w:sz="4" w:space="0"/>
              <w:bottom w:val="single" w:color="000000" w:sz="4" w:space="0"/>
              <w:right w:val="single" w:color="000000" w:sz="4" w:space="0"/>
            </w:tcBorders>
            <w:vAlign w:val="center"/>
          </w:tcPr>
          <w:p w14:paraId="14A4EF8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检测机构</w:t>
            </w:r>
          </w:p>
        </w:tc>
        <w:tc>
          <w:tcPr>
            <w:tcW w:w="5281" w:type="dxa"/>
            <w:tcBorders>
              <w:top w:val="single" w:color="000000" w:sz="4" w:space="0"/>
              <w:left w:val="single" w:color="000000" w:sz="4" w:space="0"/>
              <w:bottom w:val="single" w:color="000000" w:sz="4" w:space="0"/>
              <w:right w:val="single" w:color="000000" w:sz="4" w:space="0"/>
            </w:tcBorders>
            <w:vAlign w:val="center"/>
          </w:tcPr>
          <w:p w14:paraId="168536D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对车辆检测机构进行管理和维护。</w:t>
            </w:r>
          </w:p>
        </w:tc>
        <w:tc>
          <w:tcPr>
            <w:tcW w:w="457" w:type="dxa"/>
            <w:tcBorders>
              <w:top w:val="single" w:color="000000" w:sz="4" w:space="0"/>
              <w:left w:val="single" w:color="000000" w:sz="4" w:space="0"/>
              <w:bottom w:val="single" w:color="000000" w:sz="4" w:space="0"/>
              <w:right w:val="single" w:color="000000" w:sz="4" w:space="0"/>
            </w:tcBorders>
            <w:vAlign w:val="center"/>
          </w:tcPr>
          <w:p w14:paraId="0F952C6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8D40B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38C56A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28E974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434E055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后台管理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32EA056">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EC9C7A7">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DFD254A">
            <w:pPr>
              <w:pStyle w:val="201"/>
              <w:spacing w:line="400" w:lineRule="exact"/>
              <w:jc w:val="center"/>
              <w:rPr>
                <w:rFonts w:hint="eastAsia" w:asciiTheme="minorEastAsia" w:hAnsiTheme="minorEastAsia" w:eastAsiaTheme="minorEastAsia"/>
                <w:color w:val="000000"/>
                <w:sz w:val="24"/>
                <w:szCs w:val="24"/>
                <w:highlight w:val="none"/>
              </w:rPr>
            </w:pPr>
          </w:p>
        </w:tc>
      </w:tr>
      <w:tr w14:paraId="7D0CCC9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9E45B0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11.1</w:t>
            </w:r>
          </w:p>
        </w:tc>
        <w:tc>
          <w:tcPr>
            <w:tcW w:w="1613" w:type="dxa"/>
            <w:tcBorders>
              <w:top w:val="single" w:color="000000" w:sz="4" w:space="0"/>
              <w:left w:val="single" w:color="000000" w:sz="4" w:space="0"/>
              <w:bottom w:val="single" w:color="000000" w:sz="4" w:space="0"/>
              <w:right w:val="single" w:color="000000" w:sz="4" w:space="0"/>
            </w:tcBorders>
            <w:vAlign w:val="center"/>
          </w:tcPr>
          <w:p w14:paraId="6884A44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用户管理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3A04E3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对系统的使用用户进行管理，维护用户名、密码、所属部门、业务岗位和角色等基本信息，可新增用户，对用户进行修改、删除、启动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77E503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7B59B1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7F944B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F120FB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11.2</w:t>
            </w:r>
          </w:p>
        </w:tc>
        <w:tc>
          <w:tcPr>
            <w:tcW w:w="1613" w:type="dxa"/>
            <w:tcBorders>
              <w:top w:val="single" w:color="000000" w:sz="4" w:space="0"/>
              <w:left w:val="single" w:color="000000" w:sz="4" w:space="0"/>
              <w:bottom w:val="single" w:color="000000" w:sz="4" w:space="0"/>
              <w:right w:val="single" w:color="000000" w:sz="4" w:space="0"/>
            </w:tcBorders>
            <w:vAlign w:val="center"/>
          </w:tcPr>
          <w:p w14:paraId="22F14BA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部门管理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DEF0DD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对系统的使用部门进行管理，维护单位名称、单位编码、部门级别等基本信息，可新增部门，对部门进行修改、删除、启动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停用操作。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76F3E8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61FAB3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308624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0CDD62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11.3</w:t>
            </w:r>
          </w:p>
        </w:tc>
        <w:tc>
          <w:tcPr>
            <w:tcW w:w="1613" w:type="dxa"/>
            <w:tcBorders>
              <w:top w:val="single" w:color="000000" w:sz="4" w:space="0"/>
              <w:left w:val="single" w:color="000000" w:sz="4" w:space="0"/>
              <w:bottom w:val="single" w:color="000000" w:sz="4" w:space="0"/>
              <w:right w:val="single" w:color="000000" w:sz="4" w:space="0"/>
            </w:tcBorders>
            <w:vAlign w:val="center"/>
          </w:tcPr>
          <w:p w14:paraId="739C8BE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角色管理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7B0D81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对系统的角色进行管理，维护角色名称、角色状态、角色权限等基本信息，可新增角色，对角色进行修改、删除、启动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365DE8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B8FE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20C07D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3AECEE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11.4</w:t>
            </w:r>
          </w:p>
        </w:tc>
        <w:tc>
          <w:tcPr>
            <w:tcW w:w="1613" w:type="dxa"/>
            <w:tcBorders>
              <w:top w:val="single" w:color="000000" w:sz="4" w:space="0"/>
              <w:left w:val="single" w:color="000000" w:sz="4" w:space="0"/>
              <w:bottom w:val="single" w:color="000000" w:sz="4" w:space="0"/>
              <w:right w:val="single" w:color="000000" w:sz="4" w:space="0"/>
            </w:tcBorders>
            <w:vAlign w:val="center"/>
          </w:tcPr>
          <w:p w14:paraId="2443511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模块管理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58B113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对系统的使用业务菜单模块进行管理，维护模块名称、模块类型、模块排序和模块状态等基本信息，可新增模块，对模块进行修改、删除、显示</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隐藏操作。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03210C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5F7E4A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7A7FD5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295381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11.5</w:t>
            </w:r>
          </w:p>
        </w:tc>
        <w:tc>
          <w:tcPr>
            <w:tcW w:w="1613" w:type="dxa"/>
            <w:tcBorders>
              <w:top w:val="single" w:color="000000" w:sz="4" w:space="0"/>
              <w:left w:val="single" w:color="000000" w:sz="4" w:space="0"/>
              <w:bottom w:val="single" w:color="000000" w:sz="4" w:space="0"/>
              <w:right w:val="single" w:color="000000" w:sz="4" w:space="0"/>
            </w:tcBorders>
            <w:vAlign w:val="center"/>
          </w:tcPr>
          <w:p w14:paraId="0195AFA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日志管理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680B00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针对平台用户登录行为和各业务应用操作行为包括数据的增、删、改等操作，系统将记录详细的用户登录和业务操作日志。</w:t>
            </w:r>
          </w:p>
        </w:tc>
        <w:tc>
          <w:tcPr>
            <w:tcW w:w="457" w:type="dxa"/>
            <w:tcBorders>
              <w:top w:val="single" w:color="000000" w:sz="4" w:space="0"/>
              <w:left w:val="single" w:color="000000" w:sz="4" w:space="0"/>
              <w:bottom w:val="single" w:color="000000" w:sz="4" w:space="0"/>
              <w:right w:val="single" w:color="000000" w:sz="4" w:space="0"/>
            </w:tcBorders>
            <w:vAlign w:val="center"/>
          </w:tcPr>
          <w:p w14:paraId="71EEAB6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C327B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073D1A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2AEB51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73652B6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涉案车辆</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（互联网）</w:t>
            </w:r>
          </w:p>
        </w:tc>
        <w:tc>
          <w:tcPr>
            <w:tcW w:w="5281" w:type="dxa"/>
            <w:tcBorders>
              <w:top w:val="single" w:color="000000" w:sz="4" w:space="0"/>
              <w:left w:val="single" w:color="000000" w:sz="4" w:space="0"/>
              <w:bottom w:val="single" w:color="000000" w:sz="4" w:space="0"/>
              <w:right w:val="single" w:color="000000" w:sz="4" w:space="0"/>
            </w:tcBorders>
            <w:vAlign w:val="center"/>
          </w:tcPr>
          <w:p w14:paraId="0B402E80">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8448AA4">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8877A83">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5CBB80C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63DBF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12.1</w:t>
            </w:r>
          </w:p>
        </w:tc>
        <w:tc>
          <w:tcPr>
            <w:tcW w:w="1613" w:type="dxa"/>
            <w:tcBorders>
              <w:top w:val="single" w:color="000000" w:sz="4" w:space="0"/>
              <w:left w:val="single" w:color="000000" w:sz="4" w:space="0"/>
              <w:bottom w:val="single" w:color="000000" w:sz="4" w:space="0"/>
              <w:right w:val="single" w:color="000000" w:sz="4" w:space="0"/>
            </w:tcBorders>
            <w:vAlign w:val="center"/>
          </w:tcPr>
          <w:p w14:paraId="79E4381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施救登记</w:t>
            </w:r>
          </w:p>
        </w:tc>
        <w:tc>
          <w:tcPr>
            <w:tcW w:w="5281" w:type="dxa"/>
            <w:tcBorders>
              <w:top w:val="single" w:color="000000" w:sz="4" w:space="0"/>
              <w:left w:val="single" w:color="000000" w:sz="4" w:space="0"/>
              <w:bottom w:val="single" w:color="000000" w:sz="4" w:space="0"/>
              <w:right w:val="single" w:color="000000" w:sz="4" w:space="0"/>
            </w:tcBorders>
            <w:vAlign w:val="center"/>
          </w:tcPr>
          <w:p w14:paraId="4349BA1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施救人员到达现场后，根据现场是否使用吊车拖车等录入信息，同时录入现场施救照片完成登记。</w:t>
            </w:r>
          </w:p>
        </w:tc>
        <w:tc>
          <w:tcPr>
            <w:tcW w:w="457" w:type="dxa"/>
            <w:tcBorders>
              <w:top w:val="single" w:color="000000" w:sz="4" w:space="0"/>
              <w:left w:val="single" w:color="000000" w:sz="4" w:space="0"/>
              <w:bottom w:val="single" w:color="000000" w:sz="4" w:space="0"/>
              <w:right w:val="single" w:color="000000" w:sz="4" w:space="0"/>
            </w:tcBorders>
            <w:vAlign w:val="center"/>
          </w:tcPr>
          <w:p w14:paraId="7E75642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908E9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5CB73A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0488CF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12.2</w:t>
            </w:r>
          </w:p>
        </w:tc>
        <w:tc>
          <w:tcPr>
            <w:tcW w:w="1613" w:type="dxa"/>
            <w:tcBorders>
              <w:top w:val="single" w:color="000000" w:sz="4" w:space="0"/>
              <w:left w:val="single" w:color="000000" w:sz="4" w:space="0"/>
              <w:bottom w:val="single" w:color="000000" w:sz="4" w:space="0"/>
              <w:right w:val="single" w:color="000000" w:sz="4" w:space="0"/>
            </w:tcBorders>
            <w:vAlign w:val="center"/>
          </w:tcPr>
          <w:p w14:paraId="1A53BEF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我的救援</w:t>
            </w:r>
          </w:p>
        </w:tc>
        <w:tc>
          <w:tcPr>
            <w:tcW w:w="5281" w:type="dxa"/>
            <w:tcBorders>
              <w:top w:val="single" w:color="000000" w:sz="4" w:space="0"/>
              <w:left w:val="single" w:color="000000" w:sz="4" w:space="0"/>
              <w:bottom w:val="single" w:color="000000" w:sz="4" w:space="0"/>
              <w:right w:val="single" w:color="000000" w:sz="4" w:space="0"/>
            </w:tcBorders>
            <w:vAlign w:val="center"/>
          </w:tcPr>
          <w:p w14:paraId="19D0B84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施救人员对涉案车辆完成施救登记后，会对施救人员历史的施救登记留痕，此处可以查看该施救人员名下的所有施救历史。</w:t>
            </w:r>
          </w:p>
        </w:tc>
        <w:tc>
          <w:tcPr>
            <w:tcW w:w="457" w:type="dxa"/>
            <w:tcBorders>
              <w:top w:val="single" w:color="000000" w:sz="4" w:space="0"/>
              <w:left w:val="single" w:color="000000" w:sz="4" w:space="0"/>
              <w:bottom w:val="single" w:color="000000" w:sz="4" w:space="0"/>
              <w:right w:val="single" w:color="000000" w:sz="4" w:space="0"/>
            </w:tcBorders>
            <w:vAlign w:val="center"/>
          </w:tcPr>
          <w:p w14:paraId="773B6E3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E00F53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75FC05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9219EF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12.3</w:t>
            </w:r>
          </w:p>
        </w:tc>
        <w:tc>
          <w:tcPr>
            <w:tcW w:w="1613" w:type="dxa"/>
            <w:tcBorders>
              <w:top w:val="single" w:color="000000" w:sz="4" w:space="0"/>
              <w:left w:val="single" w:color="000000" w:sz="4" w:space="0"/>
              <w:bottom w:val="single" w:color="000000" w:sz="4" w:space="0"/>
              <w:right w:val="single" w:color="000000" w:sz="4" w:space="0"/>
            </w:tcBorders>
            <w:vAlign w:val="center"/>
          </w:tcPr>
          <w:p w14:paraId="09DD6CB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车辆入场</w:t>
            </w:r>
          </w:p>
        </w:tc>
        <w:tc>
          <w:tcPr>
            <w:tcW w:w="5281" w:type="dxa"/>
            <w:tcBorders>
              <w:top w:val="single" w:color="000000" w:sz="4" w:space="0"/>
              <w:left w:val="single" w:color="000000" w:sz="4" w:space="0"/>
              <w:bottom w:val="single" w:color="000000" w:sz="4" w:space="0"/>
              <w:right w:val="single" w:color="000000" w:sz="4" w:space="0"/>
            </w:tcBorders>
            <w:vAlign w:val="center"/>
          </w:tcPr>
          <w:p w14:paraId="0EA148C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现场施救完毕后，车辆拖移至停车场，由停车场工作人员先绑定不干胶车辆标签，并通过车辆管理</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（互联网版）对车辆做入场登记。停车场工作人员先将不干胶二维码标签与车辆做绑定，通过涉案车辆管理</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扫描标签二维码，并对车辆做入场拍照登记。信息登记完成后，将通过边界交换服务，由互联网传输至公安网，与车辆管理系统进行数据匹配关联保存。</w:t>
            </w:r>
          </w:p>
        </w:tc>
        <w:tc>
          <w:tcPr>
            <w:tcW w:w="457" w:type="dxa"/>
            <w:tcBorders>
              <w:top w:val="single" w:color="000000" w:sz="4" w:space="0"/>
              <w:left w:val="single" w:color="000000" w:sz="4" w:space="0"/>
              <w:bottom w:val="single" w:color="000000" w:sz="4" w:space="0"/>
              <w:right w:val="single" w:color="000000" w:sz="4" w:space="0"/>
            </w:tcBorders>
            <w:vAlign w:val="center"/>
          </w:tcPr>
          <w:p w14:paraId="5C72DEE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DDD21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64B7E1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F6242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12.4</w:t>
            </w:r>
          </w:p>
        </w:tc>
        <w:tc>
          <w:tcPr>
            <w:tcW w:w="1613" w:type="dxa"/>
            <w:tcBorders>
              <w:top w:val="single" w:color="000000" w:sz="4" w:space="0"/>
              <w:left w:val="single" w:color="000000" w:sz="4" w:space="0"/>
              <w:bottom w:val="single" w:color="000000" w:sz="4" w:space="0"/>
              <w:right w:val="single" w:color="000000" w:sz="4" w:space="0"/>
            </w:tcBorders>
            <w:vAlign w:val="center"/>
          </w:tcPr>
          <w:p w14:paraId="578F261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车辆发还</w:t>
            </w:r>
          </w:p>
        </w:tc>
        <w:tc>
          <w:tcPr>
            <w:tcW w:w="5281" w:type="dxa"/>
            <w:tcBorders>
              <w:top w:val="single" w:color="000000" w:sz="4" w:space="0"/>
              <w:left w:val="single" w:color="000000" w:sz="4" w:space="0"/>
              <w:bottom w:val="single" w:color="000000" w:sz="4" w:space="0"/>
              <w:right w:val="single" w:color="000000" w:sz="4" w:space="0"/>
            </w:tcBorders>
            <w:vAlign w:val="center"/>
          </w:tcPr>
          <w:p w14:paraId="29B4BB6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车辆发还、转出时，停车场需要将车辆做出场处理，扫描放车单的二维码，进行信息核对，对人车、领车人身份证信息进行拍照固定证据，并由领车人签字确认。</w:t>
            </w:r>
          </w:p>
        </w:tc>
        <w:tc>
          <w:tcPr>
            <w:tcW w:w="457" w:type="dxa"/>
            <w:tcBorders>
              <w:top w:val="single" w:color="000000" w:sz="4" w:space="0"/>
              <w:left w:val="single" w:color="000000" w:sz="4" w:space="0"/>
              <w:bottom w:val="single" w:color="000000" w:sz="4" w:space="0"/>
              <w:right w:val="single" w:color="000000" w:sz="4" w:space="0"/>
            </w:tcBorders>
            <w:vAlign w:val="center"/>
          </w:tcPr>
          <w:p w14:paraId="158685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4B9C87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9A269B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93095B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12.5</w:t>
            </w:r>
          </w:p>
        </w:tc>
        <w:tc>
          <w:tcPr>
            <w:tcW w:w="1613" w:type="dxa"/>
            <w:tcBorders>
              <w:top w:val="single" w:color="000000" w:sz="4" w:space="0"/>
              <w:left w:val="single" w:color="000000" w:sz="4" w:space="0"/>
              <w:bottom w:val="single" w:color="000000" w:sz="4" w:space="0"/>
              <w:right w:val="single" w:color="000000" w:sz="4" w:space="0"/>
            </w:tcBorders>
            <w:vAlign w:val="center"/>
          </w:tcPr>
          <w:p w14:paraId="37ED50A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车辆转入</w:t>
            </w:r>
          </w:p>
        </w:tc>
        <w:tc>
          <w:tcPr>
            <w:tcW w:w="5281" w:type="dxa"/>
            <w:tcBorders>
              <w:top w:val="single" w:color="000000" w:sz="4" w:space="0"/>
              <w:left w:val="single" w:color="000000" w:sz="4" w:space="0"/>
              <w:bottom w:val="single" w:color="000000" w:sz="4" w:space="0"/>
              <w:right w:val="single" w:color="000000" w:sz="4" w:space="0"/>
            </w:tcBorders>
            <w:vAlign w:val="center"/>
          </w:tcPr>
          <w:p w14:paraId="263BB3B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于从其他停车场转入的车辆，新停车场的工作人员需要将车辆做转入登记。民警在公安内网涉案车辆系统中对车辆进行转移停车场操作，生成转场凭证，随后在原停车场做车辆出场操作，新停车场上传入场车辆的多张图片完成转入登记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5B6B45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D60E79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3417EC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6BDAE9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12.6</w:t>
            </w:r>
          </w:p>
        </w:tc>
        <w:tc>
          <w:tcPr>
            <w:tcW w:w="1613" w:type="dxa"/>
            <w:tcBorders>
              <w:top w:val="single" w:color="000000" w:sz="4" w:space="0"/>
              <w:left w:val="single" w:color="000000" w:sz="4" w:space="0"/>
              <w:bottom w:val="single" w:color="000000" w:sz="4" w:space="0"/>
              <w:right w:val="single" w:color="000000" w:sz="4" w:space="0"/>
            </w:tcBorders>
            <w:vAlign w:val="center"/>
          </w:tcPr>
          <w:p w14:paraId="65DF203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车辆转出</w:t>
            </w:r>
          </w:p>
        </w:tc>
        <w:tc>
          <w:tcPr>
            <w:tcW w:w="5281" w:type="dxa"/>
            <w:tcBorders>
              <w:top w:val="single" w:color="000000" w:sz="4" w:space="0"/>
              <w:left w:val="single" w:color="000000" w:sz="4" w:space="0"/>
              <w:bottom w:val="single" w:color="000000" w:sz="4" w:space="0"/>
              <w:right w:val="single" w:color="000000" w:sz="4" w:space="0"/>
            </w:tcBorders>
            <w:vAlign w:val="center"/>
          </w:tcPr>
          <w:p w14:paraId="3BE467C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民警在公安内网涉案车辆系统中对车辆进行转移停车场操作，生成转场凭证，随后在原停车场做车辆出场操作，新停车场上传入场车辆的多张图片完成转入登记操作。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446D154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7D7220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F448A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2AA358D">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四</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56D502BE">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执法音视频智能分析系统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44D71D6B">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B906160">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2706D24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29367D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6C044A2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首页</w:t>
            </w:r>
          </w:p>
        </w:tc>
        <w:tc>
          <w:tcPr>
            <w:tcW w:w="5281" w:type="dxa"/>
            <w:tcBorders>
              <w:top w:val="single" w:color="000000" w:sz="4" w:space="0"/>
              <w:left w:val="single" w:color="000000" w:sz="4" w:space="0"/>
              <w:bottom w:val="single" w:color="000000" w:sz="4" w:space="0"/>
              <w:right w:val="single" w:color="000000" w:sz="4" w:space="0"/>
            </w:tcBorders>
            <w:vAlign w:val="center"/>
          </w:tcPr>
          <w:p w14:paraId="7B9E5F5D">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5BD5A6A">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C425013">
            <w:pPr>
              <w:pStyle w:val="201"/>
              <w:spacing w:line="400" w:lineRule="exact"/>
              <w:jc w:val="center"/>
              <w:rPr>
                <w:rFonts w:hint="eastAsia" w:asciiTheme="minorEastAsia" w:hAnsiTheme="minorEastAsia" w:eastAsiaTheme="minorEastAsia"/>
                <w:color w:val="000000"/>
                <w:sz w:val="24"/>
                <w:szCs w:val="24"/>
                <w:highlight w:val="none"/>
              </w:rPr>
            </w:pPr>
          </w:p>
        </w:tc>
      </w:tr>
      <w:tr w14:paraId="14398C8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BBCC9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249B596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快捷应用</w:t>
            </w:r>
          </w:p>
        </w:tc>
        <w:tc>
          <w:tcPr>
            <w:tcW w:w="5281" w:type="dxa"/>
            <w:tcBorders>
              <w:top w:val="single" w:color="000000" w:sz="4" w:space="0"/>
              <w:left w:val="single" w:color="000000" w:sz="4" w:space="0"/>
              <w:bottom w:val="single" w:color="000000" w:sz="4" w:space="0"/>
              <w:right w:val="single" w:color="000000" w:sz="4" w:space="0"/>
            </w:tcBorders>
            <w:vAlign w:val="center"/>
          </w:tcPr>
          <w:p w14:paraId="76C2534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首页提供了执法音视频智能分析平台的相关快捷应用功能，通过快捷应用功能可以一键快速进入所需要的功能模块。后台管理可对快捷应用匹配个人所需快捷功能进行配置，实现自定义功能。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1801E33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B75E0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16EE16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ED06F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1D5FFE7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工作概述</w:t>
            </w:r>
          </w:p>
        </w:tc>
        <w:tc>
          <w:tcPr>
            <w:tcW w:w="5281" w:type="dxa"/>
            <w:tcBorders>
              <w:top w:val="single" w:color="000000" w:sz="4" w:space="0"/>
              <w:left w:val="single" w:color="000000" w:sz="4" w:space="0"/>
              <w:bottom w:val="single" w:color="000000" w:sz="4" w:space="0"/>
              <w:right w:val="single" w:color="000000" w:sz="4" w:space="0"/>
            </w:tcBorders>
            <w:vAlign w:val="center"/>
          </w:tcPr>
          <w:p w14:paraId="06B2409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工作概述情况的相关指数，通过平台提供的指数可以对案件、视频、规范和预警等业务了解相关工作情况。包括处理总案件数、总视频个数、总视频时长、案件视频关联数、内容关联数、单位总规范得分、不文明用语预警数、降格处罚预警数量和预警数。</w:t>
            </w:r>
          </w:p>
        </w:tc>
        <w:tc>
          <w:tcPr>
            <w:tcW w:w="457" w:type="dxa"/>
            <w:tcBorders>
              <w:top w:val="single" w:color="000000" w:sz="4" w:space="0"/>
              <w:left w:val="single" w:color="000000" w:sz="4" w:space="0"/>
              <w:bottom w:val="single" w:color="000000" w:sz="4" w:space="0"/>
              <w:right w:val="single" w:color="000000" w:sz="4" w:space="0"/>
            </w:tcBorders>
            <w:vAlign w:val="center"/>
          </w:tcPr>
          <w:p w14:paraId="7F6502D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12B33C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0558DD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5CA843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653EEA4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热点执法分析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39AD82E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热点执法分析的执法信息，通过平台提供的信息可以统计对于违法行为的执法分布，通过违法行为的统计来体现某个周期内的执法热点分布。对当前支队或大队关注的重点违法行为的处罚做重点分析如：货车执法，酒醉驾案件执法等。</w:t>
            </w:r>
          </w:p>
        </w:tc>
        <w:tc>
          <w:tcPr>
            <w:tcW w:w="457" w:type="dxa"/>
            <w:tcBorders>
              <w:top w:val="single" w:color="000000" w:sz="4" w:space="0"/>
              <w:left w:val="single" w:color="000000" w:sz="4" w:space="0"/>
              <w:bottom w:val="single" w:color="000000" w:sz="4" w:space="0"/>
              <w:right w:val="single" w:color="000000" w:sz="4" w:space="0"/>
            </w:tcBorders>
            <w:vAlign w:val="center"/>
          </w:tcPr>
          <w:p w14:paraId="50838FB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22E2BD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48BB73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D2F08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605F8A8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运维指数</w:t>
            </w:r>
          </w:p>
        </w:tc>
        <w:tc>
          <w:tcPr>
            <w:tcW w:w="5281" w:type="dxa"/>
            <w:tcBorders>
              <w:top w:val="single" w:color="000000" w:sz="4" w:space="0"/>
              <w:left w:val="single" w:color="000000" w:sz="4" w:space="0"/>
              <w:bottom w:val="single" w:color="000000" w:sz="4" w:space="0"/>
              <w:right w:val="single" w:color="000000" w:sz="4" w:space="0"/>
            </w:tcBorders>
            <w:vAlign w:val="center"/>
          </w:tcPr>
          <w:p w14:paraId="4C53561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运维情况的相关指数，通过平台提供的指数可以对平台在进行违法数据资源对接、音视频数据资源对接、音视频数据下载、违法数据分析和切分等需要消耗后台资源的操作进行运维监控。包括</w:t>
            </w:r>
            <w:r>
              <w:rPr>
                <w:rFonts w:hint="eastAsia" w:asciiTheme="minorEastAsia" w:hAnsiTheme="minorEastAsia" w:eastAsiaTheme="minorEastAsia"/>
                <w:color w:val="000000"/>
                <w:sz w:val="24"/>
                <w:szCs w:val="24"/>
                <w:highlight w:val="none"/>
                <w:lang w:eastAsia="zh-CN" w:bidi="ar"/>
              </w:rPr>
              <w:t>CPU</w:t>
            </w:r>
            <w:r>
              <w:rPr>
                <w:rFonts w:hint="eastAsia" w:cs="微软雅黑" w:asciiTheme="minorEastAsia" w:hAnsiTheme="minorEastAsia" w:eastAsiaTheme="minorEastAsia"/>
                <w:color w:val="000000"/>
                <w:sz w:val="24"/>
                <w:szCs w:val="24"/>
                <w:highlight w:val="none"/>
                <w:lang w:eastAsia="zh-CN" w:bidi="ar"/>
              </w:rPr>
              <w:t>资源利用率、内容利用率系统工况等进行展示，便于用户清楚服务器运行情况。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341A3E1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DCBF53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86E1E4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F00B0A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w:t>
            </w:r>
          </w:p>
        </w:tc>
        <w:tc>
          <w:tcPr>
            <w:tcW w:w="1613" w:type="dxa"/>
            <w:tcBorders>
              <w:top w:val="single" w:color="000000" w:sz="4" w:space="0"/>
              <w:left w:val="single" w:color="000000" w:sz="4" w:space="0"/>
              <w:bottom w:val="single" w:color="000000" w:sz="4" w:space="0"/>
              <w:right w:val="single" w:color="000000" w:sz="4" w:space="0"/>
            </w:tcBorders>
            <w:vAlign w:val="center"/>
          </w:tcPr>
          <w:p w14:paraId="1885607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执法有效趋势</w:t>
            </w:r>
          </w:p>
        </w:tc>
        <w:tc>
          <w:tcPr>
            <w:tcW w:w="5281" w:type="dxa"/>
            <w:tcBorders>
              <w:top w:val="single" w:color="000000" w:sz="4" w:space="0"/>
              <w:left w:val="single" w:color="000000" w:sz="4" w:space="0"/>
              <w:bottom w:val="single" w:color="000000" w:sz="4" w:space="0"/>
              <w:right w:val="single" w:color="000000" w:sz="4" w:space="0"/>
            </w:tcBorders>
            <w:vAlign w:val="center"/>
          </w:tcPr>
          <w:p w14:paraId="4FD37E3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首页展示执法音视频智能分析平台执法有效趋势图，执法有效性按照执法视频时长和有效时长绘制趋势图。通过平台提供的执法有效趋势图可以对平台在进行民警执法录像时长和实际有效时长的对比。</w:t>
            </w:r>
          </w:p>
        </w:tc>
        <w:tc>
          <w:tcPr>
            <w:tcW w:w="457" w:type="dxa"/>
            <w:tcBorders>
              <w:top w:val="single" w:color="000000" w:sz="4" w:space="0"/>
              <w:left w:val="single" w:color="000000" w:sz="4" w:space="0"/>
              <w:bottom w:val="single" w:color="000000" w:sz="4" w:space="0"/>
              <w:right w:val="single" w:color="000000" w:sz="4" w:space="0"/>
            </w:tcBorders>
            <w:vAlign w:val="center"/>
          </w:tcPr>
          <w:p w14:paraId="7F9EDA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C2D7F0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9D92E2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38B9C1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1.6</w:t>
            </w:r>
          </w:p>
        </w:tc>
        <w:tc>
          <w:tcPr>
            <w:tcW w:w="1613" w:type="dxa"/>
            <w:tcBorders>
              <w:top w:val="single" w:color="000000" w:sz="4" w:space="0"/>
              <w:left w:val="single" w:color="000000" w:sz="4" w:space="0"/>
              <w:bottom w:val="single" w:color="000000" w:sz="4" w:space="0"/>
              <w:right w:val="single" w:color="000000" w:sz="4" w:space="0"/>
            </w:tcBorders>
            <w:vAlign w:val="center"/>
          </w:tcPr>
          <w:p w14:paraId="5DF047E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执法时长榜单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6603DE3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首页展示执法音视频智能分析平台对于民警执法时长的榜单，通过平台提供的榜单可以了解对民警时间周期（日、周、月</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自定义）内的工作情况，饱和度或者异常时长等相关情况。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3D7171C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4277C5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5C17BE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BCB87B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1.7</w:t>
            </w:r>
          </w:p>
        </w:tc>
        <w:tc>
          <w:tcPr>
            <w:tcW w:w="1613" w:type="dxa"/>
            <w:tcBorders>
              <w:top w:val="single" w:color="000000" w:sz="4" w:space="0"/>
              <w:left w:val="single" w:color="000000" w:sz="4" w:space="0"/>
              <w:bottom w:val="single" w:color="000000" w:sz="4" w:space="0"/>
              <w:right w:val="single" w:color="000000" w:sz="4" w:space="0"/>
            </w:tcBorders>
            <w:vAlign w:val="center"/>
          </w:tcPr>
          <w:p w14:paraId="2A23897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执法规范榜单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305DADB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对于民警执法规范的榜单，通过通过单位和个人的维度进行规范性排名。单位执法质量：对各单位按照执法平均分进行排序。民警执法质量：对单位下所有民警按照执法平均分进行排序，民警需要满足</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个人执法量大于等于总局人均执法量</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个人关联率大于等于总局关联率</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两个条件才能进行上榜排名。</w:t>
            </w:r>
          </w:p>
        </w:tc>
        <w:tc>
          <w:tcPr>
            <w:tcW w:w="457" w:type="dxa"/>
            <w:tcBorders>
              <w:top w:val="single" w:color="000000" w:sz="4" w:space="0"/>
              <w:left w:val="single" w:color="000000" w:sz="4" w:space="0"/>
              <w:bottom w:val="single" w:color="000000" w:sz="4" w:space="0"/>
              <w:right w:val="single" w:color="000000" w:sz="4" w:space="0"/>
            </w:tcBorders>
            <w:vAlign w:val="center"/>
          </w:tcPr>
          <w:p w14:paraId="14DD24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2D80EE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F14315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ABA422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1.8</w:t>
            </w:r>
          </w:p>
        </w:tc>
        <w:tc>
          <w:tcPr>
            <w:tcW w:w="1613" w:type="dxa"/>
            <w:tcBorders>
              <w:top w:val="single" w:color="000000" w:sz="4" w:space="0"/>
              <w:left w:val="single" w:color="000000" w:sz="4" w:space="0"/>
              <w:bottom w:val="single" w:color="000000" w:sz="4" w:space="0"/>
              <w:right w:val="single" w:color="000000" w:sz="4" w:space="0"/>
            </w:tcBorders>
            <w:vAlign w:val="center"/>
          </w:tcPr>
          <w:p w14:paraId="3688B3B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执法用语命中热力图</w:t>
            </w:r>
          </w:p>
        </w:tc>
        <w:tc>
          <w:tcPr>
            <w:tcW w:w="5281" w:type="dxa"/>
            <w:tcBorders>
              <w:top w:val="single" w:color="000000" w:sz="4" w:space="0"/>
              <w:left w:val="single" w:color="000000" w:sz="4" w:space="0"/>
              <w:bottom w:val="single" w:color="000000" w:sz="4" w:space="0"/>
              <w:right w:val="single" w:color="000000" w:sz="4" w:space="0"/>
            </w:tcBorders>
            <w:vAlign w:val="center"/>
          </w:tcPr>
          <w:p w14:paraId="3563AD1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首页展示执法音视频智能分析平台对于民警执法高频使用规范性用语的空间分布与密集程度，通过色彩渐变反映不同执法用语的规范频率与集中度。</w:t>
            </w:r>
          </w:p>
        </w:tc>
        <w:tc>
          <w:tcPr>
            <w:tcW w:w="457" w:type="dxa"/>
            <w:tcBorders>
              <w:top w:val="single" w:color="000000" w:sz="4" w:space="0"/>
              <w:left w:val="single" w:color="000000" w:sz="4" w:space="0"/>
              <w:bottom w:val="single" w:color="000000" w:sz="4" w:space="0"/>
              <w:right w:val="single" w:color="000000" w:sz="4" w:space="0"/>
            </w:tcBorders>
            <w:vAlign w:val="center"/>
          </w:tcPr>
          <w:p w14:paraId="4BF3AF2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E946C8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17164A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4B596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1.9</w:t>
            </w:r>
          </w:p>
        </w:tc>
        <w:tc>
          <w:tcPr>
            <w:tcW w:w="1613" w:type="dxa"/>
            <w:tcBorders>
              <w:top w:val="single" w:color="000000" w:sz="4" w:space="0"/>
              <w:left w:val="single" w:color="000000" w:sz="4" w:space="0"/>
              <w:bottom w:val="single" w:color="000000" w:sz="4" w:space="0"/>
              <w:right w:val="single" w:color="000000" w:sz="4" w:space="0"/>
            </w:tcBorders>
            <w:vAlign w:val="center"/>
          </w:tcPr>
          <w:p w14:paraId="0550C46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执法内容分布</w:t>
            </w:r>
          </w:p>
        </w:tc>
        <w:tc>
          <w:tcPr>
            <w:tcW w:w="5281" w:type="dxa"/>
            <w:tcBorders>
              <w:top w:val="single" w:color="000000" w:sz="4" w:space="0"/>
              <w:left w:val="single" w:color="000000" w:sz="4" w:space="0"/>
              <w:bottom w:val="single" w:color="000000" w:sz="4" w:space="0"/>
              <w:right w:val="single" w:color="000000" w:sz="4" w:space="0"/>
            </w:tcBorders>
            <w:vAlign w:val="center"/>
          </w:tcPr>
          <w:p w14:paraId="068C5A8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首页展示执法音视频智能分析平台对于民警执法内容的分布统计，通过采用饼图的可视化方式来反映不同执法内容的规范频率与集中度。</w:t>
            </w:r>
          </w:p>
        </w:tc>
        <w:tc>
          <w:tcPr>
            <w:tcW w:w="457" w:type="dxa"/>
            <w:tcBorders>
              <w:top w:val="single" w:color="000000" w:sz="4" w:space="0"/>
              <w:left w:val="single" w:color="000000" w:sz="4" w:space="0"/>
              <w:bottom w:val="single" w:color="000000" w:sz="4" w:space="0"/>
              <w:right w:val="single" w:color="000000" w:sz="4" w:space="0"/>
            </w:tcBorders>
            <w:vAlign w:val="center"/>
          </w:tcPr>
          <w:p w14:paraId="517980C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D4D16D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A5955C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62F703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64F129D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执法数量分布</w:t>
            </w:r>
          </w:p>
        </w:tc>
        <w:tc>
          <w:tcPr>
            <w:tcW w:w="5281" w:type="dxa"/>
            <w:tcBorders>
              <w:top w:val="single" w:color="000000" w:sz="4" w:space="0"/>
              <w:left w:val="single" w:color="000000" w:sz="4" w:space="0"/>
              <w:bottom w:val="single" w:color="000000" w:sz="4" w:space="0"/>
              <w:right w:val="single" w:color="000000" w:sz="4" w:space="0"/>
            </w:tcBorders>
            <w:vAlign w:val="center"/>
          </w:tcPr>
          <w:p w14:paraId="12DE6BC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首页展示执法音视频智能分析平台对于民警执法内容数量的分布，通过平台提供的内容分布数量统计可以了解对民警时间周期（日、周、月</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自定义）内的工作内容情况。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79DA83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EFCFBE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E1F39F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03D040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2FD0F5C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基本信息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7E71E70C">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2B9BF0D">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AE35420">
            <w:pPr>
              <w:pStyle w:val="201"/>
              <w:spacing w:line="400" w:lineRule="exact"/>
              <w:jc w:val="center"/>
              <w:rPr>
                <w:rFonts w:hint="eastAsia" w:asciiTheme="minorEastAsia" w:hAnsiTheme="minorEastAsia" w:eastAsiaTheme="minorEastAsia"/>
                <w:color w:val="000000"/>
                <w:sz w:val="24"/>
                <w:szCs w:val="24"/>
                <w:highlight w:val="none"/>
              </w:rPr>
            </w:pPr>
          </w:p>
        </w:tc>
      </w:tr>
      <w:tr w14:paraId="5683370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EFEEF7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4534F64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人员信息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1BD7EF9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显示当前单位及下属单位的组织架构并可以选择并切换数据，对涉及到业务所参与的交警单位和执法民警基本信息的管理库，包括单位编号，单位名称，警员编号、警员姓名、性别、部门和身份证等相关组织架构信息。组织架构信息数据来源于</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的对接来获取所需警员数据。</w:t>
            </w:r>
          </w:p>
        </w:tc>
        <w:tc>
          <w:tcPr>
            <w:tcW w:w="457" w:type="dxa"/>
            <w:tcBorders>
              <w:top w:val="single" w:color="000000" w:sz="4" w:space="0"/>
              <w:left w:val="single" w:color="000000" w:sz="4" w:space="0"/>
              <w:bottom w:val="single" w:color="000000" w:sz="4" w:space="0"/>
              <w:right w:val="single" w:color="000000" w:sz="4" w:space="0"/>
            </w:tcBorders>
            <w:vAlign w:val="center"/>
          </w:tcPr>
          <w:p w14:paraId="460FFEE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EB2A57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98F437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2E3BFC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7640BE6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执法办案</w:t>
            </w:r>
          </w:p>
        </w:tc>
        <w:tc>
          <w:tcPr>
            <w:tcW w:w="5281" w:type="dxa"/>
            <w:tcBorders>
              <w:top w:val="single" w:color="000000" w:sz="4" w:space="0"/>
              <w:left w:val="single" w:color="000000" w:sz="4" w:space="0"/>
              <w:bottom w:val="single" w:color="000000" w:sz="4" w:space="0"/>
              <w:right w:val="single" w:color="000000" w:sz="4" w:space="0"/>
            </w:tcBorders>
            <w:vAlign w:val="center"/>
          </w:tcPr>
          <w:p w14:paraId="2CD68850">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D38235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DB0252F">
            <w:pPr>
              <w:pStyle w:val="201"/>
              <w:spacing w:line="400" w:lineRule="exact"/>
              <w:jc w:val="center"/>
              <w:rPr>
                <w:rFonts w:hint="eastAsia" w:asciiTheme="minorEastAsia" w:hAnsiTheme="minorEastAsia" w:eastAsiaTheme="minorEastAsia"/>
                <w:color w:val="000000"/>
                <w:sz w:val="24"/>
                <w:szCs w:val="24"/>
                <w:highlight w:val="none"/>
              </w:rPr>
            </w:pPr>
          </w:p>
        </w:tc>
      </w:tr>
      <w:tr w14:paraId="3541E61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81CA37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2DB9028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强制措施</w:t>
            </w:r>
          </w:p>
        </w:tc>
        <w:tc>
          <w:tcPr>
            <w:tcW w:w="5281" w:type="dxa"/>
            <w:tcBorders>
              <w:top w:val="single" w:color="000000" w:sz="4" w:space="0"/>
              <w:left w:val="single" w:color="000000" w:sz="4" w:space="0"/>
              <w:bottom w:val="single" w:color="000000" w:sz="4" w:space="0"/>
              <w:right w:val="single" w:color="000000" w:sz="4" w:space="0"/>
            </w:tcBorders>
            <w:vAlign w:val="center"/>
          </w:tcPr>
          <w:p w14:paraId="2DA1A74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的对接来获取强制措施类案件信息，包括文书编号、相关违法信息、民警信息、处罚信息。通过队管平台可以关联视频数据，形成案件与执法音视频的匹配关系。</w:t>
            </w:r>
          </w:p>
        </w:tc>
        <w:tc>
          <w:tcPr>
            <w:tcW w:w="457" w:type="dxa"/>
            <w:tcBorders>
              <w:top w:val="single" w:color="000000" w:sz="4" w:space="0"/>
              <w:left w:val="single" w:color="000000" w:sz="4" w:space="0"/>
              <w:bottom w:val="single" w:color="000000" w:sz="4" w:space="0"/>
              <w:right w:val="single" w:color="000000" w:sz="4" w:space="0"/>
            </w:tcBorders>
            <w:vAlign w:val="center"/>
          </w:tcPr>
          <w:p w14:paraId="2D9BA3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6EE0BA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A87898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C25448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7CC26A5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现场简易处罚</w:t>
            </w:r>
          </w:p>
        </w:tc>
        <w:tc>
          <w:tcPr>
            <w:tcW w:w="5281" w:type="dxa"/>
            <w:tcBorders>
              <w:top w:val="single" w:color="000000" w:sz="4" w:space="0"/>
              <w:left w:val="single" w:color="000000" w:sz="4" w:space="0"/>
              <w:bottom w:val="single" w:color="000000" w:sz="4" w:space="0"/>
              <w:right w:val="single" w:color="000000" w:sz="4" w:space="0"/>
            </w:tcBorders>
            <w:vAlign w:val="center"/>
          </w:tcPr>
          <w:p w14:paraId="4975BAF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的对接来获取现场简易类案件信息，包括文书编号、相关违法信息、民警信息、处罚信息。通过队管平台可以关联视频数据，形成案件与执法音视频的匹配关系。</w:t>
            </w:r>
          </w:p>
        </w:tc>
        <w:tc>
          <w:tcPr>
            <w:tcW w:w="457" w:type="dxa"/>
            <w:tcBorders>
              <w:top w:val="single" w:color="000000" w:sz="4" w:space="0"/>
              <w:left w:val="single" w:color="000000" w:sz="4" w:space="0"/>
              <w:bottom w:val="single" w:color="000000" w:sz="4" w:space="0"/>
              <w:right w:val="single" w:color="000000" w:sz="4" w:space="0"/>
            </w:tcBorders>
            <w:vAlign w:val="center"/>
          </w:tcPr>
          <w:p w14:paraId="44931E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AFE581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591BFF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CB412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3.3</w:t>
            </w:r>
          </w:p>
        </w:tc>
        <w:tc>
          <w:tcPr>
            <w:tcW w:w="1613" w:type="dxa"/>
            <w:tcBorders>
              <w:top w:val="single" w:color="000000" w:sz="4" w:space="0"/>
              <w:left w:val="single" w:color="000000" w:sz="4" w:space="0"/>
              <w:bottom w:val="single" w:color="000000" w:sz="4" w:space="0"/>
              <w:right w:val="single" w:color="000000" w:sz="4" w:space="0"/>
            </w:tcBorders>
            <w:vAlign w:val="center"/>
          </w:tcPr>
          <w:p w14:paraId="532F036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简易事故</w:t>
            </w:r>
          </w:p>
        </w:tc>
        <w:tc>
          <w:tcPr>
            <w:tcW w:w="5281" w:type="dxa"/>
            <w:tcBorders>
              <w:top w:val="single" w:color="000000" w:sz="4" w:space="0"/>
              <w:left w:val="single" w:color="000000" w:sz="4" w:space="0"/>
              <w:bottom w:val="single" w:color="000000" w:sz="4" w:space="0"/>
              <w:right w:val="single" w:color="000000" w:sz="4" w:space="0"/>
            </w:tcBorders>
            <w:vAlign w:val="center"/>
          </w:tcPr>
          <w:p w14:paraId="4DA1F11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的对接来获取简易事故类信息，包括文书编号、相关事故信息、民警信息、事故认定信息。通过队管平台可以关联视频数据，形成事故与执法音视频的匹配关系。</w:t>
            </w:r>
          </w:p>
        </w:tc>
        <w:tc>
          <w:tcPr>
            <w:tcW w:w="457" w:type="dxa"/>
            <w:tcBorders>
              <w:top w:val="single" w:color="000000" w:sz="4" w:space="0"/>
              <w:left w:val="single" w:color="000000" w:sz="4" w:space="0"/>
              <w:bottom w:val="single" w:color="000000" w:sz="4" w:space="0"/>
              <w:right w:val="single" w:color="000000" w:sz="4" w:space="0"/>
            </w:tcBorders>
            <w:vAlign w:val="center"/>
          </w:tcPr>
          <w:p w14:paraId="58A9D59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67304F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6059D4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37EFAF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3.4</w:t>
            </w:r>
          </w:p>
        </w:tc>
        <w:tc>
          <w:tcPr>
            <w:tcW w:w="1613" w:type="dxa"/>
            <w:tcBorders>
              <w:top w:val="single" w:color="000000" w:sz="4" w:space="0"/>
              <w:left w:val="single" w:color="000000" w:sz="4" w:space="0"/>
              <w:bottom w:val="single" w:color="000000" w:sz="4" w:space="0"/>
              <w:right w:val="single" w:color="000000" w:sz="4" w:space="0"/>
            </w:tcBorders>
            <w:vAlign w:val="center"/>
          </w:tcPr>
          <w:p w14:paraId="796FB0F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一般程序事故</w:t>
            </w:r>
          </w:p>
        </w:tc>
        <w:tc>
          <w:tcPr>
            <w:tcW w:w="5281" w:type="dxa"/>
            <w:tcBorders>
              <w:top w:val="single" w:color="000000" w:sz="4" w:space="0"/>
              <w:left w:val="single" w:color="000000" w:sz="4" w:space="0"/>
              <w:bottom w:val="single" w:color="000000" w:sz="4" w:space="0"/>
              <w:right w:val="single" w:color="000000" w:sz="4" w:space="0"/>
            </w:tcBorders>
            <w:vAlign w:val="center"/>
          </w:tcPr>
          <w:p w14:paraId="4CE4297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的对接来获取一般事故类信息，包括文书编号、相关事故信息、民警信息、事故认定信息。通过队管平台可以关联视频数据，形成事故与执法音视频的匹配关系。</w:t>
            </w:r>
          </w:p>
        </w:tc>
        <w:tc>
          <w:tcPr>
            <w:tcW w:w="457" w:type="dxa"/>
            <w:tcBorders>
              <w:top w:val="single" w:color="000000" w:sz="4" w:space="0"/>
              <w:left w:val="single" w:color="000000" w:sz="4" w:space="0"/>
              <w:bottom w:val="single" w:color="000000" w:sz="4" w:space="0"/>
              <w:right w:val="single" w:color="000000" w:sz="4" w:space="0"/>
            </w:tcBorders>
            <w:vAlign w:val="center"/>
          </w:tcPr>
          <w:p w14:paraId="6818070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CD1C1D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DB7F4E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06FC71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3.5</w:t>
            </w:r>
          </w:p>
        </w:tc>
        <w:tc>
          <w:tcPr>
            <w:tcW w:w="1613" w:type="dxa"/>
            <w:tcBorders>
              <w:top w:val="single" w:color="000000" w:sz="4" w:space="0"/>
              <w:left w:val="single" w:color="000000" w:sz="4" w:space="0"/>
              <w:bottom w:val="single" w:color="000000" w:sz="4" w:space="0"/>
              <w:right w:val="single" w:color="000000" w:sz="4" w:space="0"/>
            </w:tcBorders>
            <w:vAlign w:val="center"/>
          </w:tcPr>
          <w:p w14:paraId="0B34D74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重点案件</w:t>
            </w:r>
          </w:p>
        </w:tc>
        <w:tc>
          <w:tcPr>
            <w:tcW w:w="5281" w:type="dxa"/>
            <w:tcBorders>
              <w:top w:val="single" w:color="000000" w:sz="4" w:space="0"/>
              <w:left w:val="single" w:color="000000" w:sz="4" w:space="0"/>
              <w:bottom w:val="single" w:color="000000" w:sz="4" w:space="0"/>
              <w:right w:val="single" w:color="000000" w:sz="4" w:space="0"/>
            </w:tcBorders>
            <w:vAlign w:val="center"/>
          </w:tcPr>
          <w:p w14:paraId="0534963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的对接来获取重点类案件信息，包括文书编号、相关违法信息、民警信息、处罚信息。通过队管平台可以关联视频数据，形成案件与执法音视频的匹配关系。</w:t>
            </w:r>
          </w:p>
        </w:tc>
        <w:tc>
          <w:tcPr>
            <w:tcW w:w="457" w:type="dxa"/>
            <w:tcBorders>
              <w:top w:val="single" w:color="000000" w:sz="4" w:space="0"/>
              <w:left w:val="single" w:color="000000" w:sz="4" w:space="0"/>
              <w:bottom w:val="single" w:color="000000" w:sz="4" w:space="0"/>
              <w:right w:val="single" w:color="000000" w:sz="4" w:space="0"/>
            </w:tcBorders>
            <w:vAlign w:val="center"/>
          </w:tcPr>
          <w:p w14:paraId="4D729A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0ACBC1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5263E5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53C01A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7A17A66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视频源数据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78569AB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平台通过对接</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执法记录仪采集站</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或</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三方执法记录仪音视频管理平台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等系统，全面采集与执法活动相关的音视频基础信息。通过对多源头数据的整合，实现了对音视频资料的统一纳管，为后续的关联分析与可视化应用提供支持。视音频信息包括视频生成时间、视频名称、视频时长、视频大小、执法民警信息和视频地址。视频源数据库作为音视频分析源文件的来源处，提供了音视频的发布地址，平台通过地址获取实际的执法视频流媒体文件进行后续的分析工作。</w:t>
            </w:r>
          </w:p>
        </w:tc>
        <w:tc>
          <w:tcPr>
            <w:tcW w:w="457" w:type="dxa"/>
            <w:tcBorders>
              <w:top w:val="single" w:color="000000" w:sz="4" w:space="0"/>
              <w:left w:val="single" w:color="000000" w:sz="4" w:space="0"/>
              <w:bottom w:val="single" w:color="000000" w:sz="4" w:space="0"/>
              <w:right w:val="single" w:color="000000" w:sz="4" w:space="0"/>
            </w:tcBorders>
            <w:vAlign w:val="center"/>
          </w:tcPr>
          <w:p w14:paraId="2D7B848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698F6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E03387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731F22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2223D9F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执法依据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546DFF7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对《中华人民共和国道路交通安全法》、《中华人民共和国道路交通安全法实施条例》及各地方性道路交通安全条例与车辆管理条例等权威法规的系统性汇整，进行了深度梳理与结构化处理，最终构建成一个体系完备、内容准确的执法依据知识库。</w:t>
            </w:r>
          </w:p>
        </w:tc>
        <w:tc>
          <w:tcPr>
            <w:tcW w:w="457" w:type="dxa"/>
            <w:tcBorders>
              <w:top w:val="single" w:color="000000" w:sz="4" w:space="0"/>
              <w:left w:val="single" w:color="000000" w:sz="4" w:space="0"/>
              <w:bottom w:val="single" w:color="000000" w:sz="4" w:space="0"/>
              <w:right w:val="single" w:color="000000" w:sz="4" w:space="0"/>
            </w:tcBorders>
            <w:vAlign w:val="center"/>
          </w:tcPr>
          <w:p w14:paraId="1AED980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7EDEF5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3086CF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C9AFE7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3121A44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配置</w:t>
            </w:r>
          </w:p>
        </w:tc>
        <w:tc>
          <w:tcPr>
            <w:tcW w:w="5281" w:type="dxa"/>
            <w:tcBorders>
              <w:top w:val="single" w:color="000000" w:sz="4" w:space="0"/>
              <w:left w:val="single" w:color="000000" w:sz="4" w:space="0"/>
              <w:bottom w:val="single" w:color="000000" w:sz="4" w:space="0"/>
              <w:right w:val="single" w:color="000000" w:sz="4" w:space="0"/>
            </w:tcBorders>
            <w:vAlign w:val="center"/>
          </w:tcPr>
          <w:p w14:paraId="72A716D8">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F245661">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0128F19">
            <w:pPr>
              <w:pStyle w:val="201"/>
              <w:spacing w:line="400" w:lineRule="exact"/>
              <w:jc w:val="center"/>
              <w:rPr>
                <w:rFonts w:hint="eastAsia" w:asciiTheme="minorEastAsia" w:hAnsiTheme="minorEastAsia" w:eastAsiaTheme="minorEastAsia"/>
                <w:color w:val="000000"/>
                <w:sz w:val="24"/>
                <w:szCs w:val="24"/>
                <w:highlight w:val="none"/>
              </w:rPr>
            </w:pPr>
          </w:p>
        </w:tc>
      </w:tr>
      <w:tr w14:paraId="32FAECD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54983D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6.1</w:t>
            </w:r>
          </w:p>
        </w:tc>
        <w:tc>
          <w:tcPr>
            <w:tcW w:w="1613" w:type="dxa"/>
            <w:tcBorders>
              <w:top w:val="single" w:color="000000" w:sz="4" w:space="0"/>
              <w:left w:val="single" w:color="000000" w:sz="4" w:space="0"/>
              <w:bottom w:val="single" w:color="000000" w:sz="4" w:space="0"/>
              <w:right w:val="single" w:color="000000" w:sz="4" w:space="0"/>
            </w:tcBorders>
            <w:vAlign w:val="center"/>
          </w:tcPr>
          <w:p w14:paraId="0052DDF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案件分类</w:t>
            </w:r>
          </w:p>
        </w:tc>
        <w:tc>
          <w:tcPr>
            <w:tcW w:w="5281" w:type="dxa"/>
            <w:tcBorders>
              <w:top w:val="single" w:color="000000" w:sz="4" w:space="0"/>
              <w:left w:val="single" w:color="000000" w:sz="4" w:space="0"/>
              <w:bottom w:val="single" w:color="000000" w:sz="4" w:space="0"/>
              <w:right w:val="single" w:color="000000" w:sz="4" w:space="0"/>
            </w:tcBorders>
            <w:vAlign w:val="center"/>
          </w:tcPr>
          <w:p w14:paraId="061A1BE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平台内置了</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非现场处罚</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强制措施</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现场简易</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简易事故</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及</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一般事故</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五项标准案件类别。为满足多样化的业务需求，平台提供了高度灵活的配置能力，用户可根据实际工作需要，自主创建与管理新的业务类别，通过配置方式灵活扩展自定义案件类别，实现业务覆盖范围的按需延伸。</w:t>
            </w:r>
          </w:p>
        </w:tc>
        <w:tc>
          <w:tcPr>
            <w:tcW w:w="457" w:type="dxa"/>
            <w:tcBorders>
              <w:top w:val="single" w:color="000000" w:sz="4" w:space="0"/>
              <w:left w:val="single" w:color="000000" w:sz="4" w:space="0"/>
              <w:bottom w:val="single" w:color="000000" w:sz="4" w:space="0"/>
              <w:right w:val="single" w:color="000000" w:sz="4" w:space="0"/>
            </w:tcBorders>
            <w:vAlign w:val="center"/>
          </w:tcPr>
          <w:p w14:paraId="32AE53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4B5F16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5D504B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F5D1C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6.2</w:t>
            </w:r>
          </w:p>
        </w:tc>
        <w:tc>
          <w:tcPr>
            <w:tcW w:w="1613" w:type="dxa"/>
            <w:tcBorders>
              <w:top w:val="single" w:color="000000" w:sz="4" w:space="0"/>
              <w:left w:val="single" w:color="000000" w:sz="4" w:space="0"/>
              <w:bottom w:val="single" w:color="000000" w:sz="4" w:space="0"/>
              <w:right w:val="single" w:color="000000" w:sz="4" w:space="0"/>
            </w:tcBorders>
            <w:vAlign w:val="center"/>
          </w:tcPr>
          <w:p w14:paraId="1222A6A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执法依据关联</w:t>
            </w:r>
          </w:p>
        </w:tc>
        <w:tc>
          <w:tcPr>
            <w:tcW w:w="5281" w:type="dxa"/>
            <w:tcBorders>
              <w:top w:val="single" w:color="000000" w:sz="4" w:space="0"/>
              <w:left w:val="single" w:color="000000" w:sz="4" w:space="0"/>
              <w:bottom w:val="single" w:color="000000" w:sz="4" w:space="0"/>
              <w:right w:val="single" w:color="000000" w:sz="4" w:space="0"/>
            </w:tcBorders>
            <w:vAlign w:val="center"/>
          </w:tcPr>
          <w:p w14:paraId="5660A4F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案件分析结果出具后，根据</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告知违法事实</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模型，平台后台根据当前案件的分析结果自动关联执法依据里违法代码进行匹配。</w:t>
            </w:r>
          </w:p>
        </w:tc>
        <w:tc>
          <w:tcPr>
            <w:tcW w:w="457" w:type="dxa"/>
            <w:tcBorders>
              <w:top w:val="single" w:color="000000" w:sz="4" w:space="0"/>
              <w:left w:val="single" w:color="000000" w:sz="4" w:space="0"/>
              <w:bottom w:val="single" w:color="000000" w:sz="4" w:space="0"/>
              <w:right w:val="single" w:color="000000" w:sz="4" w:space="0"/>
            </w:tcBorders>
            <w:vAlign w:val="center"/>
          </w:tcPr>
          <w:p w14:paraId="54A5966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F8900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D3D200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822A7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6.3</w:t>
            </w:r>
          </w:p>
        </w:tc>
        <w:tc>
          <w:tcPr>
            <w:tcW w:w="1613" w:type="dxa"/>
            <w:tcBorders>
              <w:top w:val="single" w:color="000000" w:sz="4" w:space="0"/>
              <w:left w:val="single" w:color="000000" w:sz="4" w:space="0"/>
              <w:bottom w:val="single" w:color="000000" w:sz="4" w:space="0"/>
              <w:right w:val="single" w:color="000000" w:sz="4" w:space="0"/>
            </w:tcBorders>
            <w:vAlign w:val="center"/>
          </w:tcPr>
          <w:p w14:paraId="34788E6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执法行为关联</w:t>
            </w:r>
          </w:p>
        </w:tc>
        <w:tc>
          <w:tcPr>
            <w:tcW w:w="5281" w:type="dxa"/>
            <w:tcBorders>
              <w:top w:val="single" w:color="000000" w:sz="4" w:space="0"/>
              <w:left w:val="single" w:color="000000" w:sz="4" w:space="0"/>
              <w:bottom w:val="single" w:color="000000" w:sz="4" w:space="0"/>
              <w:right w:val="single" w:color="000000" w:sz="4" w:space="0"/>
            </w:tcBorders>
            <w:vAlign w:val="center"/>
          </w:tcPr>
          <w:p w14:paraId="0FFB30E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案件分析结果出具后，根据</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行为模型</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所匹配到的结果，平台后台根据当前案件违法的分析结果自动关联执法依据里违法业务类型进行匹配。</w:t>
            </w:r>
          </w:p>
        </w:tc>
        <w:tc>
          <w:tcPr>
            <w:tcW w:w="457" w:type="dxa"/>
            <w:tcBorders>
              <w:top w:val="single" w:color="000000" w:sz="4" w:space="0"/>
              <w:left w:val="single" w:color="000000" w:sz="4" w:space="0"/>
              <w:bottom w:val="single" w:color="000000" w:sz="4" w:space="0"/>
              <w:right w:val="single" w:color="000000" w:sz="4" w:space="0"/>
            </w:tcBorders>
            <w:vAlign w:val="center"/>
          </w:tcPr>
          <w:p w14:paraId="328FC59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09C0A1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45C31D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D0375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08CFF1D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分析结果</w:t>
            </w:r>
          </w:p>
        </w:tc>
        <w:tc>
          <w:tcPr>
            <w:tcW w:w="5281" w:type="dxa"/>
            <w:tcBorders>
              <w:top w:val="single" w:color="000000" w:sz="4" w:space="0"/>
              <w:left w:val="single" w:color="000000" w:sz="4" w:space="0"/>
              <w:bottom w:val="single" w:color="000000" w:sz="4" w:space="0"/>
              <w:right w:val="single" w:color="000000" w:sz="4" w:space="0"/>
            </w:tcBorders>
            <w:vAlign w:val="center"/>
          </w:tcPr>
          <w:p w14:paraId="2C7CCE58">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B04E3A1">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59D7347">
            <w:pPr>
              <w:pStyle w:val="201"/>
              <w:spacing w:line="400" w:lineRule="exact"/>
              <w:jc w:val="center"/>
              <w:rPr>
                <w:rFonts w:hint="eastAsia" w:asciiTheme="minorEastAsia" w:hAnsiTheme="minorEastAsia" w:eastAsiaTheme="minorEastAsia"/>
                <w:color w:val="000000"/>
                <w:sz w:val="24"/>
                <w:szCs w:val="24"/>
                <w:highlight w:val="none"/>
              </w:rPr>
            </w:pPr>
          </w:p>
        </w:tc>
      </w:tr>
      <w:tr w14:paraId="684CDF7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FF04CF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7.1</w:t>
            </w:r>
          </w:p>
        </w:tc>
        <w:tc>
          <w:tcPr>
            <w:tcW w:w="1613" w:type="dxa"/>
            <w:tcBorders>
              <w:top w:val="single" w:color="000000" w:sz="4" w:space="0"/>
              <w:left w:val="single" w:color="000000" w:sz="4" w:space="0"/>
              <w:bottom w:val="single" w:color="000000" w:sz="4" w:space="0"/>
              <w:right w:val="single" w:color="000000" w:sz="4" w:space="0"/>
            </w:tcBorders>
            <w:vAlign w:val="center"/>
          </w:tcPr>
          <w:p w14:paraId="70C6378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视频分析结果</w:t>
            </w:r>
          </w:p>
        </w:tc>
        <w:tc>
          <w:tcPr>
            <w:tcW w:w="5281" w:type="dxa"/>
            <w:tcBorders>
              <w:top w:val="single" w:color="000000" w:sz="4" w:space="0"/>
              <w:left w:val="single" w:color="000000" w:sz="4" w:space="0"/>
              <w:bottom w:val="single" w:color="000000" w:sz="4" w:space="0"/>
              <w:right w:val="single" w:color="000000" w:sz="4" w:space="0"/>
            </w:tcBorders>
            <w:vAlign w:val="center"/>
          </w:tcPr>
          <w:p w14:paraId="7F4C800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对于音视频分析结果的展示功能，分析基于模型管理的用语模型配置作为依据来分析并产生分析结果，主要展示音视频基本信息、对话方式的转写文本、模型命中结果和音视频与案件关联信息。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34D81B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196913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55247F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825A9D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7.2</w:t>
            </w:r>
          </w:p>
        </w:tc>
        <w:tc>
          <w:tcPr>
            <w:tcW w:w="1613" w:type="dxa"/>
            <w:tcBorders>
              <w:top w:val="single" w:color="000000" w:sz="4" w:space="0"/>
              <w:left w:val="single" w:color="000000" w:sz="4" w:space="0"/>
              <w:bottom w:val="single" w:color="000000" w:sz="4" w:space="0"/>
              <w:right w:val="single" w:color="000000" w:sz="4" w:space="0"/>
            </w:tcBorders>
            <w:vAlign w:val="center"/>
          </w:tcPr>
          <w:p w14:paraId="07F0FC7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命中模型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4311270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业务模型中，对于各个执法业务制定了属于该业务的执法行为环节，获取到的执法音视频并不明确当前执法的业务属于哪一类，可以通过与案件信息关联后确认业务类型，也可以通过不同执法行为环节的特点来确认业务类型。</w:t>
            </w:r>
          </w:p>
        </w:tc>
        <w:tc>
          <w:tcPr>
            <w:tcW w:w="457" w:type="dxa"/>
            <w:tcBorders>
              <w:top w:val="single" w:color="000000" w:sz="4" w:space="0"/>
              <w:left w:val="single" w:color="000000" w:sz="4" w:space="0"/>
              <w:bottom w:val="single" w:color="000000" w:sz="4" w:space="0"/>
              <w:right w:val="single" w:color="000000" w:sz="4" w:space="0"/>
            </w:tcBorders>
            <w:vAlign w:val="center"/>
          </w:tcPr>
          <w:p w14:paraId="04134FA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3E362C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D407CA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09F7B0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7.3</w:t>
            </w:r>
          </w:p>
        </w:tc>
        <w:tc>
          <w:tcPr>
            <w:tcW w:w="1613" w:type="dxa"/>
            <w:tcBorders>
              <w:top w:val="single" w:color="000000" w:sz="4" w:space="0"/>
              <w:left w:val="single" w:color="000000" w:sz="4" w:space="0"/>
              <w:bottom w:val="single" w:color="000000" w:sz="4" w:space="0"/>
              <w:right w:val="single" w:color="000000" w:sz="4" w:space="0"/>
            </w:tcBorders>
            <w:vAlign w:val="center"/>
          </w:tcPr>
          <w:p w14:paraId="313F096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命中结果</w:t>
            </w:r>
          </w:p>
        </w:tc>
        <w:tc>
          <w:tcPr>
            <w:tcW w:w="5281" w:type="dxa"/>
            <w:tcBorders>
              <w:top w:val="single" w:color="000000" w:sz="4" w:space="0"/>
              <w:left w:val="single" w:color="000000" w:sz="4" w:space="0"/>
              <w:bottom w:val="single" w:color="000000" w:sz="4" w:space="0"/>
              <w:right w:val="single" w:color="000000" w:sz="4" w:space="0"/>
            </w:tcBorders>
            <w:vAlign w:val="center"/>
          </w:tcPr>
          <w:p w14:paraId="5A5913E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过程中语言文本分析结果的展示，后端分析服务进行语言文本的分析，匹配基础模型进行命中判断，对于命中的结果，语音识别内容与公安交通管理综合应用平台（六合一）案情无法匹配，展示命中所属行为、具体基础语料、命中视频位置和匹配度等关键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265E64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E52E5A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3E1EB0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DF9DAD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7.4</w:t>
            </w:r>
          </w:p>
        </w:tc>
        <w:tc>
          <w:tcPr>
            <w:tcW w:w="1613" w:type="dxa"/>
            <w:tcBorders>
              <w:top w:val="single" w:color="000000" w:sz="4" w:space="0"/>
              <w:left w:val="single" w:color="000000" w:sz="4" w:space="0"/>
              <w:bottom w:val="single" w:color="000000" w:sz="4" w:space="0"/>
              <w:right w:val="single" w:color="000000" w:sz="4" w:space="0"/>
            </w:tcBorders>
            <w:vAlign w:val="center"/>
          </w:tcPr>
          <w:p w14:paraId="054E613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预警结果</w:t>
            </w:r>
          </w:p>
        </w:tc>
        <w:tc>
          <w:tcPr>
            <w:tcW w:w="5281" w:type="dxa"/>
            <w:tcBorders>
              <w:top w:val="single" w:color="000000" w:sz="4" w:space="0"/>
              <w:left w:val="single" w:color="000000" w:sz="4" w:space="0"/>
              <w:bottom w:val="single" w:color="000000" w:sz="4" w:space="0"/>
              <w:right w:val="single" w:color="000000" w:sz="4" w:space="0"/>
            </w:tcBorders>
            <w:vAlign w:val="center"/>
          </w:tcPr>
          <w:p w14:paraId="2AF3A03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业务模型制定了该业务下的规范执法环节机制，每个基础模型设定匹配包含必要属性。在语言文本分析的过程中，对于未命中的必要基础属性（未表明执法人身份；未告知违法事实；未告知处罚依据；未告知拟作出处罚决定的内容；未告知陈述申辩权利。）及不文明用语；会列入预警机制，形成该执法的缺失环节清单，通过缺失清单可对此次执法规范合理性进行回溯分析。</w:t>
            </w:r>
          </w:p>
        </w:tc>
        <w:tc>
          <w:tcPr>
            <w:tcW w:w="457" w:type="dxa"/>
            <w:tcBorders>
              <w:top w:val="single" w:color="000000" w:sz="4" w:space="0"/>
              <w:left w:val="single" w:color="000000" w:sz="4" w:space="0"/>
              <w:bottom w:val="single" w:color="000000" w:sz="4" w:space="0"/>
              <w:right w:val="single" w:color="000000" w:sz="4" w:space="0"/>
            </w:tcBorders>
            <w:vAlign w:val="center"/>
          </w:tcPr>
          <w:p w14:paraId="5F5745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217534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961E75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D028CD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7.5</w:t>
            </w:r>
          </w:p>
        </w:tc>
        <w:tc>
          <w:tcPr>
            <w:tcW w:w="1613" w:type="dxa"/>
            <w:tcBorders>
              <w:top w:val="single" w:color="000000" w:sz="4" w:space="0"/>
              <w:left w:val="single" w:color="000000" w:sz="4" w:space="0"/>
              <w:bottom w:val="single" w:color="000000" w:sz="4" w:space="0"/>
              <w:right w:val="single" w:color="000000" w:sz="4" w:space="0"/>
            </w:tcBorders>
            <w:vAlign w:val="center"/>
          </w:tcPr>
          <w:p w14:paraId="75E2D6E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分析结果</w:t>
            </w:r>
          </w:p>
        </w:tc>
        <w:tc>
          <w:tcPr>
            <w:tcW w:w="5281" w:type="dxa"/>
            <w:tcBorders>
              <w:top w:val="single" w:color="000000" w:sz="4" w:space="0"/>
              <w:left w:val="single" w:color="000000" w:sz="4" w:space="0"/>
              <w:bottom w:val="single" w:color="000000" w:sz="4" w:space="0"/>
              <w:right w:val="single" w:color="000000" w:sz="4" w:space="0"/>
            </w:tcBorders>
            <w:vAlign w:val="center"/>
          </w:tcPr>
          <w:p w14:paraId="1A5AFC8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业务模型制定了该业务下的规范评分机制，根据执法规范每个环节的重要性，设定各个环节的评分项，在执法规范文本分析的过程中，对于命中的执法行为，给予所匹配的分值，通过量化方式对民警的执法进行细致考评。</w:t>
            </w:r>
          </w:p>
        </w:tc>
        <w:tc>
          <w:tcPr>
            <w:tcW w:w="457" w:type="dxa"/>
            <w:tcBorders>
              <w:top w:val="single" w:color="000000" w:sz="4" w:space="0"/>
              <w:left w:val="single" w:color="000000" w:sz="4" w:space="0"/>
              <w:bottom w:val="single" w:color="000000" w:sz="4" w:space="0"/>
              <w:right w:val="single" w:color="000000" w:sz="4" w:space="0"/>
            </w:tcBorders>
            <w:vAlign w:val="center"/>
          </w:tcPr>
          <w:p w14:paraId="2F96080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9BED79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D873B3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BF5D25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00945C7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模型管理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6ABB51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44F233A">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B072E47">
            <w:pPr>
              <w:pStyle w:val="201"/>
              <w:spacing w:line="400" w:lineRule="exact"/>
              <w:jc w:val="center"/>
              <w:rPr>
                <w:rFonts w:hint="eastAsia" w:asciiTheme="minorEastAsia" w:hAnsiTheme="minorEastAsia" w:eastAsiaTheme="minorEastAsia"/>
                <w:color w:val="000000"/>
                <w:sz w:val="24"/>
                <w:szCs w:val="24"/>
                <w:highlight w:val="none"/>
              </w:rPr>
            </w:pPr>
          </w:p>
        </w:tc>
      </w:tr>
      <w:tr w14:paraId="625482A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7F6F2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8.1</w:t>
            </w:r>
          </w:p>
        </w:tc>
        <w:tc>
          <w:tcPr>
            <w:tcW w:w="1613" w:type="dxa"/>
            <w:tcBorders>
              <w:top w:val="single" w:color="000000" w:sz="4" w:space="0"/>
              <w:left w:val="single" w:color="000000" w:sz="4" w:space="0"/>
              <w:bottom w:val="single" w:color="000000" w:sz="4" w:space="0"/>
              <w:right w:val="single" w:color="000000" w:sz="4" w:space="0"/>
            </w:tcBorders>
            <w:vAlign w:val="center"/>
          </w:tcPr>
          <w:p w14:paraId="07C0780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分类配置</w:t>
            </w:r>
          </w:p>
        </w:tc>
        <w:tc>
          <w:tcPr>
            <w:tcW w:w="5281" w:type="dxa"/>
            <w:tcBorders>
              <w:top w:val="single" w:color="000000" w:sz="4" w:space="0"/>
              <w:left w:val="single" w:color="000000" w:sz="4" w:space="0"/>
              <w:bottom w:val="single" w:color="000000" w:sz="4" w:space="0"/>
              <w:right w:val="single" w:color="000000" w:sz="4" w:space="0"/>
            </w:tcBorders>
            <w:vAlign w:val="center"/>
          </w:tcPr>
          <w:p w14:paraId="7DC9723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支持通过分类配置功能，构建起一套完整的执法规范用语模型管理体系。该体系允许用户根据业务需求建立自定义的管理类别，实现对所有模型的层级化组织与标准化管理，从而对平台中的各类执法规范用语模型进行结构化、有序化的组织与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34309C3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7E61F8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529D58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F25A0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c>
          <w:tcPr>
            <w:tcW w:w="1613" w:type="dxa"/>
            <w:tcBorders>
              <w:top w:val="single" w:color="000000" w:sz="4" w:space="0"/>
              <w:left w:val="single" w:color="000000" w:sz="4" w:space="0"/>
              <w:bottom w:val="single" w:color="000000" w:sz="4" w:space="0"/>
              <w:right w:val="single" w:color="000000" w:sz="4" w:space="0"/>
            </w:tcBorders>
            <w:vAlign w:val="center"/>
          </w:tcPr>
          <w:p w14:paraId="419B96E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基础模型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08F866C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为支撑视音频内容的分析，平台的核心依据是内置的</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执法规范用语模型</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该基础模型服务提供了对规范用语模型的全生命周期管理功能，包括模型的创建、编辑、删除以及关键的分词配置。在模型构建环节，平台提供了完善且可灵活定义的创建属性，确保模型能够精准匹配不同场景下的执法规范化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3C8C5BE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FAE84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17697C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0F0D40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8.3</w:t>
            </w:r>
          </w:p>
        </w:tc>
        <w:tc>
          <w:tcPr>
            <w:tcW w:w="1613" w:type="dxa"/>
            <w:tcBorders>
              <w:top w:val="single" w:color="000000" w:sz="4" w:space="0"/>
              <w:left w:val="single" w:color="000000" w:sz="4" w:space="0"/>
              <w:bottom w:val="single" w:color="000000" w:sz="4" w:space="0"/>
              <w:right w:val="single" w:color="000000" w:sz="4" w:space="0"/>
            </w:tcBorders>
            <w:vAlign w:val="center"/>
          </w:tcPr>
          <w:p w14:paraId="3203481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行为模型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42F2817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为保障民警执法工作的规范性与标准化，平台对日常执法流程中的关键环节进行抽象与提炼，构建出系统化的</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执法行为模型</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。该模型作为监督执法过程的核心依据，用于自动化评估民警执法的合规性。在具体实现中，行为模型需与</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基础模型</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进行关联，以实现对具体执法环节的细粒度分析。一个行为模型可对应多个基础模型，二者在逻辑上构成层级关系：行为模型代表执法过程中的某一完整步骤，用于判断该步骤是否存在缺失；而基础模型则代表该步骤中所涉及的具体语言和行为内容，用于检验执行过程的规范性。通过这种机制，行为模型实现对执法流程的结构化约束，有效提升执法过程的完整度与合规水平。</w:t>
            </w:r>
          </w:p>
        </w:tc>
        <w:tc>
          <w:tcPr>
            <w:tcW w:w="457" w:type="dxa"/>
            <w:tcBorders>
              <w:top w:val="single" w:color="000000" w:sz="4" w:space="0"/>
              <w:left w:val="single" w:color="000000" w:sz="4" w:space="0"/>
              <w:bottom w:val="single" w:color="000000" w:sz="4" w:space="0"/>
              <w:right w:val="single" w:color="000000" w:sz="4" w:space="0"/>
            </w:tcBorders>
            <w:vAlign w:val="center"/>
          </w:tcPr>
          <w:p w14:paraId="6C5E6E8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DC389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1281C8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DA87FA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8.4</w:t>
            </w:r>
          </w:p>
        </w:tc>
        <w:tc>
          <w:tcPr>
            <w:tcW w:w="1613" w:type="dxa"/>
            <w:tcBorders>
              <w:top w:val="single" w:color="000000" w:sz="4" w:space="0"/>
              <w:left w:val="single" w:color="000000" w:sz="4" w:space="0"/>
              <w:bottom w:val="single" w:color="000000" w:sz="4" w:space="0"/>
              <w:right w:val="single" w:color="000000" w:sz="4" w:space="0"/>
            </w:tcBorders>
            <w:vAlign w:val="center"/>
          </w:tcPr>
          <w:p w14:paraId="54373BB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业务模型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65FB68F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平台内置了</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非现场处罚</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强制措施</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现场简易</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简易事故</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及</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一般事故</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五类标准业务模型，覆盖常见执法场景。同时，为适应多样化的执法实践，支持根据实际业务内容进行归纳与提炼，通过业务模型配置功能灵活构建新模型，实现对不同执法类型的精准刻画。业务模型在应用中需与行为模型关联，以系统评估民警在具体案件或事项中的整体执法规范程度。一个业务模型可对应多个行为模型，配置过程中可为每个行为模型设定权重与分值。在执法流程结束后，系统将基于各行为模型的执行情况，通过加权计算得出量化评分，从而客观、精准地反映本次执法的规范水平。本次服务分析的执法事件业务类型有：现场简易处罚、开具强制措施凭证、简易事故处理。</w:t>
            </w:r>
          </w:p>
        </w:tc>
        <w:tc>
          <w:tcPr>
            <w:tcW w:w="457" w:type="dxa"/>
            <w:tcBorders>
              <w:top w:val="single" w:color="000000" w:sz="4" w:space="0"/>
              <w:left w:val="single" w:color="000000" w:sz="4" w:space="0"/>
              <w:bottom w:val="single" w:color="000000" w:sz="4" w:space="0"/>
              <w:right w:val="single" w:color="000000" w:sz="4" w:space="0"/>
            </w:tcBorders>
            <w:vAlign w:val="center"/>
          </w:tcPr>
          <w:p w14:paraId="78F7E6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94C5A1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F31A9E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ADA9B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8.5</w:t>
            </w:r>
          </w:p>
        </w:tc>
        <w:tc>
          <w:tcPr>
            <w:tcW w:w="1613" w:type="dxa"/>
            <w:tcBorders>
              <w:top w:val="single" w:color="000000" w:sz="4" w:space="0"/>
              <w:left w:val="single" w:color="000000" w:sz="4" w:space="0"/>
              <w:bottom w:val="single" w:color="000000" w:sz="4" w:space="0"/>
              <w:right w:val="single" w:color="000000" w:sz="4" w:space="0"/>
            </w:tcBorders>
            <w:vAlign w:val="center"/>
          </w:tcPr>
          <w:p w14:paraId="0F872D7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文本纠错</w:t>
            </w:r>
          </w:p>
        </w:tc>
        <w:tc>
          <w:tcPr>
            <w:tcW w:w="5281" w:type="dxa"/>
            <w:tcBorders>
              <w:top w:val="single" w:color="000000" w:sz="4" w:space="0"/>
              <w:left w:val="single" w:color="000000" w:sz="4" w:space="0"/>
              <w:bottom w:val="single" w:color="000000" w:sz="4" w:space="0"/>
              <w:right w:val="single" w:color="000000" w:sz="4" w:space="0"/>
            </w:tcBorders>
            <w:vAlign w:val="center"/>
          </w:tcPr>
          <w:p w14:paraId="4FE79FD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针对于特殊专有名词，并不属于常用语语汇，部分用语受限于语速速度、口音标准等因素，会存在识别误差，对于这一类问题，纠错服务通过热词配置，通过结合语法分析、上下文理解、语义建模，自动修正转写文本中的错误，提升最终文本的可读性和准确性。</w:t>
            </w:r>
          </w:p>
        </w:tc>
        <w:tc>
          <w:tcPr>
            <w:tcW w:w="457" w:type="dxa"/>
            <w:tcBorders>
              <w:top w:val="single" w:color="000000" w:sz="4" w:space="0"/>
              <w:left w:val="single" w:color="000000" w:sz="4" w:space="0"/>
              <w:bottom w:val="single" w:color="000000" w:sz="4" w:space="0"/>
              <w:right w:val="single" w:color="000000" w:sz="4" w:space="0"/>
            </w:tcBorders>
            <w:vAlign w:val="center"/>
          </w:tcPr>
          <w:p w14:paraId="03EC001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FCCCF1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B7B3C6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F4FE9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8.6</w:t>
            </w:r>
          </w:p>
        </w:tc>
        <w:tc>
          <w:tcPr>
            <w:tcW w:w="1613" w:type="dxa"/>
            <w:tcBorders>
              <w:top w:val="single" w:color="000000" w:sz="4" w:space="0"/>
              <w:left w:val="single" w:color="000000" w:sz="4" w:space="0"/>
              <w:bottom w:val="single" w:color="000000" w:sz="4" w:space="0"/>
              <w:right w:val="single" w:color="000000" w:sz="4" w:space="0"/>
            </w:tcBorders>
            <w:vAlign w:val="center"/>
          </w:tcPr>
          <w:p w14:paraId="67AF1AC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模型测试</w:t>
            </w:r>
          </w:p>
        </w:tc>
        <w:tc>
          <w:tcPr>
            <w:tcW w:w="5281" w:type="dxa"/>
            <w:tcBorders>
              <w:top w:val="single" w:color="000000" w:sz="4" w:space="0"/>
              <w:left w:val="single" w:color="000000" w:sz="4" w:space="0"/>
              <w:bottom w:val="single" w:color="000000" w:sz="4" w:space="0"/>
              <w:right w:val="single" w:color="000000" w:sz="4" w:space="0"/>
            </w:tcBorders>
            <w:vAlign w:val="center"/>
          </w:tcPr>
          <w:p w14:paraId="43A45B3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平台的转写功能，模型分析功能等核心功能依托于内部组件，平台提供组件测试功能，便于对音视频转写、配置过的模型进行测试，是否生效，是否准确。</w:t>
            </w:r>
          </w:p>
        </w:tc>
        <w:tc>
          <w:tcPr>
            <w:tcW w:w="457" w:type="dxa"/>
            <w:tcBorders>
              <w:top w:val="single" w:color="000000" w:sz="4" w:space="0"/>
              <w:left w:val="single" w:color="000000" w:sz="4" w:space="0"/>
              <w:bottom w:val="single" w:color="000000" w:sz="4" w:space="0"/>
              <w:right w:val="single" w:color="000000" w:sz="4" w:space="0"/>
            </w:tcBorders>
            <w:vAlign w:val="center"/>
          </w:tcPr>
          <w:p w14:paraId="134CAC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F8AD0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F2A773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1C7E80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8.7</w:t>
            </w:r>
          </w:p>
        </w:tc>
        <w:tc>
          <w:tcPr>
            <w:tcW w:w="1613" w:type="dxa"/>
            <w:tcBorders>
              <w:top w:val="single" w:color="000000" w:sz="4" w:space="0"/>
              <w:left w:val="single" w:color="000000" w:sz="4" w:space="0"/>
              <w:bottom w:val="single" w:color="000000" w:sz="4" w:space="0"/>
              <w:right w:val="single" w:color="000000" w:sz="4" w:space="0"/>
            </w:tcBorders>
            <w:vAlign w:val="center"/>
          </w:tcPr>
          <w:p w14:paraId="3D1DDE8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预警信息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3DEF273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针对于某些业务场景需要输出预警信息，可通过行为模型进行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是否预警输出</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配置进行开启或关闭，当开启后，执法用语匹配到需要预警输出的行为模型后，平台会把产生的预警信息推送至此，统一对所生产的预警信息进行管理。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1AC0C6C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096403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A2D424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B2C4E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5DDC9AA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报表分析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73271B70">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E549F2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F6AAAF4">
            <w:pPr>
              <w:pStyle w:val="201"/>
              <w:spacing w:line="400" w:lineRule="exact"/>
              <w:jc w:val="center"/>
              <w:rPr>
                <w:rFonts w:hint="eastAsia" w:asciiTheme="minorEastAsia" w:hAnsiTheme="minorEastAsia" w:eastAsiaTheme="minorEastAsia"/>
                <w:color w:val="000000"/>
                <w:sz w:val="24"/>
                <w:szCs w:val="24"/>
                <w:highlight w:val="none"/>
              </w:rPr>
            </w:pPr>
          </w:p>
        </w:tc>
      </w:tr>
      <w:tr w14:paraId="26DDBD3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554B6B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9.1</w:t>
            </w:r>
          </w:p>
        </w:tc>
        <w:tc>
          <w:tcPr>
            <w:tcW w:w="1613" w:type="dxa"/>
            <w:tcBorders>
              <w:top w:val="single" w:color="000000" w:sz="4" w:space="0"/>
              <w:left w:val="single" w:color="000000" w:sz="4" w:space="0"/>
              <w:bottom w:val="single" w:color="000000" w:sz="4" w:space="0"/>
              <w:right w:val="single" w:color="000000" w:sz="4" w:space="0"/>
            </w:tcBorders>
            <w:vAlign w:val="center"/>
          </w:tcPr>
          <w:p w14:paraId="5DF2A6A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行为统计（部门）</w:t>
            </w:r>
          </w:p>
        </w:tc>
        <w:tc>
          <w:tcPr>
            <w:tcW w:w="5281" w:type="dxa"/>
            <w:tcBorders>
              <w:top w:val="single" w:color="000000" w:sz="4" w:space="0"/>
              <w:left w:val="single" w:color="000000" w:sz="4" w:space="0"/>
              <w:bottom w:val="single" w:color="000000" w:sz="4" w:space="0"/>
              <w:right w:val="single" w:color="000000" w:sz="4" w:space="0"/>
            </w:tcBorders>
            <w:vAlign w:val="center"/>
          </w:tcPr>
          <w:p w14:paraId="40EF5D0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以单位为维度，统计各个行为的执法规范次数。</w:t>
            </w:r>
          </w:p>
        </w:tc>
        <w:tc>
          <w:tcPr>
            <w:tcW w:w="457" w:type="dxa"/>
            <w:tcBorders>
              <w:top w:val="single" w:color="000000" w:sz="4" w:space="0"/>
              <w:left w:val="single" w:color="000000" w:sz="4" w:space="0"/>
              <w:bottom w:val="single" w:color="000000" w:sz="4" w:space="0"/>
              <w:right w:val="single" w:color="000000" w:sz="4" w:space="0"/>
            </w:tcBorders>
            <w:vAlign w:val="center"/>
          </w:tcPr>
          <w:p w14:paraId="39CFEC7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B084A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D7AF8E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3B0591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9.2</w:t>
            </w:r>
          </w:p>
        </w:tc>
        <w:tc>
          <w:tcPr>
            <w:tcW w:w="1613" w:type="dxa"/>
            <w:tcBorders>
              <w:top w:val="single" w:color="000000" w:sz="4" w:space="0"/>
              <w:left w:val="single" w:color="000000" w:sz="4" w:space="0"/>
              <w:bottom w:val="single" w:color="000000" w:sz="4" w:space="0"/>
              <w:right w:val="single" w:color="000000" w:sz="4" w:space="0"/>
            </w:tcBorders>
            <w:vAlign w:val="center"/>
          </w:tcPr>
          <w:p w14:paraId="3F57BCF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行为统计（个人）</w:t>
            </w:r>
          </w:p>
        </w:tc>
        <w:tc>
          <w:tcPr>
            <w:tcW w:w="5281" w:type="dxa"/>
            <w:tcBorders>
              <w:top w:val="single" w:color="000000" w:sz="4" w:space="0"/>
              <w:left w:val="single" w:color="000000" w:sz="4" w:space="0"/>
              <w:bottom w:val="single" w:color="000000" w:sz="4" w:space="0"/>
              <w:right w:val="single" w:color="000000" w:sz="4" w:space="0"/>
            </w:tcBorders>
            <w:vAlign w:val="center"/>
          </w:tcPr>
          <w:p w14:paraId="23F8831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以个人为维度，统计各个行为的执法规范次数。</w:t>
            </w:r>
          </w:p>
        </w:tc>
        <w:tc>
          <w:tcPr>
            <w:tcW w:w="457" w:type="dxa"/>
            <w:tcBorders>
              <w:top w:val="single" w:color="000000" w:sz="4" w:space="0"/>
              <w:left w:val="single" w:color="000000" w:sz="4" w:space="0"/>
              <w:bottom w:val="single" w:color="000000" w:sz="4" w:space="0"/>
              <w:right w:val="single" w:color="000000" w:sz="4" w:space="0"/>
            </w:tcBorders>
            <w:vAlign w:val="center"/>
          </w:tcPr>
          <w:p w14:paraId="0FC977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EE9E17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A73889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1ABA6F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9.3</w:t>
            </w:r>
          </w:p>
        </w:tc>
        <w:tc>
          <w:tcPr>
            <w:tcW w:w="1613" w:type="dxa"/>
            <w:tcBorders>
              <w:top w:val="single" w:color="000000" w:sz="4" w:space="0"/>
              <w:left w:val="single" w:color="000000" w:sz="4" w:space="0"/>
              <w:bottom w:val="single" w:color="000000" w:sz="4" w:space="0"/>
              <w:right w:val="single" w:color="000000" w:sz="4" w:space="0"/>
            </w:tcBorders>
            <w:vAlign w:val="center"/>
          </w:tcPr>
          <w:p w14:paraId="1131EF1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案件统计（部门）</w:t>
            </w:r>
          </w:p>
        </w:tc>
        <w:tc>
          <w:tcPr>
            <w:tcW w:w="5281" w:type="dxa"/>
            <w:tcBorders>
              <w:top w:val="single" w:color="000000" w:sz="4" w:space="0"/>
              <w:left w:val="single" w:color="000000" w:sz="4" w:space="0"/>
              <w:bottom w:val="single" w:color="000000" w:sz="4" w:space="0"/>
              <w:right w:val="single" w:color="000000" w:sz="4" w:space="0"/>
            </w:tcBorders>
            <w:vAlign w:val="center"/>
          </w:tcPr>
          <w:p w14:paraId="43ACE04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以单位为维度，统计以完成分析的案件或业务事项的数量。</w:t>
            </w:r>
          </w:p>
        </w:tc>
        <w:tc>
          <w:tcPr>
            <w:tcW w:w="457" w:type="dxa"/>
            <w:tcBorders>
              <w:top w:val="single" w:color="000000" w:sz="4" w:space="0"/>
              <w:left w:val="single" w:color="000000" w:sz="4" w:space="0"/>
              <w:bottom w:val="single" w:color="000000" w:sz="4" w:space="0"/>
              <w:right w:val="single" w:color="000000" w:sz="4" w:space="0"/>
            </w:tcBorders>
            <w:vAlign w:val="center"/>
          </w:tcPr>
          <w:p w14:paraId="5A25B93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440867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BC0792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4C621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9.4</w:t>
            </w:r>
          </w:p>
        </w:tc>
        <w:tc>
          <w:tcPr>
            <w:tcW w:w="1613" w:type="dxa"/>
            <w:tcBorders>
              <w:top w:val="single" w:color="000000" w:sz="4" w:space="0"/>
              <w:left w:val="single" w:color="000000" w:sz="4" w:space="0"/>
              <w:bottom w:val="single" w:color="000000" w:sz="4" w:space="0"/>
              <w:right w:val="single" w:color="000000" w:sz="4" w:space="0"/>
            </w:tcBorders>
            <w:vAlign w:val="center"/>
          </w:tcPr>
          <w:p w14:paraId="265B3C7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案件统计（个人）</w:t>
            </w:r>
          </w:p>
        </w:tc>
        <w:tc>
          <w:tcPr>
            <w:tcW w:w="5281" w:type="dxa"/>
            <w:tcBorders>
              <w:top w:val="single" w:color="000000" w:sz="4" w:space="0"/>
              <w:left w:val="single" w:color="000000" w:sz="4" w:space="0"/>
              <w:bottom w:val="single" w:color="000000" w:sz="4" w:space="0"/>
              <w:right w:val="single" w:color="000000" w:sz="4" w:space="0"/>
            </w:tcBorders>
            <w:vAlign w:val="center"/>
          </w:tcPr>
          <w:p w14:paraId="152C22E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以人员为维度，统计以完成分析的案件或业务事项的数量。</w:t>
            </w:r>
          </w:p>
        </w:tc>
        <w:tc>
          <w:tcPr>
            <w:tcW w:w="457" w:type="dxa"/>
            <w:tcBorders>
              <w:top w:val="single" w:color="000000" w:sz="4" w:space="0"/>
              <w:left w:val="single" w:color="000000" w:sz="4" w:space="0"/>
              <w:bottom w:val="single" w:color="000000" w:sz="4" w:space="0"/>
              <w:right w:val="single" w:color="000000" w:sz="4" w:space="0"/>
            </w:tcBorders>
            <w:vAlign w:val="center"/>
          </w:tcPr>
          <w:p w14:paraId="5944118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361031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06041D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1F480F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9.5</w:t>
            </w:r>
          </w:p>
        </w:tc>
        <w:tc>
          <w:tcPr>
            <w:tcW w:w="1613" w:type="dxa"/>
            <w:tcBorders>
              <w:top w:val="single" w:color="000000" w:sz="4" w:space="0"/>
              <w:left w:val="single" w:color="000000" w:sz="4" w:space="0"/>
              <w:bottom w:val="single" w:color="000000" w:sz="4" w:space="0"/>
              <w:right w:val="single" w:color="000000" w:sz="4" w:space="0"/>
            </w:tcBorders>
            <w:vAlign w:val="center"/>
          </w:tcPr>
          <w:p w14:paraId="1C038B1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关联率分析（部门）</w:t>
            </w:r>
          </w:p>
        </w:tc>
        <w:tc>
          <w:tcPr>
            <w:tcW w:w="5281" w:type="dxa"/>
            <w:tcBorders>
              <w:top w:val="single" w:color="000000" w:sz="4" w:space="0"/>
              <w:left w:val="single" w:color="000000" w:sz="4" w:space="0"/>
              <w:bottom w:val="single" w:color="000000" w:sz="4" w:space="0"/>
              <w:right w:val="single" w:color="000000" w:sz="4" w:space="0"/>
            </w:tcBorders>
            <w:vAlign w:val="center"/>
          </w:tcPr>
          <w:p w14:paraId="4EFC06F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以单位为维度，统计案件或业务事项的分析效率，包括案件事项数量、时间关联数、时间管理比率、有效分析数、有效分析比率和平均分等。</w:t>
            </w:r>
          </w:p>
        </w:tc>
        <w:tc>
          <w:tcPr>
            <w:tcW w:w="457" w:type="dxa"/>
            <w:tcBorders>
              <w:top w:val="single" w:color="000000" w:sz="4" w:space="0"/>
              <w:left w:val="single" w:color="000000" w:sz="4" w:space="0"/>
              <w:bottom w:val="single" w:color="000000" w:sz="4" w:space="0"/>
              <w:right w:val="single" w:color="000000" w:sz="4" w:space="0"/>
            </w:tcBorders>
            <w:vAlign w:val="center"/>
          </w:tcPr>
          <w:p w14:paraId="35A4FEA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C98E2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0EB336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7C9D73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9.6</w:t>
            </w:r>
          </w:p>
        </w:tc>
        <w:tc>
          <w:tcPr>
            <w:tcW w:w="1613" w:type="dxa"/>
            <w:tcBorders>
              <w:top w:val="single" w:color="000000" w:sz="4" w:space="0"/>
              <w:left w:val="single" w:color="000000" w:sz="4" w:space="0"/>
              <w:bottom w:val="single" w:color="000000" w:sz="4" w:space="0"/>
              <w:right w:val="single" w:color="000000" w:sz="4" w:space="0"/>
            </w:tcBorders>
            <w:vAlign w:val="center"/>
          </w:tcPr>
          <w:p w14:paraId="55529FE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关联率分析（个人）</w:t>
            </w:r>
          </w:p>
        </w:tc>
        <w:tc>
          <w:tcPr>
            <w:tcW w:w="5281" w:type="dxa"/>
            <w:tcBorders>
              <w:top w:val="single" w:color="000000" w:sz="4" w:space="0"/>
              <w:left w:val="single" w:color="000000" w:sz="4" w:space="0"/>
              <w:bottom w:val="single" w:color="000000" w:sz="4" w:space="0"/>
              <w:right w:val="single" w:color="000000" w:sz="4" w:space="0"/>
            </w:tcBorders>
            <w:vAlign w:val="center"/>
          </w:tcPr>
          <w:p w14:paraId="5DCDB7A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以人员为维度，统计案件或业务事项的分析效率，包括案件事项数量、时间关联数、时间管理比率、有效分析数、有效分析比率和平均分等。</w:t>
            </w:r>
          </w:p>
        </w:tc>
        <w:tc>
          <w:tcPr>
            <w:tcW w:w="457" w:type="dxa"/>
            <w:tcBorders>
              <w:top w:val="single" w:color="000000" w:sz="4" w:space="0"/>
              <w:left w:val="single" w:color="000000" w:sz="4" w:space="0"/>
              <w:bottom w:val="single" w:color="000000" w:sz="4" w:space="0"/>
              <w:right w:val="single" w:color="000000" w:sz="4" w:space="0"/>
            </w:tcBorders>
            <w:vAlign w:val="center"/>
          </w:tcPr>
          <w:p w14:paraId="380BBE9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59A70E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8EDA0F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A1FC1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9.7</w:t>
            </w:r>
          </w:p>
        </w:tc>
        <w:tc>
          <w:tcPr>
            <w:tcW w:w="1613" w:type="dxa"/>
            <w:tcBorders>
              <w:top w:val="single" w:color="000000" w:sz="4" w:space="0"/>
              <w:left w:val="single" w:color="000000" w:sz="4" w:space="0"/>
              <w:bottom w:val="single" w:color="000000" w:sz="4" w:space="0"/>
              <w:right w:val="single" w:color="000000" w:sz="4" w:space="0"/>
            </w:tcBorders>
            <w:vAlign w:val="center"/>
          </w:tcPr>
          <w:p w14:paraId="0F437FA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规范性统计（部门）</w:t>
            </w:r>
          </w:p>
        </w:tc>
        <w:tc>
          <w:tcPr>
            <w:tcW w:w="5281" w:type="dxa"/>
            <w:tcBorders>
              <w:top w:val="single" w:color="000000" w:sz="4" w:space="0"/>
              <w:left w:val="single" w:color="000000" w:sz="4" w:space="0"/>
              <w:bottom w:val="single" w:color="000000" w:sz="4" w:space="0"/>
              <w:right w:val="single" w:color="000000" w:sz="4" w:space="0"/>
            </w:tcBorders>
            <w:vAlign w:val="center"/>
          </w:tcPr>
          <w:p w14:paraId="2B84B22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以单位为维度，统计案件或业务事项的执法规范程度。</w:t>
            </w:r>
          </w:p>
        </w:tc>
        <w:tc>
          <w:tcPr>
            <w:tcW w:w="457" w:type="dxa"/>
            <w:tcBorders>
              <w:top w:val="single" w:color="000000" w:sz="4" w:space="0"/>
              <w:left w:val="single" w:color="000000" w:sz="4" w:space="0"/>
              <w:bottom w:val="single" w:color="000000" w:sz="4" w:space="0"/>
              <w:right w:val="single" w:color="000000" w:sz="4" w:space="0"/>
            </w:tcBorders>
            <w:vAlign w:val="center"/>
          </w:tcPr>
          <w:p w14:paraId="1CB2B0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E2412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3CECED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F43D71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9.8</w:t>
            </w:r>
          </w:p>
        </w:tc>
        <w:tc>
          <w:tcPr>
            <w:tcW w:w="1613" w:type="dxa"/>
            <w:tcBorders>
              <w:top w:val="single" w:color="000000" w:sz="4" w:space="0"/>
              <w:left w:val="single" w:color="000000" w:sz="4" w:space="0"/>
              <w:bottom w:val="single" w:color="000000" w:sz="4" w:space="0"/>
              <w:right w:val="single" w:color="000000" w:sz="4" w:space="0"/>
            </w:tcBorders>
            <w:vAlign w:val="center"/>
          </w:tcPr>
          <w:p w14:paraId="189FD7F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规范性统计（个人）</w:t>
            </w:r>
          </w:p>
        </w:tc>
        <w:tc>
          <w:tcPr>
            <w:tcW w:w="5281" w:type="dxa"/>
            <w:tcBorders>
              <w:top w:val="single" w:color="000000" w:sz="4" w:space="0"/>
              <w:left w:val="single" w:color="000000" w:sz="4" w:space="0"/>
              <w:bottom w:val="single" w:color="000000" w:sz="4" w:space="0"/>
              <w:right w:val="single" w:color="000000" w:sz="4" w:space="0"/>
            </w:tcBorders>
            <w:vAlign w:val="center"/>
          </w:tcPr>
          <w:p w14:paraId="472CD83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以人员为维度，统计案件或业务事项的执法规范程度。</w:t>
            </w:r>
          </w:p>
        </w:tc>
        <w:tc>
          <w:tcPr>
            <w:tcW w:w="457" w:type="dxa"/>
            <w:tcBorders>
              <w:top w:val="single" w:color="000000" w:sz="4" w:space="0"/>
              <w:left w:val="single" w:color="000000" w:sz="4" w:space="0"/>
              <w:bottom w:val="single" w:color="000000" w:sz="4" w:space="0"/>
              <w:right w:val="single" w:color="000000" w:sz="4" w:space="0"/>
            </w:tcBorders>
            <w:vAlign w:val="center"/>
          </w:tcPr>
          <w:p w14:paraId="1E6F029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3C2D0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D87569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FE28C7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w:t>
            </w:r>
          </w:p>
        </w:tc>
        <w:tc>
          <w:tcPr>
            <w:tcW w:w="1613" w:type="dxa"/>
            <w:tcBorders>
              <w:top w:val="single" w:color="000000" w:sz="4" w:space="0"/>
              <w:left w:val="single" w:color="000000" w:sz="4" w:space="0"/>
              <w:bottom w:val="single" w:color="000000" w:sz="4" w:space="0"/>
              <w:right w:val="single" w:color="000000" w:sz="4" w:space="0"/>
            </w:tcBorders>
            <w:vAlign w:val="center"/>
          </w:tcPr>
          <w:p w14:paraId="2134649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报告分析数据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7203ABC6">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1E1D09B">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F0C7F96">
            <w:pPr>
              <w:pStyle w:val="201"/>
              <w:spacing w:line="400" w:lineRule="exact"/>
              <w:jc w:val="center"/>
              <w:rPr>
                <w:rFonts w:hint="eastAsia" w:asciiTheme="minorEastAsia" w:hAnsiTheme="minorEastAsia" w:eastAsiaTheme="minorEastAsia"/>
                <w:color w:val="000000"/>
                <w:sz w:val="24"/>
                <w:szCs w:val="24"/>
                <w:highlight w:val="none"/>
              </w:rPr>
            </w:pPr>
          </w:p>
        </w:tc>
      </w:tr>
      <w:tr w14:paraId="5FBFBC0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C11A21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10.1</w:t>
            </w:r>
          </w:p>
        </w:tc>
        <w:tc>
          <w:tcPr>
            <w:tcW w:w="1613" w:type="dxa"/>
            <w:tcBorders>
              <w:top w:val="single" w:color="000000" w:sz="4" w:space="0"/>
              <w:left w:val="single" w:color="000000" w:sz="4" w:space="0"/>
              <w:bottom w:val="single" w:color="000000" w:sz="4" w:space="0"/>
              <w:right w:val="single" w:color="000000" w:sz="4" w:space="0"/>
            </w:tcBorders>
            <w:vAlign w:val="center"/>
          </w:tcPr>
          <w:p w14:paraId="1B833D6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执法记录仪分析数据量统计报告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14D70FA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以部门维度按照时间周期（周、月和季）统计分析的数据量，也可自定义时间进行数据量统计。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198049D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99DA49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D972D4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99E02F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10.2</w:t>
            </w:r>
          </w:p>
        </w:tc>
        <w:tc>
          <w:tcPr>
            <w:tcW w:w="1613" w:type="dxa"/>
            <w:tcBorders>
              <w:top w:val="single" w:color="000000" w:sz="4" w:space="0"/>
              <w:left w:val="single" w:color="000000" w:sz="4" w:space="0"/>
              <w:bottom w:val="single" w:color="000000" w:sz="4" w:space="0"/>
              <w:right w:val="single" w:color="000000" w:sz="4" w:space="0"/>
            </w:tcBorders>
            <w:vAlign w:val="center"/>
          </w:tcPr>
          <w:p w14:paraId="1DE5433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执法记录仪视频案件关联率分析报告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7F51056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部门维度按照时间周期（周、月和季）统计视频案件关联率的相关指数，包括总执法量、音视频数量、分析数量和关联率等，也可自定义时间进行关联率统计。默认展示支队的整体指数，也可按照支队下各大队进行展示。</w:t>
            </w:r>
          </w:p>
        </w:tc>
        <w:tc>
          <w:tcPr>
            <w:tcW w:w="457" w:type="dxa"/>
            <w:tcBorders>
              <w:top w:val="single" w:color="000000" w:sz="4" w:space="0"/>
              <w:left w:val="single" w:color="000000" w:sz="4" w:space="0"/>
              <w:bottom w:val="single" w:color="000000" w:sz="4" w:space="0"/>
              <w:right w:val="single" w:color="000000" w:sz="4" w:space="0"/>
            </w:tcBorders>
            <w:vAlign w:val="center"/>
          </w:tcPr>
          <w:p w14:paraId="6249FC0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5601F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87A94C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BB041D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10.3</w:t>
            </w:r>
          </w:p>
        </w:tc>
        <w:tc>
          <w:tcPr>
            <w:tcW w:w="1613" w:type="dxa"/>
            <w:tcBorders>
              <w:top w:val="single" w:color="000000" w:sz="4" w:space="0"/>
              <w:left w:val="single" w:color="000000" w:sz="4" w:space="0"/>
              <w:bottom w:val="single" w:color="000000" w:sz="4" w:space="0"/>
              <w:right w:val="single" w:color="000000" w:sz="4" w:space="0"/>
            </w:tcBorders>
            <w:vAlign w:val="center"/>
          </w:tcPr>
          <w:p w14:paraId="63DA175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执法记录仪按规范性单位排名</w:t>
            </w:r>
          </w:p>
        </w:tc>
        <w:tc>
          <w:tcPr>
            <w:tcW w:w="5281" w:type="dxa"/>
            <w:tcBorders>
              <w:top w:val="single" w:color="000000" w:sz="4" w:space="0"/>
              <w:left w:val="single" w:color="000000" w:sz="4" w:space="0"/>
              <w:bottom w:val="single" w:color="000000" w:sz="4" w:space="0"/>
              <w:right w:val="single" w:color="000000" w:sz="4" w:space="0"/>
            </w:tcBorders>
            <w:vAlign w:val="center"/>
          </w:tcPr>
          <w:p w14:paraId="40BF313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以部门维度按照时间周期（周、月和季）统计各单位的执法规范情况，通过各单位的执法平均分进行排名，也可自定义时间进行数据量统计。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01CFCA1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B87EC2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EF2A2F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1AB025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10.4</w:t>
            </w:r>
          </w:p>
        </w:tc>
        <w:tc>
          <w:tcPr>
            <w:tcW w:w="1613" w:type="dxa"/>
            <w:tcBorders>
              <w:top w:val="single" w:color="000000" w:sz="4" w:space="0"/>
              <w:left w:val="single" w:color="000000" w:sz="4" w:space="0"/>
              <w:bottom w:val="single" w:color="000000" w:sz="4" w:space="0"/>
              <w:right w:val="single" w:color="000000" w:sz="4" w:space="0"/>
            </w:tcBorders>
            <w:vAlign w:val="center"/>
          </w:tcPr>
          <w:p w14:paraId="3884BDB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执法记录仪按关联率单位排名</w:t>
            </w:r>
          </w:p>
        </w:tc>
        <w:tc>
          <w:tcPr>
            <w:tcW w:w="5281" w:type="dxa"/>
            <w:tcBorders>
              <w:top w:val="single" w:color="000000" w:sz="4" w:space="0"/>
              <w:left w:val="single" w:color="000000" w:sz="4" w:space="0"/>
              <w:bottom w:val="single" w:color="000000" w:sz="4" w:space="0"/>
              <w:right w:val="single" w:color="000000" w:sz="4" w:space="0"/>
            </w:tcBorders>
            <w:vAlign w:val="center"/>
          </w:tcPr>
          <w:p w14:paraId="576EB24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以部门维度按照时间周期（周、月和季）统计各单位的案件音视频关联情况，通过各单位的关联率进行排名，也可自定义时间进行数据量统计。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4CB937D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A0E1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50E2B2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D6208F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10.5</w:t>
            </w:r>
          </w:p>
        </w:tc>
        <w:tc>
          <w:tcPr>
            <w:tcW w:w="1613" w:type="dxa"/>
            <w:tcBorders>
              <w:top w:val="single" w:color="000000" w:sz="4" w:space="0"/>
              <w:left w:val="single" w:color="000000" w:sz="4" w:space="0"/>
              <w:bottom w:val="single" w:color="000000" w:sz="4" w:space="0"/>
              <w:right w:val="single" w:color="000000" w:sz="4" w:space="0"/>
            </w:tcBorders>
            <w:vAlign w:val="center"/>
          </w:tcPr>
          <w:p w14:paraId="44FF9B0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执法记录仪执法异常排名</w:t>
            </w:r>
          </w:p>
        </w:tc>
        <w:tc>
          <w:tcPr>
            <w:tcW w:w="5281" w:type="dxa"/>
            <w:tcBorders>
              <w:top w:val="single" w:color="000000" w:sz="4" w:space="0"/>
              <w:left w:val="single" w:color="000000" w:sz="4" w:space="0"/>
              <w:bottom w:val="single" w:color="000000" w:sz="4" w:space="0"/>
              <w:right w:val="single" w:color="000000" w:sz="4" w:space="0"/>
            </w:tcBorders>
            <w:vAlign w:val="center"/>
          </w:tcPr>
          <w:p w14:paraId="1CEBB34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于执法规范流程的各种执法异常问题，包括告知执法身份、违法事实、处罚依据、处罚内容、陈述申辩等环节，缺失环节部分，全量汇总该时间段内民警每一起执法环节缺失异常情况，支持单位整体及下属各单位异常预警情况，并把异常最多的环节列为单位的突出问题。</w:t>
            </w:r>
          </w:p>
        </w:tc>
        <w:tc>
          <w:tcPr>
            <w:tcW w:w="457" w:type="dxa"/>
            <w:tcBorders>
              <w:top w:val="single" w:color="000000" w:sz="4" w:space="0"/>
              <w:left w:val="single" w:color="000000" w:sz="4" w:space="0"/>
              <w:bottom w:val="single" w:color="000000" w:sz="4" w:space="0"/>
              <w:right w:val="single" w:color="000000" w:sz="4" w:space="0"/>
            </w:tcBorders>
            <w:vAlign w:val="center"/>
          </w:tcPr>
          <w:p w14:paraId="1948E90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D1FB92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466149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B9AAD9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28036B8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组织架构</w:t>
            </w:r>
          </w:p>
        </w:tc>
        <w:tc>
          <w:tcPr>
            <w:tcW w:w="5281" w:type="dxa"/>
            <w:tcBorders>
              <w:top w:val="single" w:color="000000" w:sz="4" w:space="0"/>
              <w:left w:val="single" w:color="000000" w:sz="4" w:space="0"/>
              <w:bottom w:val="single" w:color="000000" w:sz="4" w:space="0"/>
              <w:right w:val="single" w:color="000000" w:sz="4" w:space="0"/>
            </w:tcBorders>
            <w:vAlign w:val="center"/>
          </w:tcPr>
          <w:p w14:paraId="2641E275">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8995B00">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E44E731">
            <w:pPr>
              <w:pStyle w:val="201"/>
              <w:spacing w:line="400" w:lineRule="exact"/>
              <w:jc w:val="center"/>
              <w:rPr>
                <w:rFonts w:hint="eastAsia" w:asciiTheme="minorEastAsia" w:hAnsiTheme="minorEastAsia" w:eastAsiaTheme="minorEastAsia"/>
                <w:color w:val="000000"/>
                <w:sz w:val="24"/>
                <w:szCs w:val="24"/>
                <w:highlight w:val="none"/>
              </w:rPr>
            </w:pPr>
          </w:p>
        </w:tc>
      </w:tr>
      <w:tr w14:paraId="27399B1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B31FF1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11.1</w:t>
            </w:r>
          </w:p>
        </w:tc>
        <w:tc>
          <w:tcPr>
            <w:tcW w:w="1613" w:type="dxa"/>
            <w:tcBorders>
              <w:top w:val="single" w:color="000000" w:sz="4" w:space="0"/>
              <w:left w:val="single" w:color="000000" w:sz="4" w:space="0"/>
              <w:bottom w:val="single" w:color="000000" w:sz="4" w:space="0"/>
              <w:right w:val="single" w:color="000000" w:sz="4" w:space="0"/>
            </w:tcBorders>
            <w:vAlign w:val="center"/>
          </w:tcPr>
          <w:p w14:paraId="1813DB6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行业管理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CD544F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对系统的业务行业进行管理，维护行业名称、行业代码等基本信息，可新增部门，对行业信息进行修改、删除等操作。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2CC4120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F3420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7FF55B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8001F1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11.2</w:t>
            </w:r>
          </w:p>
        </w:tc>
        <w:tc>
          <w:tcPr>
            <w:tcW w:w="1613" w:type="dxa"/>
            <w:tcBorders>
              <w:top w:val="single" w:color="000000" w:sz="4" w:space="0"/>
              <w:left w:val="single" w:color="000000" w:sz="4" w:space="0"/>
              <w:bottom w:val="single" w:color="000000" w:sz="4" w:space="0"/>
              <w:right w:val="single" w:color="000000" w:sz="4" w:space="0"/>
            </w:tcBorders>
            <w:vAlign w:val="center"/>
          </w:tcPr>
          <w:p w14:paraId="67B4BB3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部门管理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B7F50B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对系统的使用部门进行管理，维护单位名称、单位编码、部门级别等基本信息，可新增部门，对部门进行修改、删除、启动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停用操作。结合交警部门组织架构维护宜宾市公安局交通管理支队下面各相关部门，包括各大队及下属中队，用于与公安交通管理综合应用平台还有省级警务信息综合应用平台数据关联。</w:t>
            </w:r>
          </w:p>
        </w:tc>
        <w:tc>
          <w:tcPr>
            <w:tcW w:w="457" w:type="dxa"/>
            <w:tcBorders>
              <w:top w:val="single" w:color="000000" w:sz="4" w:space="0"/>
              <w:left w:val="single" w:color="000000" w:sz="4" w:space="0"/>
              <w:bottom w:val="single" w:color="000000" w:sz="4" w:space="0"/>
              <w:right w:val="single" w:color="000000" w:sz="4" w:space="0"/>
            </w:tcBorders>
            <w:vAlign w:val="center"/>
          </w:tcPr>
          <w:p w14:paraId="7E47B87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07BC9F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95DA64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987BFD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11.3</w:t>
            </w:r>
          </w:p>
        </w:tc>
        <w:tc>
          <w:tcPr>
            <w:tcW w:w="1613" w:type="dxa"/>
            <w:tcBorders>
              <w:top w:val="single" w:color="000000" w:sz="4" w:space="0"/>
              <w:left w:val="single" w:color="000000" w:sz="4" w:space="0"/>
              <w:bottom w:val="single" w:color="000000" w:sz="4" w:space="0"/>
              <w:right w:val="single" w:color="000000" w:sz="4" w:space="0"/>
            </w:tcBorders>
            <w:vAlign w:val="center"/>
          </w:tcPr>
          <w:p w14:paraId="57D7990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职务管理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517BB4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对系统的业务人员职务进行管理，维护职务名称、职务职级等基本信息，可新增部门，对职务信息进行修改、删除、启动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停用操作。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7A77682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1E4960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DFD85A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8C0A9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11.4</w:t>
            </w:r>
          </w:p>
        </w:tc>
        <w:tc>
          <w:tcPr>
            <w:tcW w:w="1613" w:type="dxa"/>
            <w:tcBorders>
              <w:top w:val="single" w:color="000000" w:sz="4" w:space="0"/>
              <w:left w:val="single" w:color="000000" w:sz="4" w:space="0"/>
              <w:bottom w:val="single" w:color="000000" w:sz="4" w:space="0"/>
              <w:right w:val="single" w:color="000000" w:sz="4" w:space="0"/>
            </w:tcBorders>
            <w:vAlign w:val="center"/>
          </w:tcPr>
          <w:p w14:paraId="023AB21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警员管理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0CFA89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对系统的使用用户进行管理，维护用户名、密码、所属部门、业务岗位和角色等基本信息，可新增用户，对用户进行修改、删除、启动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禁用操作。结合交警用户组织架构维护宜宾市公安局交通管理支队及直属大队、中队下的民警基本信息以及角色等信息。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5983D9E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24BB8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819628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1FD818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11.5</w:t>
            </w:r>
          </w:p>
        </w:tc>
        <w:tc>
          <w:tcPr>
            <w:tcW w:w="1613" w:type="dxa"/>
            <w:tcBorders>
              <w:top w:val="single" w:color="000000" w:sz="4" w:space="0"/>
              <w:left w:val="single" w:color="000000" w:sz="4" w:space="0"/>
              <w:bottom w:val="single" w:color="000000" w:sz="4" w:space="0"/>
              <w:right w:val="single" w:color="000000" w:sz="4" w:space="0"/>
            </w:tcBorders>
            <w:vAlign w:val="center"/>
          </w:tcPr>
          <w:p w14:paraId="155F0FC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角色管理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AED292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对系统的角色进行管理，维护角色名称、角色状态、角色权限等基本信息，可新增角色，对角色进行修改、删除、启动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禁用操作。角色管理支持为不同业务应用配置不同的角色，并将应用角色指派给用户，通过控制用户的角色来达到间接控制业务系统内用户相关权限的目的。</w:t>
            </w:r>
          </w:p>
        </w:tc>
        <w:tc>
          <w:tcPr>
            <w:tcW w:w="457" w:type="dxa"/>
            <w:tcBorders>
              <w:top w:val="single" w:color="000000" w:sz="4" w:space="0"/>
              <w:left w:val="single" w:color="000000" w:sz="4" w:space="0"/>
              <w:bottom w:val="single" w:color="000000" w:sz="4" w:space="0"/>
              <w:right w:val="single" w:color="000000" w:sz="4" w:space="0"/>
            </w:tcBorders>
            <w:vAlign w:val="center"/>
          </w:tcPr>
          <w:p w14:paraId="77515B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73785E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417E20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0E502C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6CA82EF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系统支持</w:t>
            </w:r>
          </w:p>
        </w:tc>
        <w:tc>
          <w:tcPr>
            <w:tcW w:w="5281" w:type="dxa"/>
            <w:tcBorders>
              <w:top w:val="single" w:color="000000" w:sz="4" w:space="0"/>
              <w:left w:val="single" w:color="000000" w:sz="4" w:space="0"/>
              <w:bottom w:val="single" w:color="000000" w:sz="4" w:space="0"/>
              <w:right w:val="single" w:color="000000" w:sz="4" w:space="0"/>
            </w:tcBorders>
            <w:vAlign w:val="center"/>
          </w:tcPr>
          <w:p w14:paraId="0B1F5736">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C61739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19BE11C">
            <w:pPr>
              <w:pStyle w:val="201"/>
              <w:spacing w:line="400" w:lineRule="exact"/>
              <w:jc w:val="center"/>
              <w:rPr>
                <w:rFonts w:hint="eastAsia" w:asciiTheme="minorEastAsia" w:hAnsiTheme="minorEastAsia" w:eastAsiaTheme="minorEastAsia"/>
                <w:color w:val="000000"/>
                <w:sz w:val="24"/>
                <w:szCs w:val="24"/>
                <w:highlight w:val="none"/>
              </w:rPr>
            </w:pPr>
          </w:p>
        </w:tc>
      </w:tr>
      <w:tr w14:paraId="6B8AC9A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3475E9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12.1</w:t>
            </w:r>
          </w:p>
        </w:tc>
        <w:tc>
          <w:tcPr>
            <w:tcW w:w="1613" w:type="dxa"/>
            <w:tcBorders>
              <w:top w:val="single" w:color="000000" w:sz="4" w:space="0"/>
              <w:left w:val="single" w:color="000000" w:sz="4" w:space="0"/>
              <w:bottom w:val="single" w:color="000000" w:sz="4" w:space="0"/>
              <w:right w:val="single" w:color="000000" w:sz="4" w:space="0"/>
            </w:tcBorders>
            <w:vAlign w:val="center"/>
          </w:tcPr>
          <w:p w14:paraId="6403BEB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菜单管理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EB8246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对系统的使用业务菜单模块进行管理，维护模块名称、模块类型、模块排序和模块状态等基本信息，可新增模块，对模块进行修改、删除、显示</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隐藏操作。模块的应用依赖于角色管理，在角色管理中对模块进行指派，用户通过模块赋予角色权限来进行模块业务的访问。</w:t>
            </w:r>
          </w:p>
        </w:tc>
        <w:tc>
          <w:tcPr>
            <w:tcW w:w="457" w:type="dxa"/>
            <w:tcBorders>
              <w:top w:val="single" w:color="000000" w:sz="4" w:space="0"/>
              <w:left w:val="single" w:color="000000" w:sz="4" w:space="0"/>
              <w:bottom w:val="single" w:color="000000" w:sz="4" w:space="0"/>
              <w:right w:val="single" w:color="000000" w:sz="4" w:space="0"/>
            </w:tcBorders>
            <w:vAlign w:val="center"/>
          </w:tcPr>
          <w:p w14:paraId="7958B3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AE703D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98F922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666421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12.2</w:t>
            </w:r>
          </w:p>
        </w:tc>
        <w:tc>
          <w:tcPr>
            <w:tcW w:w="1613" w:type="dxa"/>
            <w:tcBorders>
              <w:top w:val="single" w:color="000000" w:sz="4" w:space="0"/>
              <w:left w:val="single" w:color="000000" w:sz="4" w:space="0"/>
              <w:bottom w:val="single" w:color="000000" w:sz="4" w:space="0"/>
              <w:right w:val="single" w:color="000000" w:sz="4" w:space="0"/>
            </w:tcBorders>
            <w:vAlign w:val="center"/>
          </w:tcPr>
          <w:p w14:paraId="5C02381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参数管理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C2F562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对系统中用到的各项系统参数进行配置管理。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1F08D0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03AC47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5C0E84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3E686E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12.3</w:t>
            </w:r>
          </w:p>
        </w:tc>
        <w:tc>
          <w:tcPr>
            <w:tcW w:w="1613" w:type="dxa"/>
            <w:tcBorders>
              <w:top w:val="single" w:color="000000" w:sz="4" w:space="0"/>
              <w:left w:val="single" w:color="000000" w:sz="4" w:space="0"/>
              <w:bottom w:val="single" w:color="000000" w:sz="4" w:space="0"/>
              <w:right w:val="single" w:color="000000" w:sz="4" w:space="0"/>
            </w:tcBorders>
            <w:vAlign w:val="center"/>
          </w:tcPr>
          <w:p w14:paraId="6DD1661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数据字典</w:t>
            </w:r>
          </w:p>
        </w:tc>
        <w:tc>
          <w:tcPr>
            <w:tcW w:w="5281" w:type="dxa"/>
            <w:tcBorders>
              <w:top w:val="single" w:color="000000" w:sz="4" w:space="0"/>
              <w:left w:val="single" w:color="000000" w:sz="4" w:space="0"/>
              <w:bottom w:val="single" w:color="000000" w:sz="4" w:space="0"/>
              <w:right w:val="single" w:color="000000" w:sz="4" w:space="0"/>
            </w:tcBorders>
            <w:vAlign w:val="center"/>
          </w:tcPr>
          <w:p w14:paraId="1546600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对系统中用到的各项业务代码进行配置管理。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47DF37D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96D6B7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40141F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49BFE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12.4</w:t>
            </w:r>
          </w:p>
        </w:tc>
        <w:tc>
          <w:tcPr>
            <w:tcW w:w="1613" w:type="dxa"/>
            <w:tcBorders>
              <w:top w:val="single" w:color="000000" w:sz="4" w:space="0"/>
              <w:left w:val="single" w:color="000000" w:sz="4" w:space="0"/>
              <w:bottom w:val="single" w:color="000000" w:sz="4" w:space="0"/>
              <w:right w:val="single" w:color="000000" w:sz="4" w:space="0"/>
            </w:tcBorders>
            <w:vAlign w:val="center"/>
          </w:tcPr>
          <w:p w14:paraId="4F7F675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定时任务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65AD461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对系统的定时任务进行管理，维护定时任务名称、执行类、执行策略、启停功能等基本信息，也可对定时任务执行历史记录进行维护，观察当前执行和历史执行的情况。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436671A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C235F0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569F55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F4CAA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12.5</w:t>
            </w:r>
          </w:p>
        </w:tc>
        <w:tc>
          <w:tcPr>
            <w:tcW w:w="1613" w:type="dxa"/>
            <w:tcBorders>
              <w:top w:val="single" w:color="000000" w:sz="4" w:space="0"/>
              <w:left w:val="single" w:color="000000" w:sz="4" w:space="0"/>
              <w:bottom w:val="single" w:color="000000" w:sz="4" w:space="0"/>
              <w:right w:val="single" w:color="000000" w:sz="4" w:space="0"/>
            </w:tcBorders>
            <w:vAlign w:val="center"/>
          </w:tcPr>
          <w:p w14:paraId="7B2E125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运维指数</w:t>
            </w:r>
          </w:p>
        </w:tc>
        <w:tc>
          <w:tcPr>
            <w:tcW w:w="5281" w:type="dxa"/>
            <w:tcBorders>
              <w:top w:val="single" w:color="000000" w:sz="4" w:space="0"/>
              <w:left w:val="single" w:color="000000" w:sz="4" w:space="0"/>
              <w:bottom w:val="single" w:color="000000" w:sz="4" w:space="0"/>
              <w:right w:val="single" w:color="000000" w:sz="4" w:space="0"/>
            </w:tcBorders>
            <w:vAlign w:val="center"/>
          </w:tcPr>
          <w:p w14:paraId="31820FD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监控本系统内各个服务器的运营状态，数据抓取的状态，前置机工作状态。</w:t>
            </w:r>
          </w:p>
        </w:tc>
        <w:tc>
          <w:tcPr>
            <w:tcW w:w="457" w:type="dxa"/>
            <w:tcBorders>
              <w:top w:val="single" w:color="000000" w:sz="4" w:space="0"/>
              <w:left w:val="single" w:color="000000" w:sz="4" w:space="0"/>
              <w:bottom w:val="single" w:color="000000" w:sz="4" w:space="0"/>
              <w:right w:val="single" w:color="000000" w:sz="4" w:space="0"/>
            </w:tcBorders>
            <w:vAlign w:val="center"/>
          </w:tcPr>
          <w:p w14:paraId="65A741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C92C3A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488A32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CF6634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234C402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网络安全</w:t>
            </w:r>
          </w:p>
        </w:tc>
        <w:tc>
          <w:tcPr>
            <w:tcW w:w="5281" w:type="dxa"/>
            <w:tcBorders>
              <w:top w:val="single" w:color="000000" w:sz="4" w:space="0"/>
              <w:left w:val="single" w:color="000000" w:sz="4" w:space="0"/>
              <w:bottom w:val="single" w:color="000000" w:sz="4" w:space="0"/>
              <w:right w:val="single" w:color="000000" w:sz="4" w:space="0"/>
            </w:tcBorders>
            <w:vAlign w:val="center"/>
          </w:tcPr>
          <w:p w14:paraId="3F455D46">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318291C">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0EDF97B">
            <w:pPr>
              <w:pStyle w:val="201"/>
              <w:spacing w:line="400" w:lineRule="exact"/>
              <w:jc w:val="center"/>
              <w:rPr>
                <w:rFonts w:hint="eastAsia" w:asciiTheme="minorEastAsia" w:hAnsiTheme="minorEastAsia" w:eastAsiaTheme="minorEastAsia"/>
                <w:color w:val="000000"/>
                <w:sz w:val="24"/>
                <w:szCs w:val="24"/>
                <w:highlight w:val="none"/>
              </w:rPr>
            </w:pPr>
          </w:p>
        </w:tc>
      </w:tr>
      <w:tr w14:paraId="5AD2EE0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8E7BCD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w:t>
            </w:r>
          </w:p>
        </w:tc>
        <w:tc>
          <w:tcPr>
            <w:tcW w:w="1613" w:type="dxa"/>
            <w:tcBorders>
              <w:top w:val="single" w:color="000000" w:sz="4" w:space="0"/>
              <w:left w:val="single" w:color="000000" w:sz="4" w:space="0"/>
              <w:bottom w:val="single" w:color="000000" w:sz="4" w:space="0"/>
              <w:right w:val="single" w:color="000000" w:sz="4" w:space="0"/>
            </w:tcBorders>
            <w:vAlign w:val="center"/>
          </w:tcPr>
          <w:p w14:paraId="6D45AF9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登录锁定</w:t>
            </w:r>
          </w:p>
        </w:tc>
        <w:tc>
          <w:tcPr>
            <w:tcW w:w="5281" w:type="dxa"/>
            <w:tcBorders>
              <w:top w:val="single" w:color="000000" w:sz="4" w:space="0"/>
              <w:left w:val="single" w:color="000000" w:sz="4" w:space="0"/>
              <w:bottom w:val="single" w:color="000000" w:sz="4" w:space="0"/>
              <w:right w:val="single" w:color="000000" w:sz="4" w:space="0"/>
            </w:tcBorders>
            <w:vAlign w:val="center"/>
          </w:tcPr>
          <w:p w14:paraId="256D57E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登录锁定功能是安全机制的重要组成部分，旨在防止恶意用户通过暴力破解、穷举攻击等手段非法获取系统访问权限，提升系统整体安全性。当用户登录操作触发预设的锁定条件时，系统会暂时或永久禁止该账户或特定来源的登录尝试，有效保护后台数据和系统资源。</w:t>
            </w:r>
          </w:p>
        </w:tc>
        <w:tc>
          <w:tcPr>
            <w:tcW w:w="457" w:type="dxa"/>
            <w:tcBorders>
              <w:top w:val="single" w:color="000000" w:sz="4" w:space="0"/>
              <w:left w:val="single" w:color="000000" w:sz="4" w:space="0"/>
              <w:bottom w:val="single" w:color="000000" w:sz="4" w:space="0"/>
              <w:right w:val="single" w:color="000000" w:sz="4" w:space="0"/>
            </w:tcBorders>
            <w:vAlign w:val="center"/>
          </w:tcPr>
          <w:p w14:paraId="6ED2B12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3E31CC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28FE10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903760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13.2</w:t>
            </w:r>
          </w:p>
        </w:tc>
        <w:tc>
          <w:tcPr>
            <w:tcW w:w="1613" w:type="dxa"/>
            <w:tcBorders>
              <w:top w:val="single" w:color="000000" w:sz="4" w:space="0"/>
              <w:left w:val="single" w:color="000000" w:sz="4" w:space="0"/>
              <w:bottom w:val="single" w:color="000000" w:sz="4" w:space="0"/>
              <w:right w:val="single" w:color="000000" w:sz="4" w:space="0"/>
            </w:tcBorders>
            <w:vAlign w:val="center"/>
          </w:tcPr>
          <w:p w14:paraId="44D4272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登录日志</w:t>
            </w:r>
          </w:p>
        </w:tc>
        <w:tc>
          <w:tcPr>
            <w:tcW w:w="5281" w:type="dxa"/>
            <w:tcBorders>
              <w:top w:val="single" w:color="000000" w:sz="4" w:space="0"/>
              <w:left w:val="single" w:color="000000" w:sz="4" w:space="0"/>
              <w:bottom w:val="single" w:color="000000" w:sz="4" w:space="0"/>
              <w:right w:val="single" w:color="000000" w:sz="4" w:space="0"/>
            </w:tcBorders>
            <w:vAlign w:val="center"/>
          </w:tcPr>
          <w:p w14:paraId="19EE4AD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登录日志功能是安全审计的核心组件，用于完整记录所有用户登录行为及相关操作信息。该功能通过系统化收集、存储和分析用户访问数据，为管理员提供可追溯的审计轨迹，帮助识别潜在安全威胁、排查异常行为，并满足合规性审计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65B943B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F678C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5741B2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4B9326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13.3</w:t>
            </w:r>
          </w:p>
        </w:tc>
        <w:tc>
          <w:tcPr>
            <w:tcW w:w="1613" w:type="dxa"/>
            <w:tcBorders>
              <w:top w:val="single" w:color="000000" w:sz="4" w:space="0"/>
              <w:left w:val="single" w:color="000000" w:sz="4" w:space="0"/>
              <w:bottom w:val="single" w:color="000000" w:sz="4" w:space="0"/>
              <w:right w:val="single" w:color="000000" w:sz="4" w:space="0"/>
            </w:tcBorders>
            <w:vAlign w:val="center"/>
          </w:tcPr>
          <w:p w14:paraId="3FD0216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接口加密</w:t>
            </w:r>
          </w:p>
        </w:tc>
        <w:tc>
          <w:tcPr>
            <w:tcW w:w="5281" w:type="dxa"/>
            <w:tcBorders>
              <w:top w:val="single" w:color="000000" w:sz="4" w:space="0"/>
              <w:left w:val="single" w:color="000000" w:sz="4" w:space="0"/>
              <w:bottom w:val="single" w:color="000000" w:sz="4" w:space="0"/>
              <w:right w:val="single" w:color="000000" w:sz="4" w:space="0"/>
            </w:tcBorders>
            <w:vAlign w:val="center"/>
          </w:tcPr>
          <w:p w14:paraId="2E9DD01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接口加解密用来保障数据传输安全的核心机制，通过对系统间交互的接口数据进行加密处理，防止敏感信息在传输过程中被窃取或篡改。该功能采用对称</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非对称加密算法组合，结合安全密钥管理策略，确保数据在客户端与服务器、服务与服务之间的传输过程中始终处于加密状态，同时支持灵活的加密策略配置以适应不同安全等级的业务需求。</w:t>
            </w:r>
          </w:p>
        </w:tc>
        <w:tc>
          <w:tcPr>
            <w:tcW w:w="457" w:type="dxa"/>
            <w:tcBorders>
              <w:top w:val="single" w:color="000000" w:sz="4" w:space="0"/>
              <w:left w:val="single" w:color="000000" w:sz="4" w:space="0"/>
              <w:bottom w:val="single" w:color="000000" w:sz="4" w:space="0"/>
              <w:right w:val="single" w:color="000000" w:sz="4" w:space="0"/>
            </w:tcBorders>
            <w:vAlign w:val="center"/>
          </w:tcPr>
          <w:p w14:paraId="77450F9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F74231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18B0CC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24183AD">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五</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466550A6">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案卷智能审核系统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37D3D11D">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40A1316">
            <w:pPr>
              <w:pStyle w:val="201"/>
              <w:spacing w:line="400" w:lineRule="exact"/>
              <w:jc w:val="center"/>
              <w:rPr>
                <w:rFonts w:hint="eastAsia" w:asciiTheme="minorEastAsia" w:hAnsiTheme="minorEastAsia" w:eastAsiaTheme="minorEastAsia"/>
                <w:b/>
                <w:color w:val="000000"/>
                <w:sz w:val="24"/>
                <w:szCs w:val="24"/>
                <w:highlight w:val="none"/>
              </w:rPr>
            </w:pPr>
          </w:p>
        </w:tc>
      </w:tr>
      <w:tr w14:paraId="586898F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E75392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221F773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C2D938F">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B82A43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DE2FF4B">
            <w:pPr>
              <w:pStyle w:val="201"/>
              <w:spacing w:line="400" w:lineRule="exact"/>
              <w:jc w:val="center"/>
              <w:rPr>
                <w:rFonts w:hint="eastAsia" w:asciiTheme="minorEastAsia" w:hAnsiTheme="minorEastAsia" w:eastAsiaTheme="minorEastAsia"/>
                <w:color w:val="000000"/>
                <w:sz w:val="24"/>
                <w:szCs w:val="24"/>
                <w:highlight w:val="none"/>
              </w:rPr>
            </w:pPr>
          </w:p>
        </w:tc>
      </w:tr>
      <w:tr w14:paraId="756623E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FC128D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7048127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案卷列表</w:t>
            </w:r>
          </w:p>
        </w:tc>
        <w:tc>
          <w:tcPr>
            <w:tcW w:w="5281" w:type="dxa"/>
            <w:tcBorders>
              <w:top w:val="single" w:color="000000" w:sz="4" w:space="0"/>
              <w:left w:val="single" w:color="000000" w:sz="4" w:space="0"/>
              <w:bottom w:val="single" w:color="000000" w:sz="4" w:space="0"/>
              <w:right w:val="single" w:color="000000" w:sz="4" w:space="0"/>
            </w:tcBorders>
            <w:vAlign w:val="center"/>
          </w:tcPr>
          <w:p w14:paraId="17F9946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平台提供对案卷的添加，支持绑定案件编号，自动查询六合一对应的案件信息，支持案件的展示及状态，支持案件列表进行详细查看操作，支持上传案件设计的电子化照片等，进行自动识别文件元素</w:t>
            </w:r>
          </w:p>
        </w:tc>
        <w:tc>
          <w:tcPr>
            <w:tcW w:w="457" w:type="dxa"/>
            <w:tcBorders>
              <w:top w:val="single" w:color="000000" w:sz="4" w:space="0"/>
              <w:left w:val="single" w:color="000000" w:sz="4" w:space="0"/>
              <w:bottom w:val="single" w:color="000000" w:sz="4" w:space="0"/>
              <w:right w:val="single" w:color="000000" w:sz="4" w:space="0"/>
            </w:tcBorders>
            <w:vAlign w:val="center"/>
          </w:tcPr>
          <w:p w14:paraId="5CBF3BB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F629E7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050559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A7C4B9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3D6D485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案卷类型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247DBD1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平台提供了对于文件类型的预设和添加，通过预设案卷类型便于对不同违法行为的卷宗进行便捷管理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06CC537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7AA6E2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361B6B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F034A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3E20F0B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案卷目录</w:t>
            </w:r>
          </w:p>
        </w:tc>
        <w:tc>
          <w:tcPr>
            <w:tcW w:w="5281" w:type="dxa"/>
            <w:tcBorders>
              <w:top w:val="single" w:color="000000" w:sz="4" w:space="0"/>
              <w:left w:val="single" w:color="000000" w:sz="4" w:space="0"/>
              <w:bottom w:val="single" w:color="000000" w:sz="4" w:space="0"/>
              <w:right w:val="single" w:color="000000" w:sz="4" w:space="0"/>
            </w:tcBorders>
            <w:vAlign w:val="center"/>
          </w:tcPr>
          <w:p w14:paraId="10BF74A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提供了案卷下各类文件的管理功能，用于定义和维护不同类型卷宗的标准目录结构，包括文件名称，文件的来源和文件归属类型等。能够预定义各类现场取证、法律文书和证据材料的标准化模板，通过模板的内置，实现卷宗文件制作的规范化和文件生成的自动化。</w:t>
            </w:r>
          </w:p>
        </w:tc>
        <w:tc>
          <w:tcPr>
            <w:tcW w:w="457" w:type="dxa"/>
            <w:tcBorders>
              <w:top w:val="single" w:color="000000" w:sz="4" w:space="0"/>
              <w:left w:val="single" w:color="000000" w:sz="4" w:space="0"/>
              <w:bottom w:val="single" w:color="000000" w:sz="4" w:space="0"/>
              <w:right w:val="single" w:color="000000" w:sz="4" w:space="0"/>
            </w:tcBorders>
            <w:vAlign w:val="center"/>
          </w:tcPr>
          <w:p w14:paraId="1BEBBC4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DA3E3A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844A22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6AC638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7E72F6F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文件类型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1B79B2D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用于标准化和管理卷宗中各类文件的结构化文件元素，允许定义和维护卷宗文件中需要提取、索引和管理的各类数据元素。</w:t>
            </w:r>
          </w:p>
        </w:tc>
        <w:tc>
          <w:tcPr>
            <w:tcW w:w="457" w:type="dxa"/>
            <w:tcBorders>
              <w:top w:val="single" w:color="000000" w:sz="4" w:space="0"/>
              <w:left w:val="single" w:color="000000" w:sz="4" w:space="0"/>
              <w:bottom w:val="single" w:color="000000" w:sz="4" w:space="0"/>
              <w:right w:val="single" w:color="000000" w:sz="4" w:space="0"/>
            </w:tcBorders>
            <w:vAlign w:val="center"/>
          </w:tcPr>
          <w:p w14:paraId="26CF53E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AD27E4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05001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C0D529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w:t>
            </w:r>
          </w:p>
        </w:tc>
        <w:tc>
          <w:tcPr>
            <w:tcW w:w="1613" w:type="dxa"/>
            <w:tcBorders>
              <w:top w:val="single" w:color="000000" w:sz="4" w:space="0"/>
              <w:left w:val="single" w:color="000000" w:sz="4" w:space="0"/>
              <w:bottom w:val="single" w:color="000000" w:sz="4" w:space="0"/>
              <w:right w:val="single" w:color="000000" w:sz="4" w:space="0"/>
            </w:tcBorders>
            <w:vAlign w:val="center"/>
          </w:tcPr>
          <w:p w14:paraId="26271D8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校验规则</w:t>
            </w:r>
          </w:p>
        </w:tc>
        <w:tc>
          <w:tcPr>
            <w:tcW w:w="5281" w:type="dxa"/>
            <w:tcBorders>
              <w:top w:val="single" w:color="000000" w:sz="4" w:space="0"/>
              <w:left w:val="single" w:color="000000" w:sz="4" w:space="0"/>
              <w:bottom w:val="single" w:color="000000" w:sz="4" w:space="0"/>
              <w:right w:val="single" w:color="000000" w:sz="4" w:space="0"/>
            </w:tcBorders>
            <w:vAlign w:val="center"/>
          </w:tcPr>
          <w:p w14:paraId="45A4FC2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提供了对于文件校验的预定义的规则集的设置功能，包括结构性校验、内容性校验和业务规则校验等，用户可通过不同的违法行为对所需的所有案卷进行结构化规则预定义，保证案卷在自动校验时可根据预设校验规则自动校验，不通过回显结果</w:t>
            </w:r>
          </w:p>
        </w:tc>
        <w:tc>
          <w:tcPr>
            <w:tcW w:w="457" w:type="dxa"/>
            <w:tcBorders>
              <w:top w:val="single" w:color="000000" w:sz="4" w:space="0"/>
              <w:left w:val="single" w:color="000000" w:sz="4" w:space="0"/>
              <w:bottom w:val="single" w:color="000000" w:sz="4" w:space="0"/>
              <w:right w:val="single" w:color="000000" w:sz="4" w:space="0"/>
            </w:tcBorders>
            <w:vAlign w:val="center"/>
          </w:tcPr>
          <w:p w14:paraId="6569D6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846B7C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78E6A1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6E1786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32D4DF8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后台管理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B9055A0">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5B31A035">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9DBFD3A">
            <w:pPr>
              <w:pStyle w:val="201"/>
              <w:spacing w:line="400" w:lineRule="exact"/>
              <w:jc w:val="center"/>
              <w:rPr>
                <w:rFonts w:hint="eastAsia" w:asciiTheme="minorEastAsia" w:hAnsiTheme="minorEastAsia" w:eastAsiaTheme="minorEastAsia"/>
                <w:color w:val="000000"/>
                <w:sz w:val="24"/>
                <w:szCs w:val="24"/>
                <w:highlight w:val="none"/>
              </w:rPr>
            </w:pPr>
          </w:p>
        </w:tc>
      </w:tr>
      <w:tr w14:paraId="2F5855C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D88F4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2A0F642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部门管理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B817C9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对系统的使用部门进行管理，维护单位名称、单位编码、部门级别等基本信息，可新增部门，对部门进行修改、删除、启动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停用操作。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2195799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E6622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880B9F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ADF19B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0BEB6A3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用户管理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155771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对系统的使用用户进行管理，维护用户名、密码、所属部门、业务岗位和角色等基本信息，可新增用户，对用户进行修改、删除、启动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26C6D4B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4DC74F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0EF0BB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D6B31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tcBorders>
              <w:top w:val="single" w:color="000000" w:sz="4" w:space="0"/>
              <w:left w:val="single" w:color="000000" w:sz="4" w:space="0"/>
              <w:bottom w:val="single" w:color="000000" w:sz="4" w:space="0"/>
              <w:right w:val="single" w:color="000000" w:sz="4" w:space="0"/>
            </w:tcBorders>
            <w:vAlign w:val="center"/>
          </w:tcPr>
          <w:p w14:paraId="2454876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角色管理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9DC567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对系统的角色进行管理，维护角色名称、角色状态、角色权限等基本信息，可新增角色，对角色进行修改、删除、启动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74EDBBF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51D1E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65AD75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DA0980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24F4779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系统管理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19CC72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6910135">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3E80029">
            <w:pPr>
              <w:pStyle w:val="201"/>
              <w:spacing w:line="400" w:lineRule="exact"/>
              <w:jc w:val="center"/>
              <w:rPr>
                <w:rFonts w:hint="eastAsia" w:asciiTheme="minorEastAsia" w:hAnsiTheme="minorEastAsia" w:eastAsiaTheme="minorEastAsia"/>
                <w:color w:val="000000"/>
                <w:sz w:val="24"/>
                <w:szCs w:val="24"/>
                <w:highlight w:val="none"/>
              </w:rPr>
            </w:pPr>
          </w:p>
        </w:tc>
      </w:tr>
      <w:tr w14:paraId="6CB7D75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60347F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16EDC7F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菜单管理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B1E4A9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对系统的使用业务菜单模块进行管理，维护模块名称、模块类型、模块排序和模块状态等基本信息，可新增模块，对模块进行修改、删除、显示</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隐藏操作。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1421661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05660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F12670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3CDC94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68AF6F2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日志管理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D47F42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针对平台用户登录行为和各业务应用操作行为包括数据的增、删、改等操作，系统将记录详细的用户登录和业务操作日志。</w:t>
            </w:r>
          </w:p>
        </w:tc>
        <w:tc>
          <w:tcPr>
            <w:tcW w:w="457" w:type="dxa"/>
            <w:tcBorders>
              <w:top w:val="single" w:color="000000" w:sz="4" w:space="0"/>
              <w:left w:val="single" w:color="000000" w:sz="4" w:space="0"/>
              <w:bottom w:val="single" w:color="000000" w:sz="4" w:space="0"/>
              <w:right w:val="single" w:color="000000" w:sz="4" w:space="0"/>
            </w:tcBorders>
            <w:vAlign w:val="center"/>
          </w:tcPr>
          <w:p w14:paraId="3C6E2C7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9ADE40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3A93FA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006E94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743141E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图像预处理能力</w:t>
            </w:r>
          </w:p>
        </w:tc>
        <w:tc>
          <w:tcPr>
            <w:tcW w:w="5281" w:type="dxa"/>
            <w:tcBorders>
              <w:top w:val="single" w:color="000000" w:sz="4" w:space="0"/>
              <w:left w:val="single" w:color="000000" w:sz="4" w:space="0"/>
              <w:bottom w:val="single" w:color="000000" w:sz="4" w:space="0"/>
              <w:right w:val="single" w:color="000000" w:sz="4" w:space="0"/>
            </w:tcBorders>
            <w:vAlign w:val="center"/>
          </w:tcPr>
          <w:p w14:paraId="20BA42B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对图像进行锐化、梯形畸变矫正、球面畸变矫正等预处理。保证在</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文本识别之前进行图片的预处理，以保证后续识别能力的准确性的提升。</w:t>
            </w:r>
          </w:p>
        </w:tc>
        <w:tc>
          <w:tcPr>
            <w:tcW w:w="457" w:type="dxa"/>
            <w:tcBorders>
              <w:top w:val="single" w:color="000000" w:sz="4" w:space="0"/>
              <w:left w:val="single" w:color="000000" w:sz="4" w:space="0"/>
              <w:bottom w:val="single" w:color="000000" w:sz="4" w:space="0"/>
              <w:right w:val="single" w:color="000000" w:sz="4" w:space="0"/>
            </w:tcBorders>
            <w:vAlign w:val="center"/>
          </w:tcPr>
          <w:p w14:paraId="249D38E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E9BA22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A7446D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EFD044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0B99DA42">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识别能力</w:t>
            </w:r>
          </w:p>
        </w:tc>
        <w:tc>
          <w:tcPr>
            <w:tcW w:w="5281" w:type="dxa"/>
            <w:tcBorders>
              <w:top w:val="single" w:color="000000" w:sz="4" w:space="0"/>
              <w:left w:val="single" w:color="000000" w:sz="4" w:space="0"/>
              <w:bottom w:val="single" w:color="000000" w:sz="4" w:space="0"/>
              <w:right w:val="single" w:color="000000" w:sz="4" w:space="0"/>
            </w:tcBorders>
            <w:vAlign w:val="center"/>
          </w:tcPr>
          <w:p w14:paraId="2856CDE0">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524D12F">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079C481">
            <w:pPr>
              <w:pStyle w:val="201"/>
              <w:spacing w:line="400" w:lineRule="exact"/>
              <w:jc w:val="center"/>
              <w:rPr>
                <w:rFonts w:hint="eastAsia" w:asciiTheme="minorEastAsia" w:hAnsiTheme="minorEastAsia" w:eastAsiaTheme="minorEastAsia"/>
                <w:color w:val="000000"/>
                <w:sz w:val="24"/>
                <w:szCs w:val="24"/>
                <w:highlight w:val="none"/>
              </w:rPr>
            </w:pPr>
          </w:p>
        </w:tc>
      </w:tr>
      <w:tr w14:paraId="42322AA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9CE152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5.1</w:t>
            </w:r>
          </w:p>
        </w:tc>
        <w:tc>
          <w:tcPr>
            <w:tcW w:w="1613" w:type="dxa"/>
            <w:tcBorders>
              <w:top w:val="single" w:color="000000" w:sz="4" w:space="0"/>
              <w:left w:val="single" w:color="000000" w:sz="4" w:space="0"/>
              <w:bottom w:val="single" w:color="000000" w:sz="4" w:space="0"/>
              <w:right w:val="single" w:color="000000" w:sz="4" w:space="0"/>
            </w:tcBorders>
            <w:vAlign w:val="center"/>
          </w:tcPr>
          <w:p w14:paraId="020F10E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手写</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17073DB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纸质卷宗中的手写文字快速、准确的识别转化为电子文本。手写识别功能基于深度学习技术，通过对海量手写文字样本的学习和分析，构建出复杂的识别模型，识别业务元素、签名和时间等，实现对手写文字的准确识别。</w:t>
            </w:r>
          </w:p>
        </w:tc>
        <w:tc>
          <w:tcPr>
            <w:tcW w:w="457" w:type="dxa"/>
            <w:tcBorders>
              <w:top w:val="single" w:color="000000" w:sz="4" w:space="0"/>
              <w:left w:val="single" w:color="000000" w:sz="4" w:space="0"/>
              <w:bottom w:val="single" w:color="000000" w:sz="4" w:space="0"/>
              <w:right w:val="single" w:color="000000" w:sz="4" w:space="0"/>
            </w:tcBorders>
            <w:vAlign w:val="center"/>
          </w:tcPr>
          <w:p w14:paraId="0BD65A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956637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CD40B8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99B873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5.2</w:t>
            </w:r>
          </w:p>
        </w:tc>
        <w:tc>
          <w:tcPr>
            <w:tcW w:w="1613" w:type="dxa"/>
            <w:tcBorders>
              <w:top w:val="single" w:color="000000" w:sz="4" w:space="0"/>
              <w:left w:val="single" w:color="000000" w:sz="4" w:space="0"/>
              <w:bottom w:val="single" w:color="000000" w:sz="4" w:space="0"/>
              <w:right w:val="single" w:color="000000" w:sz="4" w:space="0"/>
            </w:tcBorders>
            <w:vAlign w:val="center"/>
          </w:tcPr>
          <w:p w14:paraId="7E9EF91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印刷体识别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33C68BF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将纸质文档电子化，常见于扫描件、</w:t>
            </w:r>
            <w:r>
              <w:rPr>
                <w:rFonts w:hint="eastAsia" w:asciiTheme="minorEastAsia" w:hAnsiTheme="minorEastAsia" w:eastAsiaTheme="minorEastAsia"/>
                <w:color w:val="000000"/>
                <w:sz w:val="24"/>
                <w:szCs w:val="24"/>
                <w:highlight w:val="none"/>
                <w:lang w:eastAsia="zh-CN" w:bidi="ar"/>
              </w:rPr>
              <w:t>PDF</w:t>
            </w:r>
            <w:r>
              <w:rPr>
                <w:rFonts w:hint="eastAsia" w:cs="微软雅黑" w:asciiTheme="minorEastAsia" w:hAnsiTheme="minorEastAsia" w:eastAsiaTheme="minorEastAsia"/>
                <w:color w:val="000000"/>
                <w:sz w:val="24"/>
                <w:szCs w:val="24"/>
                <w:highlight w:val="none"/>
                <w:lang w:eastAsia="zh-CN" w:bidi="ar"/>
              </w:rPr>
              <w:t>和图片等格式，对电子文档进行印刷体文字自动识别并提取关键信息，转换为可编辑、可搜索的电子文本。</w:t>
            </w:r>
          </w:p>
        </w:tc>
        <w:tc>
          <w:tcPr>
            <w:tcW w:w="457" w:type="dxa"/>
            <w:tcBorders>
              <w:top w:val="single" w:color="000000" w:sz="4" w:space="0"/>
              <w:left w:val="single" w:color="000000" w:sz="4" w:space="0"/>
              <w:bottom w:val="single" w:color="000000" w:sz="4" w:space="0"/>
              <w:right w:val="single" w:color="000000" w:sz="4" w:space="0"/>
            </w:tcBorders>
            <w:vAlign w:val="center"/>
          </w:tcPr>
          <w:p w14:paraId="62F588B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08B58A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09E6F4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CA26B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5.3</w:t>
            </w:r>
          </w:p>
        </w:tc>
        <w:tc>
          <w:tcPr>
            <w:tcW w:w="1613" w:type="dxa"/>
            <w:tcBorders>
              <w:top w:val="single" w:color="000000" w:sz="4" w:space="0"/>
              <w:left w:val="single" w:color="000000" w:sz="4" w:space="0"/>
              <w:bottom w:val="single" w:color="000000" w:sz="4" w:space="0"/>
              <w:right w:val="single" w:color="000000" w:sz="4" w:space="0"/>
            </w:tcBorders>
            <w:vAlign w:val="center"/>
          </w:tcPr>
          <w:p w14:paraId="7F3CDBA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印章识别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5CC2878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印章识别技术主要依赖于图像处理和</w:t>
            </w:r>
            <w:r>
              <w:rPr>
                <w:rFonts w:hint="eastAsia" w:asciiTheme="minorEastAsia" w:hAnsiTheme="minorEastAsia" w:eastAsiaTheme="minorEastAsia"/>
                <w:color w:val="000000"/>
                <w:sz w:val="24"/>
                <w:szCs w:val="24"/>
                <w:highlight w:val="none"/>
                <w:lang w:eastAsia="zh-CN" w:bidi="ar"/>
              </w:rPr>
              <w:t>yolo</w:t>
            </w:r>
            <w:r>
              <w:rPr>
                <w:rFonts w:hint="eastAsia" w:cs="微软雅黑" w:asciiTheme="minorEastAsia" w:hAnsiTheme="minorEastAsia" w:eastAsiaTheme="minorEastAsia"/>
                <w:color w:val="000000"/>
                <w:sz w:val="24"/>
                <w:szCs w:val="24"/>
                <w:highlight w:val="none"/>
                <w:lang w:eastAsia="zh-CN" w:bidi="ar"/>
              </w:rPr>
              <w:t>技术。对印章图像进行预处理，包括去噪、去背景、二值化边缘提取等步骤，以提高图像质量，利用图像分割算法将印章从图像中分割出来</w:t>
            </w:r>
          </w:p>
        </w:tc>
        <w:tc>
          <w:tcPr>
            <w:tcW w:w="457" w:type="dxa"/>
            <w:tcBorders>
              <w:top w:val="single" w:color="000000" w:sz="4" w:space="0"/>
              <w:left w:val="single" w:color="000000" w:sz="4" w:space="0"/>
              <w:bottom w:val="single" w:color="000000" w:sz="4" w:space="0"/>
              <w:right w:val="single" w:color="000000" w:sz="4" w:space="0"/>
            </w:tcBorders>
            <w:vAlign w:val="center"/>
          </w:tcPr>
          <w:p w14:paraId="2DD6305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D0A565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375756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91F57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5.4</w:t>
            </w:r>
          </w:p>
        </w:tc>
        <w:tc>
          <w:tcPr>
            <w:tcW w:w="1613" w:type="dxa"/>
            <w:tcBorders>
              <w:top w:val="single" w:color="000000" w:sz="4" w:space="0"/>
              <w:left w:val="single" w:color="000000" w:sz="4" w:space="0"/>
              <w:bottom w:val="single" w:color="000000" w:sz="4" w:space="0"/>
              <w:right w:val="single" w:color="000000" w:sz="4" w:space="0"/>
            </w:tcBorders>
            <w:vAlign w:val="center"/>
          </w:tcPr>
          <w:p w14:paraId="0271596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捺印识别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517EF0A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捺印识别主要基于图像处理和计算机视觉技术。对包含手印的图像进行预处理，以增强图像质量，突出手印特征。利用图像分割算法将手印从图像中分割出来</w:t>
            </w:r>
          </w:p>
        </w:tc>
        <w:tc>
          <w:tcPr>
            <w:tcW w:w="457" w:type="dxa"/>
            <w:tcBorders>
              <w:top w:val="single" w:color="000000" w:sz="4" w:space="0"/>
              <w:left w:val="single" w:color="000000" w:sz="4" w:space="0"/>
              <w:bottom w:val="single" w:color="000000" w:sz="4" w:space="0"/>
              <w:right w:val="single" w:color="000000" w:sz="4" w:space="0"/>
            </w:tcBorders>
            <w:vAlign w:val="center"/>
          </w:tcPr>
          <w:p w14:paraId="0DE2E7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4D03B0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72E80C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C24CB0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5.5</w:t>
            </w:r>
          </w:p>
        </w:tc>
        <w:tc>
          <w:tcPr>
            <w:tcW w:w="1613" w:type="dxa"/>
            <w:tcBorders>
              <w:top w:val="single" w:color="000000" w:sz="4" w:space="0"/>
              <w:left w:val="single" w:color="000000" w:sz="4" w:space="0"/>
              <w:bottom w:val="single" w:color="000000" w:sz="4" w:space="0"/>
              <w:right w:val="single" w:color="000000" w:sz="4" w:space="0"/>
            </w:tcBorders>
            <w:vAlign w:val="center"/>
          </w:tcPr>
          <w:p w14:paraId="0A8E902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身份证识别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1A3C3D1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身份证识别采用图像处理和</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识别技术，对图像进行预处理，以增强图像质量，利用图像处理算法提取身份证上的关键特征</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通过</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技术通过扫描或拍照等方式获取身份证图像后，利用文字识别算法将图像中的文字信息转化为可编辑的文本格式</w:t>
            </w:r>
            <w:r>
              <w:rPr>
                <w:rFonts w:hint="eastAsia" w:asciiTheme="minorEastAsia" w:hAnsiTheme="minorEastAsia" w:eastAsiaTheme="minorEastAsia"/>
                <w:color w:val="000000"/>
                <w:sz w:val="24"/>
                <w:szCs w:val="24"/>
                <w:highlight w:val="none"/>
                <w:lang w:eastAsia="zh-CN" w:bidi="ar"/>
              </w:rPr>
              <w:t>.</w:t>
            </w:r>
          </w:p>
        </w:tc>
        <w:tc>
          <w:tcPr>
            <w:tcW w:w="457" w:type="dxa"/>
            <w:tcBorders>
              <w:top w:val="single" w:color="000000" w:sz="4" w:space="0"/>
              <w:left w:val="single" w:color="000000" w:sz="4" w:space="0"/>
              <w:bottom w:val="single" w:color="000000" w:sz="4" w:space="0"/>
              <w:right w:val="single" w:color="000000" w:sz="4" w:space="0"/>
            </w:tcBorders>
            <w:vAlign w:val="center"/>
          </w:tcPr>
          <w:p w14:paraId="1400AC4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DD91C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AEECE6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E0EDA9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5.6</w:t>
            </w:r>
          </w:p>
        </w:tc>
        <w:tc>
          <w:tcPr>
            <w:tcW w:w="1613" w:type="dxa"/>
            <w:tcBorders>
              <w:top w:val="single" w:color="000000" w:sz="4" w:space="0"/>
              <w:left w:val="single" w:color="000000" w:sz="4" w:space="0"/>
              <w:bottom w:val="single" w:color="000000" w:sz="4" w:space="0"/>
              <w:right w:val="single" w:color="000000" w:sz="4" w:space="0"/>
            </w:tcBorders>
            <w:vAlign w:val="center"/>
          </w:tcPr>
          <w:p w14:paraId="1AE572B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车牌识别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6F6F44A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对采集的图像进行噪声过滤、对比度增强、二值化等处理，改善图像质量，通过边缘检测、颜色分割等技术，从背景中分离车牌区域并识别，对各种类型车牌的快速、准确识别。</w:t>
            </w:r>
          </w:p>
        </w:tc>
        <w:tc>
          <w:tcPr>
            <w:tcW w:w="457" w:type="dxa"/>
            <w:tcBorders>
              <w:top w:val="single" w:color="000000" w:sz="4" w:space="0"/>
              <w:left w:val="single" w:color="000000" w:sz="4" w:space="0"/>
              <w:bottom w:val="single" w:color="000000" w:sz="4" w:space="0"/>
              <w:right w:val="single" w:color="000000" w:sz="4" w:space="0"/>
            </w:tcBorders>
            <w:vAlign w:val="center"/>
          </w:tcPr>
          <w:p w14:paraId="1AAA8B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BB286E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F4B3DA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671D20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5.7</w:t>
            </w:r>
          </w:p>
        </w:tc>
        <w:tc>
          <w:tcPr>
            <w:tcW w:w="1613" w:type="dxa"/>
            <w:tcBorders>
              <w:top w:val="single" w:color="000000" w:sz="4" w:space="0"/>
              <w:left w:val="single" w:color="000000" w:sz="4" w:space="0"/>
              <w:bottom w:val="single" w:color="000000" w:sz="4" w:space="0"/>
              <w:right w:val="single" w:color="000000" w:sz="4" w:space="0"/>
            </w:tcBorders>
            <w:vAlign w:val="center"/>
          </w:tcPr>
          <w:p w14:paraId="7793841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驾驶证</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行驶证识别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713EC0D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采用图像处理和</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技术将证件图像进行处理，以优化图像质量，通过</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识别技术识别出驾驶证或行驶证证件上的所需内容。</w:t>
            </w:r>
          </w:p>
        </w:tc>
        <w:tc>
          <w:tcPr>
            <w:tcW w:w="457" w:type="dxa"/>
            <w:tcBorders>
              <w:top w:val="single" w:color="000000" w:sz="4" w:space="0"/>
              <w:left w:val="single" w:color="000000" w:sz="4" w:space="0"/>
              <w:bottom w:val="single" w:color="000000" w:sz="4" w:space="0"/>
              <w:right w:val="single" w:color="000000" w:sz="4" w:space="0"/>
            </w:tcBorders>
            <w:vAlign w:val="center"/>
          </w:tcPr>
          <w:p w14:paraId="0F77EBC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69C8FF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597179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4886052">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5.8</w:t>
            </w:r>
          </w:p>
        </w:tc>
        <w:tc>
          <w:tcPr>
            <w:tcW w:w="1613" w:type="dxa"/>
            <w:tcBorders>
              <w:top w:val="single" w:color="000000" w:sz="4" w:space="0"/>
              <w:left w:val="single" w:color="000000" w:sz="4" w:space="0"/>
              <w:bottom w:val="single" w:color="000000" w:sz="4" w:space="0"/>
              <w:right w:val="single" w:color="000000" w:sz="4" w:space="0"/>
            </w:tcBorders>
            <w:vAlign w:val="center"/>
          </w:tcPr>
          <w:p w14:paraId="3EE3F5EB">
            <w:pPr>
              <w:pStyle w:val="201"/>
              <w:spacing w:line="400" w:lineRule="exact"/>
              <w:rPr>
                <w:rFonts w:hint="eastAsia" w:asciiTheme="minorEastAsia" w:hAnsiTheme="minorEastAsia" w:eastAsiaTheme="minorEastAsia"/>
                <w:color w:val="000000"/>
                <w:sz w:val="24"/>
                <w:szCs w:val="24"/>
                <w:highlight w:val="none"/>
                <w:lang w:eastAsia="zh-CN" w:bidi="ar"/>
              </w:rPr>
            </w:pPr>
            <w:bookmarkStart w:id="6" w:name="_Toc203466356"/>
            <w:bookmarkStart w:id="7" w:name="_Toc206410787"/>
            <w:r>
              <w:rPr>
                <w:rFonts w:hint="eastAsia" w:cs="微软雅黑" w:asciiTheme="minorEastAsia" w:hAnsiTheme="minorEastAsia" w:eastAsiaTheme="minorEastAsia"/>
                <w:color w:val="000000"/>
                <w:sz w:val="24"/>
                <w:szCs w:val="24"/>
                <w:highlight w:val="none"/>
                <w:lang w:eastAsia="zh-CN" w:bidi="ar"/>
              </w:rPr>
              <w:t>人脸抓取</w:t>
            </w:r>
            <w:bookmarkEnd w:id="6"/>
            <w:bookmarkEnd w:id="7"/>
          </w:p>
        </w:tc>
        <w:tc>
          <w:tcPr>
            <w:tcW w:w="5281" w:type="dxa"/>
            <w:tcBorders>
              <w:top w:val="single" w:color="000000" w:sz="4" w:space="0"/>
              <w:left w:val="single" w:color="000000" w:sz="4" w:space="0"/>
              <w:bottom w:val="single" w:color="000000" w:sz="4" w:space="0"/>
              <w:right w:val="single" w:color="000000" w:sz="4" w:space="0"/>
            </w:tcBorders>
            <w:vAlign w:val="center"/>
          </w:tcPr>
          <w:p w14:paraId="4A5E00D4">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从图像中自动检测、定位并提取人脸区域的过程，能够实现快速身份的核验。</w:t>
            </w:r>
          </w:p>
        </w:tc>
        <w:tc>
          <w:tcPr>
            <w:tcW w:w="457" w:type="dxa"/>
            <w:tcBorders>
              <w:top w:val="single" w:color="000000" w:sz="4" w:space="0"/>
              <w:left w:val="single" w:color="000000" w:sz="4" w:space="0"/>
              <w:bottom w:val="single" w:color="000000" w:sz="4" w:space="0"/>
              <w:right w:val="single" w:color="000000" w:sz="4" w:space="0"/>
            </w:tcBorders>
            <w:vAlign w:val="center"/>
          </w:tcPr>
          <w:p w14:paraId="1352914C">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619CC0A3">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1</w:t>
            </w:r>
          </w:p>
        </w:tc>
      </w:tr>
      <w:tr w14:paraId="507DFAB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071B92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45D9D6B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案卷生成编目</w:t>
            </w:r>
          </w:p>
        </w:tc>
        <w:tc>
          <w:tcPr>
            <w:tcW w:w="5281" w:type="dxa"/>
            <w:tcBorders>
              <w:top w:val="single" w:color="000000" w:sz="4" w:space="0"/>
              <w:left w:val="single" w:color="000000" w:sz="4" w:space="0"/>
              <w:bottom w:val="single" w:color="000000" w:sz="4" w:space="0"/>
              <w:right w:val="single" w:color="000000" w:sz="4" w:space="0"/>
            </w:tcBorders>
            <w:vAlign w:val="center"/>
          </w:tcPr>
          <w:p w14:paraId="510E8BA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通过统一上传分散的案件分散材料，通过自动识别材料内容将材料分散到规定的案卷目录下且进行自动</w:t>
            </w:r>
            <w:r>
              <w:rPr>
                <w:rFonts w:hint="eastAsia" w:asciiTheme="minorEastAsia" w:hAnsiTheme="minorEastAsia" w:eastAsiaTheme="minorEastAsia"/>
                <w:color w:val="000000"/>
                <w:sz w:val="24"/>
                <w:szCs w:val="24"/>
                <w:highlight w:val="none"/>
                <w:lang w:eastAsia="zh-CN" w:bidi="ar"/>
              </w:rPr>
              <w:t>ORC</w:t>
            </w:r>
            <w:r>
              <w:rPr>
                <w:rFonts w:hint="eastAsia" w:cs="微软雅黑" w:asciiTheme="minorEastAsia" w:hAnsiTheme="minorEastAsia" w:eastAsiaTheme="minorEastAsia"/>
                <w:color w:val="000000"/>
                <w:sz w:val="24"/>
                <w:szCs w:val="24"/>
                <w:highlight w:val="none"/>
                <w:lang w:eastAsia="zh-CN" w:bidi="ar"/>
              </w:rPr>
              <w:t>识别分析</w:t>
            </w:r>
          </w:p>
        </w:tc>
        <w:tc>
          <w:tcPr>
            <w:tcW w:w="457" w:type="dxa"/>
            <w:tcBorders>
              <w:top w:val="single" w:color="000000" w:sz="4" w:space="0"/>
              <w:left w:val="single" w:color="000000" w:sz="4" w:space="0"/>
              <w:bottom w:val="single" w:color="000000" w:sz="4" w:space="0"/>
              <w:right w:val="single" w:color="000000" w:sz="4" w:space="0"/>
            </w:tcBorders>
            <w:vAlign w:val="center"/>
          </w:tcPr>
          <w:p w14:paraId="36119FA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D27874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7B62B4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C095B9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5E0A658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案卷校验</w:t>
            </w:r>
          </w:p>
        </w:tc>
        <w:tc>
          <w:tcPr>
            <w:tcW w:w="5281" w:type="dxa"/>
            <w:tcBorders>
              <w:top w:val="single" w:color="000000" w:sz="4" w:space="0"/>
              <w:left w:val="single" w:color="000000" w:sz="4" w:space="0"/>
              <w:bottom w:val="single" w:color="000000" w:sz="4" w:space="0"/>
              <w:right w:val="single" w:color="000000" w:sz="4" w:space="0"/>
            </w:tcBorders>
            <w:vAlign w:val="center"/>
          </w:tcPr>
          <w:p w14:paraId="4FE69B9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系统可依据案卷元素数据，通过点击校验按钮，后台服务将动态加载与该案件匹配的校验规则模型，并在模型载入后自动执行多维度校验与规则一致性验证等相关分析点，确保分析过程的精准性与业务合规性。</w:t>
            </w:r>
          </w:p>
        </w:tc>
        <w:tc>
          <w:tcPr>
            <w:tcW w:w="457" w:type="dxa"/>
            <w:tcBorders>
              <w:top w:val="single" w:color="000000" w:sz="4" w:space="0"/>
              <w:left w:val="single" w:color="000000" w:sz="4" w:space="0"/>
              <w:bottom w:val="single" w:color="000000" w:sz="4" w:space="0"/>
              <w:right w:val="single" w:color="000000" w:sz="4" w:space="0"/>
            </w:tcBorders>
            <w:vAlign w:val="center"/>
          </w:tcPr>
          <w:p w14:paraId="5CEB4F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A66757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85D3B2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2A8229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0743806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案卷归档</w:t>
            </w:r>
          </w:p>
        </w:tc>
        <w:tc>
          <w:tcPr>
            <w:tcW w:w="5281" w:type="dxa"/>
            <w:tcBorders>
              <w:top w:val="single" w:color="000000" w:sz="4" w:space="0"/>
              <w:left w:val="single" w:color="000000" w:sz="4" w:space="0"/>
              <w:bottom w:val="single" w:color="000000" w:sz="4" w:space="0"/>
              <w:right w:val="single" w:color="000000" w:sz="4" w:space="0"/>
            </w:tcBorders>
            <w:vAlign w:val="center"/>
          </w:tcPr>
          <w:p w14:paraId="43A1B3D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对已经完成校验的案件进行归档操作。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2D7CB6A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4771B4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8E6C09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BB2CC8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155E8D27">
            <w:pPr>
              <w:pStyle w:val="201"/>
              <w:spacing w:line="400" w:lineRule="exact"/>
              <w:rPr>
                <w:rFonts w:hint="eastAsia" w:asciiTheme="minorEastAsia" w:hAnsiTheme="minorEastAsia" w:eastAsiaTheme="minorEastAsia"/>
                <w:color w:val="000000"/>
                <w:sz w:val="24"/>
                <w:szCs w:val="24"/>
                <w:highlight w:val="none"/>
                <w:lang w:eastAsia="zh-CN" w:bidi="ar"/>
              </w:rPr>
            </w:pPr>
            <w:bookmarkStart w:id="8" w:name="_Toc2044564087"/>
            <w:r>
              <w:rPr>
                <w:rFonts w:hint="eastAsia" w:cs="微软雅黑" w:asciiTheme="minorEastAsia" w:hAnsiTheme="minorEastAsia" w:eastAsiaTheme="minorEastAsia"/>
                <w:color w:val="000000"/>
                <w:sz w:val="24"/>
                <w:szCs w:val="24"/>
                <w:highlight w:val="none"/>
                <w:lang w:val="zh-CN" w:eastAsia="zh-CN" w:bidi="ar"/>
              </w:rPr>
              <w:t>法律助手</w:t>
            </w:r>
            <w:bookmarkEnd w:id="8"/>
          </w:p>
        </w:tc>
        <w:tc>
          <w:tcPr>
            <w:tcW w:w="5281" w:type="dxa"/>
            <w:tcBorders>
              <w:top w:val="single" w:color="000000" w:sz="4" w:space="0"/>
              <w:left w:val="single" w:color="000000" w:sz="4" w:space="0"/>
              <w:bottom w:val="single" w:color="000000" w:sz="4" w:space="0"/>
              <w:right w:val="single" w:color="000000" w:sz="4" w:space="0"/>
            </w:tcBorders>
            <w:vAlign w:val="center"/>
          </w:tcPr>
          <w:p w14:paraId="6759C6BD">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为提升系统智能分析与辅助决策能力，建设交警类法律知识库、实战案例库与类案指引</w:t>
            </w:r>
          </w:p>
        </w:tc>
        <w:tc>
          <w:tcPr>
            <w:tcW w:w="457" w:type="dxa"/>
            <w:tcBorders>
              <w:top w:val="single" w:color="000000" w:sz="4" w:space="0"/>
              <w:left w:val="single" w:color="000000" w:sz="4" w:space="0"/>
              <w:bottom w:val="single" w:color="000000" w:sz="4" w:space="0"/>
              <w:right w:val="single" w:color="000000" w:sz="4" w:space="0"/>
            </w:tcBorders>
            <w:vAlign w:val="center"/>
          </w:tcPr>
          <w:p w14:paraId="7A2A3BF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414C585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1</w:t>
            </w:r>
          </w:p>
        </w:tc>
      </w:tr>
      <w:tr w14:paraId="76570D7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776AA9C">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六</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5E7BE907">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通行证服务平台</w:t>
            </w:r>
          </w:p>
        </w:tc>
        <w:tc>
          <w:tcPr>
            <w:tcW w:w="457" w:type="dxa"/>
            <w:tcBorders>
              <w:top w:val="single" w:color="000000" w:sz="4" w:space="0"/>
              <w:left w:val="single" w:color="000000" w:sz="4" w:space="0"/>
              <w:bottom w:val="single" w:color="000000" w:sz="4" w:space="0"/>
              <w:right w:val="single" w:color="000000" w:sz="4" w:space="0"/>
            </w:tcBorders>
            <w:vAlign w:val="center"/>
          </w:tcPr>
          <w:p w14:paraId="52A7A0E3">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3D3FB29">
            <w:pPr>
              <w:pStyle w:val="201"/>
              <w:spacing w:line="400" w:lineRule="exact"/>
              <w:jc w:val="center"/>
              <w:rPr>
                <w:rFonts w:hint="eastAsia" w:asciiTheme="minorEastAsia" w:hAnsiTheme="minorEastAsia" w:eastAsiaTheme="minorEastAsia"/>
                <w:b/>
                <w:color w:val="000000"/>
                <w:sz w:val="24"/>
                <w:szCs w:val="24"/>
                <w:highlight w:val="none"/>
              </w:rPr>
            </w:pPr>
          </w:p>
        </w:tc>
      </w:tr>
      <w:tr w14:paraId="70DC946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4AB6EB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3FC2FAA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非临时通行证管理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617D8C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支持管理维护审核通过的非临时通行证，提供通行证信息查询、状态维护、有效期管理等功能。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4BE31B0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291079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E35FBD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93612E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0A7F051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微信临时通行证管理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5F3753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支持审批小程序提交的临时通行证申请，提供申请信息查看、审核审批、结果反馈、短信通知等功能。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27E560E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5C268A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FD18FB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80AC51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0037CB5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通行证类别字典管理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781779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支持维护通行证类别信息，提供类别新增、修改、删除、查询等字典管理功能。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3CD6B1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3571B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34DD8C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584157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6738148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黑名单管理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D775B0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支持维护黑名单车辆信息，提供黑名单新增、锁定、解锁、查询等功能。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16EBDD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1ADCAE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9E3AFF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C825AF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3FE91F5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非临时通行证审批</w:t>
            </w:r>
          </w:p>
        </w:tc>
        <w:tc>
          <w:tcPr>
            <w:tcW w:w="5281" w:type="dxa"/>
            <w:tcBorders>
              <w:top w:val="single" w:color="000000" w:sz="4" w:space="0"/>
              <w:left w:val="single" w:color="000000" w:sz="4" w:space="0"/>
              <w:bottom w:val="single" w:color="000000" w:sz="4" w:space="0"/>
              <w:right w:val="single" w:color="000000" w:sz="4" w:space="0"/>
            </w:tcBorders>
            <w:vAlign w:val="center"/>
          </w:tcPr>
          <w:p w14:paraId="6D64CD8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支持审批小程序提交的非临时通行证申请，提供资料审核、审批通过</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驳回、通行证发放等功能。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4F2DD4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C454E9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086CE0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EE3A0A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6D9615F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小黄人审批</w:t>
            </w:r>
          </w:p>
        </w:tc>
        <w:tc>
          <w:tcPr>
            <w:tcW w:w="5281" w:type="dxa"/>
            <w:tcBorders>
              <w:top w:val="single" w:color="000000" w:sz="4" w:space="0"/>
              <w:left w:val="single" w:color="000000" w:sz="4" w:space="0"/>
              <w:bottom w:val="single" w:color="000000" w:sz="4" w:space="0"/>
              <w:right w:val="single" w:color="000000" w:sz="4" w:space="0"/>
            </w:tcBorders>
            <w:vAlign w:val="center"/>
          </w:tcPr>
          <w:p w14:paraId="31D621B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支持维护非临时通行证的车辆能否通过小黄人平台的审批，提供审批规则配置、审批结果查询等功能。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7ED73F2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29F337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C99293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E9A9BF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6C5D254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企业信息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4C6BB52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支持维护企业基本信息和企业关联的账号，提供企业注册、信息修改、账号关联等功能。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5B11D1B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5A741E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4BAB95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AD00A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4A4063B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企业统计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233F3FA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支持统计企业的通行证申请数量，提供按企业、时间段、通行证类型等维度统计查询功能。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4C7A868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388734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8FBD44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A651CF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5414176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1D299B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支持维护车辆基本信息，提供车辆新增、修改、删除、查询、状态管理等功能。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275EFBE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1F1EC1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8A8602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00C578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w:t>
            </w:r>
          </w:p>
        </w:tc>
        <w:tc>
          <w:tcPr>
            <w:tcW w:w="1613" w:type="dxa"/>
            <w:tcBorders>
              <w:top w:val="single" w:color="000000" w:sz="4" w:space="0"/>
              <w:left w:val="single" w:color="000000" w:sz="4" w:space="0"/>
              <w:bottom w:val="single" w:color="000000" w:sz="4" w:space="0"/>
              <w:right w:val="single" w:color="000000" w:sz="4" w:space="0"/>
            </w:tcBorders>
            <w:vAlign w:val="center"/>
          </w:tcPr>
          <w:p w14:paraId="6487BB4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企业驾驶员</w:t>
            </w:r>
          </w:p>
        </w:tc>
        <w:tc>
          <w:tcPr>
            <w:tcW w:w="5281" w:type="dxa"/>
            <w:tcBorders>
              <w:top w:val="single" w:color="000000" w:sz="4" w:space="0"/>
              <w:left w:val="single" w:color="000000" w:sz="4" w:space="0"/>
              <w:bottom w:val="single" w:color="000000" w:sz="4" w:space="0"/>
              <w:right w:val="single" w:color="000000" w:sz="4" w:space="0"/>
            </w:tcBorders>
            <w:vAlign w:val="center"/>
          </w:tcPr>
          <w:p w14:paraId="4629553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支持维护企业驾驶员基本信息，提供驾驶员新增、修改、删除、查询、资质管理等功能。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3AB6C31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0675E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FE0D38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E7D865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5096BC9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区域管理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1CD238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支持维护区域信息和临时通行证额度，提供区域新增、修改、删除、额度配置等功能。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75D7C6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1D412C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4D2409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F1FB2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1E07AF6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区域线路管理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7E0D93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支持维护区域线路信息，提供线路规划、新增、修改、删除、查询等功能。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77F8C6F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DF5412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91FA19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104307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48C39EF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临时通行证统计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13B5647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支持统计临时通行证申请情况，提供按时间段、区域、企业等维度统计与可视化展示。</w:t>
            </w:r>
          </w:p>
        </w:tc>
        <w:tc>
          <w:tcPr>
            <w:tcW w:w="457" w:type="dxa"/>
            <w:tcBorders>
              <w:top w:val="single" w:color="000000" w:sz="4" w:space="0"/>
              <w:left w:val="single" w:color="000000" w:sz="4" w:space="0"/>
              <w:bottom w:val="single" w:color="000000" w:sz="4" w:space="0"/>
              <w:right w:val="single" w:color="000000" w:sz="4" w:space="0"/>
            </w:tcBorders>
            <w:vAlign w:val="center"/>
          </w:tcPr>
          <w:p w14:paraId="30DACAD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4A496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A21633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D87DE0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405D6BC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长短期通行证统计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5AFCF58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支持统计非临时通行证的申请情况，提供按时间段、企业、车辆等维度统计与报表生成。</w:t>
            </w:r>
          </w:p>
        </w:tc>
        <w:tc>
          <w:tcPr>
            <w:tcW w:w="457" w:type="dxa"/>
            <w:tcBorders>
              <w:top w:val="single" w:color="000000" w:sz="4" w:space="0"/>
              <w:left w:val="single" w:color="000000" w:sz="4" w:space="0"/>
              <w:bottom w:val="single" w:color="000000" w:sz="4" w:space="0"/>
              <w:right w:val="single" w:color="000000" w:sz="4" w:space="0"/>
            </w:tcBorders>
            <w:vAlign w:val="center"/>
          </w:tcPr>
          <w:p w14:paraId="3564316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C7414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51FCEE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E7336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w:t>
            </w:r>
          </w:p>
        </w:tc>
        <w:tc>
          <w:tcPr>
            <w:tcW w:w="1613" w:type="dxa"/>
            <w:tcBorders>
              <w:top w:val="single" w:color="000000" w:sz="4" w:space="0"/>
              <w:left w:val="single" w:color="000000" w:sz="4" w:space="0"/>
              <w:bottom w:val="single" w:color="000000" w:sz="4" w:space="0"/>
              <w:right w:val="single" w:color="000000" w:sz="4" w:space="0"/>
            </w:tcBorders>
            <w:vAlign w:val="center"/>
          </w:tcPr>
          <w:p w14:paraId="59ACDAB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查询统计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574EF9D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支持统计通行证整体办理情况，提供多维度组合查询、汇总分析、数据导出等功能。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0BD38DC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DF257D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916823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05270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16</w:t>
            </w:r>
          </w:p>
        </w:tc>
        <w:tc>
          <w:tcPr>
            <w:tcW w:w="1613" w:type="dxa"/>
            <w:tcBorders>
              <w:top w:val="single" w:color="000000" w:sz="4" w:space="0"/>
              <w:left w:val="single" w:color="000000" w:sz="4" w:space="0"/>
              <w:bottom w:val="single" w:color="000000" w:sz="4" w:space="0"/>
              <w:right w:val="single" w:color="000000" w:sz="4" w:space="0"/>
            </w:tcBorders>
            <w:vAlign w:val="center"/>
          </w:tcPr>
          <w:p w14:paraId="45BD66D9">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AI</w:t>
            </w:r>
            <w:r>
              <w:rPr>
                <w:rFonts w:hint="eastAsia" w:cs="微软雅黑" w:asciiTheme="minorEastAsia" w:hAnsiTheme="minorEastAsia" w:eastAsiaTheme="minorEastAsia"/>
                <w:color w:val="000000"/>
                <w:sz w:val="24"/>
                <w:szCs w:val="24"/>
                <w:highlight w:val="none"/>
                <w:lang w:eastAsia="zh-CN" w:bidi="ar"/>
              </w:rPr>
              <w:t>智能路线</w:t>
            </w:r>
          </w:p>
        </w:tc>
        <w:tc>
          <w:tcPr>
            <w:tcW w:w="5281" w:type="dxa"/>
            <w:tcBorders>
              <w:top w:val="single" w:color="000000" w:sz="4" w:space="0"/>
              <w:left w:val="single" w:color="000000" w:sz="4" w:space="0"/>
              <w:bottom w:val="single" w:color="000000" w:sz="4" w:space="0"/>
              <w:right w:val="single" w:color="000000" w:sz="4" w:space="0"/>
            </w:tcBorders>
            <w:vAlign w:val="center"/>
          </w:tcPr>
          <w:p w14:paraId="0E1F638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利用高德地图货车路径规划服务，智能生成合规、高效的货车专属行驶路线。支持多途经点规划与自定义避让策略，自动规避禁限行与拥堵路段，实现运输路线的智能决策与动态导航。</w:t>
            </w:r>
          </w:p>
        </w:tc>
        <w:tc>
          <w:tcPr>
            <w:tcW w:w="457" w:type="dxa"/>
            <w:tcBorders>
              <w:top w:val="single" w:color="000000" w:sz="4" w:space="0"/>
              <w:left w:val="single" w:color="000000" w:sz="4" w:space="0"/>
              <w:bottom w:val="single" w:color="000000" w:sz="4" w:space="0"/>
              <w:right w:val="single" w:color="000000" w:sz="4" w:space="0"/>
            </w:tcBorders>
            <w:vAlign w:val="center"/>
          </w:tcPr>
          <w:p w14:paraId="653A23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281654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08638D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F8E981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17</w:t>
            </w:r>
          </w:p>
        </w:tc>
        <w:tc>
          <w:tcPr>
            <w:tcW w:w="1613" w:type="dxa"/>
            <w:tcBorders>
              <w:top w:val="single" w:color="000000" w:sz="4" w:space="0"/>
              <w:left w:val="single" w:color="000000" w:sz="4" w:space="0"/>
              <w:bottom w:val="single" w:color="000000" w:sz="4" w:space="0"/>
              <w:right w:val="single" w:color="000000" w:sz="4" w:space="0"/>
            </w:tcBorders>
            <w:vAlign w:val="center"/>
          </w:tcPr>
          <w:p w14:paraId="0C6E14A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外部系统对接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761B4A7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对接人车企平台、电子警察、小黄人平台、驾驶证</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、行驶证</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、高德地图等外部系统。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1005BF5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789E79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B7FFA2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83E5C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18</w:t>
            </w:r>
          </w:p>
        </w:tc>
        <w:tc>
          <w:tcPr>
            <w:tcW w:w="1613" w:type="dxa"/>
            <w:tcBorders>
              <w:top w:val="single" w:color="000000" w:sz="4" w:space="0"/>
              <w:left w:val="single" w:color="000000" w:sz="4" w:space="0"/>
              <w:bottom w:val="single" w:color="000000" w:sz="4" w:space="0"/>
              <w:right w:val="single" w:color="000000" w:sz="4" w:space="0"/>
            </w:tcBorders>
            <w:vAlign w:val="center"/>
          </w:tcPr>
          <w:p w14:paraId="5B7B0B2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车牌识别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1A669E9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支持识别图片中的车牌号码，实现图片自动解析与车牌信息提取。</w:t>
            </w:r>
          </w:p>
        </w:tc>
        <w:tc>
          <w:tcPr>
            <w:tcW w:w="457" w:type="dxa"/>
            <w:tcBorders>
              <w:top w:val="single" w:color="000000" w:sz="4" w:space="0"/>
              <w:left w:val="single" w:color="000000" w:sz="4" w:space="0"/>
              <w:bottom w:val="single" w:color="000000" w:sz="4" w:space="0"/>
              <w:right w:val="single" w:color="000000" w:sz="4" w:space="0"/>
            </w:tcBorders>
            <w:vAlign w:val="center"/>
          </w:tcPr>
          <w:p w14:paraId="6DE004F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62C45D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B5F9DB9">
        <w:tblPrEx>
          <w:tblCellMar>
            <w:top w:w="0" w:type="dxa"/>
            <w:left w:w="108" w:type="dxa"/>
            <w:bottom w:w="0" w:type="dxa"/>
            <w:right w:w="108" w:type="dxa"/>
          </w:tblCellMar>
        </w:tblPrEx>
        <w:trPr>
          <w:trHeight w:val="176"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7ADB5F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19</w:t>
            </w:r>
          </w:p>
        </w:tc>
        <w:tc>
          <w:tcPr>
            <w:tcW w:w="1613" w:type="dxa"/>
            <w:tcBorders>
              <w:top w:val="single" w:color="000000" w:sz="4" w:space="0"/>
              <w:left w:val="single" w:color="000000" w:sz="4" w:space="0"/>
              <w:bottom w:val="single" w:color="000000" w:sz="4" w:space="0"/>
              <w:right w:val="single" w:color="000000" w:sz="4" w:space="0"/>
            </w:tcBorders>
            <w:vAlign w:val="center"/>
          </w:tcPr>
          <w:p w14:paraId="0E29A25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历史数据迁移</w:t>
            </w:r>
          </w:p>
        </w:tc>
        <w:tc>
          <w:tcPr>
            <w:tcW w:w="5281" w:type="dxa"/>
            <w:tcBorders>
              <w:top w:val="single" w:color="000000" w:sz="4" w:space="0"/>
              <w:left w:val="single" w:color="000000" w:sz="4" w:space="0"/>
              <w:bottom w:val="single" w:color="000000" w:sz="4" w:space="0"/>
              <w:right w:val="single" w:color="000000" w:sz="4" w:space="0"/>
            </w:tcBorders>
            <w:vAlign w:val="center"/>
          </w:tcPr>
          <w:p w14:paraId="6E468C0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完成互联网、视频网历史数据迁移，制定分阶段迁移方案，实现数据安全、完整迁移。</w:t>
            </w:r>
          </w:p>
        </w:tc>
        <w:tc>
          <w:tcPr>
            <w:tcW w:w="457" w:type="dxa"/>
            <w:tcBorders>
              <w:top w:val="single" w:color="000000" w:sz="4" w:space="0"/>
              <w:left w:val="single" w:color="000000" w:sz="4" w:space="0"/>
              <w:bottom w:val="single" w:color="000000" w:sz="4" w:space="0"/>
              <w:right w:val="single" w:color="000000" w:sz="4" w:space="0"/>
            </w:tcBorders>
            <w:vAlign w:val="center"/>
          </w:tcPr>
          <w:p w14:paraId="23768B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D3DA0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9E2044A">
        <w:tblPrEx>
          <w:tblCellMar>
            <w:top w:w="0" w:type="dxa"/>
            <w:left w:w="108" w:type="dxa"/>
            <w:bottom w:w="0" w:type="dxa"/>
            <w:right w:w="108" w:type="dxa"/>
          </w:tblCellMar>
        </w:tblPrEx>
        <w:trPr>
          <w:trHeight w:val="90"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E32ACF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20</w:t>
            </w:r>
          </w:p>
        </w:tc>
        <w:tc>
          <w:tcPr>
            <w:tcW w:w="1613" w:type="dxa"/>
            <w:tcBorders>
              <w:top w:val="single" w:color="000000" w:sz="4" w:space="0"/>
              <w:left w:val="single" w:color="000000" w:sz="4" w:space="0"/>
              <w:bottom w:val="single" w:color="000000" w:sz="4" w:space="0"/>
              <w:right w:val="single" w:color="000000" w:sz="4" w:space="0"/>
            </w:tcBorders>
            <w:vAlign w:val="center"/>
          </w:tcPr>
          <w:p w14:paraId="1922ECE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系统培训</w:t>
            </w:r>
          </w:p>
        </w:tc>
        <w:tc>
          <w:tcPr>
            <w:tcW w:w="5281" w:type="dxa"/>
            <w:tcBorders>
              <w:top w:val="single" w:color="000000" w:sz="4" w:space="0"/>
              <w:left w:val="single" w:color="000000" w:sz="4" w:space="0"/>
              <w:bottom w:val="single" w:color="000000" w:sz="4" w:space="0"/>
              <w:right w:val="single" w:color="000000" w:sz="4" w:space="0"/>
            </w:tcBorders>
            <w:vAlign w:val="center"/>
          </w:tcPr>
          <w:p w14:paraId="6BE6497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提供培训资料，所有资料中文书写，培训对象主要包括系统管理员及业务人员。</w:t>
            </w:r>
          </w:p>
        </w:tc>
        <w:tc>
          <w:tcPr>
            <w:tcW w:w="457" w:type="dxa"/>
            <w:tcBorders>
              <w:top w:val="single" w:color="000000" w:sz="4" w:space="0"/>
              <w:left w:val="single" w:color="000000" w:sz="4" w:space="0"/>
              <w:bottom w:val="single" w:color="000000" w:sz="4" w:space="0"/>
              <w:right w:val="single" w:color="000000" w:sz="4" w:space="0"/>
            </w:tcBorders>
            <w:vAlign w:val="center"/>
          </w:tcPr>
          <w:p w14:paraId="7C9CDF8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938FA2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75012B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ECB34FE">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七</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14BCD143">
            <w:pPr>
              <w:pStyle w:val="201"/>
              <w:spacing w:line="400" w:lineRule="exact"/>
              <w:rPr>
                <w:rFonts w:hint="eastAsia" w:asciiTheme="minorEastAsia" w:hAnsiTheme="minorEastAsia" w:eastAsiaTheme="minorEastAsia"/>
                <w:b/>
                <w:bCs/>
                <w:color w:val="000000"/>
                <w:sz w:val="24"/>
                <w:szCs w:val="24"/>
                <w:highlight w:val="none"/>
              </w:rPr>
            </w:pPr>
            <w:r>
              <w:rPr>
                <w:rFonts w:hint="eastAsia" w:asciiTheme="minorEastAsia" w:hAnsiTheme="minorEastAsia" w:eastAsiaTheme="minorEastAsia"/>
                <w:b/>
                <w:bCs/>
                <w:color w:val="000000"/>
                <w:sz w:val="24"/>
                <w:szCs w:val="24"/>
                <w:highlight w:val="none"/>
                <w:lang w:eastAsia="zh-CN" w:bidi="ar"/>
              </w:rPr>
              <w:t>AI</w:t>
            </w:r>
            <w:r>
              <w:rPr>
                <w:rFonts w:hint="eastAsia" w:cs="微软雅黑" w:asciiTheme="minorEastAsia" w:hAnsiTheme="minorEastAsia" w:eastAsiaTheme="minorEastAsia"/>
                <w:b/>
                <w:bCs/>
                <w:color w:val="000000"/>
                <w:sz w:val="24"/>
                <w:szCs w:val="24"/>
                <w:highlight w:val="none"/>
                <w:lang w:eastAsia="zh-CN" w:bidi="ar"/>
              </w:rPr>
              <w:t>眼镜应用平台</w:t>
            </w:r>
          </w:p>
        </w:tc>
        <w:tc>
          <w:tcPr>
            <w:tcW w:w="457" w:type="dxa"/>
            <w:tcBorders>
              <w:top w:val="single" w:color="000000" w:sz="4" w:space="0"/>
              <w:left w:val="single" w:color="000000" w:sz="4" w:space="0"/>
              <w:bottom w:val="single" w:color="000000" w:sz="4" w:space="0"/>
              <w:right w:val="single" w:color="000000" w:sz="4" w:space="0"/>
            </w:tcBorders>
            <w:vAlign w:val="center"/>
          </w:tcPr>
          <w:p w14:paraId="2AB4BAC7">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26E2A0C">
            <w:pPr>
              <w:pStyle w:val="201"/>
              <w:spacing w:line="400" w:lineRule="exact"/>
              <w:jc w:val="center"/>
              <w:rPr>
                <w:rFonts w:hint="eastAsia" w:asciiTheme="minorEastAsia" w:hAnsiTheme="minorEastAsia" w:eastAsiaTheme="minorEastAsia"/>
                <w:b/>
                <w:color w:val="000000"/>
                <w:sz w:val="24"/>
                <w:szCs w:val="24"/>
                <w:highlight w:val="none"/>
              </w:rPr>
            </w:pPr>
          </w:p>
        </w:tc>
      </w:tr>
      <w:tr w14:paraId="418B429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5E9950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0D06CBA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人员信息功能模块</w:t>
            </w:r>
          </w:p>
        </w:tc>
        <w:tc>
          <w:tcPr>
            <w:tcW w:w="5281" w:type="dxa"/>
            <w:tcBorders>
              <w:top w:val="single" w:color="000000" w:sz="4" w:space="0"/>
              <w:left w:val="single" w:color="000000" w:sz="4" w:space="0"/>
              <w:bottom w:val="single" w:color="000000" w:sz="4" w:space="0"/>
              <w:right w:val="single" w:color="000000" w:sz="4" w:space="0"/>
            </w:tcBorders>
            <w:vAlign w:val="center"/>
          </w:tcPr>
          <w:p w14:paraId="58C01358">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5BB307F6">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E453EE8">
            <w:pPr>
              <w:pStyle w:val="201"/>
              <w:spacing w:line="400" w:lineRule="exact"/>
              <w:jc w:val="center"/>
              <w:rPr>
                <w:rFonts w:hint="eastAsia" w:asciiTheme="minorEastAsia" w:hAnsiTheme="minorEastAsia" w:eastAsiaTheme="minorEastAsia"/>
                <w:color w:val="000000"/>
                <w:sz w:val="24"/>
                <w:szCs w:val="24"/>
                <w:highlight w:val="none"/>
              </w:rPr>
            </w:pPr>
          </w:p>
        </w:tc>
      </w:tr>
      <w:tr w14:paraId="56A7C3F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687767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65D7E57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人脸识别及比对</w:t>
            </w:r>
          </w:p>
        </w:tc>
        <w:tc>
          <w:tcPr>
            <w:tcW w:w="5281" w:type="dxa"/>
            <w:tcBorders>
              <w:top w:val="single" w:color="000000" w:sz="4" w:space="0"/>
              <w:left w:val="single" w:color="000000" w:sz="4" w:space="0"/>
              <w:bottom w:val="single" w:color="000000" w:sz="4" w:space="0"/>
              <w:right w:val="single" w:color="000000" w:sz="4" w:space="0"/>
            </w:tcBorders>
            <w:vAlign w:val="center"/>
          </w:tcPr>
          <w:p w14:paraId="268A7E8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对接接收前端传送的人脸图</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对接</w:t>
            </w:r>
            <w:r>
              <w:rPr>
                <w:rFonts w:hint="eastAsia" w:asciiTheme="minorEastAsia" w:hAnsiTheme="minorEastAsia" w:eastAsiaTheme="minorEastAsia"/>
                <w:color w:val="000000"/>
                <w:sz w:val="24"/>
                <w:szCs w:val="24"/>
                <w:highlight w:val="none"/>
                <w:lang w:eastAsia="zh-CN" w:bidi="ar"/>
              </w:rPr>
              <w:t>GA</w:t>
            </w:r>
            <w:r>
              <w:rPr>
                <w:rFonts w:hint="eastAsia" w:cs="微软雅黑" w:asciiTheme="minorEastAsia" w:hAnsiTheme="minorEastAsia" w:eastAsiaTheme="minorEastAsia"/>
                <w:color w:val="000000"/>
                <w:sz w:val="24"/>
                <w:szCs w:val="24"/>
                <w:highlight w:val="none"/>
                <w:lang w:eastAsia="zh-CN" w:bidi="ar"/>
              </w:rPr>
              <w:t>网人脸比对接口，进行人脸识别</w:t>
            </w:r>
          </w:p>
        </w:tc>
        <w:tc>
          <w:tcPr>
            <w:tcW w:w="457" w:type="dxa"/>
            <w:tcBorders>
              <w:top w:val="single" w:color="000000" w:sz="4" w:space="0"/>
              <w:left w:val="single" w:color="000000" w:sz="4" w:space="0"/>
              <w:bottom w:val="single" w:color="000000" w:sz="4" w:space="0"/>
              <w:right w:val="single" w:color="000000" w:sz="4" w:space="0"/>
            </w:tcBorders>
            <w:vAlign w:val="center"/>
          </w:tcPr>
          <w:p w14:paraId="2A244C9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D9B37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55C7A7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D1520F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2E9E557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驾驶证行驶证识别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0B4240E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接收前端传输的驾驶证</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行驶证图片</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通过</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读取识别驾驶证、行驶证信息，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07C0A3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43A22F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D375F6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7D39A3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5BD058DE">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AI</w:t>
            </w:r>
            <w:r>
              <w:rPr>
                <w:rFonts w:hint="eastAsia" w:cs="微软雅黑" w:asciiTheme="minorEastAsia" w:hAnsiTheme="minorEastAsia" w:eastAsiaTheme="minorEastAsia"/>
                <w:color w:val="000000"/>
                <w:sz w:val="24"/>
                <w:szCs w:val="24"/>
                <w:highlight w:val="none"/>
                <w:lang w:eastAsia="zh-CN" w:bidi="ar"/>
              </w:rPr>
              <w:t>眼镜联动</w:t>
            </w:r>
          </w:p>
        </w:tc>
        <w:tc>
          <w:tcPr>
            <w:tcW w:w="5281" w:type="dxa"/>
            <w:tcBorders>
              <w:top w:val="single" w:color="000000" w:sz="4" w:space="0"/>
              <w:left w:val="single" w:color="000000" w:sz="4" w:space="0"/>
              <w:bottom w:val="single" w:color="000000" w:sz="4" w:space="0"/>
              <w:right w:val="single" w:color="000000" w:sz="4" w:space="0"/>
            </w:tcBorders>
            <w:vAlign w:val="center"/>
          </w:tcPr>
          <w:p w14:paraId="62EE268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比对识别后的人员信息、驾驶证、行驶证信息，开发接口推送显示到眼镜前端</w:t>
            </w:r>
          </w:p>
        </w:tc>
        <w:tc>
          <w:tcPr>
            <w:tcW w:w="457" w:type="dxa"/>
            <w:tcBorders>
              <w:top w:val="single" w:color="000000" w:sz="4" w:space="0"/>
              <w:left w:val="single" w:color="000000" w:sz="4" w:space="0"/>
              <w:bottom w:val="single" w:color="000000" w:sz="4" w:space="0"/>
              <w:right w:val="single" w:color="000000" w:sz="4" w:space="0"/>
            </w:tcBorders>
            <w:vAlign w:val="center"/>
          </w:tcPr>
          <w:p w14:paraId="6548AF6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07E029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90897B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054FE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57BC80C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档案联动</w:t>
            </w:r>
          </w:p>
        </w:tc>
        <w:tc>
          <w:tcPr>
            <w:tcW w:w="5281" w:type="dxa"/>
            <w:tcBorders>
              <w:top w:val="single" w:color="000000" w:sz="4" w:space="0"/>
              <w:left w:val="single" w:color="000000" w:sz="4" w:space="0"/>
              <w:bottom w:val="single" w:color="000000" w:sz="4" w:space="0"/>
              <w:right w:val="single" w:color="000000" w:sz="4" w:space="0"/>
            </w:tcBorders>
            <w:vAlign w:val="center"/>
          </w:tcPr>
          <w:p w14:paraId="75A54B6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通过识别的人员信息，对接事故违法记录平台获取人员违法记录、事故信息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61499E7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051B1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B329A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9B0662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w:t>
            </w:r>
          </w:p>
        </w:tc>
        <w:tc>
          <w:tcPr>
            <w:tcW w:w="1613" w:type="dxa"/>
            <w:tcBorders>
              <w:top w:val="single" w:color="000000" w:sz="4" w:space="0"/>
              <w:left w:val="single" w:color="000000" w:sz="4" w:space="0"/>
              <w:bottom w:val="single" w:color="000000" w:sz="4" w:space="0"/>
              <w:right w:val="single" w:color="000000" w:sz="4" w:space="0"/>
            </w:tcBorders>
            <w:vAlign w:val="center"/>
          </w:tcPr>
          <w:p w14:paraId="1F4B9B8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警务通联动</w:t>
            </w:r>
          </w:p>
        </w:tc>
        <w:tc>
          <w:tcPr>
            <w:tcW w:w="5281" w:type="dxa"/>
            <w:tcBorders>
              <w:top w:val="single" w:color="000000" w:sz="4" w:space="0"/>
              <w:left w:val="single" w:color="000000" w:sz="4" w:space="0"/>
              <w:bottom w:val="single" w:color="000000" w:sz="4" w:space="0"/>
              <w:right w:val="single" w:color="000000" w:sz="4" w:space="0"/>
            </w:tcBorders>
            <w:vAlign w:val="center"/>
          </w:tcPr>
          <w:p w14:paraId="3299FD6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将比对识别后的人员信息、驾驶证、行驶证信息，推送到警务终端</w:t>
            </w:r>
          </w:p>
        </w:tc>
        <w:tc>
          <w:tcPr>
            <w:tcW w:w="457" w:type="dxa"/>
            <w:tcBorders>
              <w:top w:val="single" w:color="000000" w:sz="4" w:space="0"/>
              <w:left w:val="single" w:color="000000" w:sz="4" w:space="0"/>
              <w:bottom w:val="single" w:color="000000" w:sz="4" w:space="0"/>
              <w:right w:val="single" w:color="000000" w:sz="4" w:space="0"/>
            </w:tcBorders>
            <w:vAlign w:val="center"/>
          </w:tcPr>
          <w:p w14:paraId="589A57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422F8E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4BF098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050E76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7ACADD3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车辆信息功能模块</w:t>
            </w:r>
          </w:p>
        </w:tc>
        <w:tc>
          <w:tcPr>
            <w:tcW w:w="5281" w:type="dxa"/>
            <w:tcBorders>
              <w:top w:val="single" w:color="000000" w:sz="4" w:space="0"/>
              <w:left w:val="single" w:color="000000" w:sz="4" w:space="0"/>
              <w:bottom w:val="single" w:color="000000" w:sz="4" w:space="0"/>
              <w:right w:val="single" w:color="000000" w:sz="4" w:space="0"/>
            </w:tcBorders>
            <w:vAlign w:val="center"/>
          </w:tcPr>
          <w:p w14:paraId="53959605">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CA90E37">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C9329FF">
            <w:pPr>
              <w:pStyle w:val="201"/>
              <w:spacing w:line="400" w:lineRule="exact"/>
              <w:jc w:val="center"/>
              <w:rPr>
                <w:rFonts w:hint="eastAsia" w:asciiTheme="minorEastAsia" w:hAnsiTheme="minorEastAsia" w:eastAsiaTheme="minorEastAsia"/>
                <w:color w:val="000000"/>
                <w:sz w:val="24"/>
                <w:szCs w:val="24"/>
                <w:highlight w:val="none"/>
              </w:rPr>
            </w:pPr>
          </w:p>
        </w:tc>
      </w:tr>
      <w:tr w14:paraId="0C6D8D7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FDE78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64BE163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机动车</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非机动车号牌识别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6B67B73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开发对接前端识别的机动车号牌，并进行对接</w:t>
            </w:r>
            <w:r>
              <w:rPr>
                <w:rFonts w:hint="eastAsia" w:asciiTheme="minorEastAsia" w:hAnsiTheme="minorEastAsia" w:eastAsiaTheme="minorEastAsia"/>
                <w:color w:val="000000"/>
                <w:sz w:val="24"/>
                <w:szCs w:val="24"/>
                <w:highlight w:val="none"/>
                <w:lang w:eastAsia="zh-CN" w:bidi="ar"/>
              </w:rPr>
              <w:t>GA</w:t>
            </w:r>
            <w:r>
              <w:rPr>
                <w:rFonts w:hint="eastAsia" w:cs="微软雅黑" w:asciiTheme="minorEastAsia" w:hAnsiTheme="minorEastAsia" w:eastAsiaTheme="minorEastAsia"/>
                <w:color w:val="000000"/>
                <w:sz w:val="24"/>
                <w:szCs w:val="24"/>
                <w:highlight w:val="none"/>
                <w:lang w:eastAsia="zh-CN" w:bidi="ar"/>
              </w:rPr>
              <w:t>网比对</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开发非机动识别模型，移植眼镜前端进行非机动车号码识别</w:t>
            </w:r>
          </w:p>
        </w:tc>
        <w:tc>
          <w:tcPr>
            <w:tcW w:w="457" w:type="dxa"/>
            <w:tcBorders>
              <w:top w:val="single" w:color="000000" w:sz="4" w:space="0"/>
              <w:left w:val="single" w:color="000000" w:sz="4" w:space="0"/>
              <w:bottom w:val="single" w:color="000000" w:sz="4" w:space="0"/>
              <w:right w:val="single" w:color="000000" w:sz="4" w:space="0"/>
            </w:tcBorders>
            <w:vAlign w:val="center"/>
          </w:tcPr>
          <w:p w14:paraId="04EC94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305B14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26B18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1D8BDF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52FC6BE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慧眼平台联动</w:t>
            </w:r>
          </w:p>
        </w:tc>
        <w:tc>
          <w:tcPr>
            <w:tcW w:w="5281" w:type="dxa"/>
            <w:tcBorders>
              <w:top w:val="single" w:color="000000" w:sz="4" w:space="0"/>
              <w:left w:val="single" w:color="000000" w:sz="4" w:space="0"/>
              <w:bottom w:val="single" w:color="000000" w:sz="4" w:space="0"/>
              <w:right w:val="single" w:color="000000" w:sz="4" w:space="0"/>
            </w:tcBorders>
            <w:vAlign w:val="center"/>
          </w:tcPr>
          <w:p w14:paraId="38C3B2B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依据识别的机动车</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非机动车号牌信息，开发对接关联</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慧眼</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平台，调取车辆历史违法记录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46ACDD3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0B0728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148B7A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3759E6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tcBorders>
              <w:top w:val="single" w:color="000000" w:sz="4" w:space="0"/>
              <w:left w:val="single" w:color="000000" w:sz="4" w:space="0"/>
              <w:bottom w:val="single" w:color="000000" w:sz="4" w:space="0"/>
              <w:right w:val="single" w:color="000000" w:sz="4" w:space="0"/>
            </w:tcBorders>
            <w:vAlign w:val="center"/>
          </w:tcPr>
          <w:p w14:paraId="424B844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违法报警联动</w:t>
            </w:r>
          </w:p>
        </w:tc>
        <w:tc>
          <w:tcPr>
            <w:tcW w:w="5281" w:type="dxa"/>
            <w:tcBorders>
              <w:top w:val="single" w:color="000000" w:sz="4" w:space="0"/>
              <w:left w:val="single" w:color="000000" w:sz="4" w:space="0"/>
              <w:bottom w:val="single" w:color="000000" w:sz="4" w:space="0"/>
              <w:right w:val="single" w:color="000000" w:sz="4" w:space="0"/>
            </w:tcBorders>
            <w:vAlign w:val="center"/>
          </w:tcPr>
          <w:p w14:paraId="661E78F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获取前端传送的拍照截图，开发组合证据链，推送至警务终端关联违法停车、开车打电话、未系安全带违法行为</w:t>
            </w:r>
          </w:p>
        </w:tc>
        <w:tc>
          <w:tcPr>
            <w:tcW w:w="457" w:type="dxa"/>
            <w:tcBorders>
              <w:top w:val="single" w:color="000000" w:sz="4" w:space="0"/>
              <w:left w:val="single" w:color="000000" w:sz="4" w:space="0"/>
              <w:bottom w:val="single" w:color="000000" w:sz="4" w:space="0"/>
              <w:right w:val="single" w:color="000000" w:sz="4" w:space="0"/>
            </w:tcBorders>
            <w:vAlign w:val="center"/>
          </w:tcPr>
          <w:p w14:paraId="3A13D8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672E85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60E475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DB9B41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2.4</w:t>
            </w:r>
          </w:p>
        </w:tc>
        <w:tc>
          <w:tcPr>
            <w:tcW w:w="1613" w:type="dxa"/>
            <w:tcBorders>
              <w:top w:val="single" w:color="000000" w:sz="4" w:space="0"/>
              <w:left w:val="single" w:color="000000" w:sz="4" w:space="0"/>
              <w:bottom w:val="single" w:color="000000" w:sz="4" w:space="0"/>
              <w:right w:val="single" w:color="000000" w:sz="4" w:space="0"/>
            </w:tcBorders>
            <w:vAlign w:val="center"/>
          </w:tcPr>
          <w:p w14:paraId="583FBCD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证据上传</w:t>
            </w:r>
          </w:p>
        </w:tc>
        <w:tc>
          <w:tcPr>
            <w:tcW w:w="5281" w:type="dxa"/>
            <w:tcBorders>
              <w:top w:val="single" w:color="000000" w:sz="4" w:space="0"/>
              <w:left w:val="single" w:color="000000" w:sz="4" w:space="0"/>
              <w:bottom w:val="single" w:color="000000" w:sz="4" w:space="0"/>
              <w:right w:val="single" w:color="000000" w:sz="4" w:space="0"/>
            </w:tcBorders>
            <w:vAlign w:val="center"/>
          </w:tcPr>
          <w:p w14:paraId="203B503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开发截取证据并关联车辆号码信息，自动上传至违法审核库</w:t>
            </w:r>
          </w:p>
        </w:tc>
        <w:tc>
          <w:tcPr>
            <w:tcW w:w="457" w:type="dxa"/>
            <w:tcBorders>
              <w:top w:val="single" w:color="000000" w:sz="4" w:space="0"/>
              <w:left w:val="single" w:color="000000" w:sz="4" w:space="0"/>
              <w:bottom w:val="single" w:color="000000" w:sz="4" w:space="0"/>
              <w:right w:val="single" w:color="000000" w:sz="4" w:space="0"/>
            </w:tcBorders>
            <w:vAlign w:val="center"/>
          </w:tcPr>
          <w:p w14:paraId="1E80B02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9F2E37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7F314C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CD4BE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38ABC6D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语音识别模块</w:t>
            </w:r>
          </w:p>
        </w:tc>
        <w:tc>
          <w:tcPr>
            <w:tcW w:w="5281" w:type="dxa"/>
            <w:tcBorders>
              <w:top w:val="single" w:color="000000" w:sz="4" w:space="0"/>
              <w:left w:val="single" w:color="000000" w:sz="4" w:space="0"/>
              <w:bottom w:val="single" w:color="000000" w:sz="4" w:space="0"/>
              <w:right w:val="single" w:color="000000" w:sz="4" w:space="0"/>
            </w:tcBorders>
            <w:vAlign w:val="center"/>
          </w:tcPr>
          <w:p w14:paraId="30F8A8FC">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E7794D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C955537">
            <w:pPr>
              <w:pStyle w:val="201"/>
              <w:spacing w:line="400" w:lineRule="exact"/>
              <w:jc w:val="center"/>
              <w:rPr>
                <w:rFonts w:hint="eastAsia" w:asciiTheme="minorEastAsia" w:hAnsiTheme="minorEastAsia" w:eastAsiaTheme="minorEastAsia"/>
                <w:color w:val="000000"/>
                <w:sz w:val="24"/>
                <w:szCs w:val="24"/>
                <w:highlight w:val="none"/>
              </w:rPr>
            </w:pPr>
          </w:p>
        </w:tc>
      </w:tr>
      <w:tr w14:paraId="35AC4E8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37091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40933CF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结构化文本转录</w:t>
            </w:r>
          </w:p>
        </w:tc>
        <w:tc>
          <w:tcPr>
            <w:tcW w:w="5281" w:type="dxa"/>
            <w:tcBorders>
              <w:top w:val="single" w:color="000000" w:sz="4" w:space="0"/>
              <w:left w:val="single" w:color="000000" w:sz="4" w:space="0"/>
              <w:bottom w:val="single" w:color="000000" w:sz="4" w:space="0"/>
              <w:right w:val="single" w:color="000000" w:sz="4" w:space="0"/>
            </w:tcBorders>
            <w:vAlign w:val="center"/>
          </w:tcPr>
          <w:p w14:paraId="6B97037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语音识别转写当事人陈述，生成结构化文本存档。</w:t>
            </w:r>
          </w:p>
        </w:tc>
        <w:tc>
          <w:tcPr>
            <w:tcW w:w="457" w:type="dxa"/>
            <w:tcBorders>
              <w:top w:val="single" w:color="000000" w:sz="4" w:space="0"/>
              <w:left w:val="single" w:color="000000" w:sz="4" w:space="0"/>
              <w:bottom w:val="single" w:color="000000" w:sz="4" w:space="0"/>
              <w:right w:val="single" w:color="000000" w:sz="4" w:space="0"/>
            </w:tcBorders>
            <w:vAlign w:val="center"/>
          </w:tcPr>
          <w:p w14:paraId="1B6D7C8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24ED77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091A54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E4CDB7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558C694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执法流程规范模块</w:t>
            </w:r>
          </w:p>
        </w:tc>
        <w:tc>
          <w:tcPr>
            <w:tcW w:w="5281" w:type="dxa"/>
            <w:tcBorders>
              <w:top w:val="single" w:color="000000" w:sz="4" w:space="0"/>
              <w:left w:val="single" w:color="000000" w:sz="4" w:space="0"/>
              <w:bottom w:val="single" w:color="000000" w:sz="4" w:space="0"/>
              <w:right w:val="single" w:color="000000" w:sz="4" w:space="0"/>
            </w:tcBorders>
            <w:vAlign w:val="center"/>
          </w:tcPr>
          <w:p w14:paraId="06B09F98">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0E73DEB">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23F46F4">
            <w:pPr>
              <w:pStyle w:val="201"/>
              <w:spacing w:line="400" w:lineRule="exact"/>
              <w:jc w:val="center"/>
              <w:rPr>
                <w:rFonts w:hint="eastAsia" w:asciiTheme="minorEastAsia" w:hAnsiTheme="minorEastAsia" w:eastAsiaTheme="minorEastAsia"/>
                <w:color w:val="000000"/>
                <w:sz w:val="24"/>
                <w:szCs w:val="24"/>
                <w:highlight w:val="none"/>
              </w:rPr>
            </w:pPr>
          </w:p>
        </w:tc>
      </w:tr>
      <w:tr w14:paraId="09F4732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E7F70A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4.1</w:t>
            </w:r>
          </w:p>
        </w:tc>
        <w:tc>
          <w:tcPr>
            <w:tcW w:w="1613" w:type="dxa"/>
            <w:tcBorders>
              <w:top w:val="single" w:color="000000" w:sz="4" w:space="0"/>
              <w:left w:val="single" w:color="000000" w:sz="4" w:space="0"/>
              <w:bottom w:val="single" w:color="000000" w:sz="4" w:space="0"/>
              <w:right w:val="single" w:color="000000" w:sz="4" w:space="0"/>
            </w:tcBorders>
            <w:vAlign w:val="center"/>
          </w:tcPr>
          <w:p w14:paraId="7A12E82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执法流程提示功能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42600BE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对接执法语音信息，在现场执法时，实时语音播报提示执法程序</w:t>
            </w:r>
          </w:p>
        </w:tc>
        <w:tc>
          <w:tcPr>
            <w:tcW w:w="457" w:type="dxa"/>
            <w:tcBorders>
              <w:top w:val="single" w:color="000000" w:sz="4" w:space="0"/>
              <w:left w:val="single" w:color="000000" w:sz="4" w:space="0"/>
              <w:bottom w:val="single" w:color="000000" w:sz="4" w:space="0"/>
              <w:right w:val="single" w:color="000000" w:sz="4" w:space="0"/>
            </w:tcBorders>
            <w:vAlign w:val="center"/>
          </w:tcPr>
          <w:p w14:paraId="79B4CB7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7EEA9C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DB51B0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1F1EDD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393F238F">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AI</w:t>
            </w:r>
            <w:r>
              <w:rPr>
                <w:rFonts w:hint="eastAsia" w:cs="微软雅黑" w:asciiTheme="minorEastAsia" w:hAnsiTheme="minorEastAsia" w:eastAsiaTheme="minorEastAsia"/>
                <w:color w:val="000000"/>
                <w:sz w:val="24"/>
                <w:szCs w:val="24"/>
                <w:highlight w:val="none"/>
                <w:lang w:eastAsia="zh-CN" w:bidi="ar"/>
              </w:rPr>
              <w:t>眼镜安防平台</w:t>
            </w:r>
          </w:p>
        </w:tc>
        <w:tc>
          <w:tcPr>
            <w:tcW w:w="5281" w:type="dxa"/>
            <w:tcBorders>
              <w:top w:val="single" w:color="000000" w:sz="4" w:space="0"/>
              <w:left w:val="single" w:color="000000" w:sz="4" w:space="0"/>
              <w:bottom w:val="single" w:color="000000" w:sz="4" w:space="0"/>
              <w:right w:val="single" w:color="000000" w:sz="4" w:space="0"/>
            </w:tcBorders>
            <w:vAlign w:val="center"/>
          </w:tcPr>
          <w:p w14:paraId="4643EA7C">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687771B">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5F11B68">
            <w:pPr>
              <w:pStyle w:val="201"/>
              <w:spacing w:line="400" w:lineRule="exact"/>
              <w:jc w:val="center"/>
              <w:rPr>
                <w:rFonts w:hint="eastAsia" w:asciiTheme="minorEastAsia" w:hAnsiTheme="minorEastAsia" w:eastAsiaTheme="minorEastAsia"/>
                <w:color w:val="000000"/>
                <w:sz w:val="24"/>
                <w:szCs w:val="24"/>
                <w:highlight w:val="none"/>
              </w:rPr>
            </w:pPr>
          </w:p>
        </w:tc>
      </w:tr>
      <w:tr w14:paraId="291A6CE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7DAC8D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5.1</w:t>
            </w:r>
          </w:p>
        </w:tc>
        <w:tc>
          <w:tcPr>
            <w:tcW w:w="1613" w:type="dxa"/>
            <w:tcBorders>
              <w:top w:val="single" w:color="000000" w:sz="4" w:space="0"/>
              <w:left w:val="single" w:color="000000" w:sz="4" w:space="0"/>
              <w:bottom w:val="single" w:color="000000" w:sz="4" w:space="0"/>
              <w:right w:val="single" w:color="000000" w:sz="4" w:space="0"/>
            </w:tcBorders>
            <w:vAlign w:val="center"/>
          </w:tcPr>
          <w:p w14:paraId="1F58A0A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视频监控</w:t>
            </w:r>
          </w:p>
        </w:tc>
        <w:tc>
          <w:tcPr>
            <w:tcW w:w="5281" w:type="dxa"/>
            <w:tcBorders>
              <w:top w:val="single" w:color="000000" w:sz="4" w:space="0"/>
              <w:left w:val="single" w:color="000000" w:sz="4" w:space="0"/>
              <w:bottom w:val="single" w:color="000000" w:sz="4" w:space="0"/>
              <w:right w:val="single" w:color="000000" w:sz="4" w:space="0"/>
            </w:tcBorders>
            <w:vAlign w:val="center"/>
          </w:tcPr>
          <w:p w14:paraId="2617DC8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实时预览</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支持订阅第一视角实时监控画面和现场声音，同网域内后台能够发起一对一</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一对多对讲。</w:t>
            </w:r>
          </w:p>
        </w:tc>
        <w:tc>
          <w:tcPr>
            <w:tcW w:w="457" w:type="dxa"/>
            <w:tcBorders>
              <w:top w:val="single" w:color="000000" w:sz="4" w:space="0"/>
              <w:left w:val="single" w:color="000000" w:sz="4" w:space="0"/>
              <w:bottom w:val="single" w:color="000000" w:sz="4" w:space="0"/>
              <w:right w:val="single" w:color="000000" w:sz="4" w:space="0"/>
            </w:tcBorders>
            <w:vAlign w:val="center"/>
          </w:tcPr>
          <w:p w14:paraId="7C748AF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E04616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381300E">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75D0159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5.2</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4AD8DC2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信息库管理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C82BB1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人脸库管理：</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支持离线人脸库管理，下发布控库，支持不少于</w:t>
            </w:r>
            <w:r>
              <w:rPr>
                <w:rFonts w:hint="eastAsia" w:asciiTheme="minorEastAsia" w:hAnsiTheme="minorEastAsia" w:eastAsiaTheme="minorEastAsia"/>
                <w:color w:val="000000"/>
                <w:sz w:val="24"/>
                <w:szCs w:val="24"/>
                <w:highlight w:val="none"/>
                <w:lang w:eastAsia="zh-CN" w:bidi="ar"/>
              </w:rPr>
              <w:t>5W</w:t>
            </w:r>
            <w:r>
              <w:rPr>
                <w:rFonts w:hint="eastAsia" w:cs="微软雅黑" w:asciiTheme="minorEastAsia" w:hAnsiTheme="minorEastAsia" w:eastAsiaTheme="minorEastAsia"/>
                <w:color w:val="000000"/>
                <w:sz w:val="24"/>
                <w:szCs w:val="24"/>
                <w:highlight w:val="none"/>
                <w:lang w:eastAsia="zh-CN" w:bidi="ar"/>
              </w:rPr>
              <w:t>离线人脸库。</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支持人脸底库创建，支持单张、批量导入人脸库照片。</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支持人脸库、人脸库照片增删改。</w:t>
            </w:r>
          </w:p>
        </w:tc>
        <w:tc>
          <w:tcPr>
            <w:tcW w:w="457" w:type="dxa"/>
            <w:tcBorders>
              <w:top w:val="single" w:color="000000" w:sz="4" w:space="0"/>
              <w:left w:val="single" w:color="000000" w:sz="4" w:space="0"/>
              <w:bottom w:val="single" w:color="000000" w:sz="4" w:space="0"/>
              <w:right w:val="single" w:color="000000" w:sz="4" w:space="0"/>
            </w:tcBorders>
            <w:vAlign w:val="center"/>
          </w:tcPr>
          <w:p w14:paraId="3E4FD2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740942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48DEDF5">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E1D5B49">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743BCF6">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3CB5011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车辆库管理：</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支持离线车辆库管理，下发布控库，支持</w:t>
            </w:r>
            <w:r>
              <w:rPr>
                <w:rFonts w:hint="eastAsia" w:asciiTheme="minorEastAsia" w:hAnsiTheme="minorEastAsia" w:eastAsiaTheme="minorEastAsia"/>
                <w:color w:val="000000"/>
                <w:sz w:val="24"/>
                <w:szCs w:val="24"/>
                <w:highlight w:val="none"/>
                <w:lang w:eastAsia="zh-CN" w:bidi="ar"/>
              </w:rPr>
              <w:t>不少于30W</w:t>
            </w:r>
            <w:r>
              <w:rPr>
                <w:rFonts w:hint="eastAsia" w:cs="微软雅黑" w:asciiTheme="minorEastAsia" w:hAnsiTheme="minorEastAsia" w:eastAsiaTheme="minorEastAsia"/>
                <w:color w:val="000000"/>
                <w:sz w:val="24"/>
                <w:szCs w:val="24"/>
                <w:highlight w:val="none"/>
                <w:lang w:eastAsia="zh-CN" w:bidi="ar"/>
              </w:rPr>
              <w:t>离线车辆库。</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支持单张、批量导入车辆库。</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支持车辆库编辑修改，支持车辆库照片增删改。</w:t>
            </w:r>
          </w:p>
        </w:tc>
        <w:tc>
          <w:tcPr>
            <w:tcW w:w="457" w:type="dxa"/>
            <w:tcBorders>
              <w:top w:val="single" w:color="000000" w:sz="4" w:space="0"/>
              <w:left w:val="single" w:color="000000" w:sz="4" w:space="0"/>
              <w:bottom w:val="single" w:color="000000" w:sz="4" w:space="0"/>
              <w:right w:val="single" w:color="000000" w:sz="4" w:space="0"/>
            </w:tcBorders>
            <w:vAlign w:val="center"/>
          </w:tcPr>
          <w:p w14:paraId="06F85D8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1299D8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02FFB48">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43EEB1A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5.3</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3721933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消息通道</w:t>
            </w:r>
          </w:p>
        </w:tc>
        <w:tc>
          <w:tcPr>
            <w:tcW w:w="5281" w:type="dxa"/>
            <w:tcBorders>
              <w:top w:val="single" w:color="000000" w:sz="4" w:space="0"/>
              <w:left w:val="single" w:color="000000" w:sz="4" w:space="0"/>
              <w:bottom w:val="single" w:color="000000" w:sz="4" w:space="0"/>
              <w:right w:val="single" w:color="000000" w:sz="4" w:space="0"/>
            </w:tcBorders>
            <w:vAlign w:val="center"/>
          </w:tcPr>
          <w:p w14:paraId="1E18A03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人脸识别记录：支持在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离线人脸识别记录查询、检索。</w:t>
            </w:r>
          </w:p>
        </w:tc>
        <w:tc>
          <w:tcPr>
            <w:tcW w:w="457" w:type="dxa"/>
            <w:tcBorders>
              <w:top w:val="single" w:color="000000" w:sz="4" w:space="0"/>
              <w:left w:val="single" w:color="000000" w:sz="4" w:space="0"/>
              <w:bottom w:val="single" w:color="000000" w:sz="4" w:space="0"/>
              <w:right w:val="single" w:color="000000" w:sz="4" w:space="0"/>
            </w:tcBorders>
            <w:vAlign w:val="center"/>
          </w:tcPr>
          <w:p w14:paraId="31C6F03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7F9409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1D238F9">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7BC7E0DB">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E0A1A62">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4A2FFF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车辆识别记录：支持车辆识别记录查询、检索。</w:t>
            </w:r>
          </w:p>
        </w:tc>
        <w:tc>
          <w:tcPr>
            <w:tcW w:w="457" w:type="dxa"/>
            <w:tcBorders>
              <w:top w:val="single" w:color="000000" w:sz="4" w:space="0"/>
              <w:left w:val="single" w:color="000000" w:sz="4" w:space="0"/>
              <w:bottom w:val="single" w:color="000000" w:sz="4" w:space="0"/>
              <w:right w:val="single" w:color="000000" w:sz="4" w:space="0"/>
            </w:tcBorders>
            <w:vAlign w:val="center"/>
          </w:tcPr>
          <w:p w14:paraId="1C4167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43E370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A1D1F60">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68E0871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5.4</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08AB670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任务管理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29B6F8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人脸任务：支持按用户账号下发人脸任务，支持报警规则、眼镜显示、语音播报灵活配置。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1013341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C11A5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1B0E0A3">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5A498B8D">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27B8CB8">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8D2494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车辆任务：支持按用户账号下发车辆任务，支持报警规则、眼镜显示、语音播报灵活配置。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6652323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A5D20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EDD87D1">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59A6C985">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E8DDA44">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52FB529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处警任务：支持按用户账号下发处警任务，并对任务进行管理。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0E9B8C3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05F30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6ADFD2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3B04FD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5.5</w:t>
            </w:r>
          </w:p>
        </w:tc>
        <w:tc>
          <w:tcPr>
            <w:tcW w:w="1613" w:type="dxa"/>
            <w:tcBorders>
              <w:top w:val="single" w:color="000000" w:sz="4" w:space="0"/>
              <w:left w:val="single" w:color="000000" w:sz="4" w:space="0"/>
              <w:bottom w:val="single" w:color="000000" w:sz="4" w:space="0"/>
              <w:right w:val="single" w:color="000000" w:sz="4" w:space="0"/>
            </w:tcBorders>
            <w:vAlign w:val="center"/>
          </w:tcPr>
          <w:p w14:paraId="4DF4D1F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图像采集记录</w:t>
            </w:r>
          </w:p>
        </w:tc>
        <w:tc>
          <w:tcPr>
            <w:tcW w:w="5281" w:type="dxa"/>
            <w:tcBorders>
              <w:top w:val="single" w:color="000000" w:sz="4" w:space="0"/>
              <w:left w:val="single" w:color="000000" w:sz="4" w:space="0"/>
              <w:bottom w:val="single" w:color="000000" w:sz="4" w:space="0"/>
              <w:right w:val="single" w:color="000000" w:sz="4" w:space="0"/>
            </w:tcBorders>
            <w:vAlign w:val="center"/>
          </w:tcPr>
          <w:p w14:paraId="4426B96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支持人车采集记录查询、检索。</w:t>
            </w:r>
          </w:p>
        </w:tc>
        <w:tc>
          <w:tcPr>
            <w:tcW w:w="457" w:type="dxa"/>
            <w:tcBorders>
              <w:top w:val="single" w:color="000000" w:sz="4" w:space="0"/>
              <w:left w:val="single" w:color="000000" w:sz="4" w:space="0"/>
              <w:bottom w:val="single" w:color="000000" w:sz="4" w:space="0"/>
              <w:right w:val="single" w:color="000000" w:sz="4" w:space="0"/>
            </w:tcBorders>
            <w:vAlign w:val="center"/>
          </w:tcPr>
          <w:p w14:paraId="1CA2AC3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7B6462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52EC09F">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2BD61A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5.6</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4FC4D14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照片</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录像、音视频管理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C9DBD5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将眼镜端的照片、录像的记录回传后台进行管理，支持检索、详情查看、删除。</w:t>
            </w:r>
          </w:p>
        </w:tc>
        <w:tc>
          <w:tcPr>
            <w:tcW w:w="457" w:type="dxa"/>
            <w:tcBorders>
              <w:top w:val="single" w:color="000000" w:sz="4" w:space="0"/>
              <w:left w:val="single" w:color="000000" w:sz="4" w:space="0"/>
              <w:bottom w:val="single" w:color="000000" w:sz="4" w:space="0"/>
              <w:right w:val="single" w:color="000000" w:sz="4" w:space="0"/>
            </w:tcBorders>
            <w:vAlign w:val="center"/>
          </w:tcPr>
          <w:p w14:paraId="5A760BB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DAD875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93C0309">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6DA05253">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A832DB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557CBCB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支持照片、录像、人</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车识别记录、人车采集记录，按出警任务进行数据汇聚，形成执法记录数据。</w:t>
            </w:r>
          </w:p>
        </w:tc>
        <w:tc>
          <w:tcPr>
            <w:tcW w:w="457" w:type="dxa"/>
            <w:tcBorders>
              <w:top w:val="single" w:color="000000" w:sz="4" w:space="0"/>
              <w:left w:val="single" w:color="000000" w:sz="4" w:space="0"/>
              <w:bottom w:val="single" w:color="000000" w:sz="4" w:space="0"/>
              <w:right w:val="single" w:color="000000" w:sz="4" w:space="0"/>
            </w:tcBorders>
            <w:vAlign w:val="center"/>
          </w:tcPr>
          <w:p w14:paraId="2D61658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C8158E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D4D127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E4D52C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5.6</w:t>
            </w:r>
          </w:p>
        </w:tc>
        <w:tc>
          <w:tcPr>
            <w:tcW w:w="1613" w:type="dxa"/>
            <w:tcBorders>
              <w:top w:val="single" w:color="000000" w:sz="4" w:space="0"/>
              <w:left w:val="single" w:color="000000" w:sz="4" w:space="0"/>
              <w:bottom w:val="single" w:color="000000" w:sz="4" w:space="0"/>
              <w:right w:val="single" w:color="000000" w:sz="4" w:space="0"/>
            </w:tcBorders>
            <w:vAlign w:val="center"/>
          </w:tcPr>
          <w:p w14:paraId="276E56D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设备管理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F06645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添加眼镜设备并管理，支持国标编码自动生成，并获取眼镜使用基本情况。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4343A5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2D7E2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41A4F2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0CAC5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5.8</w:t>
            </w:r>
          </w:p>
        </w:tc>
        <w:tc>
          <w:tcPr>
            <w:tcW w:w="1613" w:type="dxa"/>
            <w:tcBorders>
              <w:top w:val="single" w:color="000000" w:sz="4" w:space="0"/>
              <w:left w:val="single" w:color="000000" w:sz="4" w:space="0"/>
              <w:bottom w:val="single" w:color="000000" w:sz="4" w:space="0"/>
              <w:right w:val="single" w:color="000000" w:sz="4" w:space="0"/>
            </w:tcBorders>
            <w:vAlign w:val="center"/>
          </w:tcPr>
          <w:p w14:paraId="5E0CC69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应用管理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B2BA0E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支持三方应用通过后台注册的方式，在</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中拓展眼镜应用。</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技术需求：眼镜和手机通过蓝牙安装眼镜应用。</w:t>
            </w:r>
          </w:p>
        </w:tc>
        <w:tc>
          <w:tcPr>
            <w:tcW w:w="457" w:type="dxa"/>
            <w:tcBorders>
              <w:top w:val="single" w:color="000000" w:sz="4" w:space="0"/>
              <w:left w:val="single" w:color="000000" w:sz="4" w:space="0"/>
              <w:bottom w:val="single" w:color="000000" w:sz="4" w:space="0"/>
              <w:right w:val="single" w:color="000000" w:sz="4" w:space="0"/>
            </w:tcBorders>
            <w:vAlign w:val="center"/>
          </w:tcPr>
          <w:p w14:paraId="43C8255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04D64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E5DB5F6">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605B5CE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5.9</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2C085D5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系统管理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7F2A94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系统配置：支持</w:t>
            </w:r>
            <w:r>
              <w:rPr>
                <w:rFonts w:hint="eastAsia" w:asciiTheme="minorEastAsia" w:hAnsiTheme="minorEastAsia" w:eastAsiaTheme="minorEastAsia"/>
                <w:color w:val="000000"/>
                <w:sz w:val="24"/>
                <w:szCs w:val="24"/>
                <w:highlight w:val="none"/>
                <w:lang w:eastAsia="zh-CN" w:bidi="ar"/>
              </w:rPr>
              <w:t>ADB</w:t>
            </w:r>
            <w:r>
              <w:rPr>
                <w:rFonts w:hint="eastAsia" w:cs="微软雅黑" w:asciiTheme="minorEastAsia" w:hAnsiTheme="minorEastAsia" w:eastAsiaTheme="minorEastAsia"/>
                <w:color w:val="000000"/>
                <w:sz w:val="24"/>
                <w:szCs w:val="24"/>
                <w:highlight w:val="none"/>
                <w:lang w:eastAsia="zh-CN" w:bidi="ar"/>
              </w:rPr>
              <w:t>调试权限、双系统权限、执法记录权限开关配置。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1353EE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FAB77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8CA2460">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7C1A74C2">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DFE20E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3940088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用户管理：支持按部门创建用户账号，并进行用户管理；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6893934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08711F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7E16CE0">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5DE24E51">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4DE35DC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690974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角色管理：支持按功能菜单、数据权限进行角色创建，通过绑定用户进行权限管控；</w:t>
            </w:r>
          </w:p>
        </w:tc>
        <w:tc>
          <w:tcPr>
            <w:tcW w:w="457" w:type="dxa"/>
            <w:tcBorders>
              <w:top w:val="single" w:color="000000" w:sz="4" w:space="0"/>
              <w:left w:val="single" w:color="000000" w:sz="4" w:space="0"/>
              <w:bottom w:val="single" w:color="000000" w:sz="4" w:space="0"/>
              <w:right w:val="single" w:color="000000" w:sz="4" w:space="0"/>
            </w:tcBorders>
            <w:vAlign w:val="center"/>
          </w:tcPr>
          <w:p w14:paraId="140809F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372D85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3618A76">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5E1A91D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3C5A7F8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数据大屏</w:t>
            </w:r>
          </w:p>
        </w:tc>
        <w:tc>
          <w:tcPr>
            <w:tcW w:w="5281" w:type="dxa"/>
            <w:tcBorders>
              <w:top w:val="single" w:color="000000" w:sz="4" w:space="0"/>
              <w:left w:val="single" w:color="000000" w:sz="4" w:space="0"/>
              <w:bottom w:val="single" w:color="000000" w:sz="4" w:space="0"/>
              <w:right w:val="single" w:color="000000" w:sz="4" w:space="0"/>
            </w:tcBorders>
            <w:vAlign w:val="center"/>
          </w:tcPr>
          <w:p w14:paraId="76DA8F3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指挥调度</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支持在线地图查看、操作，能够标记在线眼镜设备，并实时点播眼镜第一视角画面。</w:t>
            </w:r>
          </w:p>
        </w:tc>
        <w:tc>
          <w:tcPr>
            <w:tcW w:w="457" w:type="dxa"/>
            <w:tcBorders>
              <w:top w:val="single" w:color="000000" w:sz="4" w:space="0"/>
              <w:left w:val="single" w:color="000000" w:sz="4" w:space="0"/>
              <w:bottom w:val="single" w:color="000000" w:sz="4" w:space="0"/>
              <w:right w:val="single" w:color="000000" w:sz="4" w:space="0"/>
            </w:tcBorders>
            <w:vAlign w:val="center"/>
          </w:tcPr>
          <w:p w14:paraId="39B52DE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6AE2F8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0BA0E9E">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0098AA4">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29186AC7">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8C52CC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数据统计</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系统支持对眼镜设备汇总数据进行展示，包含设备状态、人脸</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车牌识别数据、音视频采集记录、实时消息订阅等；</w:t>
            </w:r>
          </w:p>
        </w:tc>
        <w:tc>
          <w:tcPr>
            <w:tcW w:w="457" w:type="dxa"/>
            <w:tcBorders>
              <w:top w:val="single" w:color="000000" w:sz="4" w:space="0"/>
              <w:left w:val="single" w:color="000000" w:sz="4" w:space="0"/>
              <w:bottom w:val="single" w:color="000000" w:sz="4" w:space="0"/>
              <w:right w:val="single" w:color="000000" w:sz="4" w:space="0"/>
            </w:tcBorders>
            <w:vAlign w:val="center"/>
          </w:tcPr>
          <w:p w14:paraId="2F53E25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01F6D8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B4BAAB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CCF81D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4FB3EE2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智能眼镜</w:t>
            </w:r>
            <w:r>
              <w:rPr>
                <w:rFonts w:hint="eastAsia" w:asciiTheme="minorEastAsia" w:hAnsiTheme="minorEastAsia" w:eastAsiaTheme="minorEastAsia"/>
                <w:color w:val="000000"/>
                <w:sz w:val="24"/>
                <w:szCs w:val="24"/>
                <w:highlight w:val="none"/>
                <w:lang w:eastAsia="zh-CN" w:bidi="ar"/>
              </w:rPr>
              <w:t>APP</w:t>
            </w:r>
          </w:p>
        </w:tc>
        <w:tc>
          <w:tcPr>
            <w:tcW w:w="5281" w:type="dxa"/>
            <w:tcBorders>
              <w:top w:val="single" w:color="000000" w:sz="4" w:space="0"/>
              <w:left w:val="single" w:color="000000" w:sz="4" w:space="0"/>
              <w:bottom w:val="single" w:color="000000" w:sz="4" w:space="0"/>
              <w:right w:val="single" w:color="000000" w:sz="4" w:space="0"/>
            </w:tcBorders>
            <w:vAlign w:val="center"/>
          </w:tcPr>
          <w:p w14:paraId="44C4A6C9">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73F4B9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2434F72">
            <w:pPr>
              <w:pStyle w:val="201"/>
              <w:spacing w:line="400" w:lineRule="exact"/>
              <w:jc w:val="center"/>
              <w:rPr>
                <w:rFonts w:hint="eastAsia" w:asciiTheme="minorEastAsia" w:hAnsiTheme="minorEastAsia" w:eastAsiaTheme="minorEastAsia"/>
                <w:color w:val="000000"/>
                <w:sz w:val="24"/>
                <w:szCs w:val="24"/>
                <w:highlight w:val="none"/>
              </w:rPr>
            </w:pPr>
          </w:p>
        </w:tc>
      </w:tr>
      <w:tr w14:paraId="65F8821F">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30E13AA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4B94AC8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基础服务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21AC95C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支持眼镜通过蓝牙连接手机。</w:t>
            </w:r>
          </w:p>
        </w:tc>
        <w:tc>
          <w:tcPr>
            <w:tcW w:w="457" w:type="dxa"/>
            <w:tcBorders>
              <w:top w:val="single" w:color="000000" w:sz="4" w:space="0"/>
              <w:left w:val="single" w:color="000000" w:sz="4" w:space="0"/>
              <w:bottom w:val="single" w:color="000000" w:sz="4" w:space="0"/>
              <w:right w:val="single" w:color="000000" w:sz="4" w:space="0"/>
            </w:tcBorders>
            <w:vAlign w:val="center"/>
          </w:tcPr>
          <w:p w14:paraId="74FAFD7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BDA6F9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8D0328F">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09A4BFEC">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063805A">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543FB85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支持</w:t>
            </w:r>
            <w:r>
              <w:rPr>
                <w:rFonts w:hint="eastAsia" w:asciiTheme="minorEastAsia" w:hAnsiTheme="minorEastAsia" w:eastAsiaTheme="minorEastAsia"/>
                <w:color w:val="000000"/>
                <w:sz w:val="24"/>
                <w:szCs w:val="24"/>
                <w:highlight w:val="none"/>
                <w:lang w:eastAsia="zh-CN" w:bidi="ar"/>
              </w:rPr>
              <w:t>P2P</w:t>
            </w:r>
            <w:r>
              <w:rPr>
                <w:rFonts w:hint="eastAsia" w:cs="微软雅黑" w:asciiTheme="minorEastAsia" w:hAnsiTheme="minorEastAsia" w:eastAsiaTheme="minorEastAsia"/>
                <w:color w:val="000000"/>
                <w:sz w:val="24"/>
                <w:szCs w:val="24"/>
                <w:highlight w:val="none"/>
                <w:lang w:eastAsia="zh-CN" w:bidi="ar"/>
              </w:rPr>
              <w:t>连接。</w:t>
            </w:r>
          </w:p>
        </w:tc>
        <w:tc>
          <w:tcPr>
            <w:tcW w:w="457" w:type="dxa"/>
            <w:tcBorders>
              <w:top w:val="single" w:color="000000" w:sz="4" w:space="0"/>
              <w:left w:val="single" w:color="000000" w:sz="4" w:space="0"/>
              <w:bottom w:val="single" w:color="000000" w:sz="4" w:space="0"/>
              <w:right w:val="single" w:color="000000" w:sz="4" w:space="0"/>
            </w:tcBorders>
            <w:vAlign w:val="center"/>
          </w:tcPr>
          <w:p w14:paraId="2B8FAB9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1B5718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54B89FB">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163089D8">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F24DA8A">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3E0CD6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支持</w:t>
            </w:r>
            <w:r>
              <w:rPr>
                <w:rFonts w:hint="eastAsia" w:asciiTheme="minorEastAsia" w:hAnsiTheme="minorEastAsia" w:eastAsiaTheme="minorEastAsia"/>
                <w:color w:val="000000"/>
                <w:sz w:val="24"/>
                <w:szCs w:val="24"/>
                <w:highlight w:val="none"/>
                <w:lang w:eastAsia="zh-CN" w:bidi="ar"/>
              </w:rPr>
              <w:t>0~100%</w:t>
            </w:r>
            <w:r>
              <w:rPr>
                <w:rFonts w:hint="eastAsia" w:cs="微软雅黑" w:asciiTheme="minorEastAsia" w:hAnsiTheme="minorEastAsia" w:eastAsiaTheme="minorEastAsia"/>
                <w:color w:val="000000"/>
                <w:sz w:val="24"/>
                <w:szCs w:val="24"/>
                <w:highlight w:val="none"/>
                <w:lang w:eastAsia="zh-CN" w:bidi="ar"/>
              </w:rPr>
              <w:t>音量调节。</w:t>
            </w:r>
          </w:p>
        </w:tc>
        <w:tc>
          <w:tcPr>
            <w:tcW w:w="457" w:type="dxa"/>
            <w:tcBorders>
              <w:top w:val="single" w:color="000000" w:sz="4" w:space="0"/>
              <w:left w:val="single" w:color="000000" w:sz="4" w:space="0"/>
              <w:bottom w:val="single" w:color="000000" w:sz="4" w:space="0"/>
              <w:right w:val="single" w:color="000000" w:sz="4" w:space="0"/>
            </w:tcBorders>
            <w:vAlign w:val="center"/>
          </w:tcPr>
          <w:p w14:paraId="0233D5A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99788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6E145E4">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1DF94D8F">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0212598">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2ABE60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w:t>
            </w:r>
            <w:r>
              <w:rPr>
                <w:rFonts w:hint="eastAsia" w:asciiTheme="minorEastAsia" w:hAnsiTheme="minorEastAsia" w:eastAsiaTheme="minorEastAsia"/>
                <w:color w:val="000000"/>
                <w:sz w:val="24"/>
                <w:szCs w:val="24"/>
                <w:highlight w:val="none"/>
                <w:lang w:eastAsia="zh-CN" w:bidi="ar"/>
              </w:rPr>
              <w:t>0~100%</w:t>
            </w:r>
            <w:r>
              <w:rPr>
                <w:rFonts w:hint="eastAsia" w:cs="微软雅黑" w:asciiTheme="minorEastAsia" w:hAnsiTheme="minorEastAsia" w:eastAsiaTheme="minorEastAsia"/>
                <w:color w:val="000000"/>
                <w:sz w:val="24"/>
                <w:szCs w:val="24"/>
                <w:highlight w:val="none"/>
                <w:lang w:eastAsia="zh-CN" w:bidi="ar"/>
              </w:rPr>
              <w:t>亮度调节，最大支持</w:t>
            </w:r>
            <w:r>
              <w:rPr>
                <w:rFonts w:hint="eastAsia" w:asciiTheme="minorEastAsia" w:hAnsiTheme="minorEastAsia" w:eastAsiaTheme="minorEastAsia"/>
                <w:color w:val="000000"/>
                <w:sz w:val="24"/>
                <w:szCs w:val="24"/>
                <w:highlight w:val="none"/>
                <w:lang w:eastAsia="zh-CN" w:bidi="ar"/>
              </w:rPr>
              <w:t>1200</w:t>
            </w:r>
            <w:r>
              <w:rPr>
                <w:rFonts w:hint="eastAsia" w:cs="微软雅黑" w:asciiTheme="minorEastAsia" w:hAnsiTheme="minorEastAsia" w:eastAsiaTheme="minorEastAsia"/>
                <w:color w:val="000000"/>
                <w:sz w:val="24"/>
                <w:szCs w:val="24"/>
                <w:highlight w:val="none"/>
                <w:lang w:eastAsia="zh-CN" w:bidi="ar"/>
              </w:rPr>
              <w:t>尼特</w:t>
            </w:r>
          </w:p>
        </w:tc>
        <w:tc>
          <w:tcPr>
            <w:tcW w:w="457" w:type="dxa"/>
            <w:tcBorders>
              <w:top w:val="single" w:color="000000" w:sz="4" w:space="0"/>
              <w:left w:val="single" w:color="000000" w:sz="4" w:space="0"/>
              <w:bottom w:val="single" w:color="000000" w:sz="4" w:space="0"/>
              <w:right w:val="single" w:color="000000" w:sz="4" w:space="0"/>
            </w:tcBorders>
            <w:vAlign w:val="center"/>
          </w:tcPr>
          <w:p w14:paraId="67A3672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2B9A45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D8CA2DC">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2B42F17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6.2</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4236C84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设置</w:t>
            </w:r>
          </w:p>
        </w:tc>
        <w:tc>
          <w:tcPr>
            <w:tcW w:w="5281" w:type="dxa"/>
            <w:tcBorders>
              <w:top w:val="single" w:color="000000" w:sz="4" w:space="0"/>
              <w:left w:val="single" w:color="000000" w:sz="4" w:space="0"/>
              <w:bottom w:val="single" w:color="000000" w:sz="4" w:space="0"/>
              <w:right w:val="single" w:color="000000" w:sz="4" w:space="0"/>
            </w:tcBorders>
            <w:vAlign w:val="center"/>
          </w:tcPr>
          <w:p w14:paraId="4AAD7E3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支持查看设备名称、序列号、眼镜系统版本，国标注册开关、</w:t>
            </w:r>
            <w:r>
              <w:rPr>
                <w:rFonts w:hint="eastAsia" w:asciiTheme="minorEastAsia" w:hAnsiTheme="minorEastAsia" w:eastAsiaTheme="minorEastAsia"/>
                <w:color w:val="000000"/>
                <w:sz w:val="24"/>
                <w:szCs w:val="24"/>
                <w:highlight w:val="none"/>
                <w:lang w:eastAsia="zh-CN" w:bidi="ar"/>
              </w:rPr>
              <w:t>OTA</w:t>
            </w:r>
            <w:r>
              <w:rPr>
                <w:rFonts w:hint="eastAsia" w:cs="微软雅黑" w:asciiTheme="minorEastAsia" w:hAnsiTheme="minorEastAsia" w:eastAsiaTheme="minorEastAsia"/>
                <w:color w:val="000000"/>
                <w:sz w:val="24"/>
                <w:szCs w:val="24"/>
                <w:highlight w:val="none"/>
                <w:lang w:eastAsia="zh-CN" w:bidi="ar"/>
              </w:rPr>
              <w:t>升级。</w:t>
            </w:r>
          </w:p>
        </w:tc>
        <w:tc>
          <w:tcPr>
            <w:tcW w:w="457" w:type="dxa"/>
            <w:tcBorders>
              <w:top w:val="single" w:color="000000" w:sz="4" w:space="0"/>
              <w:left w:val="single" w:color="000000" w:sz="4" w:space="0"/>
              <w:bottom w:val="single" w:color="000000" w:sz="4" w:space="0"/>
              <w:right w:val="single" w:color="000000" w:sz="4" w:space="0"/>
            </w:tcBorders>
            <w:vAlign w:val="center"/>
          </w:tcPr>
          <w:p w14:paraId="7CD0EA6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5BEA35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C5989D9">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0750A792">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C3930C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910361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支持查看系统版本号、日志上传和退出登录。</w:t>
            </w:r>
          </w:p>
        </w:tc>
        <w:tc>
          <w:tcPr>
            <w:tcW w:w="457" w:type="dxa"/>
            <w:tcBorders>
              <w:top w:val="single" w:color="000000" w:sz="4" w:space="0"/>
              <w:left w:val="single" w:color="000000" w:sz="4" w:space="0"/>
              <w:bottom w:val="single" w:color="000000" w:sz="4" w:space="0"/>
              <w:right w:val="single" w:color="000000" w:sz="4" w:space="0"/>
            </w:tcBorders>
            <w:vAlign w:val="center"/>
          </w:tcPr>
          <w:p w14:paraId="7DF8630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CFCE13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A59E612">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220A158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6.3</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77E8079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功能列表</w:t>
            </w:r>
          </w:p>
        </w:tc>
        <w:tc>
          <w:tcPr>
            <w:tcW w:w="5281" w:type="dxa"/>
            <w:tcBorders>
              <w:top w:val="single" w:color="000000" w:sz="4" w:space="0"/>
              <w:left w:val="single" w:color="000000" w:sz="4" w:space="0"/>
              <w:bottom w:val="single" w:color="000000" w:sz="4" w:space="0"/>
              <w:right w:val="single" w:color="000000" w:sz="4" w:space="0"/>
            </w:tcBorders>
            <w:vAlign w:val="center"/>
          </w:tcPr>
          <w:p w14:paraId="1B785D9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支持通过手机系统消息开</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关设置。</w:t>
            </w:r>
          </w:p>
        </w:tc>
        <w:tc>
          <w:tcPr>
            <w:tcW w:w="457" w:type="dxa"/>
            <w:tcBorders>
              <w:top w:val="single" w:color="000000" w:sz="4" w:space="0"/>
              <w:left w:val="single" w:color="000000" w:sz="4" w:space="0"/>
              <w:bottom w:val="single" w:color="000000" w:sz="4" w:space="0"/>
              <w:right w:val="single" w:color="000000" w:sz="4" w:space="0"/>
            </w:tcBorders>
            <w:vAlign w:val="center"/>
          </w:tcPr>
          <w:p w14:paraId="73AB17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5B6A16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8D686D5">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75DC2697">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9C157D5">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9534C4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眼镜触控板、功能键快速操作指引。</w:t>
            </w:r>
          </w:p>
        </w:tc>
        <w:tc>
          <w:tcPr>
            <w:tcW w:w="457" w:type="dxa"/>
            <w:tcBorders>
              <w:top w:val="single" w:color="000000" w:sz="4" w:space="0"/>
              <w:left w:val="single" w:color="000000" w:sz="4" w:space="0"/>
              <w:bottom w:val="single" w:color="000000" w:sz="4" w:space="0"/>
              <w:right w:val="single" w:color="000000" w:sz="4" w:space="0"/>
            </w:tcBorders>
            <w:vAlign w:val="center"/>
          </w:tcPr>
          <w:p w14:paraId="7BA2786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2F269E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A0FD9B7">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68FF7C22">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2C4A0DA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FF994D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支持眼镜端拍照录像同步平台，支持手机本地查看并保存手机相册。</w:t>
            </w:r>
          </w:p>
        </w:tc>
        <w:tc>
          <w:tcPr>
            <w:tcW w:w="457" w:type="dxa"/>
            <w:tcBorders>
              <w:top w:val="single" w:color="000000" w:sz="4" w:space="0"/>
              <w:left w:val="single" w:color="000000" w:sz="4" w:space="0"/>
              <w:bottom w:val="single" w:color="000000" w:sz="4" w:space="0"/>
              <w:right w:val="single" w:color="000000" w:sz="4" w:space="0"/>
            </w:tcBorders>
            <w:vAlign w:val="center"/>
          </w:tcPr>
          <w:p w14:paraId="14CF83D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01045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B14F21C">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D201B2C">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43BF2AB8">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7D6B67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支持任务信息查看、签收确认，处警结束记录汇总、总结提交。</w:t>
            </w:r>
          </w:p>
        </w:tc>
        <w:tc>
          <w:tcPr>
            <w:tcW w:w="457" w:type="dxa"/>
            <w:tcBorders>
              <w:top w:val="single" w:color="000000" w:sz="4" w:space="0"/>
              <w:left w:val="single" w:color="000000" w:sz="4" w:space="0"/>
              <w:bottom w:val="single" w:color="000000" w:sz="4" w:space="0"/>
              <w:right w:val="single" w:color="000000" w:sz="4" w:space="0"/>
            </w:tcBorders>
            <w:vAlign w:val="center"/>
          </w:tcPr>
          <w:p w14:paraId="232333C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886EBE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6B999A4">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3D98D2F2">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2AE15F4A">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311576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支持人脸检测距离配置，能够查看在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离线人脸识别记录，人脸识别记录支持黑白名单识别记录查询。</w:t>
            </w:r>
          </w:p>
        </w:tc>
        <w:tc>
          <w:tcPr>
            <w:tcW w:w="457" w:type="dxa"/>
            <w:tcBorders>
              <w:top w:val="single" w:color="000000" w:sz="4" w:space="0"/>
              <w:left w:val="single" w:color="000000" w:sz="4" w:space="0"/>
              <w:bottom w:val="single" w:color="000000" w:sz="4" w:space="0"/>
              <w:right w:val="single" w:color="000000" w:sz="4" w:space="0"/>
            </w:tcBorders>
            <w:vAlign w:val="center"/>
          </w:tcPr>
          <w:p w14:paraId="6B52C2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106A37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7958275">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9481620">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4D859288">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8533B2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支持手机控制眼镜、提示音、车牌库配置，能够查看车辆识别记录。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4C10450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73497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3806BE8">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DBA9D52">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B320BF5">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A01A68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支持人脸</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车辆采集模式切换，能够查看人车采集记录。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2C5F1C1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7C60A2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3880D87">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50B89925">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4D7EF9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B0E605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支持通过扫码安装眼镜应用，支持通过平台下载安装。</w:t>
            </w:r>
          </w:p>
        </w:tc>
        <w:tc>
          <w:tcPr>
            <w:tcW w:w="457" w:type="dxa"/>
            <w:tcBorders>
              <w:top w:val="single" w:color="000000" w:sz="4" w:space="0"/>
              <w:left w:val="single" w:color="000000" w:sz="4" w:space="0"/>
              <w:bottom w:val="single" w:color="000000" w:sz="4" w:space="0"/>
              <w:right w:val="single" w:color="000000" w:sz="4" w:space="0"/>
            </w:tcBorders>
            <w:vAlign w:val="center"/>
          </w:tcPr>
          <w:p w14:paraId="7192110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BA4922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A10AC7D">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557BDDB1">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BF4AD7D">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4B0544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管理三方眼镜应用的功能菜单，支持跳转三方应用服务。</w:t>
            </w:r>
          </w:p>
        </w:tc>
        <w:tc>
          <w:tcPr>
            <w:tcW w:w="457" w:type="dxa"/>
            <w:tcBorders>
              <w:top w:val="single" w:color="000000" w:sz="4" w:space="0"/>
              <w:left w:val="single" w:color="000000" w:sz="4" w:space="0"/>
              <w:bottom w:val="single" w:color="000000" w:sz="4" w:space="0"/>
              <w:right w:val="single" w:color="000000" w:sz="4" w:space="0"/>
            </w:tcBorders>
            <w:vAlign w:val="center"/>
          </w:tcPr>
          <w:p w14:paraId="3B9CEBC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E0ED51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B8C00F6">
        <w:tblPrEx>
          <w:tblCellMar>
            <w:top w:w="0" w:type="dxa"/>
            <w:left w:w="108" w:type="dxa"/>
            <w:bottom w:w="0" w:type="dxa"/>
            <w:right w:w="108" w:type="dxa"/>
          </w:tblCellMar>
        </w:tblPrEx>
        <w:trPr>
          <w:trHeight w:val="90"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CB623E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128C55B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警务通告警指令管理移动应用</w:t>
            </w:r>
          </w:p>
        </w:tc>
        <w:tc>
          <w:tcPr>
            <w:tcW w:w="5281" w:type="dxa"/>
            <w:tcBorders>
              <w:top w:val="single" w:color="000000" w:sz="4" w:space="0"/>
              <w:left w:val="single" w:color="000000" w:sz="4" w:space="0"/>
              <w:bottom w:val="single" w:color="000000" w:sz="4" w:space="0"/>
              <w:right w:val="single" w:color="000000" w:sz="4" w:space="0"/>
            </w:tcBorders>
            <w:vAlign w:val="center"/>
          </w:tcPr>
          <w:p w14:paraId="2CC156E7">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02F9458">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C5A9ED5">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1A01699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50D9DF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7.1</w:t>
            </w:r>
          </w:p>
        </w:tc>
        <w:tc>
          <w:tcPr>
            <w:tcW w:w="1613" w:type="dxa"/>
            <w:tcBorders>
              <w:top w:val="single" w:color="000000" w:sz="4" w:space="0"/>
              <w:left w:val="single" w:color="000000" w:sz="4" w:space="0"/>
              <w:bottom w:val="single" w:color="000000" w:sz="4" w:space="0"/>
              <w:right w:val="single" w:color="000000" w:sz="4" w:space="0"/>
            </w:tcBorders>
            <w:vAlign w:val="center"/>
          </w:tcPr>
          <w:p w14:paraId="4671898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告警指令数据对接服务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0CB5215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提供与慧眼平台的接口开发适配服务，支持标准接口协议（如</w:t>
            </w:r>
            <w:r>
              <w:rPr>
                <w:rFonts w:hint="eastAsia" w:asciiTheme="minorEastAsia" w:hAnsiTheme="minorEastAsia" w:eastAsiaTheme="minorEastAsia"/>
                <w:color w:val="000000"/>
                <w:sz w:val="24"/>
                <w:szCs w:val="24"/>
                <w:highlight w:val="none"/>
                <w:lang w:eastAsia="zh-CN" w:bidi="ar"/>
              </w:rPr>
              <w:t xml:space="preserve"> REST/JSON</w:t>
            </w:r>
            <w:r>
              <w:rPr>
                <w:rFonts w:hint="eastAsia" w:cs="微软雅黑" w:asciiTheme="minorEastAsia" w:hAnsiTheme="minorEastAsia" w:eastAsiaTheme="minorEastAsia"/>
                <w:color w:val="000000"/>
                <w:sz w:val="24"/>
                <w:szCs w:val="24"/>
                <w:highlight w:val="none"/>
                <w:lang w:eastAsia="zh-CN" w:bidi="ar"/>
              </w:rPr>
              <w:t>），自动识别接收慧眼平台推送的结构化数据及原图</w:t>
            </w:r>
            <w:r>
              <w:rPr>
                <w:rFonts w:hint="eastAsia" w:asciiTheme="minorEastAsia" w:hAnsiTheme="minorEastAsia" w:eastAsiaTheme="minorEastAsia"/>
                <w:color w:val="000000"/>
                <w:sz w:val="24"/>
                <w:szCs w:val="24"/>
                <w:highlight w:val="none"/>
                <w:lang w:eastAsia="zh-CN" w:bidi="ar"/>
              </w:rPr>
              <w:t xml:space="preserve"> / </w:t>
            </w:r>
            <w:r>
              <w:rPr>
                <w:rFonts w:hint="eastAsia" w:cs="微软雅黑" w:asciiTheme="minorEastAsia" w:hAnsiTheme="minorEastAsia" w:eastAsiaTheme="minorEastAsia"/>
                <w:color w:val="000000"/>
                <w:sz w:val="24"/>
                <w:szCs w:val="24"/>
                <w:highlight w:val="none"/>
                <w:lang w:eastAsia="zh-CN" w:bidi="ar"/>
              </w:rPr>
              <w:t>缩略图双格式照片，通过数据校验功能检测完整性，异常数据自动标记并触发重试，实现无缝对接与零丢失接收。</w:t>
            </w:r>
          </w:p>
        </w:tc>
        <w:tc>
          <w:tcPr>
            <w:tcW w:w="457" w:type="dxa"/>
            <w:tcBorders>
              <w:top w:val="single" w:color="000000" w:sz="4" w:space="0"/>
              <w:left w:val="single" w:color="000000" w:sz="4" w:space="0"/>
              <w:bottom w:val="single" w:color="000000" w:sz="4" w:space="0"/>
              <w:right w:val="single" w:color="000000" w:sz="4" w:space="0"/>
            </w:tcBorders>
            <w:vAlign w:val="center"/>
          </w:tcPr>
          <w:p w14:paraId="1BCCA34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4A1B09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4C9A11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33D085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7.2</w:t>
            </w:r>
          </w:p>
        </w:tc>
        <w:tc>
          <w:tcPr>
            <w:tcW w:w="1613" w:type="dxa"/>
            <w:tcBorders>
              <w:top w:val="single" w:color="000000" w:sz="4" w:space="0"/>
              <w:left w:val="single" w:color="000000" w:sz="4" w:space="0"/>
              <w:bottom w:val="single" w:color="000000" w:sz="4" w:space="0"/>
              <w:right w:val="single" w:color="000000" w:sz="4" w:space="0"/>
            </w:tcBorders>
            <w:vAlign w:val="center"/>
          </w:tcPr>
          <w:p w14:paraId="1776ECA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数据同步状态反馈功能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486232E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接收数据后自动向慧眼平台返回成功标识，数据异常时返回具体错误码支持针对性重试，同时后台记录每笔数据传输时间、状态及错误日志，便于运维追溯，形成闭环流转。</w:t>
            </w:r>
          </w:p>
        </w:tc>
        <w:tc>
          <w:tcPr>
            <w:tcW w:w="457" w:type="dxa"/>
            <w:tcBorders>
              <w:top w:val="single" w:color="000000" w:sz="4" w:space="0"/>
              <w:left w:val="single" w:color="000000" w:sz="4" w:space="0"/>
              <w:bottom w:val="single" w:color="000000" w:sz="4" w:space="0"/>
              <w:right w:val="single" w:color="000000" w:sz="4" w:space="0"/>
            </w:tcBorders>
            <w:vAlign w:val="center"/>
          </w:tcPr>
          <w:p w14:paraId="7A47155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40A938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888FD3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635D86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7.3</w:t>
            </w:r>
          </w:p>
        </w:tc>
        <w:tc>
          <w:tcPr>
            <w:tcW w:w="1613" w:type="dxa"/>
            <w:tcBorders>
              <w:top w:val="single" w:color="000000" w:sz="4" w:space="0"/>
              <w:left w:val="single" w:color="000000" w:sz="4" w:space="0"/>
              <w:bottom w:val="single" w:color="000000" w:sz="4" w:space="0"/>
              <w:right w:val="single" w:color="000000" w:sz="4" w:space="0"/>
            </w:tcBorders>
            <w:vAlign w:val="center"/>
          </w:tcPr>
          <w:p w14:paraId="0ABBDAB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多模式声光提醒</w:t>
            </w:r>
          </w:p>
        </w:tc>
        <w:tc>
          <w:tcPr>
            <w:tcW w:w="5281" w:type="dxa"/>
            <w:tcBorders>
              <w:top w:val="single" w:color="000000" w:sz="4" w:space="0"/>
              <w:left w:val="single" w:color="000000" w:sz="4" w:space="0"/>
              <w:bottom w:val="single" w:color="000000" w:sz="4" w:space="0"/>
              <w:right w:val="single" w:color="000000" w:sz="4" w:space="0"/>
            </w:tcBorders>
            <w:vAlign w:val="center"/>
          </w:tcPr>
          <w:p w14:paraId="63C326C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支持声音、灯光、振动三种提醒模式单独或组合启用，确保民警及时察觉新任务且不被打扰。</w:t>
            </w:r>
          </w:p>
        </w:tc>
        <w:tc>
          <w:tcPr>
            <w:tcW w:w="457" w:type="dxa"/>
            <w:tcBorders>
              <w:top w:val="single" w:color="000000" w:sz="4" w:space="0"/>
              <w:left w:val="single" w:color="000000" w:sz="4" w:space="0"/>
              <w:bottom w:val="single" w:color="000000" w:sz="4" w:space="0"/>
              <w:right w:val="single" w:color="000000" w:sz="4" w:space="0"/>
            </w:tcBorders>
            <w:vAlign w:val="center"/>
          </w:tcPr>
          <w:p w14:paraId="50B286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BDA80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3EDD7F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A680AA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7.4</w:t>
            </w:r>
          </w:p>
        </w:tc>
        <w:tc>
          <w:tcPr>
            <w:tcW w:w="1613" w:type="dxa"/>
            <w:tcBorders>
              <w:top w:val="single" w:color="000000" w:sz="4" w:space="0"/>
              <w:left w:val="single" w:color="000000" w:sz="4" w:space="0"/>
              <w:bottom w:val="single" w:color="000000" w:sz="4" w:space="0"/>
              <w:right w:val="single" w:color="000000" w:sz="4" w:space="0"/>
            </w:tcBorders>
            <w:vAlign w:val="center"/>
          </w:tcPr>
          <w:p w14:paraId="046DFF1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数据安全接收功能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0AE0CFF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采用加密传输协议防止泄露，自动将其格式转换为警务通终端可识别的格式，接收后自动校验完整性，传输中断可断点续传，保障传输安全与数据不丢失。</w:t>
            </w:r>
          </w:p>
        </w:tc>
        <w:tc>
          <w:tcPr>
            <w:tcW w:w="457" w:type="dxa"/>
            <w:tcBorders>
              <w:top w:val="single" w:color="000000" w:sz="4" w:space="0"/>
              <w:left w:val="single" w:color="000000" w:sz="4" w:space="0"/>
              <w:bottom w:val="single" w:color="000000" w:sz="4" w:space="0"/>
              <w:right w:val="single" w:color="000000" w:sz="4" w:space="0"/>
            </w:tcBorders>
            <w:vAlign w:val="center"/>
          </w:tcPr>
          <w:p w14:paraId="6D979ED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CB62D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D61056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6826F7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7.5</w:t>
            </w:r>
          </w:p>
        </w:tc>
        <w:tc>
          <w:tcPr>
            <w:tcW w:w="1613" w:type="dxa"/>
            <w:tcBorders>
              <w:top w:val="single" w:color="000000" w:sz="4" w:space="0"/>
              <w:left w:val="single" w:color="000000" w:sz="4" w:space="0"/>
              <w:bottom w:val="single" w:color="000000" w:sz="4" w:space="0"/>
              <w:right w:val="single" w:color="000000" w:sz="4" w:space="0"/>
            </w:tcBorders>
            <w:vAlign w:val="center"/>
          </w:tcPr>
          <w:p w14:paraId="04FA776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分类列表查看功能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17C28D9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以列表形式展示分类后的简要信息，每条包含对象、类型、时间等核心字段，支持筛选排序，不同分类用差异化颜色或者图标标识，提升浏览效率。</w:t>
            </w:r>
          </w:p>
        </w:tc>
        <w:tc>
          <w:tcPr>
            <w:tcW w:w="457" w:type="dxa"/>
            <w:tcBorders>
              <w:top w:val="single" w:color="000000" w:sz="4" w:space="0"/>
              <w:left w:val="single" w:color="000000" w:sz="4" w:space="0"/>
              <w:bottom w:val="single" w:color="000000" w:sz="4" w:space="0"/>
              <w:right w:val="single" w:color="000000" w:sz="4" w:space="0"/>
            </w:tcBorders>
            <w:vAlign w:val="center"/>
          </w:tcPr>
          <w:p w14:paraId="1DBED3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CC06E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2F9ABD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E1853D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7.6</w:t>
            </w:r>
          </w:p>
        </w:tc>
        <w:tc>
          <w:tcPr>
            <w:tcW w:w="1613" w:type="dxa"/>
            <w:tcBorders>
              <w:top w:val="single" w:color="000000" w:sz="4" w:space="0"/>
              <w:left w:val="single" w:color="000000" w:sz="4" w:space="0"/>
              <w:bottom w:val="single" w:color="000000" w:sz="4" w:space="0"/>
              <w:right w:val="single" w:color="000000" w:sz="4" w:space="0"/>
            </w:tcBorders>
            <w:vAlign w:val="center"/>
          </w:tcPr>
          <w:p w14:paraId="16557E1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基础信息展示</w:t>
            </w:r>
          </w:p>
        </w:tc>
        <w:tc>
          <w:tcPr>
            <w:tcW w:w="5281" w:type="dxa"/>
            <w:tcBorders>
              <w:top w:val="single" w:color="000000" w:sz="4" w:space="0"/>
              <w:left w:val="single" w:color="000000" w:sz="4" w:space="0"/>
              <w:bottom w:val="single" w:color="000000" w:sz="4" w:space="0"/>
              <w:right w:val="single" w:color="000000" w:sz="4" w:space="0"/>
            </w:tcBorders>
            <w:vAlign w:val="center"/>
          </w:tcPr>
          <w:p w14:paraId="68D3963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点击简要信息后展示包含基础信息（人员</w:t>
            </w:r>
            <w:r>
              <w:rPr>
                <w:rFonts w:hint="eastAsia" w:asciiTheme="minorEastAsia" w:hAnsiTheme="minorEastAsia" w:eastAsiaTheme="minorEastAsia"/>
                <w:color w:val="000000"/>
                <w:sz w:val="24"/>
                <w:szCs w:val="24"/>
                <w:highlight w:val="none"/>
                <w:lang w:eastAsia="zh-CN" w:bidi="ar"/>
              </w:rPr>
              <w:t xml:space="preserve"> / </w:t>
            </w:r>
            <w:r>
              <w:rPr>
                <w:rFonts w:hint="eastAsia" w:cs="微软雅黑" w:asciiTheme="minorEastAsia" w:hAnsiTheme="minorEastAsia" w:eastAsiaTheme="minorEastAsia"/>
                <w:color w:val="000000"/>
                <w:sz w:val="24"/>
                <w:szCs w:val="24"/>
                <w:highlight w:val="none"/>
                <w:lang w:eastAsia="zh-CN" w:bidi="ar"/>
              </w:rPr>
              <w:t>车辆核心信息）、告警详情（行为描述</w:t>
            </w:r>
            <w:r>
              <w:rPr>
                <w:rFonts w:hint="eastAsia" w:asciiTheme="minorEastAsia" w:hAnsiTheme="minorEastAsia" w:eastAsiaTheme="minorEastAsia"/>
                <w:color w:val="000000"/>
                <w:sz w:val="24"/>
                <w:szCs w:val="24"/>
                <w:highlight w:val="none"/>
                <w:lang w:eastAsia="zh-CN" w:bidi="ar"/>
              </w:rPr>
              <w:t xml:space="preserve"> / </w:t>
            </w:r>
            <w:r>
              <w:rPr>
                <w:rFonts w:hint="eastAsia" w:cs="微软雅黑" w:asciiTheme="minorEastAsia" w:hAnsiTheme="minorEastAsia" w:eastAsiaTheme="minorEastAsia"/>
                <w:color w:val="000000"/>
                <w:sz w:val="24"/>
                <w:szCs w:val="24"/>
                <w:highlight w:val="none"/>
                <w:lang w:eastAsia="zh-CN" w:bidi="ar"/>
              </w:rPr>
              <w:t>照片）、处理建议（处罚</w:t>
            </w: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告知）的完整信息包，支持照片放大、关键词高亮。</w:t>
            </w:r>
          </w:p>
        </w:tc>
        <w:tc>
          <w:tcPr>
            <w:tcW w:w="457" w:type="dxa"/>
            <w:tcBorders>
              <w:top w:val="single" w:color="000000" w:sz="4" w:space="0"/>
              <w:left w:val="single" w:color="000000" w:sz="4" w:space="0"/>
              <w:bottom w:val="single" w:color="000000" w:sz="4" w:space="0"/>
              <w:right w:val="single" w:color="000000" w:sz="4" w:space="0"/>
            </w:tcBorders>
            <w:vAlign w:val="center"/>
          </w:tcPr>
          <w:p w14:paraId="1836B5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5EF937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E7744C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F429F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7.7</w:t>
            </w:r>
          </w:p>
        </w:tc>
        <w:tc>
          <w:tcPr>
            <w:tcW w:w="1613" w:type="dxa"/>
            <w:tcBorders>
              <w:top w:val="single" w:color="000000" w:sz="4" w:space="0"/>
              <w:left w:val="single" w:color="000000" w:sz="4" w:space="0"/>
              <w:bottom w:val="single" w:color="000000" w:sz="4" w:space="0"/>
              <w:right w:val="single" w:color="000000" w:sz="4" w:space="0"/>
            </w:tcBorders>
            <w:vAlign w:val="center"/>
          </w:tcPr>
          <w:p w14:paraId="49F5067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一键复用功能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5804FF4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民警确认信息无误后点击</w:t>
            </w: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复用</w:t>
            </w:r>
            <w:r>
              <w:rPr>
                <w:rFonts w:cs="Arial" w:asciiTheme="minorEastAsia" w:hAnsiTheme="minorEastAsia" w:eastAsiaTheme="minorEastAsia"/>
                <w:color w:val="000000"/>
                <w:sz w:val="24"/>
                <w:szCs w:val="24"/>
                <w:highlight w:val="none"/>
                <w:lang w:eastAsia="zh-CN" w:bidi="ar"/>
              </w:rPr>
              <w:t>”</w:t>
            </w: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按钮，系统自动将详情信息同步至处罚系统，无需手动录入核心字段，复用前自动校验信息有效性（如是否超时效、是否更新），无效信息提示重新确认，减少重复操作。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52C24C0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2EB0DA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8F9FD8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095D42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7.8</w:t>
            </w:r>
          </w:p>
        </w:tc>
        <w:tc>
          <w:tcPr>
            <w:tcW w:w="1613" w:type="dxa"/>
            <w:tcBorders>
              <w:top w:val="single" w:color="000000" w:sz="4" w:space="0"/>
              <w:left w:val="single" w:color="000000" w:sz="4" w:space="0"/>
              <w:bottom w:val="single" w:color="000000" w:sz="4" w:space="0"/>
              <w:right w:val="single" w:color="000000" w:sz="4" w:space="0"/>
            </w:tcBorders>
            <w:vAlign w:val="center"/>
          </w:tcPr>
          <w:p w14:paraId="5EF9529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处罚页面跳转功能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1DE2EE1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复用后直接跳转至对应处罚类型的标准化处罚页面，无冗余操作保持连贯性，且支持与现有执法处罚系统对接，无需改造原有流程，适配不同地区接口规范，实现无缝衔接。</w:t>
            </w:r>
          </w:p>
        </w:tc>
        <w:tc>
          <w:tcPr>
            <w:tcW w:w="457" w:type="dxa"/>
            <w:tcBorders>
              <w:top w:val="single" w:color="000000" w:sz="4" w:space="0"/>
              <w:left w:val="single" w:color="000000" w:sz="4" w:space="0"/>
              <w:bottom w:val="single" w:color="000000" w:sz="4" w:space="0"/>
              <w:right w:val="single" w:color="000000" w:sz="4" w:space="0"/>
            </w:tcBorders>
            <w:vAlign w:val="center"/>
          </w:tcPr>
          <w:p w14:paraId="25D56D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7E7216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DCE7E7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980275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7.9</w:t>
            </w:r>
          </w:p>
        </w:tc>
        <w:tc>
          <w:tcPr>
            <w:tcW w:w="1613" w:type="dxa"/>
            <w:tcBorders>
              <w:top w:val="single" w:color="000000" w:sz="4" w:space="0"/>
              <w:left w:val="single" w:color="000000" w:sz="4" w:space="0"/>
              <w:bottom w:val="single" w:color="000000" w:sz="4" w:space="0"/>
              <w:right w:val="single" w:color="000000" w:sz="4" w:space="0"/>
            </w:tcBorders>
            <w:vAlign w:val="center"/>
          </w:tcPr>
          <w:p w14:paraId="0471314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一键播放文书功能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057B7AD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警务通集成语音控件，出具文书前点击</w:t>
            </w: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一键播放</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，可自动语音播报处罚告知书、权利义务告知书等内容，支持男女普通话，并提供暂停、重播、语速调节，播报时可查看对应文字。</w:t>
            </w:r>
          </w:p>
        </w:tc>
        <w:tc>
          <w:tcPr>
            <w:tcW w:w="457" w:type="dxa"/>
            <w:tcBorders>
              <w:top w:val="single" w:color="000000" w:sz="4" w:space="0"/>
              <w:left w:val="single" w:color="000000" w:sz="4" w:space="0"/>
              <w:bottom w:val="single" w:color="000000" w:sz="4" w:space="0"/>
              <w:right w:val="single" w:color="000000" w:sz="4" w:space="0"/>
            </w:tcBorders>
            <w:vAlign w:val="center"/>
          </w:tcPr>
          <w:p w14:paraId="6D25012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FA9BD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9F8C23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5D788B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7.10.</w:t>
            </w:r>
          </w:p>
        </w:tc>
        <w:tc>
          <w:tcPr>
            <w:tcW w:w="1613" w:type="dxa"/>
            <w:tcBorders>
              <w:top w:val="single" w:color="000000" w:sz="4" w:space="0"/>
              <w:left w:val="single" w:color="000000" w:sz="4" w:space="0"/>
              <w:bottom w:val="single" w:color="000000" w:sz="4" w:space="0"/>
              <w:right w:val="single" w:color="000000" w:sz="4" w:space="0"/>
            </w:tcBorders>
            <w:vAlign w:val="center"/>
          </w:tcPr>
          <w:p w14:paraId="58A5499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文书内容适配功能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5804457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自动关联当前处罚事项对应的标准化文书模板，确保播报内容与最终出具文书完全一致，同时支持客户自定义文书模板，系统自动适配语音播报格式，满足地方执法文书规范。</w:t>
            </w:r>
          </w:p>
        </w:tc>
        <w:tc>
          <w:tcPr>
            <w:tcW w:w="457" w:type="dxa"/>
            <w:tcBorders>
              <w:top w:val="single" w:color="000000" w:sz="4" w:space="0"/>
              <w:left w:val="single" w:color="000000" w:sz="4" w:space="0"/>
              <w:bottom w:val="single" w:color="000000" w:sz="4" w:space="0"/>
              <w:right w:val="single" w:color="000000" w:sz="4" w:space="0"/>
            </w:tcBorders>
            <w:vAlign w:val="center"/>
          </w:tcPr>
          <w:p w14:paraId="36EB02B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0D3D75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CADF32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73F1524">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八</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3A1ACE29">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asciiTheme="minorEastAsia" w:hAnsiTheme="minorEastAsia" w:eastAsiaTheme="minorEastAsia"/>
                <w:b/>
                <w:bCs/>
                <w:color w:val="000000"/>
                <w:sz w:val="24"/>
                <w:szCs w:val="24"/>
                <w:highlight w:val="none"/>
                <w:lang w:eastAsia="zh-CN" w:bidi="ar"/>
              </w:rPr>
              <w:t>5G</w:t>
            </w:r>
            <w:r>
              <w:rPr>
                <w:rFonts w:hint="eastAsia" w:cs="微软雅黑" w:asciiTheme="minorEastAsia" w:hAnsiTheme="minorEastAsia" w:eastAsiaTheme="minorEastAsia"/>
                <w:b/>
                <w:bCs/>
                <w:color w:val="000000"/>
                <w:sz w:val="24"/>
                <w:szCs w:val="24"/>
                <w:highlight w:val="none"/>
                <w:lang w:eastAsia="zh-CN" w:bidi="ar"/>
              </w:rPr>
              <w:t>可视化报警及调度机双机并行升级</w:t>
            </w:r>
          </w:p>
        </w:tc>
        <w:tc>
          <w:tcPr>
            <w:tcW w:w="457" w:type="dxa"/>
            <w:tcBorders>
              <w:top w:val="single" w:color="000000" w:sz="4" w:space="0"/>
              <w:left w:val="single" w:color="000000" w:sz="4" w:space="0"/>
              <w:bottom w:val="single" w:color="000000" w:sz="4" w:space="0"/>
              <w:right w:val="single" w:color="000000" w:sz="4" w:space="0"/>
            </w:tcBorders>
            <w:vAlign w:val="center"/>
          </w:tcPr>
          <w:p w14:paraId="3163CAB2">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C63D34C">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6B0052A7">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right w:val="single" w:color="000000" w:sz="4" w:space="0"/>
            </w:tcBorders>
            <w:vAlign w:val="center"/>
          </w:tcPr>
          <w:p w14:paraId="3855481A">
            <w:pPr>
              <w:pStyle w:val="201"/>
              <w:spacing w:line="400" w:lineRule="exact"/>
              <w:jc w:val="center"/>
              <w:rPr>
                <w:rFonts w:hint="eastAsia" w:asciiTheme="minorEastAsia" w:hAnsiTheme="minorEastAsia" w:eastAsiaTheme="minorEastAsia"/>
                <w:color w:val="000000"/>
                <w:sz w:val="24"/>
                <w:szCs w:val="24"/>
                <w:highlight w:val="none"/>
                <w:lang w:eastAsia="zh-CN" w:bidi="ar"/>
              </w:rPr>
            </w:pPr>
          </w:p>
          <w:p w14:paraId="3ABBE4E3">
            <w:pPr>
              <w:pStyle w:val="201"/>
              <w:spacing w:line="400" w:lineRule="exact"/>
              <w:jc w:val="cente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5548B154">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构建接警地图台</w:t>
            </w:r>
          </w:p>
        </w:tc>
        <w:tc>
          <w:tcPr>
            <w:tcW w:w="5281" w:type="dxa"/>
            <w:tcBorders>
              <w:top w:val="single" w:color="000000" w:sz="4" w:space="0"/>
              <w:left w:val="single" w:color="000000" w:sz="4" w:space="0"/>
              <w:bottom w:val="single" w:color="000000" w:sz="4" w:space="0"/>
              <w:right w:val="single" w:color="000000" w:sz="4" w:space="0"/>
            </w:tcBorders>
            <w:vAlign w:val="center"/>
          </w:tcPr>
          <w:p w14:paraId="60C7CDB0">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地图服务对接：与第三方地图服务平台对接开发，为接警台提供地图定位服务，实现地图台联动定位功能。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6C2AC189">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3F4F947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03BF60A5">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066FC94E">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98A79E6">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07327C0">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地图操作：地图放大、缩小、漫游、全图显示。</w:t>
            </w:r>
          </w:p>
        </w:tc>
        <w:tc>
          <w:tcPr>
            <w:tcW w:w="457" w:type="dxa"/>
            <w:tcBorders>
              <w:top w:val="single" w:color="000000" w:sz="4" w:space="0"/>
              <w:left w:val="single" w:color="000000" w:sz="4" w:space="0"/>
              <w:bottom w:val="single" w:color="000000" w:sz="4" w:space="0"/>
              <w:right w:val="single" w:color="000000" w:sz="4" w:space="0"/>
            </w:tcBorders>
            <w:vAlign w:val="center"/>
          </w:tcPr>
          <w:p w14:paraId="7CC8B74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3B2B35E5">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7D20FD8C">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5FEB543C">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20B67C6">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A98F8EF">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地图计算：测距、测面积。</w:t>
            </w:r>
          </w:p>
        </w:tc>
        <w:tc>
          <w:tcPr>
            <w:tcW w:w="457" w:type="dxa"/>
            <w:tcBorders>
              <w:top w:val="single" w:color="000000" w:sz="4" w:space="0"/>
              <w:left w:val="single" w:color="000000" w:sz="4" w:space="0"/>
              <w:bottom w:val="single" w:color="000000" w:sz="4" w:space="0"/>
              <w:right w:val="single" w:color="000000" w:sz="4" w:space="0"/>
            </w:tcBorders>
            <w:vAlign w:val="center"/>
          </w:tcPr>
          <w:p w14:paraId="0992D925">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61A11EA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1ADA3CE4">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75ABD5BF">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C34042F">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52916C65">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警情定位上图：获取警情定位信息，自动在地图上进行撒点定位</w:t>
            </w:r>
          </w:p>
        </w:tc>
        <w:tc>
          <w:tcPr>
            <w:tcW w:w="457" w:type="dxa"/>
            <w:tcBorders>
              <w:top w:val="single" w:color="000000" w:sz="4" w:space="0"/>
              <w:left w:val="single" w:color="000000" w:sz="4" w:space="0"/>
              <w:bottom w:val="single" w:color="000000" w:sz="4" w:space="0"/>
              <w:right w:val="single" w:color="000000" w:sz="4" w:space="0"/>
            </w:tcBorders>
            <w:vAlign w:val="center"/>
          </w:tcPr>
          <w:p w14:paraId="2FF8390E">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60B1AA2C">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40F4A44D">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415EC7AD">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C1F114F">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EE7FF41">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地址反向定位：在地图上手动标点进行定位，由地图台反向受理台推送警情位置坐标信息。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25384EA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7C2F62F7">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231771B7">
        <w:tblPrEx>
          <w:tblCellMar>
            <w:top w:w="0" w:type="dxa"/>
            <w:left w:w="108" w:type="dxa"/>
            <w:bottom w:w="0" w:type="dxa"/>
            <w:right w:w="108" w:type="dxa"/>
          </w:tblCellMar>
        </w:tblPrEx>
        <w:trPr>
          <w:trHeight w:val="23" w:hRule="atLeast"/>
        </w:trPr>
        <w:tc>
          <w:tcPr>
            <w:tcW w:w="1044" w:type="dxa"/>
            <w:vMerge w:val="continue"/>
            <w:tcBorders>
              <w:left w:val="single" w:color="000000" w:sz="4" w:space="0"/>
              <w:bottom w:val="single" w:color="000000" w:sz="4" w:space="0"/>
              <w:right w:val="single" w:color="000000" w:sz="4" w:space="0"/>
            </w:tcBorders>
            <w:vAlign w:val="center"/>
          </w:tcPr>
          <w:p w14:paraId="04500082">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C30293C">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EAAAA81">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地图台页面</w:t>
            </w:r>
            <w:r>
              <w:rPr>
                <w:rFonts w:asciiTheme="minorEastAsia" w:hAnsiTheme="minorEastAsia" w:eastAsiaTheme="minorEastAsia"/>
                <w:color w:val="000000"/>
                <w:sz w:val="24"/>
                <w:szCs w:val="24"/>
                <w:highlight w:val="none"/>
                <w:lang w:eastAsia="zh-CN" w:bidi="ar"/>
              </w:rPr>
              <w:t>UI</w:t>
            </w:r>
            <w:r>
              <w:rPr>
                <w:rFonts w:hint="eastAsia" w:cs="微软雅黑" w:asciiTheme="minorEastAsia" w:hAnsiTheme="minorEastAsia" w:eastAsiaTheme="minorEastAsia"/>
                <w:color w:val="000000"/>
                <w:sz w:val="24"/>
                <w:szCs w:val="24"/>
                <w:highlight w:val="none"/>
                <w:lang w:eastAsia="zh-CN" w:bidi="ar"/>
              </w:rPr>
              <w:t>整体视觉设计</w:t>
            </w:r>
          </w:p>
        </w:tc>
        <w:tc>
          <w:tcPr>
            <w:tcW w:w="457" w:type="dxa"/>
            <w:tcBorders>
              <w:top w:val="single" w:color="000000" w:sz="4" w:space="0"/>
              <w:left w:val="single" w:color="000000" w:sz="4" w:space="0"/>
              <w:bottom w:val="single" w:color="000000" w:sz="4" w:space="0"/>
              <w:right w:val="single" w:color="000000" w:sz="4" w:space="0"/>
            </w:tcBorders>
            <w:vAlign w:val="center"/>
          </w:tcPr>
          <w:p w14:paraId="645BEA2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3533E65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51FCACF5">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right w:val="single" w:color="000000" w:sz="4" w:space="0"/>
            </w:tcBorders>
            <w:vAlign w:val="center"/>
          </w:tcPr>
          <w:p w14:paraId="55724D79">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2</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1D130C8D">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短信平台对接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7ED53EC8">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第三方短信平台</w:t>
            </w:r>
            <w:r>
              <w:rPr>
                <w:rFonts w:asciiTheme="minorEastAsia" w:hAnsiTheme="minorEastAsia" w:eastAsiaTheme="minorEastAsia"/>
                <w:color w:val="000000"/>
                <w:sz w:val="24"/>
                <w:szCs w:val="24"/>
                <w:highlight w:val="none"/>
                <w:lang w:eastAsia="zh-CN" w:bidi="ar"/>
              </w:rPr>
              <w:t>API</w:t>
            </w:r>
            <w:r>
              <w:rPr>
                <w:rFonts w:hint="eastAsia" w:cs="微软雅黑" w:asciiTheme="minorEastAsia" w:hAnsiTheme="minorEastAsia" w:eastAsiaTheme="minorEastAsia"/>
                <w:color w:val="000000"/>
                <w:sz w:val="24"/>
                <w:szCs w:val="24"/>
                <w:highlight w:val="none"/>
                <w:lang w:eastAsia="zh-CN" w:bidi="ar"/>
              </w:rPr>
              <w:t>对接</w:t>
            </w:r>
          </w:p>
        </w:tc>
        <w:tc>
          <w:tcPr>
            <w:tcW w:w="457" w:type="dxa"/>
            <w:tcBorders>
              <w:top w:val="single" w:color="000000" w:sz="4" w:space="0"/>
              <w:left w:val="single" w:color="000000" w:sz="4" w:space="0"/>
              <w:bottom w:val="single" w:color="000000" w:sz="4" w:space="0"/>
              <w:right w:val="single" w:color="000000" w:sz="4" w:space="0"/>
            </w:tcBorders>
            <w:vAlign w:val="center"/>
          </w:tcPr>
          <w:p w14:paraId="55D67C63">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206EB403">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159BE74E">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658412FC">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6D9418A">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7B40581">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短信发送页面</w:t>
            </w:r>
            <w:r>
              <w:rPr>
                <w:rFonts w:asciiTheme="minorEastAsia" w:hAnsiTheme="minorEastAsia" w:eastAsiaTheme="minorEastAsia"/>
                <w:color w:val="000000"/>
                <w:sz w:val="24"/>
                <w:szCs w:val="24"/>
                <w:highlight w:val="none"/>
                <w:lang w:eastAsia="zh-CN" w:bidi="ar"/>
              </w:rPr>
              <w:t>UI</w:t>
            </w:r>
            <w:r>
              <w:rPr>
                <w:rFonts w:hint="eastAsia" w:cs="微软雅黑" w:asciiTheme="minorEastAsia" w:hAnsiTheme="minorEastAsia" w:eastAsiaTheme="minorEastAsia"/>
                <w:color w:val="000000"/>
                <w:sz w:val="24"/>
                <w:szCs w:val="24"/>
                <w:highlight w:val="none"/>
                <w:lang w:eastAsia="zh-CN" w:bidi="ar"/>
              </w:rPr>
              <w:t>设计</w:t>
            </w:r>
          </w:p>
        </w:tc>
        <w:tc>
          <w:tcPr>
            <w:tcW w:w="457" w:type="dxa"/>
            <w:tcBorders>
              <w:top w:val="single" w:color="000000" w:sz="4" w:space="0"/>
              <w:left w:val="single" w:color="000000" w:sz="4" w:space="0"/>
              <w:bottom w:val="single" w:color="000000" w:sz="4" w:space="0"/>
              <w:right w:val="single" w:color="000000" w:sz="4" w:space="0"/>
            </w:tcBorders>
            <w:vAlign w:val="center"/>
          </w:tcPr>
          <w:p w14:paraId="4043EC72">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08D2AF4E">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63262C79">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19055602">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7CC146D1">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DC6B3B1">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短信内容编辑</w:t>
            </w:r>
          </w:p>
        </w:tc>
        <w:tc>
          <w:tcPr>
            <w:tcW w:w="457" w:type="dxa"/>
            <w:tcBorders>
              <w:top w:val="single" w:color="000000" w:sz="4" w:space="0"/>
              <w:left w:val="single" w:color="000000" w:sz="4" w:space="0"/>
              <w:bottom w:val="single" w:color="000000" w:sz="4" w:space="0"/>
              <w:right w:val="single" w:color="000000" w:sz="4" w:space="0"/>
            </w:tcBorders>
            <w:vAlign w:val="center"/>
          </w:tcPr>
          <w:p w14:paraId="6AE85933">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6EB2F9C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7BEBB876">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4A8519AA">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F366453">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4B3AEA1">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联系人管理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4C3F0E4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2A14D2E7">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04452FC8">
        <w:tblPrEx>
          <w:tblCellMar>
            <w:top w:w="0" w:type="dxa"/>
            <w:left w:w="108" w:type="dxa"/>
            <w:bottom w:w="0" w:type="dxa"/>
            <w:right w:w="108" w:type="dxa"/>
          </w:tblCellMar>
        </w:tblPrEx>
        <w:trPr>
          <w:trHeight w:val="23" w:hRule="atLeast"/>
        </w:trPr>
        <w:tc>
          <w:tcPr>
            <w:tcW w:w="1044" w:type="dxa"/>
            <w:vMerge w:val="continue"/>
            <w:tcBorders>
              <w:left w:val="single" w:color="000000" w:sz="4" w:space="0"/>
              <w:bottom w:val="single" w:color="000000" w:sz="4" w:space="0"/>
              <w:right w:val="single" w:color="000000" w:sz="4" w:space="0"/>
            </w:tcBorders>
            <w:vAlign w:val="center"/>
          </w:tcPr>
          <w:p w14:paraId="1D109130">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F9E9DE7">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31C7AFD">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短信发送状态回调处理</w:t>
            </w:r>
          </w:p>
        </w:tc>
        <w:tc>
          <w:tcPr>
            <w:tcW w:w="457" w:type="dxa"/>
            <w:tcBorders>
              <w:top w:val="single" w:color="000000" w:sz="4" w:space="0"/>
              <w:left w:val="single" w:color="000000" w:sz="4" w:space="0"/>
              <w:bottom w:val="single" w:color="000000" w:sz="4" w:space="0"/>
              <w:right w:val="single" w:color="000000" w:sz="4" w:space="0"/>
            </w:tcBorders>
            <w:vAlign w:val="center"/>
          </w:tcPr>
          <w:p w14:paraId="16A70E1C">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21D5059E">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4582330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46B3AA">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4C6780CF">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警情数据规范标准改造</w:t>
            </w:r>
          </w:p>
        </w:tc>
        <w:tc>
          <w:tcPr>
            <w:tcW w:w="5281" w:type="dxa"/>
            <w:tcBorders>
              <w:top w:val="single" w:color="000000" w:sz="4" w:space="0"/>
              <w:left w:val="single" w:color="000000" w:sz="4" w:space="0"/>
              <w:bottom w:val="single" w:color="000000" w:sz="4" w:space="0"/>
              <w:right w:val="single" w:color="000000" w:sz="4" w:space="0"/>
            </w:tcBorders>
            <w:vAlign w:val="center"/>
          </w:tcPr>
          <w:p w14:paraId="39C56F60">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64E781C">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576" w:type="dxa"/>
            <w:tcBorders>
              <w:top w:val="single" w:color="000000" w:sz="4" w:space="0"/>
              <w:left w:val="single" w:color="000000" w:sz="4" w:space="0"/>
              <w:bottom w:val="single" w:color="000000" w:sz="4" w:space="0"/>
              <w:right w:val="single" w:color="000000" w:sz="4" w:space="0"/>
            </w:tcBorders>
            <w:vAlign w:val="center"/>
          </w:tcPr>
          <w:p w14:paraId="6B62B9E3">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r>
      <w:tr w14:paraId="44D2520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EEB5274">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14C7029C">
            <w:pPr>
              <w:pStyle w:val="201"/>
              <w:spacing w:line="400" w:lineRule="exact"/>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警情规范改造</w:t>
            </w:r>
          </w:p>
        </w:tc>
        <w:tc>
          <w:tcPr>
            <w:tcW w:w="5281" w:type="dxa"/>
            <w:tcBorders>
              <w:top w:val="single" w:color="000000" w:sz="4" w:space="0"/>
              <w:left w:val="single" w:color="000000" w:sz="4" w:space="0"/>
              <w:bottom w:val="single" w:color="000000" w:sz="4" w:space="0"/>
              <w:right w:val="single" w:color="000000" w:sz="4" w:space="0"/>
            </w:tcBorders>
            <w:vAlign w:val="center"/>
          </w:tcPr>
          <w:p w14:paraId="31BBE5AD">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按照《数据规范》，对基础字典表、业务数据表、以及业务字典表三类进行标准规范改造</w:t>
            </w:r>
          </w:p>
        </w:tc>
        <w:tc>
          <w:tcPr>
            <w:tcW w:w="457" w:type="dxa"/>
            <w:tcBorders>
              <w:top w:val="single" w:color="000000" w:sz="4" w:space="0"/>
              <w:left w:val="single" w:color="000000" w:sz="4" w:space="0"/>
              <w:bottom w:val="single" w:color="000000" w:sz="4" w:space="0"/>
              <w:right w:val="single" w:color="000000" w:sz="4" w:space="0"/>
            </w:tcBorders>
            <w:vAlign w:val="center"/>
          </w:tcPr>
          <w:p w14:paraId="1066F0D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58335860">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62F91A4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3A10F96">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64DFC6CE">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数据清洗服务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77DABA74">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提供数据清洗接收预处理、数据转换处理、数据编码处理、数据格式处理服务</w:t>
            </w:r>
          </w:p>
        </w:tc>
        <w:tc>
          <w:tcPr>
            <w:tcW w:w="457" w:type="dxa"/>
            <w:tcBorders>
              <w:top w:val="single" w:color="000000" w:sz="4" w:space="0"/>
              <w:left w:val="single" w:color="000000" w:sz="4" w:space="0"/>
              <w:bottom w:val="single" w:color="000000" w:sz="4" w:space="0"/>
              <w:right w:val="single" w:color="000000" w:sz="4" w:space="0"/>
            </w:tcBorders>
            <w:vAlign w:val="center"/>
          </w:tcPr>
          <w:p w14:paraId="1D2FEA6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523F56F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47D7663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970EA23">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3.3</w:t>
            </w:r>
          </w:p>
        </w:tc>
        <w:tc>
          <w:tcPr>
            <w:tcW w:w="1613" w:type="dxa"/>
            <w:tcBorders>
              <w:top w:val="single" w:color="000000" w:sz="4" w:space="0"/>
              <w:left w:val="single" w:color="000000" w:sz="4" w:space="0"/>
              <w:bottom w:val="single" w:color="000000" w:sz="4" w:space="0"/>
              <w:right w:val="single" w:color="000000" w:sz="4" w:space="0"/>
            </w:tcBorders>
            <w:vAlign w:val="center"/>
          </w:tcPr>
          <w:p w14:paraId="4BD2EEDF">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警情报送</w:t>
            </w:r>
          </w:p>
        </w:tc>
        <w:tc>
          <w:tcPr>
            <w:tcW w:w="5281" w:type="dxa"/>
            <w:tcBorders>
              <w:top w:val="single" w:color="000000" w:sz="4" w:space="0"/>
              <w:left w:val="single" w:color="000000" w:sz="4" w:space="0"/>
              <w:bottom w:val="single" w:color="000000" w:sz="4" w:space="0"/>
              <w:right w:val="single" w:color="000000" w:sz="4" w:space="0"/>
            </w:tcBorders>
            <w:vAlign w:val="center"/>
          </w:tcPr>
          <w:p w14:paraId="7622B6A7">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将</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警情标准库新增警情、更新警情和历史警情数据，报送至省厅</w:t>
            </w:r>
          </w:p>
        </w:tc>
        <w:tc>
          <w:tcPr>
            <w:tcW w:w="457" w:type="dxa"/>
            <w:tcBorders>
              <w:top w:val="single" w:color="000000" w:sz="4" w:space="0"/>
              <w:left w:val="single" w:color="000000" w:sz="4" w:space="0"/>
              <w:bottom w:val="single" w:color="000000" w:sz="4" w:space="0"/>
              <w:right w:val="single" w:color="000000" w:sz="4" w:space="0"/>
            </w:tcBorders>
            <w:vAlign w:val="center"/>
          </w:tcPr>
          <w:p w14:paraId="2CC6161C">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464B0A50">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6EEDA05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D7A47C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47210678">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省</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政务服务热线对接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59020D9F">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ED17968">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576" w:type="dxa"/>
            <w:tcBorders>
              <w:top w:val="single" w:color="000000" w:sz="4" w:space="0"/>
              <w:left w:val="single" w:color="000000" w:sz="4" w:space="0"/>
              <w:bottom w:val="single" w:color="000000" w:sz="4" w:space="0"/>
              <w:right w:val="single" w:color="000000" w:sz="4" w:space="0"/>
            </w:tcBorders>
            <w:vAlign w:val="center"/>
          </w:tcPr>
          <w:p w14:paraId="052B7329">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r>
      <w:tr w14:paraId="598E61E6">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right w:val="single" w:color="000000" w:sz="4" w:space="0"/>
            </w:tcBorders>
            <w:vAlign w:val="center"/>
          </w:tcPr>
          <w:p w14:paraId="2D2D2F8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4.1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3984321E">
            <w:pPr>
              <w:pStyle w:val="201"/>
              <w:spacing w:line="400" w:lineRule="exact"/>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非警务分流</w:t>
            </w:r>
          </w:p>
        </w:tc>
        <w:tc>
          <w:tcPr>
            <w:tcW w:w="5281" w:type="dxa"/>
            <w:tcBorders>
              <w:top w:val="single" w:color="000000" w:sz="4" w:space="0"/>
              <w:left w:val="single" w:color="000000" w:sz="4" w:space="0"/>
              <w:bottom w:val="single" w:color="000000" w:sz="4" w:space="0"/>
              <w:right w:val="single" w:color="000000" w:sz="4" w:space="0"/>
            </w:tcBorders>
            <w:vAlign w:val="center"/>
          </w:tcPr>
          <w:p w14:paraId="1F8382F7">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非警务类警单转派：</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接处警系统将需要转派的非警务警单通过边界推送至政务网侧由</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进行签收。</w:t>
            </w:r>
          </w:p>
        </w:tc>
        <w:tc>
          <w:tcPr>
            <w:tcW w:w="457" w:type="dxa"/>
            <w:tcBorders>
              <w:top w:val="single" w:color="000000" w:sz="4" w:space="0"/>
              <w:left w:val="single" w:color="000000" w:sz="4" w:space="0"/>
              <w:bottom w:val="single" w:color="000000" w:sz="4" w:space="0"/>
              <w:right w:val="single" w:color="000000" w:sz="4" w:space="0"/>
            </w:tcBorders>
            <w:vAlign w:val="center"/>
          </w:tcPr>
          <w:p w14:paraId="1343FDF2">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3271F9F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5367C863">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464E9C1B">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0C792B2">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3539D2B">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转派状态提示：根据转派的网络封装数据发送协议回显信息提示发送成功与否</w:t>
            </w:r>
          </w:p>
        </w:tc>
        <w:tc>
          <w:tcPr>
            <w:tcW w:w="457" w:type="dxa"/>
            <w:tcBorders>
              <w:top w:val="single" w:color="000000" w:sz="4" w:space="0"/>
              <w:left w:val="single" w:color="000000" w:sz="4" w:space="0"/>
              <w:bottom w:val="single" w:color="000000" w:sz="4" w:space="0"/>
              <w:right w:val="single" w:color="000000" w:sz="4" w:space="0"/>
            </w:tcBorders>
            <w:vAlign w:val="center"/>
          </w:tcPr>
          <w:p w14:paraId="09C140A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55DB26AE">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371D7802">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4F7F5C60">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407A39E">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41CCEF3">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退单签收：</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系统对</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接处警系统转派的非警务警单进行稽核，如不属于本单位处理，可进行退单。</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接处警系统对</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系统的退回的非警务警单进行签收</w:t>
            </w:r>
          </w:p>
        </w:tc>
        <w:tc>
          <w:tcPr>
            <w:tcW w:w="457" w:type="dxa"/>
            <w:tcBorders>
              <w:top w:val="single" w:color="000000" w:sz="4" w:space="0"/>
              <w:left w:val="single" w:color="000000" w:sz="4" w:space="0"/>
              <w:bottom w:val="single" w:color="000000" w:sz="4" w:space="0"/>
              <w:right w:val="single" w:color="000000" w:sz="4" w:space="0"/>
            </w:tcBorders>
            <w:vAlign w:val="center"/>
          </w:tcPr>
          <w:p w14:paraId="303BFEFE">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08B23164">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134D41A5">
        <w:tblPrEx>
          <w:tblCellMar>
            <w:top w:w="0" w:type="dxa"/>
            <w:left w:w="108" w:type="dxa"/>
            <w:bottom w:w="0" w:type="dxa"/>
            <w:right w:w="108" w:type="dxa"/>
          </w:tblCellMar>
        </w:tblPrEx>
        <w:trPr>
          <w:trHeight w:val="23" w:hRule="atLeast"/>
        </w:trPr>
        <w:tc>
          <w:tcPr>
            <w:tcW w:w="1044" w:type="dxa"/>
            <w:vMerge w:val="continue"/>
            <w:tcBorders>
              <w:left w:val="single" w:color="000000" w:sz="4" w:space="0"/>
              <w:bottom w:val="single" w:color="000000" w:sz="4" w:space="0"/>
              <w:right w:val="single" w:color="000000" w:sz="4" w:space="0"/>
            </w:tcBorders>
            <w:vAlign w:val="center"/>
          </w:tcPr>
          <w:p w14:paraId="0091C4CA">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7337279C">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5F78EA6">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接收反馈：接收</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系统推送的非警务警单的处置反馈信息，便于</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指挥中心掌握处置情况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252848C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157DB9CA">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54516B81">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right w:val="single" w:color="000000" w:sz="4" w:space="0"/>
            </w:tcBorders>
            <w:vAlign w:val="center"/>
          </w:tcPr>
          <w:p w14:paraId="15DC0074">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4.2</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340A2DBF">
            <w:pPr>
              <w:pStyle w:val="201"/>
              <w:spacing w:line="400" w:lineRule="exact"/>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 xml:space="preserve">12345 </w:t>
            </w:r>
            <w:r>
              <w:rPr>
                <w:rFonts w:hint="eastAsia" w:cs="微软雅黑" w:asciiTheme="minorEastAsia" w:hAnsiTheme="minorEastAsia" w:eastAsiaTheme="minorEastAsia"/>
                <w:color w:val="000000"/>
                <w:sz w:val="24"/>
                <w:szCs w:val="24"/>
                <w:highlight w:val="none"/>
                <w:lang w:eastAsia="zh-CN" w:bidi="ar"/>
              </w:rPr>
              <w:t>警务协作受理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589B66E">
            <w:pPr>
              <w:pStyle w:val="201"/>
              <w:spacing w:line="400" w:lineRule="exact"/>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工单签收：</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接处警系统可对</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系统转派的工单进行签收。</w:t>
            </w:r>
          </w:p>
        </w:tc>
        <w:tc>
          <w:tcPr>
            <w:tcW w:w="457" w:type="dxa"/>
            <w:tcBorders>
              <w:top w:val="single" w:color="000000" w:sz="4" w:space="0"/>
              <w:left w:val="single" w:color="000000" w:sz="4" w:space="0"/>
              <w:bottom w:val="single" w:color="000000" w:sz="4" w:space="0"/>
              <w:right w:val="single" w:color="000000" w:sz="4" w:space="0"/>
            </w:tcBorders>
            <w:vAlign w:val="center"/>
          </w:tcPr>
          <w:p w14:paraId="0F285CBA">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1A79F8F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5DB1169E">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52962827">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58F3669">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227369B">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工单退单功能：</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接处警系统对</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转派的工单进行稽核，如不属于公安处置的事件可实现退单功能。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7566B7B0">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00A1E3E9">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7ABAA338">
        <w:tblPrEx>
          <w:tblCellMar>
            <w:top w:w="0" w:type="dxa"/>
            <w:left w:w="108" w:type="dxa"/>
            <w:bottom w:w="0" w:type="dxa"/>
            <w:right w:w="108" w:type="dxa"/>
          </w:tblCellMar>
        </w:tblPrEx>
        <w:trPr>
          <w:trHeight w:val="23" w:hRule="atLeast"/>
        </w:trPr>
        <w:tc>
          <w:tcPr>
            <w:tcW w:w="1044" w:type="dxa"/>
            <w:vMerge w:val="continue"/>
            <w:tcBorders>
              <w:left w:val="single" w:color="000000" w:sz="4" w:space="0"/>
              <w:bottom w:val="single" w:color="000000" w:sz="4" w:space="0"/>
              <w:right w:val="single" w:color="000000" w:sz="4" w:space="0"/>
            </w:tcBorders>
            <w:vAlign w:val="center"/>
          </w:tcPr>
          <w:p w14:paraId="6DBD9559">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D17567E">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35DEDA0">
            <w:pPr>
              <w:pStyle w:val="201"/>
              <w:spacing w:line="400" w:lineRule="exact"/>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工单反馈：</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接处警系统对</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系统转派的工单处置后，将反馈信息推送至</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系统，实现工单的反馈功能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6571E266">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5D0743A3">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40F679A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514A7D5">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4.3</w:t>
            </w:r>
          </w:p>
        </w:tc>
        <w:tc>
          <w:tcPr>
            <w:tcW w:w="1613" w:type="dxa"/>
            <w:tcBorders>
              <w:top w:val="single" w:color="000000" w:sz="4" w:space="0"/>
              <w:left w:val="single" w:color="000000" w:sz="4" w:space="0"/>
              <w:bottom w:val="single" w:color="000000" w:sz="4" w:space="0"/>
              <w:right w:val="single" w:color="000000" w:sz="4" w:space="0"/>
            </w:tcBorders>
            <w:vAlign w:val="center"/>
          </w:tcPr>
          <w:p w14:paraId="64778665">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协作单查询统计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586BBFBC">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系统查询功能增加</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转派至</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警情单</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和</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受理</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协作警单</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查询功能，支持条件查询，查询结果包括受理内容和反馈内容。同时可按支持按年</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月</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日维度统计，</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转派至</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警情单</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以及</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受理</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转派单</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数量</w:t>
            </w:r>
          </w:p>
        </w:tc>
        <w:tc>
          <w:tcPr>
            <w:tcW w:w="457" w:type="dxa"/>
            <w:tcBorders>
              <w:top w:val="single" w:color="000000" w:sz="4" w:space="0"/>
              <w:left w:val="single" w:color="000000" w:sz="4" w:space="0"/>
              <w:bottom w:val="single" w:color="000000" w:sz="4" w:space="0"/>
              <w:right w:val="single" w:color="000000" w:sz="4" w:space="0"/>
            </w:tcBorders>
            <w:vAlign w:val="center"/>
          </w:tcPr>
          <w:p w14:paraId="38A7707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0A92E8B7">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119DCCB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AA55528">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九</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43C0AB6F">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太仓公交数字化运营管理平台</w:t>
            </w:r>
          </w:p>
        </w:tc>
        <w:tc>
          <w:tcPr>
            <w:tcW w:w="457" w:type="dxa"/>
            <w:tcBorders>
              <w:top w:val="single" w:color="000000" w:sz="4" w:space="0"/>
              <w:left w:val="single" w:color="000000" w:sz="4" w:space="0"/>
              <w:bottom w:val="single" w:color="000000" w:sz="4" w:space="0"/>
              <w:right w:val="single" w:color="000000" w:sz="4" w:space="0"/>
            </w:tcBorders>
            <w:vAlign w:val="center"/>
          </w:tcPr>
          <w:p w14:paraId="517D9B3D">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AB94BCD">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662F8AE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C4639F">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（一）</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222EB95C">
            <w:pPr>
              <w:pStyle w:val="201"/>
              <w:spacing w:line="400" w:lineRule="exact"/>
              <w:rPr>
                <w:rFonts w:hint="eastAsia" w:asciiTheme="minorEastAsia" w:hAnsiTheme="minorEastAsia" w:eastAsiaTheme="minorEastAsia"/>
                <w:b/>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公交行业数字化管理考核系统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7589B5CA">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F100F81">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23BBE3D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8F16F6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714AA87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82CC679">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8C6FE7A">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51D6517">
            <w:pPr>
              <w:pStyle w:val="201"/>
              <w:spacing w:line="400" w:lineRule="exact"/>
              <w:jc w:val="center"/>
              <w:rPr>
                <w:rFonts w:hint="eastAsia" w:asciiTheme="minorEastAsia" w:hAnsiTheme="minorEastAsia" w:eastAsiaTheme="minorEastAsia"/>
                <w:color w:val="000000"/>
                <w:sz w:val="24"/>
                <w:szCs w:val="24"/>
                <w:highlight w:val="none"/>
              </w:rPr>
            </w:pPr>
          </w:p>
        </w:tc>
      </w:tr>
      <w:tr w14:paraId="3A0E680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A21A48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77B2741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基础运营数据管理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41C591F">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E93A7BF">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19707AE">
            <w:pPr>
              <w:pStyle w:val="201"/>
              <w:spacing w:line="400" w:lineRule="exact"/>
              <w:jc w:val="center"/>
              <w:rPr>
                <w:rFonts w:hint="eastAsia" w:asciiTheme="minorEastAsia" w:hAnsiTheme="minorEastAsia" w:eastAsiaTheme="minorEastAsia"/>
                <w:color w:val="000000"/>
                <w:sz w:val="24"/>
                <w:szCs w:val="24"/>
                <w:highlight w:val="none"/>
              </w:rPr>
            </w:pPr>
          </w:p>
        </w:tc>
      </w:tr>
      <w:tr w14:paraId="702FB07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5B9381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1.1.1</w:t>
            </w:r>
          </w:p>
        </w:tc>
        <w:tc>
          <w:tcPr>
            <w:tcW w:w="1613" w:type="dxa"/>
            <w:tcBorders>
              <w:top w:val="single" w:color="000000" w:sz="4" w:space="0"/>
              <w:left w:val="single" w:color="000000" w:sz="4" w:space="0"/>
              <w:bottom w:val="single" w:color="000000" w:sz="4" w:space="0"/>
              <w:right w:val="single" w:color="000000" w:sz="4" w:space="0"/>
            </w:tcBorders>
            <w:vAlign w:val="center"/>
          </w:tcPr>
          <w:p w14:paraId="3DA8E37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线路管理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32BB07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构建线路名称、营运时间、线路长度、线路走向、线路轨迹等线路基础数据管理模块，支持数据添加、批量导入、修改、删除点操作。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0E1D83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D44B7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26EDC7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0917B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1.1.2</w:t>
            </w:r>
          </w:p>
        </w:tc>
        <w:tc>
          <w:tcPr>
            <w:tcW w:w="1613" w:type="dxa"/>
            <w:tcBorders>
              <w:top w:val="single" w:color="000000" w:sz="4" w:space="0"/>
              <w:left w:val="single" w:color="000000" w:sz="4" w:space="0"/>
              <w:bottom w:val="single" w:color="000000" w:sz="4" w:space="0"/>
              <w:right w:val="single" w:color="000000" w:sz="4" w:space="0"/>
            </w:tcBorders>
            <w:vAlign w:val="center"/>
          </w:tcPr>
          <w:p w14:paraId="184C240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C0E7D1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构建车辆自编号、牌照号、车型等车辆基础数据的管理，支持数据添加、批量导入、修改、删除点操作。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12E22B8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9ABE4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03F62A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20D85B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1.1.3</w:t>
            </w:r>
          </w:p>
        </w:tc>
        <w:tc>
          <w:tcPr>
            <w:tcW w:w="1613" w:type="dxa"/>
            <w:tcBorders>
              <w:top w:val="single" w:color="000000" w:sz="4" w:space="0"/>
              <w:left w:val="single" w:color="000000" w:sz="4" w:space="0"/>
              <w:bottom w:val="single" w:color="000000" w:sz="4" w:space="0"/>
              <w:right w:val="single" w:color="000000" w:sz="4" w:space="0"/>
            </w:tcBorders>
            <w:vAlign w:val="center"/>
          </w:tcPr>
          <w:p w14:paraId="2BD0BE2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人员管理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21C199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构建人员信息、包括姓名、工号、车队等人员基础数据的管理，支持数据添加、批量导入、修改、删除点操作。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0B0D8E0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20E0E1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846C84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AB7CD1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1.1.4</w:t>
            </w:r>
          </w:p>
        </w:tc>
        <w:tc>
          <w:tcPr>
            <w:tcW w:w="1613" w:type="dxa"/>
            <w:tcBorders>
              <w:top w:val="single" w:color="000000" w:sz="4" w:space="0"/>
              <w:left w:val="single" w:color="000000" w:sz="4" w:space="0"/>
              <w:bottom w:val="single" w:color="000000" w:sz="4" w:space="0"/>
              <w:right w:val="single" w:color="000000" w:sz="4" w:space="0"/>
            </w:tcBorders>
            <w:vAlign w:val="center"/>
          </w:tcPr>
          <w:p w14:paraId="28439A3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停车场管理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4805AF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构建停车场名称、停车场电子围栏、所属车队等基础数据的管理，支持数据添加、批量导入、修改、删除点操作。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0B2EA2E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72C44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824274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E7EED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1.1.5</w:t>
            </w:r>
          </w:p>
        </w:tc>
        <w:tc>
          <w:tcPr>
            <w:tcW w:w="1613" w:type="dxa"/>
            <w:tcBorders>
              <w:top w:val="single" w:color="000000" w:sz="4" w:space="0"/>
              <w:left w:val="single" w:color="000000" w:sz="4" w:space="0"/>
              <w:bottom w:val="single" w:color="000000" w:sz="4" w:space="0"/>
              <w:right w:val="single" w:color="000000" w:sz="4" w:space="0"/>
            </w:tcBorders>
            <w:vAlign w:val="center"/>
          </w:tcPr>
          <w:p w14:paraId="1674501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区间及空驶轨迹管理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731851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构建区间及空驶的轨迹、公里数、线路走向等基础数据的管理，支持数据添加、批量导入、修改、删除点操作。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11CC353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222B26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86624A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E0408F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0BD9BA3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行车计划管理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AC97D76">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5EDEFB85">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B640D7C">
            <w:pPr>
              <w:pStyle w:val="201"/>
              <w:spacing w:line="400" w:lineRule="exact"/>
              <w:jc w:val="center"/>
              <w:rPr>
                <w:rFonts w:hint="eastAsia" w:asciiTheme="minorEastAsia" w:hAnsiTheme="minorEastAsia" w:eastAsiaTheme="minorEastAsia"/>
                <w:color w:val="000000"/>
                <w:sz w:val="24"/>
                <w:szCs w:val="24"/>
                <w:highlight w:val="none"/>
              </w:rPr>
            </w:pPr>
          </w:p>
        </w:tc>
      </w:tr>
      <w:tr w14:paraId="1EA816C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19966B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1.2.1</w:t>
            </w:r>
          </w:p>
        </w:tc>
        <w:tc>
          <w:tcPr>
            <w:tcW w:w="1613" w:type="dxa"/>
            <w:tcBorders>
              <w:top w:val="single" w:color="000000" w:sz="4" w:space="0"/>
              <w:left w:val="single" w:color="000000" w:sz="4" w:space="0"/>
              <w:bottom w:val="single" w:color="000000" w:sz="4" w:space="0"/>
              <w:right w:val="single" w:color="000000" w:sz="4" w:space="0"/>
            </w:tcBorders>
            <w:vAlign w:val="center"/>
          </w:tcPr>
          <w:p w14:paraId="3505ABC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计划行车时刻表管理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59CE25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线路日常线路营运计划的编制，包含班序号、路牌、发车班次、进出场时间等，支持时刻表模板的下载和导入。</w:t>
            </w:r>
          </w:p>
        </w:tc>
        <w:tc>
          <w:tcPr>
            <w:tcW w:w="457" w:type="dxa"/>
            <w:tcBorders>
              <w:top w:val="single" w:color="000000" w:sz="4" w:space="0"/>
              <w:left w:val="single" w:color="000000" w:sz="4" w:space="0"/>
              <w:bottom w:val="single" w:color="000000" w:sz="4" w:space="0"/>
              <w:right w:val="single" w:color="000000" w:sz="4" w:space="0"/>
            </w:tcBorders>
            <w:vAlign w:val="center"/>
          </w:tcPr>
          <w:p w14:paraId="5EA3072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F56592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ADCC7A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17E74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1.2.2</w:t>
            </w:r>
          </w:p>
        </w:tc>
        <w:tc>
          <w:tcPr>
            <w:tcW w:w="1613" w:type="dxa"/>
            <w:tcBorders>
              <w:top w:val="single" w:color="000000" w:sz="4" w:space="0"/>
              <w:left w:val="single" w:color="000000" w:sz="4" w:space="0"/>
              <w:bottom w:val="single" w:color="000000" w:sz="4" w:space="0"/>
              <w:right w:val="single" w:color="000000" w:sz="4" w:space="0"/>
            </w:tcBorders>
            <w:vAlign w:val="center"/>
          </w:tcPr>
          <w:p w14:paraId="5B41C8E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行车人员值勤表管理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5C43E1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结合行车时刻编制线路驾驶员的每日值勤信息，支持值勤表模板的下载和导入。</w:t>
            </w:r>
          </w:p>
        </w:tc>
        <w:tc>
          <w:tcPr>
            <w:tcW w:w="457" w:type="dxa"/>
            <w:tcBorders>
              <w:top w:val="single" w:color="000000" w:sz="4" w:space="0"/>
              <w:left w:val="single" w:color="000000" w:sz="4" w:space="0"/>
              <w:bottom w:val="single" w:color="000000" w:sz="4" w:space="0"/>
              <w:right w:val="single" w:color="000000" w:sz="4" w:space="0"/>
            </w:tcBorders>
            <w:vAlign w:val="center"/>
          </w:tcPr>
          <w:p w14:paraId="548E2CA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D54D78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82BE99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2E456A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1.2.3</w:t>
            </w:r>
          </w:p>
        </w:tc>
        <w:tc>
          <w:tcPr>
            <w:tcW w:w="1613" w:type="dxa"/>
            <w:tcBorders>
              <w:top w:val="single" w:color="000000" w:sz="4" w:space="0"/>
              <w:left w:val="single" w:color="000000" w:sz="4" w:space="0"/>
              <w:bottom w:val="single" w:color="000000" w:sz="4" w:space="0"/>
              <w:right w:val="single" w:color="000000" w:sz="4" w:space="0"/>
            </w:tcBorders>
            <w:vAlign w:val="center"/>
          </w:tcPr>
          <w:p w14:paraId="7CDDA17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节假日时刻表设定</w:t>
            </w:r>
          </w:p>
        </w:tc>
        <w:tc>
          <w:tcPr>
            <w:tcW w:w="5281" w:type="dxa"/>
            <w:tcBorders>
              <w:top w:val="single" w:color="000000" w:sz="4" w:space="0"/>
              <w:left w:val="single" w:color="000000" w:sz="4" w:space="0"/>
              <w:bottom w:val="single" w:color="000000" w:sz="4" w:space="0"/>
              <w:right w:val="single" w:color="000000" w:sz="4" w:space="0"/>
            </w:tcBorders>
            <w:vAlign w:val="center"/>
          </w:tcPr>
          <w:p w14:paraId="5D88D0D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设置特殊的节假日，用于特殊节假日下的行车计划切换使用。</w:t>
            </w:r>
          </w:p>
        </w:tc>
        <w:tc>
          <w:tcPr>
            <w:tcW w:w="457" w:type="dxa"/>
            <w:tcBorders>
              <w:top w:val="single" w:color="000000" w:sz="4" w:space="0"/>
              <w:left w:val="single" w:color="000000" w:sz="4" w:space="0"/>
              <w:bottom w:val="single" w:color="000000" w:sz="4" w:space="0"/>
              <w:right w:val="single" w:color="000000" w:sz="4" w:space="0"/>
            </w:tcBorders>
            <w:vAlign w:val="center"/>
          </w:tcPr>
          <w:p w14:paraId="64C083F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893C65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F65587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7AE24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1.2.4</w:t>
            </w:r>
          </w:p>
        </w:tc>
        <w:tc>
          <w:tcPr>
            <w:tcW w:w="1613" w:type="dxa"/>
            <w:tcBorders>
              <w:top w:val="single" w:color="000000" w:sz="4" w:space="0"/>
              <w:left w:val="single" w:color="000000" w:sz="4" w:space="0"/>
              <w:bottom w:val="single" w:color="000000" w:sz="4" w:space="0"/>
              <w:right w:val="single" w:color="000000" w:sz="4" w:space="0"/>
            </w:tcBorders>
            <w:vAlign w:val="center"/>
          </w:tcPr>
          <w:p w14:paraId="6EB05FA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特约车计划管理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F530F8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特约车计划的编制，包含租车方、上客点、目的地、车号等信息。支持模板的下载和导入。</w:t>
            </w:r>
          </w:p>
        </w:tc>
        <w:tc>
          <w:tcPr>
            <w:tcW w:w="457" w:type="dxa"/>
            <w:tcBorders>
              <w:top w:val="single" w:color="000000" w:sz="4" w:space="0"/>
              <w:left w:val="single" w:color="000000" w:sz="4" w:space="0"/>
              <w:bottom w:val="single" w:color="000000" w:sz="4" w:space="0"/>
              <w:right w:val="single" w:color="000000" w:sz="4" w:space="0"/>
            </w:tcBorders>
            <w:vAlign w:val="center"/>
          </w:tcPr>
          <w:p w14:paraId="30881B0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0823C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4A7B7A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DFF2B4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412C84D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生产调度管理与查询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63F1B0C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A17BFB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C22F899">
            <w:pPr>
              <w:pStyle w:val="201"/>
              <w:spacing w:line="400" w:lineRule="exact"/>
              <w:jc w:val="center"/>
              <w:rPr>
                <w:rFonts w:hint="eastAsia" w:asciiTheme="minorEastAsia" w:hAnsiTheme="minorEastAsia" w:eastAsiaTheme="minorEastAsia"/>
                <w:color w:val="000000"/>
                <w:sz w:val="24"/>
                <w:szCs w:val="24"/>
                <w:highlight w:val="none"/>
              </w:rPr>
            </w:pPr>
          </w:p>
        </w:tc>
      </w:tr>
      <w:tr w14:paraId="0CD107C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13CA89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w:t>
            </w:r>
          </w:p>
        </w:tc>
        <w:tc>
          <w:tcPr>
            <w:tcW w:w="1613" w:type="dxa"/>
            <w:tcBorders>
              <w:top w:val="single" w:color="000000" w:sz="4" w:space="0"/>
              <w:left w:val="single" w:color="000000" w:sz="4" w:space="0"/>
              <w:bottom w:val="single" w:color="000000" w:sz="4" w:space="0"/>
              <w:right w:val="single" w:color="000000" w:sz="4" w:space="0"/>
            </w:tcBorders>
            <w:vAlign w:val="center"/>
          </w:tcPr>
          <w:p w14:paraId="2F1C10B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车辆监控</w:t>
            </w:r>
          </w:p>
        </w:tc>
        <w:tc>
          <w:tcPr>
            <w:tcW w:w="5281" w:type="dxa"/>
            <w:tcBorders>
              <w:top w:val="single" w:color="000000" w:sz="4" w:space="0"/>
              <w:left w:val="single" w:color="000000" w:sz="4" w:space="0"/>
              <w:bottom w:val="single" w:color="000000" w:sz="4" w:space="0"/>
              <w:right w:val="single" w:color="000000" w:sz="4" w:space="0"/>
            </w:tcBorders>
            <w:vAlign w:val="center"/>
          </w:tcPr>
          <w:p w14:paraId="62BA9D0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通过模拟图、地图</w:t>
            </w:r>
            <w:r>
              <w:rPr>
                <w:rFonts w:hint="eastAsia" w:asciiTheme="minorEastAsia" w:hAnsiTheme="minorEastAsia" w:eastAsiaTheme="minorEastAsia"/>
                <w:color w:val="000000"/>
                <w:sz w:val="24"/>
                <w:szCs w:val="24"/>
                <w:highlight w:val="none"/>
                <w:lang w:eastAsia="zh-CN" w:bidi="ar"/>
              </w:rPr>
              <w:t>2</w:t>
            </w:r>
            <w:r>
              <w:rPr>
                <w:rFonts w:hint="eastAsia" w:cs="微软雅黑" w:asciiTheme="minorEastAsia" w:hAnsiTheme="minorEastAsia" w:eastAsiaTheme="minorEastAsia"/>
                <w:color w:val="000000"/>
                <w:sz w:val="24"/>
                <w:szCs w:val="24"/>
                <w:highlight w:val="none"/>
                <w:lang w:eastAsia="zh-CN" w:bidi="ar"/>
              </w:rPr>
              <w:t>种展现方式实时显示车辆的当前位置、行驶方向、车速、车辆的驾驶员信息、当日计划班次完成情况等信息，会以不同颜色区分当前车辆营运、停运等状态。</w:t>
            </w:r>
          </w:p>
        </w:tc>
        <w:tc>
          <w:tcPr>
            <w:tcW w:w="457" w:type="dxa"/>
            <w:tcBorders>
              <w:top w:val="single" w:color="000000" w:sz="4" w:space="0"/>
              <w:left w:val="single" w:color="000000" w:sz="4" w:space="0"/>
              <w:bottom w:val="single" w:color="000000" w:sz="4" w:space="0"/>
              <w:right w:val="single" w:color="000000" w:sz="4" w:space="0"/>
            </w:tcBorders>
            <w:vAlign w:val="center"/>
          </w:tcPr>
          <w:p w14:paraId="2C2770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02454A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590D75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A24271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1.3.2</w:t>
            </w:r>
          </w:p>
        </w:tc>
        <w:tc>
          <w:tcPr>
            <w:tcW w:w="1613" w:type="dxa"/>
            <w:tcBorders>
              <w:top w:val="single" w:color="000000" w:sz="4" w:space="0"/>
              <w:left w:val="single" w:color="000000" w:sz="4" w:space="0"/>
              <w:bottom w:val="single" w:color="000000" w:sz="4" w:space="0"/>
              <w:right w:val="single" w:color="000000" w:sz="4" w:space="0"/>
            </w:tcBorders>
            <w:vAlign w:val="center"/>
          </w:tcPr>
          <w:p w14:paraId="67FCCF1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智能调度</w:t>
            </w:r>
          </w:p>
        </w:tc>
        <w:tc>
          <w:tcPr>
            <w:tcW w:w="5281" w:type="dxa"/>
            <w:tcBorders>
              <w:top w:val="single" w:color="000000" w:sz="4" w:space="0"/>
              <w:left w:val="single" w:color="000000" w:sz="4" w:space="0"/>
              <w:bottom w:val="single" w:color="000000" w:sz="4" w:space="0"/>
              <w:right w:val="single" w:color="000000" w:sz="4" w:space="0"/>
            </w:tcBorders>
            <w:vAlign w:val="center"/>
          </w:tcPr>
          <w:p w14:paraId="68A0F71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根据行车计划和当日行车间距、路况等实时信息智能计算推送起讫站的发车时间。</w:t>
            </w:r>
          </w:p>
        </w:tc>
        <w:tc>
          <w:tcPr>
            <w:tcW w:w="457" w:type="dxa"/>
            <w:tcBorders>
              <w:top w:val="single" w:color="000000" w:sz="4" w:space="0"/>
              <w:left w:val="single" w:color="000000" w:sz="4" w:space="0"/>
              <w:bottom w:val="single" w:color="000000" w:sz="4" w:space="0"/>
              <w:right w:val="single" w:color="000000" w:sz="4" w:space="0"/>
            </w:tcBorders>
            <w:vAlign w:val="center"/>
          </w:tcPr>
          <w:p w14:paraId="02355DB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4582B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A94DD0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0A2956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1.3.3</w:t>
            </w:r>
          </w:p>
        </w:tc>
        <w:tc>
          <w:tcPr>
            <w:tcW w:w="1613" w:type="dxa"/>
            <w:tcBorders>
              <w:top w:val="single" w:color="000000" w:sz="4" w:space="0"/>
              <w:left w:val="single" w:color="000000" w:sz="4" w:space="0"/>
              <w:bottom w:val="single" w:color="000000" w:sz="4" w:space="0"/>
              <w:right w:val="single" w:color="000000" w:sz="4" w:space="0"/>
            </w:tcBorders>
            <w:vAlign w:val="center"/>
          </w:tcPr>
          <w:p w14:paraId="684B487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路单采集</w:t>
            </w:r>
          </w:p>
        </w:tc>
        <w:tc>
          <w:tcPr>
            <w:tcW w:w="5281" w:type="dxa"/>
            <w:tcBorders>
              <w:top w:val="single" w:color="000000" w:sz="4" w:space="0"/>
              <w:left w:val="single" w:color="000000" w:sz="4" w:space="0"/>
              <w:bottom w:val="single" w:color="000000" w:sz="4" w:space="0"/>
              <w:right w:val="single" w:color="000000" w:sz="4" w:space="0"/>
            </w:tcBorders>
            <w:vAlign w:val="center"/>
          </w:tcPr>
          <w:p w14:paraId="2B28F81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通过车辆的</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信号、行车计划、线路轨迹等信息进行车辆路单采集</w:t>
            </w:r>
          </w:p>
        </w:tc>
        <w:tc>
          <w:tcPr>
            <w:tcW w:w="457" w:type="dxa"/>
            <w:tcBorders>
              <w:top w:val="single" w:color="000000" w:sz="4" w:space="0"/>
              <w:left w:val="single" w:color="000000" w:sz="4" w:space="0"/>
              <w:bottom w:val="single" w:color="000000" w:sz="4" w:space="0"/>
              <w:right w:val="single" w:color="000000" w:sz="4" w:space="0"/>
            </w:tcBorders>
            <w:vAlign w:val="center"/>
          </w:tcPr>
          <w:p w14:paraId="5DC18C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53418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81EBE2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BEFF89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1.3.4</w:t>
            </w:r>
          </w:p>
        </w:tc>
        <w:tc>
          <w:tcPr>
            <w:tcW w:w="1613" w:type="dxa"/>
            <w:tcBorders>
              <w:top w:val="single" w:color="000000" w:sz="4" w:space="0"/>
              <w:left w:val="single" w:color="000000" w:sz="4" w:space="0"/>
              <w:bottom w:val="single" w:color="000000" w:sz="4" w:space="0"/>
              <w:right w:val="single" w:color="000000" w:sz="4" w:space="0"/>
            </w:tcBorders>
            <w:vAlign w:val="center"/>
          </w:tcPr>
          <w:p w14:paraId="202152D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营运指标监控</w:t>
            </w:r>
          </w:p>
        </w:tc>
        <w:tc>
          <w:tcPr>
            <w:tcW w:w="5281" w:type="dxa"/>
            <w:tcBorders>
              <w:top w:val="single" w:color="000000" w:sz="4" w:space="0"/>
              <w:left w:val="single" w:color="000000" w:sz="4" w:space="0"/>
              <w:bottom w:val="single" w:color="000000" w:sz="4" w:space="0"/>
              <w:right w:val="single" w:color="000000" w:sz="4" w:space="0"/>
            </w:tcBorders>
            <w:vAlign w:val="center"/>
          </w:tcPr>
          <w:p w14:paraId="3972BCB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对日常车辆营运过程中的一些重要指标如早晚高峰出车、准点加入、大间隔等。</w:t>
            </w:r>
          </w:p>
        </w:tc>
        <w:tc>
          <w:tcPr>
            <w:tcW w:w="457" w:type="dxa"/>
            <w:tcBorders>
              <w:top w:val="single" w:color="000000" w:sz="4" w:space="0"/>
              <w:left w:val="single" w:color="000000" w:sz="4" w:space="0"/>
              <w:bottom w:val="single" w:color="000000" w:sz="4" w:space="0"/>
              <w:right w:val="single" w:color="000000" w:sz="4" w:space="0"/>
            </w:tcBorders>
            <w:vAlign w:val="center"/>
          </w:tcPr>
          <w:p w14:paraId="01BFB44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27470F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DDDDB9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E70AEE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1.3.5</w:t>
            </w:r>
          </w:p>
        </w:tc>
        <w:tc>
          <w:tcPr>
            <w:tcW w:w="1613" w:type="dxa"/>
            <w:tcBorders>
              <w:top w:val="single" w:color="000000" w:sz="4" w:space="0"/>
              <w:left w:val="single" w:color="000000" w:sz="4" w:space="0"/>
              <w:bottom w:val="single" w:color="000000" w:sz="4" w:space="0"/>
              <w:right w:val="single" w:color="000000" w:sz="4" w:space="0"/>
            </w:tcBorders>
            <w:vAlign w:val="center"/>
          </w:tcPr>
          <w:p w14:paraId="13F2FFF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调度员签到</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签退</w:t>
            </w:r>
          </w:p>
        </w:tc>
        <w:tc>
          <w:tcPr>
            <w:tcW w:w="5281" w:type="dxa"/>
            <w:tcBorders>
              <w:top w:val="single" w:color="000000" w:sz="4" w:space="0"/>
              <w:left w:val="single" w:color="000000" w:sz="4" w:space="0"/>
              <w:bottom w:val="single" w:color="000000" w:sz="4" w:space="0"/>
              <w:right w:val="single" w:color="000000" w:sz="4" w:space="0"/>
            </w:tcBorders>
            <w:vAlign w:val="center"/>
          </w:tcPr>
          <w:p w14:paraId="6C520F4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记录调度员的日常签到签退考勤情况。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2320F64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293DEF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EE4736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33ED1C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1.3.6</w:t>
            </w:r>
          </w:p>
        </w:tc>
        <w:tc>
          <w:tcPr>
            <w:tcW w:w="1613" w:type="dxa"/>
            <w:tcBorders>
              <w:top w:val="single" w:color="000000" w:sz="4" w:space="0"/>
              <w:left w:val="single" w:color="000000" w:sz="4" w:space="0"/>
              <w:bottom w:val="single" w:color="000000" w:sz="4" w:space="0"/>
              <w:right w:val="single" w:color="000000" w:sz="4" w:space="0"/>
            </w:tcBorders>
            <w:vAlign w:val="center"/>
          </w:tcPr>
          <w:p w14:paraId="1C01AA0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行车计划查询及调整</w:t>
            </w:r>
          </w:p>
        </w:tc>
        <w:tc>
          <w:tcPr>
            <w:tcW w:w="5281" w:type="dxa"/>
            <w:tcBorders>
              <w:top w:val="single" w:color="000000" w:sz="4" w:space="0"/>
              <w:left w:val="single" w:color="000000" w:sz="4" w:space="0"/>
              <w:bottom w:val="single" w:color="000000" w:sz="4" w:space="0"/>
              <w:right w:val="single" w:color="000000" w:sz="4" w:space="0"/>
            </w:tcBorders>
            <w:vAlign w:val="center"/>
          </w:tcPr>
          <w:p w14:paraId="06E4FBB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查询当日的行车计划，可根据实际情况对路牌、车辆、人员进行调整。</w:t>
            </w:r>
          </w:p>
        </w:tc>
        <w:tc>
          <w:tcPr>
            <w:tcW w:w="457" w:type="dxa"/>
            <w:tcBorders>
              <w:top w:val="single" w:color="000000" w:sz="4" w:space="0"/>
              <w:left w:val="single" w:color="000000" w:sz="4" w:space="0"/>
              <w:bottom w:val="single" w:color="000000" w:sz="4" w:space="0"/>
              <w:right w:val="single" w:color="000000" w:sz="4" w:space="0"/>
            </w:tcBorders>
            <w:vAlign w:val="center"/>
          </w:tcPr>
          <w:p w14:paraId="1999107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0198A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32F3B3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2CE54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1.3.7</w:t>
            </w:r>
          </w:p>
        </w:tc>
        <w:tc>
          <w:tcPr>
            <w:tcW w:w="1613" w:type="dxa"/>
            <w:tcBorders>
              <w:top w:val="single" w:color="000000" w:sz="4" w:space="0"/>
              <w:left w:val="single" w:color="000000" w:sz="4" w:space="0"/>
              <w:bottom w:val="single" w:color="000000" w:sz="4" w:space="0"/>
              <w:right w:val="single" w:color="000000" w:sz="4" w:space="0"/>
            </w:tcBorders>
            <w:vAlign w:val="center"/>
          </w:tcPr>
          <w:p w14:paraId="6E64B5F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车辆线路切换</w:t>
            </w:r>
          </w:p>
        </w:tc>
        <w:tc>
          <w:tcPr>
            <w:tcW w:w="5281" w:type="dxa"/>
            <w:tcBorders>
              <w:top w:val="single" w:color="000000" w:sz="4" w:space="0"/>
              <w:left w:val="single" w:color="000000" w:sz="4" w:space="0"/>
              <w:bottom w:val="single" w:color="000000" w:sz="4" w:space="0"/>
              <w:right w:val="single" w:color="000000" w:sz="4" w:space="0"/>
            </w:tcBorders>
            <w:vAlign w:val="center"/>
          </w:tcPr>
          <w:p w14:paraId="28A601E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当线路上存在车辆支援的情况可通过线路切换来确保车辆的路单、语音报站等信息准确。支持临时切换、永久切换、定时切换。</w:t>
            </w:r>
          </w:p>
        </w:tc>
        <w:tc>
          <w:tcPr>
            <w:tcW w:w="457" w:type="dxa"/>
            <w:tcBorders>
              <w:top w:val="single" w:color="000000" w:sz="4" w:space="0"/>
              <w:left w:val="single" w:color="000000" w:sz="4" w:space="0"/>
              <w:bottom w:val="single" w:color="000000" w:sz="4" w:space="0"/>
              <w:right w:val="single" w:color="000000" w:sz="4" w:space="0"/>
            </w:tcBorders>
            <w:vAlign w:val="center"/>
          </w:tcPr>
          <w:p w14:paraId="03A4AD4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99326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37B425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5FF5D6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1.3.8</w:t>
            </w:r>
          </w:p>
        </w:tc>
        <w:tc>
          <w:tcPr>
            <w:tcW w:w="1613" w:type="dxa"/>
            <w:tcBorders>
              <w:top w:val="single" w:color="000000" w:sz="4" w:space="0"/>
              <w:left w:val="single" w:color="000000" w:sz="4" w:space="0"/>
              <w:bottom w:val="single" w:color="000000" w:sz="4" w:space="0"/>
              <w:right w:val="single" w:color="000000" w:sz="4" w:space="0"/>
            </w:tcBorders>
            <w:vAlign w:val="center"/>
          </w:tcPr>
          <w:p w14:paraId="00AE5F7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车辆轨迹回放</w:t>
            </w:r>
          </w:p>
        </w:tc>
        <w:tc>
          <w:tcPr>
            <w:tcW w:w="5281" w:type="dxa"/>
            <w:tcBorders>
              <w:top w:val="single" w:color="000000" w:sz="4" w:space="0"/>
              <w:left w:val="single" w:color="000000" w:sz="4" w:space="0"/>
              <w:bottom w:val="single" w:color="000000" w:sz="4" w:space="0"/>
              <w:right w:val="single" w:color="000000" w:sz="4" w:space="0"/>
            </w:tcBorders>
            <w:vAlign w:val="center"/>
          </w:tcPr>
          <w:p w14:paraId="3C91B43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根据选择时间段查看该时间段内所选车辆的</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形式轨迹。轨迹动画支持多种播放速度。</w:t>
            </w:r>
          </w:p>
        </w:tc>
        <w:tc>
          <w:tcPr>
            <w:tcW w:w="457" w:type="dxa"/>
            <w:tcBorders>
              <w:top w:val="single" w:color="000000" w:sz="4" w:space="0"/>
              <w:left w:val="single" w:color="000000" w:sz="4" w:space="0"/>
              <w:bottom w:val="single" w:color="000000" w:sz="4" w:space="0"/>
              <w:right w:val="single" w:color="000000" w:sz="4" w:space="0"/>
            </w:tcBorders>
            <w:vAlign w:val="center"/>
          </w:tcPr>
          <w:p w14:paraId="3CBBAD9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6FEAE8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E64EDB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AAE069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1.3.9</w:t>
            </w:r>
          </w:p>
        </w:tc>
        <w:tc>
          <w:tcPr>
            <w:tcW w:w="1613" w:type="dxa"/>
            <w:tcBorders>
              <w:top w:val="single" w:color="000000" w:sz="4" w:space="0"/>
              <w:left w:val="single" w:color="000000" w:sz="4" w:space="0"/>
              <w:bottom w:val="single" w:color="000000" w:sz="4" w:space="0"/>
              <w:right w:val="single" w:color="000000" w:sz="4" w:space="0"/>
            </w:tcBorders>
            <w:vAlign w:val="center"/>
          </w:tcPr>
          <w:p w14:paraId="61406F4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损失临加登记</w:t>
            </w:r>
          </w:p>
        </w:tc>
        <w:tc>
          <w:tcPr>
            <w:tcW w:w="5281" w:type="dxa"/>
            <w:tcBorders>
              <w:top w:val="single" w:color="000000" w:sz="4" w:space="0"/>
              <w:left w:val="single" w:color="000000" w:sz="4" w:space="0"/>
              <w:bottom w:val="single" w:color="000000" w:sz="4" w:space="0"/>
              <w:right w:val="single" w:color="000000" w:sz="4" w:space="0"/>
            </w:tcBorders>
            <w:vAlign w:val="center"/>
          </w:tcPr>
          <w:p w14:paraId="7FF8EF9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对线路营运过程当中出现的班次损失、班次临加进行登记记录。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0C0D8CE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EE2D07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83A68C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100D9E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1.3.10</w:t>
            </w:r>
          </w:p>
        </w:tc>
        <w:tc>
          <w:tcPr>
            <w:tcW w:w="1613" w:type="dxa"/>
            <w:tcBorders>
              <w:top w:val="single" w:color="000000" w:sz="4" w:space="0"/>
              <w:left w:val="single" w:color="000000" w:sz="4" w:space="0"/>
              <w:bottom w:val="single" w:color="000000" w:sz="4" w:space="0"/>
              <w:right w:val="single" w:color="000000" w:sz="4" w:space="0"/>
            </w:tcBorders>
            <w:vAlign w:val="center"/>
          </w:tcPr>
          <w:p w14:paraId="78B44AE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调度日记登记</w:t>
            </w:r>
          </w:p>
        </w:tc>
        <w:tc>
          <w:tcPr>
            <w:tcW w:w="5281" w:type="dxa"/>
            <w:tcBorders>
              <w:top w:val="single" w:color="000000" w:sz="4" w:space="0"/>
              <w:left w:val="single" w:color="000000" w:sz="4" w:space="0"/>
              <w:bottom w:val="single" w:color="000000" w:sz="4" w:space="0"/>
              <w:right w:val="single" w:color="000000" w:sz="4" w:space="0"/>
            </w:tcBorders>
            <w:vAlign w:val="center"/>
          </w:tcPr>
          <w:p w14:paraId="37A9A36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对线路营运过程当中出现的空放、区间、掉头、绕改道等进行登记记录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01EDB40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71F56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9E4C73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3D15B2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1.3.11</w:t>
            </w:r>
          </w:p>
        </w:tc>
        <w:tc>
          <w:tcPr>
            <w:tcW w:w="1613" w:type="dxa"/>
            <w:tcBorders>
              <w:top w:val="single" w:color="000000" w:sz="4" w:space="0"/>
              <w:left w:val="single" w:color="000000" w:sz="4" w:space="0"/>
              <w:bottom w:val="single" w:color="000000" w:sz="4" w:space="0"/>
              <w:right w:val="single" w:color="000000" w:sz="4" w:space="0"/>
            </w:tcBorders>
            <w:vAlign w:val="center"/>
          </w:tcPr>
          <w:p w14:paraId="71A2B2F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调度日报</w:t>
            </w:r>
          </w:p>
        </w:tc>
        <w:tc>
          <w:tcPr>
            <w:tcW w:w="5281" w:type="dxa"/>
            <w:tcBorders>
              <w:top w:val="single" w:color="000000" w:sz="4" w:space="0"/>
              <w:left w:val="single" w:color="000000" w:sz="4" w:space="0"/>
              <w:bottom w:val="single" w:color="000000" w:sz="4" w:space="0"/>
              <w:right w:val="single" w:color="000000" w:sz="4" w:space="0"/>
            </w:tcBorders>
            <w:vAlign w:val="center"/>
          </w:tcPr>
          <w:p w14:paraId="09B9B39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查看起讫站的班次信息并根据早晚高峰、每小时段统计展示班次的计划和实际完成情况。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342B37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90EDA9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950E91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8BB8CA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1.3.12</w:t>
            </w:r>
          </w:p>
        </w:tc>
        <w:tc>
          <w:tcPr>
            <w:tcW w:w="1613" w:type="dxa"/>
            <w:tcBorders>
              <w:top w:val="single" w:color="000000" w:sz="4" w:space="0"/>
              <w:left w:val="single" w:color="000000" w:sz="4" w:space="0"/>
              <w:bottom w:val="single" w:color="000000" w:sz="4" w:space="0"/>
              <w:right w:val="single" w:color="000000" w:sz="4" w:space="0"/>
            </w:tcBorders>
            <w:vAlign w:val="center"/>
          </w:tcPr>
          <w:p w14:paraId="7E0EDBC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首末班发车时间查询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1B12FCC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查询线路起讫站的首末班发车时间。</w:t>
            </w:r>
          </w:p>
        </w:tc>
        <w:tc>
          <w:tcPr>
            <w:tcW w:w="457" w:type="dxa"/>
            <w:tcBorders>
              <w:top w:val="single" w:color="000000" w:sz="4" w:space="0"/>
              <w:left w:val="single" w:color="000000" w:sz="4" w:space="0"/>
              <w:bottom w:val="single" w:color="000000" w:sz="4" w:space="0"/>
              <w:right w:val="single" w:color="000000" w:sz="4" w:space="0"/>
            </w:tcBorders>
            <w:vAlign w:val="center"/>
          </w:tcPr>
          <w:p w14:paraId="42770AE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BEAC9E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0B8EEC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00B75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1.3.13</w:t>
            </w:r>
          </w:p>
        </w:tc>
        <w:tc>
          <w:tcPr>
            <w:tcW w:w="1613" w:type="dxa"/>
            <w:tcBorders>
              <w:top w:val="single" w:color="000000" w:sz="4" w:space="0"/>
              <w:left w:val="single" w:color="000000" w:sz="4" w:space="0"/>
              <w:bottom w:val="single" w:color="000000" w:sz="4" w:space="0"/>
              <w:right w:val="single" w:color="000000" w:sz="4" w:space="0"/>
            </w:tcBorders>
            <w:vAlign w:val="center"/>
          </w:tcPr>
          <w:p w14:paraId="729CB8F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计划时刻执行查询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0170AA7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根据起讫站的实际发车执行情况与行车计划比对，统计查询起讫站的发车准点率。</w:t>
            </w:r>
          </w:p>
        </w:tc>
        <w:tc>
          <w:tcPr>
            <w:tcW w:w="457" w:type="dxa"/>
            <w:tcBorders>
              <w:top w:val="single" w:color="000000" w:sz="4" w:space="0"/>
              <w:left w:val="single" w:color="000000" w:sz="4" w:space="0"/>
              <w:bottom w:val="single" w:color="000000" w:sz="4" w:space="0"/>
              <w:right w:val="single" w:color="000000" w:sz="4" w:space="0"/>
            </w:tcBorders>
            <w:vAlign w:val="center"/>
          </w:tcPr>
          <w:p w14:paraId="5A4906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E9B8E9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EB6968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1ADE2B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1.3.14</w:t>
            </w:r>
          </w:p>
        </w:tc>
        <w:tc>
          <w:tcPr>
            <w:tcW w:w="1613" w:type="dxa"/>
            <w:tcBorders>
              <w:top w:val="single" w:color="000000" w:sz="4" w:space="0"/>
              <w:left w:val="single" w:color="000000" w:sz="4" w:space="0"/>
              <w:bottom w:val="single" w:color="000000" w:sz="4" w:space="0"/>
              <w:right w:val="single" w:color="000000" w:sz="4" w:space="0"/>
            </w:tcBorders>
            <w:vAlign w:val="center"/>
          </w:tcPr>
          <w:p w14:paraId="06DEB7B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调度发车时间查询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293B5E7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查询日常起讫站计划发车时间和调度员人工干预后的发车时间记录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65A3204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E1961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6340EF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BA4EF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1.3.15</w:t>
            </w:r>
          </w:p>
        </w:tc>
        <w:tc>
          <w:tcPr>
            <w:tcW w:w="1613" w:type="dxa"/>
            <w:tcBorders>
              <w:top w:val="single" w:color="000000" w:sz="4" w:space="0"/>
              <w:left w:val="single" w:color="000000" w:sz="4" w:space="0"/>
              <w:bottom w:val="single" w:color="000000" w:sz="4" w:space="0"/>
              <w:right w:val="single" w:color="000000" w:sz="4" w:space="0"/>
            </w:tcBorders>
            <w:vAlign w:val="center"/>
          </w:tcPr>
          <w:p w14:paraId="1F73B53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车辆状态更新记录查询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34FCD3D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查询日常调度的操作记录，如车辆状态调整、电子路单调整，行车计划变更等。</w:t>
            </w:r>
          </w:p>
        </w:tc>
        <w:tc>
          <w:tcPr>
            <w:tcW w:w="457" w:type="dxa"/>
            <w:tcBorders>
              <w:top w:val="single" w:color="000000" w:sz="4" w:space="0"/>
              <w:left w:val="single" w:color="000000" w:sz="4" w:space="0"/>
              <w:bottom w:val="single" w:color="000000" w:sz="4" w:space="0"/>
              <w:right w:val="single" w:color="000000" w:sz="4" w:space="0"/>
            </w:tcBorders>
            <w:vAlign w:val="center"/>
          </w:tcPr>
          <w:p w14:paraId="625750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AC0817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2E60DB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62F1E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1.3.16</w:t>
            </w:r>
          </w:p>
        </w:tc>
        <w:tc>
          <w:tcPr>
            <w:tcW w:w="1613" w:type="dxa"/>
            <w:tcBorders>
              <w:top w:val="single" w:color="000000" w:sz="4" w:space="0"/>
              <w:left w:val="single" w:color="000000" w:sz="4" w:space="0"/>
              <w:bottom w:val="single" w:color="000000" w:sz="4" w:space="0"/>
              <w:right w:val="single" w:color="000000" w:sz="4" w:space="0"/>
            </w:tcBorders>
            <w:vAlign w:val="center"/>
          </w:tcPr>
          <w:p w14:paraId="78A96FF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线路切换记录查询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173A5A3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查询车辆的切换信息、如切换时间、切换原因、操作人、切换线路等。</w:t>
            </w:r>
          </w:p>
        </w:tc>
        <w:tc>
          <w:tcPr>
            <w:tcW w:w="457" w:type="dxa"/>
            <w:tcBorders>
              <w:top w:val="single" w:color="000000" w:sz="4" w:space="0"/>
              <w:left w:val="single" w:color="000000" w:sz="4" w:space="0"/>
              <w:bottom w:val="single" w:color="000000" w:sz="4" w:space="0"/>
              <w:right w:val="single" w:color="000000" w:sz="4" w:space="0"/>
            </w:tcBorders>
            <w:vAlign w:val="center"/>
          </w:tcPr>
          <w:p w14:paraId="34A2A11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E0B4F1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9A7420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EA999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1.3.17</w:t>
            </w:r>
          </w:p>
        </w:tc>
        <w:tc>
          <w:tcPr>
            <w:tcW w:w="1613" w:type="dxa"/>
            <w:tcBorders>
              <w:top w:val="single" w:color="000000" w:sz="4" w:space="0"/>
              <w:left w:val="single" w:color="000000" w:sz="4" w:space="0"/>
              <w:bottom w:val="single" w:color="000000" w:sz="4" w:space="0"/>
              <w:right w:val="single" w:color="000000" w:sz="4" w:space="0"/>
            </w:tcBorders>
            <w:vAlign w:val="center"/>
          </w:tcPr>
          <w:p w14:paraId="4B7C13E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行车原始数据日报</w:t>
            </w:r>
          </w:p>
        </w:tc>
        <w:tc>
          <w:tcPr>
            <w:tcW w:w="5281" w:type="dxa"/>
            <w:tcBorders>
              <w:top w:val="single" w:color="000000" w:sz="4" w:space="0"/>
              <w:left w:val="single" w:color="000000" w:sz="4" w:space="0"/>
              <w:bottom w:val="single" w:color="000000" w:sz="4" w:space="0"/>
              <w:right w:val="single" w:color="000000" w:sz="4" w:space="0"/>
            </w:tcBorders>
            <w:vAlign w:val="center"/>
          </w:tcPr>
          <w:p w14:paraId="72150EF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查看车辆</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原始数据的行车日报和行车路单信息。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2CECD9F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730C3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05098C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09D40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1.3.18</w:t>
            </w:r>
          </w:p>
        </w:tc>
        <w:tc>
          <w:tcPr>
            <w:tcW w:w="1613" w:type="dxa"/>
            <w:tcBorders>
              <w:top w:val="single" w:color="000000" w:sz="4" w:space="0"/>
              <w:left w:val="single" w:color="000000" w:sz="4" w:space="0"/>
              <w:bottom w:val="single" w:color="000000" w:sz="4" w:space="0"/>
              <w:right w:val="single" w:color="000000" w:sz="4" w:space="0"/>
            </w:tcBorders>
            <w:vAlign w:val="center"/>
          </w:tcPr>
          <w:p w14:paraId="4BC97B0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站点停靠时间查询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0B81E31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根据车辆</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和站点</w:t>
            </w:r>
            <w:r>
              <w:rPr>
                <w:rFonts w:hint="eastAsia" w:asciiTheme="minorEastAsia" w:hAnsiTheme="minorEastAsia" w:eastAsiaTheme="minorEastAsia"/>
                <w:color w:val="000000"/>
                <w:sz w:val="24"/>
                <w:szCs w:val="24"/>
                <w:highlight w:val="none"/>
                <w:lang w:eastAsia="zh-CN" w:bidi="ar"/>
              </w:rPr>
              <w:t>RFID</w:t>
            </w:r>
            <w:r>
              <w:rPr>
                <w:rFonts w:hint="eastAsia" w:cs="微软雅黑" w:asciiTheme="minorEastAsia" w:hAnsiTheme="minorEastAsia" w:eastAsiaTheme="minorEastAsia"/>
                <w:color w:val="000000"/>
                <w:sz w:val="24"/>
                <w:szCs w:val="24"/>
                <w:highlight w:val="none"/>
                <w:lang w:eastAsia="zh-CN" w:bidi="ar"/>
              </w:rPr>
              <w:t>等信息查询车辆在各站点到离站的数据信息。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10F17C2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B3521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527BE8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F021B5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1.3.19</w:t>
            </w:r>
          </w:p>
        </w:tc>
        <w:tc>
          <w:tcPr>
            <w:tcW w:w="1613" w:type="dxa"/>
            <w:tcBorders>
              <w:top w:val="single" w:color="000000" w:sz="4" w:space="0"/>
              <w:left w:val="single" w:color="000000" w:sz="4" w:space="0"/>
              <w:bottom w:val="single" w:color="000000" w:sz="4" w:space="0"/>
              <w:right w:val="single" w:color="000000" w:sz="4" w:space="0"/>
            </w:tcBorders>
            <w:vAlign w:val="center"/>
          </w:tcPr>
          <w:p w14:paraId="5EE03EB5">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数据查询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5BD29EF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查看车辆的</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数据，如</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时间、当前站级、</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经纬度、车速等信息。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3A2A25B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DF5436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E56CFF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0C5217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1.3.20</w:t>
            </w:r>
          </w:p>
        </w:tc>
        <w:tc>
          <w:tcPr>
            <w:tcW w:w="1613" w:type="dxa"/>
            <w:tcBorders>
              <w:top w:val="single" w:color="000000" w:sz="4" w:space="0"/>
              <w:left w:val="single" w:color="000000" w:sz="4" w:space="0"/>
              <w:bottom w:val="single" w:color="000000" w:sz="4" w:space="0"/>
              <w:right w:val="single" w:color="000000" w:sz="4" w:space="0"/>
            </w:tcBorders>
            <w:vAlign w:val="center"/>
          </w:tcPr>
          <w:p w14:paraId="45A21665">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信号排查</w:t>
            </w:r>
          </w:p>
        </w:tc>
        <w:tc>
          <w:tcPr>
            <w:tcW w:w="5281" w:type="dxa"/>
            <w:tcBorders>
              <w:top w:val="single" w:color="000000" w:sz="4" w:space="0"/>
              <w:left w:val="single" w:color="000000" w:sz="4" w:space="0"/>
              <w:bottom w:val="single" w:color="000000" w:sz="4" w:space="0"/>
              <w:right w:val="single" w:color="000000" w:sz="4" w:space="0"/>
            </w:tcBorders>
            <w:vAlign w:val="center"/>
          </w:tcPr>
          <w:p w14:paraId="7641E8B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查询车辆的</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信号信息，</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线路、</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最终发送时间等信息。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5988E3D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39A37A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C03AD1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376560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4DD050F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电子路单管理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BC00E6B">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1F5F92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4646F03">
            <w:pPr>
              <w:pStyle w:val="201"/>
              <w:spacing w:line="400" w:lineRule="exact"/>
              <w:jc w:val="center"/>
              <w:rPr>
                <w:rFonts w:hint="eastAsia" w:asciiTheme="minorEastAsia" w:hAnsiTheme="minorEastAsia" w:eastAsiaTheme="minorEastAsia"/>
                <w:color w:val="000000"/>
                <w:sz w:val="24"/>
                <w:szCs w:val="24"/>
                <w:highlight w:val="none"/>
              </w:rPr>
            </w:pPr>
          </w:p>
        </w:tc>
      </w:tr>
      <w:tr w14:paraId="1DB5CE7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415287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1.4.1</w:t>
            </w:r>
          </w:p>
        </w:tc>
        <w:tc>
          <w:tcPr>
            <w:tcW w:w="1613" w:type="dxa"/>
            <w:tcBorders>
              <w:top w:val="single" w:color="000000" w:sz="4" w:space="0"/>
              <w:left w:val="single" w:color="000000" w:sz="4" w:space="0"/>
              <w:bottom w:val="single" w:color="000000" w:sz="4" w:space="0"/>
              <w:right w:val="single" w:color="000000" w:sz="4" w:space="0"/>
            </w:tcBorders>
            <w:vAlign w:val="center"/>
          </w:tcPr>
          <w:p w14:paraId="7ABD815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路线车路单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5318D8D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结合线路的行车计划、车辆</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、线路基础信息自动生成路线车的电子路单。电子路单支持班次的车辆轨迹查看，编辑、路单转移等功能。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7B4303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4DF831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694BD2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2BEB0C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1.4.2</w:t>
            </w:r>
          </w:p>
        </w:tc>
        <w:tc>
          <w:tcPr>
            <w:tcW w:w="1613" w:type="dxa"/>
            <w:tcBorders>
              <w:top w:val="single" w:color="000000" w:sz="4" w:space="0"/>
              <w:left w:val="single" w:color="000000" w:sz="4" w:space="0"/>
              <w:bottom w:val="single" w:color="000000" w:sz="4" w:space="0"/>
              <w:right w:val="single" w:color="000000" w:sz="4" w:space="0"/>
            </w:tcBorders>
            <w:vAlign w:val="center"/>
          </w:tcPr>
          <w:p w14:paraId="488FA9D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特约车路单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4A72784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结合线路的行车计划、车辆</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、线路基础信息自动生成路线车的电子路单。电子路单支持班次的车辆轨迹查看，编辑、路单转移等功能。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247C8B2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8F3A88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FAD34E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328410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w:t>
            </w:r>
          </w:p>
        </w:tc>
        <w:tc>
          <w:tcPr>
            <w:tcW w:w="1613" w:type="dxa"/>
            <w:tcBorders>
              <w:top w:val="single" w:color="000000" w:sz="4" w:space="0"/>
              <w:left w:val="single" w:color="000000" w:sz="4" w:space="0"/>
              <w:bottom w:val="single" w:color="000000" w:sz="4" w:space="0"/>
              <w:right w:val="single" w:color="000000" w:sz="4" w:space="0"/>
            </w:tcBorders>
            <w:vAlign w:val="center"/>
          </w:tcPr>
          <w:p w14:paraId="1A54740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营运数字报表</w:t>
            </w:r>
          </w:p>
        </w:tc>
        <w:tc>
          <w:tcPr>
            <w:tcW w:w="5281" w:type="dxa"/>
            <w:tcBorders>
              <w:top w:val="single" w:color="000000" w:sz="4" w:space="0"/>
              <w:left w:val="single" w:color="000000" w:sz="4" w:space="0"/>
              <w:bottom w:val="single" w:color="000000" w:sz="4" w:space="0"/>
              <w:right w:val="single" w:color="000000" w:sz="4" w:space="0"/>
            </w:tcBorders>
            <w:vAlign w:val="center"/>
          </w:tcPr>
          <w:p w14:paraId="34F4F8E1">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4FCA7A1">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BB7A7CC">
            <w:pPr>
              <w:pStyle w:val="201"/>
              <w:spacing w:line="400" w:lineRule="exact"/>
              <w:jc w:val="center"/>
              <w:rPr>
                <w:rFonts w:hint="eastAsia" w:asciiTheme="minorEastAsia" w:hAnsiTheme="minorEastAsia" w:eastAsiaTheme="minorEastAsia"/>
                <w:color w:val="000000"/>
                <w:sz w:val="24"/>
                <w:szCs w:val="24"/>
                <w:highlight w:val="none"/>
              </w:rPr>
            </w:pPr>
          </w:p>
        </w:tc>
      </w:tr>
      <w:tr w14:paraId="570DD3A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2D4063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1.5.1</w:t>
            </w:r>
          </w:p>
        </w:tc>
        <w:tc>
          <w:tcPr>
            <w:tcW w:w="1613" w:type="dxa"/>
            <w:tcBorders>
              <w:top w:val="single" w:color="000000" w:sz="4" w:space="0"/>
              <w:left w:val="single" w:color="000000" w:sz="4" w:space="0"/>
              <w:bottom w:val="single" w:color="000000" w:sz="4" w:space="0"/>
              <w:right w:val="single" w:color="000000" w:sz="4" w:space="0"/>
            </w:tcBorders>
            <w:vAlign w:val="center"/>
          </w:tcPr>
          <w:p w14:paraId="3AFF6CE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计划执行考核日报</w:t>
            </w:r>
          </w:p>
        </w:tc>
        <w:tc>
          <w:tcPr>
            <w:tcW w:w="5281" w:type="dxa"/>
            <w:tcBorders>
              <w:top w:val="single" w:color="000000" w:sz="4" w:space="0"/>
              <w:left w:val="single" w:color="000000" w:sz="4" w:space="0"/>
              <w:bottom w:val="single" w:color="000000" w:sz="4" w:space="0"/>
              <w:right w:val="single" w:color="000000" w:sz="4" w:space="0"/>
            </w:tcBorders>
            <w:vAlign w:val="center"/>
          </w:tcPr>
          <w:p w14:paraId="7402D77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以分公司、车队等多维度按每日统计计划配车、实际配车以及计划班次、班次并通过全日、早晚高峰生成相关的执行率后营运考核提供数据支撑。</w:t>
            </w:r>
          </w:p>
        </w:tc>
        <w:tc>
          <w:tcPr>
            <w:tcW w:w="457" w:type="dxa"/>
            <w:tcBorders>
              <w:top w:val="single" w:color="000000" w:sz="4" w:space="0"/>
              <w:left w:val="single" w:color="000000" w:sz="4" w:space="0"/>
              <w:bottom w:val="single" w:color="000000" w:sz="4" w:space="0"/>
              <w:right w:val="single" w:color="000000" w:sz="4" w:space="0"/>
            </w:tcBorders>
            <w:vAlign w:val="center"/>
          </w:tcPr>
          <w:p w14:paraId="2C1053A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96732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956D7F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87CA77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1.5.2</w:t>
            </w:r>
          </w:p>
        </w:tc>
        <w:tc>
          <w:tcPr>
            <w:tcW w:w="1613" w:type="dxa"/>
            <w:tcBorders>
              <w:top w:val="single" w:color="000000" w:sz="4" w:space="0"/>
              <w:left w:val="single" w:color="000000" w:sz="4" w:space="0"/>
              <w:bottom w:val="single" w:color="000000" w:sz="4" w:space="0"/>
              <w:right w:val="single" w:color="000000" w:sz="4" w:space="0"/>
            </w:tcBorders>
            <w:vAlign w:val="center"/>
          </w:tcPr>
          <w:p w14:paraId="71319A9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计划执行考核月报</w:t>
            </w:r>
          </w:p>
        </w:tc>
        <w:tc>
          <w:tcPr>
            <w:tcW w:w="5281" w:type="dxa"/>
            <w:tcBorders>
              <w:top w:val="single" w:color="000000" w:sz="4" w:space="0"/>
              <w:left w:val="single" w:color="000000" w:sz="4" w:space="0"/>
              <w:bottom w:val="single" w:color="000000" w:sz="4" w:space="0"/>
              <w:right w:val="single" w:color="000000" w:sz="4" w:space="0"/>
            </w:tcBorders>
            <w:vAlign w:val="center"/>
          </w:tcPr>
          <w:p w14:paraId="170426D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以分公司、车队等多维度按每月统计计划配车、实际配车以及计划班次、班次并通过全日、早晚高峰生成相关的执行率后营运考核提供数据支撑。</w:t>
            </w:r>
          </w:p>
        </w:tc>
        <w:tc>
          <w:tcPr>
            <w:tcW w:w="457" w:type="dxa"/>
            <w:tcBorders>
              <w:top w:val="single" w:color="000000" w:sz="4" w:space="0"/>
              <w:left w:val="single" w:color="000000" w:sz="4" w:space="0"/>
              <w:bottom w:val="single" w:color="000000" w:sz="4" w:space="0"/>
              <w:right w:val="single" w:color="000000" w:sz="4" w:space="0"/>
            </w:tcBorders>
            <w:vAlign w:val="center"/>
          </w:tcPr>
          <w:p w14:paraId="1553B2F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704AC6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7AC661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3A8E65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1.5.3</w:t>
            </w:r>
          </w:p>
        </w:tc>
        <w:tc>
          <w:tcPr>
            <w:tcW w:w="1613" w:type="dxa"/>
            <w:tcBorders>
              <w:top w:val="single" w:color="000000" w:sz="4" w:space="0"/>
              <w:left w:val="single" w:color="000000" w:sz="4" w:space="0"/>
              <w:bottom w:val="single" w:color="000000" w:sz="4" w:space="0"/>
              <w:right w:val="single" w:color="000000" w:sz="4" w:space="0"/>
            </w:tcBorders>
            <w:vAlign w:val="center"/>
          </w:tcPr>
          <w:p w14:paraId="7198905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路线损失公里统计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04E6F89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以分公司、车队等多维度统计损失班次公里数及损失原因。</w:t>
            </w:r>
          </w:p>
        </w:tc>
        <w:tc>
          <w:tcPr>
            <w:tcW w:w="457" w:type="dxa"/>
            <w:tcBorders>
              <w:top w:val="single" w:color="000000" w:sz="4" w:space="0"/>
              <w:left w:val="single" w:color="000000" w:sz="4" w:space="0"/>
              <w:bottom w:val="single" w:color="000000" w:sz="4" w:space="0"/>
              <w:right w:val="single" w:color="000000" w:sz="4" w:space="0"/>
            </w:tcBorders>
            <w:vAlign w:val="center"/>
          </w:tcPr>
          <w:p w14:paraId="2BDB39F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44C21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3B0398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BD5390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1.5.4</w:t>
            </w:r>
          </w:p>
        </w:tc>
        <w:tc>
          <w:tcPr>
            <w:tcW w:w="1613" w:type="dxa"/>
            <w:tcBorders>
              <w:top w:val="single" w:color="000000" w:sz="4" w:space="0"/>
              <w:left w:val="single" w:color="000000" w:sz="4" w:space="0"/>
              <w:bottom w:val="single" w:color="000000" w:sz="4" w:space="0"/>
              <w:right w:val="single" w:color="000000" w:sz="4" w:space="0"/>
            </w:tcBorders>
            <w:vAlign w:val="center"/>
          </w:tcPr>
          <w:p w14:paraId="7DF89B2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每日营运小结</w:t>
            </w:r>
          </w:p>
        </w:tc>
        <w:tc>
          <w:tcPr>
            <w:tcW w:w="5281" w:type="dxa"/>
            <w:tcBorders>
              <w:top w:val="single" w:color="000000" w:sz="4" w:space="0"/>
              <w:left w:val="single" w:color="000000" w:sz="4" w:space="0"/>
              <w:bottom w:val="single" w:color="000000" w:sz="4" w:space="0"/>
              <w:right w:val="single" w:color="000000" w:sz="4" w:space="0"/>
            </w:tcBorders>
            <w:vAlign w:val="center"/>
          </w:tcPr>
          <w:p w14:paraId="45640A9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根据各车队、线路、车辆的班次准点率、停班班次、未全程营运班次等信息生成每日营运小结。</w:t>
            </w:r>
          </w:p>
        </w:tc>
        <w:tc>
          <w:tcPr>
            <w:tcW w:w="457" w:type="dxa"/>
            <w:tcBorders>
              <w:top w:val="single" w:color="000000" w:sz="4" w:space="0"/>
              <w:left w:val="single" w:color="000000" w:sz="4" w:space="0"/>
              <w:bottom w:val="single" w:color="000000" w:sz="4" w:space="0"/>
              <w:right w:val="single" w:color="000000" w:sz="4" w:space="0"/>
            </w:tcBorders>
            <w:vAlign w:val="center"/>
          </w:tcPr>
          <w:p w14:paraId="29F644E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7BE1EC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572C69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A9B931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1.5.5</w:t>
            </w:r>
          </w:p>
        </w:tc>
        <w:tc>
          <w:tcPr>
            <w:tcW w:w="1613" w:type="dxa"/>
            <w:tcBorders>
              <w:top w:val="single" w:color="000000" w:sz="4" w:space="0"/>
              <w:left w:val="single" w:color="000000" w:sz="4" w:space="0"/>
              <w:bottom w:val="single" w:color="000000" w:sz="4" w:space="0"/>
              <w:right w:val="single" w:color="000000" w:sz="4" w:space="0"/>
            </w:tcBorders>
            <w:vAlign w:val="center"/>
          </w:tcPr>
          <w:p w14:paraId="5D67734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电子路单公里数统计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64BF8B3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以分公司、车队等多维度统计路单公里数。</w:t>
            </w:r>
          </w:p>
        </w:tc>
        <w:tc>
          <w:tcPr>
            <w:tcW w:w="457" w:type="dxa"/>
            <w:tcBorders>
              <w:top w:val="single" w:color="000000" w:sz="4" w:space="0"/>
              <w:left w:val="single" w:color="000000" w:sz="4" w:space="0"/>
              <w:bottom w:val="single" w:color="000000" w:sz="4" w:space="0"/>
              <w:right w:val="single" w:color="000000" w:sz="4" w:space="0"/>
            </w:tcBorders>
            <w:vAlign w:val="center"/>
          </w:tcPr>
          <w:p w14:paraId="234DB8C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7B7137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238F70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F3AAE7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1.5.6</w:t>
            </w:r>
          </w:p>
        </w:tc>
        <w:tc>
          <w:tcPr>
            <w:tcW w:w="1613" w:type="dxa"/>
            <w:tcBorders>
              <w:top w:val="single" w:color="000000" w:sz="4" w:space="0"/>
              <w:left w:val="single" w:color="000000" w:sz="4" w:space="0"/>
              <w:bottom w:val="single" w:color="000000" w:sz="4" w:space="0"/>
              <w:right w:val="single" w:color="000000" w:sz="4" w:space="0"/>
            </w:tcBorders>
            <w:vAlign w:val="center"/>
          </w:tcPr>
          <w:p w14:paraId="6944940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首末班车准点统计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06EFA73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实现以分公司、车队等多维度统计首末班的计划班次数和准点班次数统计。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32EF88B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A5C4E6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9FAEA6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E68813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1.5.7</w:t>
            </w:r>
          </w:p>
        </w:tc>
        <w:tc>
          <w:tcPr>
            <w:tcW w:w="1613" w:type="dxa"/>
            <w:tcBorders>
              <w:top w:val="single" w:color="000000" w:sz="4" w:space="0"/>
              <w:left w:val="single" w:color="000000" w:sz="4" w:space="0"/>
              <w:bottom w:val="single" w:color="000000" w:sz="4" w:space="0"/>
              <w:right w:val="single" w:color="000000" w:sz="4" w:space="0"/>
            </w:tcBorders>
            <w:vAlign w:val="center"/>
          </w:tcPr>
          <w:p w14:paraId="1A31AFA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班次准点统计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7F2CC55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实现以分公司、车队等多维度统计班次的计划数和准点班次数统计。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739B06A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D5BE8B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463C4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9FE4C6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1.5.8</w:t>
            </w:r>
          </w:p>
        </w:tc>
        <w:tc>
          <w:tcPr>
            <w:tcW w:w="1613" w:type="dxa"/>
            <w:tcBorders>
              <w:top w:val="single" w:color="000000" w:sz="4" w:space="0"/>
              <w:left w:val="single" w:color="000000" w:sz="4" w:space="0"/>
              <w:bottom w:val="single" w:color="000000" w:sz="4" w:space="0"/>
              <w:right w:val="single" w:color="000000" w:sz="4" w:space="0"/>
            </w:tcBorders>
            <w:vAlign w:val="center"/>
          </w:tcPr>
          <w:p w14:paraId="0BC6CC7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运送车速汇总分析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649F978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以分公司、车队等多维度统计早晚高峰、全日的总公里、总时间以及平均车速。</w:t>
            </w:r>
          </w:p>
        </w:tc>
        <w:tc>
          <w:tcPr>
            <w:tcW w:w="457" w:type="dxa"/>
            <w:tcBorders>
              <w:top w:val="single" w:color="000000" w:sz="4" w:space="0"/>
              <w:left w:val="single" w:color="000000" w:sz="4" w:space="0"/>
              <w:bottom w:val="single" w:color="000000" w:sz="4" w:space="0"/>
              <w:right w:val="single" w:color="000000" w:sz="4" w:space="0"/>
            </w:tcBorders>
            <w:vAlign w:val="center"/>
          </w:tcPr>
          <w:p w14:paraId="5985C2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B7B17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BFD2CC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84347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03DD483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数据资源建设</w:t>
            </w:r>
          </w:p>
        </w:tc>
        <w:tc>
          <w:tcPr>
            <w:tcW w:w="5281" w:type="dxa"/>
            <w:tcBorders>
              <w:top w:val="single" w:color="000000" w:sz="4" w:space="0"/>
              <w:left w:val="single" w:color="000000" w:sz="4" w:space="0"/>
              <w:bottom w:val="single" w:color="000000" w:sz="4" w:space="0"/>
              <w:right w:val="single" w:color="000000" w:sz="4" w:space="0"/>
            </w:tcBorders>
            <w:vAlign w:val="center"/>
          </w:tcPr>
          <w:p w14:paraId="5B284C68">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408173C">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5703064">
            <w:pPr>
              <w:pStyle w:val="201"/>
              <w:spacing w:line="400" w:lineRule="exact"/>
              <w:jc w:val="center"/>
              <w:rPr>
                <w:rFonts w:hint="eastAsia" w:asciiTheme="minorEastAsia" w:hAnsiTheme="minorEastAsia" w:eastAsiaTheme="minorEastAsia"/>
                <w:color w:val="000000"/>
                <w:sz w:val="24"/>
                <w:szCs w:val="24"/>
                <w:highlight w:val="none"/>
              </w:rPr>
            </w:pPr>
          </w:p>
        </w:tc>
      </w:tr>
      <w:tr w14:paraId="7C6E5E1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AAB3D2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06552AB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数据采集与接入</w:t>
            </w:r>
          </w:p>
        </w:tc>
        <w:tc>
          <w:tcPr>
            <w:tcW w:w="5281" w:type="dxa"/>
            <w:tcBorders>
              <w:top w:val="single" w:color="000000" w:sz="4" w:space="0"/>
              <w:left w:val="single" w:color="000000" w:sz="4" w:space="0"/>
              <w:bottom w:val="single" w:color="000000" w:sz="4" w:space="0"/>
              <w:right w:val="single" w:color="000000" w:sz="4" w:space="0"/>
            </w:tcBorders>
            <w:vAlign w:val="center"/>
          </w:tcPr>
          <w:p w14:paraId="0C53FDB5">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D38B2B8">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32CE587">
            <w:pPr>
              <w:pStyle w:val="201"/>
              <w:spacing w:line="400" w:lineRule="exact"/>
              <w:jc w:val="center"/>
              <w:rPr>
                <w:rFonts w:hint="eastAsia" w:asciiTheme="minorEastAsia" w:hAnsiTheme="minorEastAsia" w:eastAsiaTheme="minorEastAsia"/>
                <w:color w:val="000000"/>
                <w:sz w:val="24"/>
                <w:szCs w:val="24"/>
                <w:highlight w:val="none"/>
              </w:rPr>
            </w:pPr>
          </w:p>
        </w:tc>
      </w:tr>
      <w:tr w14:paraId="2398C49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11C37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2.1.1</w:t>
            </w:r>
          </w:p>
        </w:tc>
        <w:tc>
          <w:tcPr>
            <w:tcW w:w="1613" w:type="dxa"/>
            <w:tcBorders>
              <w:top w:val="single" w:color="000000" w:sz="4" w:space="0"/>
              <w:left w:val="single" w:color="000000" w:sz="4" w:space="0"/>
              <w:bottom w:val="single" w:color="000000" w:sz="4" w:space="0"/>
              <w:right w:val="single" w:color="000000" w:sz="4" w:space="0"/>
            </w:tcBorders>
            <w:vAlign w:val="center"/>
          </w:tcPr>
          <w:p w14:paraId="2276E01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车载</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信号数据接入</w:t>
            </w:r>
          </w:p>
        </w:tc>
        <w:tc>
          <w:tcPr>
            <w:tcW w:w="5281" w:type="dxa"/>
            <w:tcBorders>
              <w:top w:val="single" w:color="000000" w:sz="4" w:space="0"/>
              <w:left w:val="single" w:color="000000" w:sz="4" w:space="0"/>
              <w:bottom w:val="single" w:color="000000" w:sz="4" w:space="0"/>
              <w:right w:val="single" w:color="000000" w:sz="4" w:space="0"/>
            </w:tcBorders>
            <w:vAlign w:val="center"/>
          </w:tcPr>
          <w:p w14:paraId="457F3A6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与车载</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设备对接，实现车载</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信号数据的实时接入，并对</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数据的低实时传输与处理。</w:t>
            </w:r>
          </w:p>
        </w:tc>
        <w:tc>
          <w:tcPr>
            <w:tcW w:w="457" w:type="dxa"/>
            <w:tcBorders>
              <w:top w:val="single" w:color="000000" w:sz="4" w:space="0"/>
              <w:left w:val="single" w:color="000000" w:sz="4" w:space="0"/>
              <w:bottom w:val="single" w:color="000000" w:sz="4" w:space="0"/>
              <w:right w:val="single" w:color="000000" w:sz="4" w:space="0"/>
            </w:tcBorders>
            <w:vAlign w:val="center"/>
          </w:tcPr>
          <w:p w14:paraId="3CEF70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8B35A3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426D2F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6BA180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2.1.2</w:t>
            </w:r>
          </w:p>
        </w:tc>
        <w:tc>
          <w:tcPr>
            <w:tcW w:w="1613" w:type="dxa"/>
            <w:tcBorders>
              <w:top w:val="single" w:color="000000" w:sz="4" w:space="0"/>
              <w:left w:val="single" w:color="000000" w:sz="4" w:space="0"/>
              <w:bottom w:val="single" w:color="000000" w:sz="4" w:space="0"/>
              <w:right w:val="single" w:color="000000" w:sz="4" w:space="0"/>
            </w:tcBorders>
            <w:vAlign w:val="center"/>
          </w:tcPr>
          <w:p w14:paraId="1C38186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车载到离站信号数据接入</w:t>
            </w:r>
          </w:p>
        </w:tc>
        <w:tc>
          <w:tcPr>
            <w:tcW w:w="5281" w:type="dxa"/>
            <w:tcBorders>
              <w:top w:val="single" w:color="000000" w:sz="4" w:space="0"/>
              <w:left w:val="single" w:color="000000" w:sz="4" w:space="0"/>
              <w:bottom w:val="single" w:color="000000" w:sz="4" w:space="0"/>
              <w:right w:val="single" w:color="000000" w:sz="4" w:space="0"/>
            </w:tcBorders>
            <w:vAlign w:val="center"/>
          </w:tcPr>
          <w:p w14:paraId="2F0D4E8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自动捕获车辆进出站状态信号，实现车辆到站和离站信号的自动采集。</w:t>
            </w:r>
          </w:p>
        </w:tc>
        <w:tc>
          <w:tcPr>
            <w:tcW w:w="457" w:type="dxa"/>
            <w:tcBorders>
              <w:top w:val="single" w:color="000000" w:sz="4" w:space="0"/>
              <w:left w:val="single" w:color="000000" w:sz="4" w:space="0"/>
              <w:bottom w:val="single" w:color="000000" w:sz="4" w:space="0"/>
              <w:right w:val="single" w:color="000000" w:sz="4" w:space="0"/>
            </w:tcBorders>
            <w:vAlign w:val="center"/>
          </w:tcPr>
          <w:p w14:paraId="2C89AD5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8CAB8F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F0DF04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077410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2.1.3</w:t>
            </w:r>
          </w:p>
        </w:tc>
        <w:tc>
          <w:tcPr>
            <w:tcW w:w="1613" w:type="dxa"/>
            <w:tcBorders>
              <w:top w:val="single" w:color="000000" w:sz="4" w:space="0"/>
              <w:left w:val="single" w:color="000000" w:sz="4" w:space="0"/>
              <w:bottom w:val="single" w:color="000000" w:sz="4" w:space="0"/>
              <w:right w:val="single" w:color="000000" w:sz="4" w:space="0"/>
            </w:tcBorders>
            <w:vAlign w:val="center"/>
          </w:tcPr>
          <w:p w14:paraId="2A060BA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线路切换指令下发服务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44F9A70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如果车辆需要线路切换，将提供线路切换指令的自动下发功能。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3888F1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A2226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0FBA5B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4C6C1C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680408B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数据计算服务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7DCF3B21">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21C5B5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4E930A2">
            <w:pPr>
              <w:pStyle w:val="201"/>
              <w:spacing w:line="400" w:lineRule="exact"/>
              <w:jc w:val="center"/>
              <w:rPr>
                <w:rFonts w:hint="eastAsia" w:asciiTheme="minorEastAsia" w:hAnsiTheme="minorEastAsia" w:eastAsiaTheme="minorEastAsia"/>
                <w:color w:val="000000"/>
                <w:sz w:val="24"/>
                <w:szCs w:val="24"/>
                <w:highlight w:val="none"/>
              </w:rPr>
            </w:pPr>
          </w:p>
        </w:tc>
      </w:tr>
      <w:tr w14:paraId="5BAFE4E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11263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2.2.1</w:t>
            </w:r>
          </w:p>
        </w:tc>
        <w:tc>
          <w:tcPr>
            <w:tcW w:w="1613" w:type="dxa"/>
            <w:tcBorders>
              <w:top w:val="single" w:color="000000" w:sz="4" w:space="0"/>
              <w:left w:val="single" w:color="000000" w:sz="4" w:space="0"/>
              <w:bottom w:val="single" w:color="000000" w:sz="4" w:space="0"/>
              <w:right w:val="single" w:color="000000" w:sz="4" w:space="0"/>
            </w:tcBorders>
            <w:vAlign w:val="center"/>
          </w:tcPr>
          <w:p w14:paraId="2985102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路单自动采集服务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70C8600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实现路单数据的自动采集，对采集到的数据进行自动化处理，导入到系统中。</w:t>
            </w:r>
          </w:p>
        </w:tc>
        <w:tc>
          <w:tcPr>
            <w:tcW w:w="457" w:type="dxa"/>
            <w:tcBorders>
              <w:top w:val="single" w:color="000000" w:sz="4" w:space="0"/>
              <w:left w:val="single" w:color="000000" w:sz="4" w:space="0"/>
              <w:bottom w:val="single" w:color="000000" w:sz="4" w:space="0"/>
              <w:right w:val="single" w:color="000000" w:sz="4" w:space="0"/>
            </w:tcBorders>
            <w:vAlign w:val="center"/>
          </w:tcPr>
          <w:p w14:paraId="52190CE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610559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A8CE7D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5EE7A5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2.2.2</w:t>
            </w:r>
          </w:p>
        </w:tc>
        <w:tc>
          <w:tcPr>
            <w:tcW w:w="1613" w:type="dxa"/>
            <w:tcBorders>
              <w:top w:val="single" w:color="000000" w:sz="4" w:space="0"/>
              <w:left w:val="single" w:color="000000" w:sz="4" w:space="0"/>
              <w:bottom w:val="single" w:color="000000" w:sz="4" w:space="0"/>
              <w:right w:val="single" w:color="000000" w:sz="4" w:space="0"/>
            </w:tcBorders>
            <w:vAlign w:val="center"/>
          </w:tcPr>
          <w:p w14:paraId="28D758E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智能调度发车服务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687B84B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提供基于实时数据的智能调度发车服务，实现根据客流数据实时分析，对发车进行实时的动态调整。</w:t>
            </w:r>
          </w:p>
        </w:tc>
        <w:tc>
          <w:tcPr>
            <w:tcW w:w="457" w:type="dxa"/>
            <w:tcBorders>
              <w:top w:val="single" w:color="000000" w:sz="4" w:space="0"/>
              <w:left w:val="single" w:color="000000" w:sz="4" w:space="0"/>
              <w:bottom w:val="single" w:color="000000" w:sz="4" w:space="0"/>
              <w:right w:val="single" w:color="000000" w:sz="4" w:space="0"/>
            </w:tcBorders>
            <w:vAlign w:val="center"/>
          </w:tcPr>
          <w:p w14:paraId="659E59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6CF521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8B97D4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AA5FDE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tcBorders>
              <w:top w:val="single" w:color="000000" w:sz="4" w:space="0"/>
              <w:left w:val="single" w:color="000000" w:sz="4" w:space="0"/>
              <w:bottom w:val="single" w:color="000000" w:sz="4" w:space="0"/>
              <w:right w:val="single" w:color="000000" w:sz="4" w:space="0"/>
            </w:tcBorders>
            <w:vAlign w:val="center"/>
          </w:tcPr>
          <w:p w14:paraId="7D09D9C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数据库建设</w:t>
            </w:r>
          </w:p>
        </w:tc>
        <w:tc>
          <w:tcPr>
            <w:tcW w:w="5281" w:type="dxa"/>
            <w:tcBorders>
              <w:top w:val="single" w:color="000000" w:sz="4" w:space="0"/>
              <w:left w:val="single" w:color="000000" w:sz="4" w:space="0"/>
              <w:bottom w:val="single" w:color="000000" w:sz="4" w:space="0"/>
              <w:right w:val="single" w:color="000000" w:sz="4" w:space="0"/>
            </w:tcBorders>
            <w:vAlign w:val="center"/>
          </w:tcPr>
          <w:p w14:paraId="7DF5CD10">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59C8CA2F">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7015228">
            <w:pPr>
              <w:pStyle w:val="201"/>
              <w:spacing w:line="400" w:lineRule="exact"/>
              <w:jc w:val="center"/>
              <w:rPr>
                <w:rFonts w:hint="eastAsia" w:asciiTheme="minorEastAsia" w:hAnsiTheme="minorEastAsia" w:eastAsiaTheme="minorEastAsia"/>
                <w:color w:val="000000"/>
                <w:sz w:val="24"/>
                <w:szCs w:val="24"/>
                <w:highlight w:val="none"/>
              </w:rPr>
            </w:pPr>
          </w:p>
        </w:tc>
      </w:tr>
      <w:tr w14:paraId="3C1C957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F08083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2.3.1</w:t>
            </w:r>
          </w:p>
        </w:tc>
        <w:tc>
          <w:tcPr>
            <w:tcW w:w="1613" w:type="dxa"/>
            <w:tcBorders>
              <w:top w:val="single" w:color="000000" w:sz="4" w:space="0"/>
              <w:left w:val="single" w:color="000000" w:sz="4" w:space="0"/>
              <w:bottom w:val="single" w:color="000000" w:sz="4" w:space="0"/>
              <w:right w:val="single" w:color="000000" w:sz="4" w:space="0"/>
            </w:tcBorders>
            <w:vAlign w:val="center"/>
          </w:tcPr>
          <w:p w14:paraId="522F6C9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数据库设计、数据初始化及数据处理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0658B1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基于业务需求设计高效数据库表结构，提供数据初始化服务，实现数据的处理。支持批量导入</w:t>
            </w:r>
            <w:r>
              <w:rPr>
                <w:rFonts w:hint="eastAsia" w:asciiTheme="minorEastAsia" w:hAnsiTheme="minorEastAsia" w:eastAsiaTheme="minorEastAsia"/>
                <w:color w:val="000000"/>
                <w:sz w:val="24"/>
                <w:szCs w:val="24"/>
                <w:highlight w:val="none"/>
                <w:lang w:eastAsia="zh-CN" w:bidi="ar"/>
              </w:rPr>
              <w:t>/API</w:t>
            </w:r>
            <w:r>
              <w:rPr>
                <w:rFonts w:hint="eastAsia" w:cs="微软雅黑" w:asciiTheme="minorEastAsia" w:hAnsiTheme="minorEastAsia" w:eastAsiaTheme="minorEastAsia"/>
                <w:color w:val="000000"/>
                <w:sz w:val="24"/>
                <w:szCs w:val="24"/>
                <w:highlight w:val="none"/>
                <w:lang w:eastAsia="zh-CN" w:bidi="ar"/>
              </w:rPr>
              <w:t>对接完成数据初始化，并实现数据清洗、转换与统计分析，确保数据一致性与处理效率。</w:t>
            </w:r>
          </w:p>
        </w:tc>
        <w:tc>
          <w:tcPr>
            <w:tcW w:w="457" w:type="dxa"/>
            <w:tcBorders>
              <w:top w:val="single" w:color="000000" w:sz="4" w:space="0"/>
              <w:left w:val="single" w:color="000000" w:sz="4" w:space="0"/>
              <w:bottom w:val="single" w:color="000000" w:sz="4" w:space="0"/>
              <w:right w:val="single" w:color="000000" w:sz="4" w:space="0"/>
            </w:tcBorders>
            <w:vAlign w:val="center"/>
          </w:tcPr>
          <w:p w14:paraId="5295A79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24BAC4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F457AA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F9E5A6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2.4</w:t>
            </w:r>
          </w:p>
        </w:tc>
        <w:tc>
          <w:tcPr>
            <w:tcW w:w="1613" w:type="dxa"/>
            <w:tcBorders>
              <w:top w:val="single" w:color="000000" w:sz="4" w:space="0"/>
              <w:left w:val="single" w:color="000000" w:sz="4" w:space="0"/>
              <w:bottom w:val="single" w:color="000000" w:sz="4" w:space="0"/>
              <w:right w:val="single" w:color="000000" w:sz="4" w:space="0"/>
            </w:tcBorders>
            <w:vAlign w:val="center"/>
          </w:tcPr>
          <w:p w14:paraId="69001F4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数据共享接口开发</w:t>
            </w:r>
          </w:p>
        </w:tc>
        <w:tc>
          <w:tcPr>
            <w:tcW w:w="5281" w:type="dxa"/>
            <w:tcBorders>
              <w:top w:val="single" w:color="000000" w:sz="4" w:space="0"/>
              <w:left w:val="single" w:color="000000" w:sz="4" w:space="0"/>
              <w:bottom w:val="single" w:color="000000" w:sz="4" w:space="0"/>
              <w:right w:val="single" w:color="000000" w:sz="4" w:space="0"/>
            </w:tcBorders>
            <w:vAlign w:val="center"/>
          </w:tcPr>
          <w:p w14:paraId="44BBCCAA">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3A77D9B">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B8A9A11">
            <w:pPr>
              <w:pStyle w:val="201"/>
              <w:spacing w:line="400" w:lineRule="exact"/>
              <w:jc w:val="center"/>
              <w:rPr>
                <w:rFonts w:hint="eastAsia" w:asciiTheme="minorEastAsia" w:hAnsiTheme="minorEastAsia" w:eastAsiaTheme="minorEastAsia"/>
                <w:color w:val="000000"/>
                <w:sz w:val="24"/>
                <w:szCs w:val="24"/>
                <w:highlight w:val="none"/>
              </w:rPr>
            </w:pPr>
          </w:p>
        </w:tc>
      </w:tr>
      <w:tr w14:paraId="530EAAA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77E677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2.4.1</w:t>
            </w:r>
          </w:p>
        </w:tc>
        <w:tc>
          <w:tcPr>
            <w:tcW w:w="1613" w:type="dxa"/>
            <w:tcBorders>
              <w:top w:val="single" w:color="000000" w:sz="4" w:space="0"/>
              <w:left w:val="single" w:color="000000" w:sz="4" w:space="0"/>
              <w:bottom w:val="single" w:color="000000" w:sz="4" w:space="0"/>
              <w:right w:val="single" w:color="000000" w:sz="4" w:space="0"/>
            </w:tcBorders>
            <w:vAlign w:val="center"/>
          </w:tcPr>
          <w:p w14:paraId="4753955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实时调度信息数据接口</w:t>
            </w:r>
          </w:p>
        </w:tc>
        <w:tc>
          <w:tcPr>
            <w:tcW w:w="5281" w:type="dxa"/>
            <w:tcBorders>
              <w:top w:val="single" w:color="000000" w:sz="4" w:space="0"/>
              <w:left w:val="single" w:color="000000" w:sz="4" w:space="0"/>
              <w:bottom w:val="single" w:color="000000" w:sz="4" w:space="0"/>
              <w:right w:val="single" w:color="000000" w:sz="4" w:space="0"/>
            </w:tcBorders>
            <w:vAlign w:val="center"/>
          </w:tcPr>
          <w:p w14:paraId="6C963B3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实时调度信息数据接口开发，为外部系统对接提供可用的数据传输接口。开发实时调度信息的数据接口，为外部系统对接提供可用的实时数据传输接口。</w:t>
            </w:r>
          </w:p>
        </w:tc>
        <w:tc>
          <w:tcPr>
            <w:tcW w:w="457" w:type="dxa"/>
            <w:tcBorders>
              <w:top w:val="single" w:color="000000" w:sz="4" w:space="0"/>
              <w:left w:val="single" w:color="000000" w:sz="4" w:space="0"/>
              <w:bottom w:val="single" w:color="000000" w:sz="4" w:space="0"/>
              <w:right w:val="single" w:color="000000" w:sz="4" w:space="0"/>
            </w:tcBorders>
            <w:vAlign w:val="center"/>
          </w:tcPr>
          <w:p w14:paraId="5A6BC2A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316F70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8DCD46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B5484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69A3429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绩效考核管理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73F1ABD">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AF183C1">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E583457">
            <w:pPr>
              <w:pStyle w:val="201"/>
              <w:spacing w:line="400" w:lineRule="exact"/>
              <w:jc w:val="center"/>
              <w:rPr>
                <w:rFonts w:hint="eastAsia" w:asciiTheme="minorEastAsia" w:hAnsiTheme="minorEastAsia" w:eastAsiaTheme="minorEastAsia"/>
                <w:color w:val="000000"/>
                <w:sz w:val="24"/>
                <w:szCs w:val="24"/>
                <w:highlight w:val="none"/>
              </w:rPr>
            </w:pPr>
          </w:p>
        </w:tc>
      </w:tr>
      <w:tr w14:paraId="4EAEFD1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ACD7BB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180FDE7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人员信息数据指标</w:t>
            </w:r>
          </w:p>
        </w:tc>
        <w:tc>
          <w:tcPr>
            <w:tcW w:w="5281" w:type="dxa"/>
            <w:tcBorders>
              <w:top w:val="single" w:color="000000" w:sz="4" w:space="0"/>
              <w:left w:val="single" w:color="000000" w:sz="4" w:space="0"/>
              <w:bottom w:val="single" w:color="000000" w:sz="4" w:space="0"/>
              <w:right w:val="single" w:color="000000" w:sz="4" w:space="0"/>
            </w:tcBorders>
            <w:vAlign w:val="center"/>
          </w:tcPr>
          <w:p w14:paraId="33D663E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提供人员信息数据量化指标的考核管理，包括：建立驾驶员、调度员等岗位的</w:t>
            </w:r>
            <w:r>
              <w:rPr>
                <w:rFonts w:hint="eastAsia" w:asciiTheme="minorEastAsia" w:hAnsiTheme="minorEastAsia" w:eastAsiaTheme="minorEastAsia"/>
                <w:color w:val="000000"/>
                <w:sz w:val="24"/>
                <w:szCs w:val="24"/>
                <w:highlight w:val="none"/>
                <w:lang w:eastAsia="zh-CN" w:bidi="ar"/>
              </w:rPr>
              <w:t>KPI</w:t>
            </w:r>
            <w:r>
              <w:rPr>
                <w:rFonts w:hint="eastAsia" w:cs="微软雅黑" w:asciiTheme="minorEastAsia" w:hAnsiTheme="minorEastAsia" w:eastAsiaTheme="minorEastAsia"/>
                <w:color w:val="000000"/>
                <w:sz w:val="24"/>
                <w:szCs w:val="24"/>
                <w:highlight w:val="none"/>
                <w:lang w:eastAsia="zh-CN" w:bidi="ar"/>
              </w:rPr>
              <w:t>体系、实时采集考勤、服务评价等数据、自动生成人员绩效考核报告。</w:t>
            </w:r>
          </w:p>
        </w:tc>
        <w:tc>
          <w:tcPr>
            <w:tcW w:w="457" w:type="dxa"/>
            <w:tcBorders>
              <w:top w:val="single" w:color="000000" w:sz="4" w:space="0"/>
              <w:left w:val="single" w:color="000000" w:sz="4" w:space="0"/>
              <w:bottom w:val="single" w:color="000000" w:sz="4" w:space="0"/>
              <w:right w:val="single" w:color="000000" w:sz="4" w:space="0"/>
            </w:tcBorders>
            <w:vAlign w:val="center"/>
          </w:tcPr>
          <w:p w14:paraId="42C38B9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2CF885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38EB49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A30937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2495AE2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车辆信息数据指标</w:t>
            </w:r>
          </w:p>
        </w:tc>
        <w:tc>
          <w:tcPr>
            <w:tcW w:w="5281" w:type="dxa"/>
            <w:tcBorders>
              <w:top w:val="single" w:color="000000" w:sz="4" w:space="0"/>
              <w:left w:val="single" w:color="000000" w:sz="4" w:space="0"/>
              <w:bottom w:val="single" w:color="000000" w:sz="4" w:space="0"/>
              <w:right w:val="single" w:color="000000" w:sz="4" w:space="0"/>
            </w:tcBorders>
            <w:vAlign w:val="center"/>
          </w:tcPr>
          <w:p w14:paraId="1D46959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提供车辆信息数据量化指标的考核管理。包括：监控车辆利用率、故障率等关键指标、统计单车运营里程、能耗等数据、提供车辆维保周期预警功能。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37E574A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B930B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1430A1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4B31C6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3.3</w:t>
            </w:r>
          </w:p>
        </w:tc>
        <w:tc>
          <w:tcPr>
            <w:tcW w:w="1613" w:type="dxa"/>
            <w:tcBorders>
              <w:top w:val="single" w:color="000000" w:sz="4" w:space="0"/>
              <w:left w:val="single" w:color="000000" w:sz="4" w:space="0"/>
              <w:bottom w:val="single" w:color="000000" w:sz="4" w:space="0"/>
              <w:right w:val="single" w:color="000000" w:sz="4" w:space="0"/>
            </w:tcBorders>
            <w:vAlign w:val="center"/>
          </w:tcPr>
          <w:p w14:paraId="2656B9D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运营线路数据指标</w:t>
            </w:r>
          </w:p>
        </w:tc>
        <w:tc>
          <w:tcPr>
            <w:tcW w:w="5281" w:type="dxa"/>
            <w:tcBorders>
              <w:top w:val="single" w:color="000000" w:sz="4" w:space="0"/>
              <w:left w:val="single" w:color="000000" w:sz="4" w:space="0"/>
              <w:bottom w:val="single" w:color="000000" w:sz="4" w:space="0"/>
              <w:right w:val="single" w:color="000000" w:sz="4" w:space="0"/>
            </w:tcBorders>
            <w:vAlign w:val="center"/>
          </w:tcPr>
          <w:p w14:paraId="6824866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提供运营线路数据量化指标的考核管理功能，包括：线路准点率、客流量等运营数据、评估线路运营效益与成本。</w:t>
            </w:r>
          </w:p>
        </w:tc>
        <w:tc>
          <w:tcPr>
            <w:tcW w:w="457" w:type="dxa"/>
            <w:tcBorders>
              <w:top w:val="single" w:color="000000" w:sz="4" w:space="0"/>
              <w:left w:val="single" w:color="000000" w:sz="4" w:space="0"/>
              <w:bottom w:val="single" w:color="000000" w:sz="4" w:space="0"/>
              <w:right w:val="single" w:color="000000" w:sz="4" w:space="0"/>
            </w:tcBorders>
            <w:vAlign w:val="center"/>
          </w:tcPr>
          <w:p w14:paraId="5C45360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637444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755DE4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3E629C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3.4</w:t>
            </w:r>
          </w:p>
        </w:tc>
        <w:tc>
          <w:tcPr>
            <w:tcW w:w="1613" w:type="dxa"/>
            <w:tcBorders>
              <w:top w:val="single" w:color="000000" w:sz="4" w:space="0"/>
              <w:left w:val="single" w:color="000000" w:sz="4" w:space="0"/>
              <w:bottom w:val="single" w:color="000000" w:sz="4" w:space="0"/>
              <w:right w:val="single" w:color="000000" w:sz="4" w:space="0"/>
            </w:tcBorders>
            <w:vAlign w:val="center"/>
          </w:tcPr>
          <w:p w14:paraId="1FDEB8F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服务质量数据指标</w:t>
            </w:r>
          </w:p>
        </w:tc>
        <w:tc>
          <w:tcPr>
            <w:tcW w:w="5281" w:type="dxa"/>
            <w:tcBorders>
              <w:top w:val="single" w:color="000000" w:sz="4" w:space="0"/>
              <w:left w:val="single" w:color="000000" w:sz="4" w:space="0"/>
              <w:bottom w:val="single" w:color="000000" w:sz="4" w:space="0"/>
              <w:right w:val="single" w:color="000000" w:sz="4" w:space="0"/>
            </w:tcBorders>
            <w:vAlign w:val="center"/>
          </w:tcPr>
          <w:p w14:paraId="3E6A187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提供服务质量数据量化指标的考核管理。包括：整合乘客投诉、满意度调查数据、建立服务质量评估模型、生成服务质量分析报告。</w:t>
            </w:r>
          </w:p>
        </w:tc>
        <w:tc>
          <w:tcPr>
            <w:tcW w:w="457" w:type="dxa"/>
            <w:tcBorders>
              <w:top w:val="single" w:color="000000" w:sz="4" w:space="0"/>
              <w:left w:val="single" w:color="000000" w:sz="4" w:space="0"/>
              <w:bottom w:val="single" w:color="000000" w:sz="4" w:space="0"/>
              <w:right w:val="single" w:color="000000" w:sz="4" w:space="0"/>
            </w:tcBorders>
            <w:vAlign w:val="center"/>
          </w:tcPr>
          <w:p w14:paraId="0738A2E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2CE81C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55A9BE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43C1C1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3.5</w:t>
            </w:r>
          </w:p>
        </w:tc>
        <w:tc>
          <w:tcPr>
            <w:tcW w:w="1613" w:type="dxa"/>
            <w:tcBorders>
              <w:top w:val="single" w:color="000000" w:sz="4" w:space="0"/>
              <w:left w:val="single" w:color="000000" w:sz="4" w:space="0"/>
              <w:bottom w:val="single" w:color="000000" w:sz="4" w:space="0"/>
              <w:right w:val="single" w:color="000000" w:sz="4" w:space="0"/>
            </w:tcBorders>
            <w:vAlign w:val="center"/>
          </w:tcPr>
          <w:p w14:paraId="710F365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考核指标权限管理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FA55F9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管理考核指标的访问权限。包括：实现指标数据的分级访问控制、支持角色化的权限配置、记录指标访问日志审计。</w:t>
            </w:r>
          </w:p>
        </w:tc>
        <w:tc>
          <w:tcPr>
            <w:tcW w:w="457" w:type="dxa"/>
            <w:tcBorders>
              <w:top w:val="single" w:color="000000" w:sz="4" w:space="0"/>
              <w:left w:val="single" w:color="000000" w:sz="4" w:space="0"/>
              <w:bottom w:val="single" w:color="000000" w:sz="4" w:space="0"/>
              <w:right w:val="single" w:color="000000" w:sz="4" w:space="0"/>
            </w:tcBorders>
            <w:vAlign w:val="center"/>
          </w:tcPr>
          <w:p w14:paraId="3651A4A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525C74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4A25E0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01BADE2">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（二）</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00EA7D17">
            <w:pPr>
              <w:pStyle w:val="201"/>
              <w:spacing w:line="400" w:lineRule="exact"/>
              <w:rPr>
                <w:rFonts w:hint="eastAsia" w:asciiTheme="minorEastAsia" w:hAnsiTheme="minorEastAsia" w:eastAsiaTheme="minorEastAsia"/>
                <w:b/>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公交信息发布系统维护升级</w:t>
            </w:r>
          </w:p>
        </w:tc>
        <w:tc>
          <w:tcPr>
            <w:tcW w:w="457" w:type="dxa"/>
            <w:tcBorders>
              <w:top w:val="single" w:color="000000" w:sz="4" w:space="0"/>
              <w:left w:val="single" w:color="000000" w:sz="4" w:space="0"/>
              <w:bottom w:val="single" w:color="000000" w:sz="4" w:space="0"/>
              <w:right w:val="single" w:color="000000" w:sz="4" w:space="0"/>
            </w:tcBorders>
            <w:vAlign w:val="center"/>
          </w:tcPr>
          <w:p w14:paraId="3ECD817F">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CEDAA12">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7652375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3FE75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23FD274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调度系统数据对接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41D7E5B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线路基础数据接口、站点基础数据接口、线路站点数据接口、车辆数据接口。</w:t>
            </w:r>
          </w:p>
        </w:tc>
        <w:tc>
          <w:tcPr>
            <w:tcW w:w="457" w:type="dxa"/>
            <w:tcBorders>
              <w:top w:val="single" w:color="000000" w:sz="4" w:space="0"/>
              <w:left w:val="single" w:color="000000" w:sz="4" w:space="0"/>
              <w:bottom w:val="single" w:color="000000" w:sz="4" w:space="0"/>
              <w:right w:val="single" w:color="000000" w:sz="4" w:space="0"/>
            </w:tcBorders>
            <w:vAlign w:val="center"/>
          </w:tcPr>
          <w:p w14:paraId="129590E7">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0EE4B075">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w:t>
            </w:r>
          </w:p>
        </w:tc>
      </w:tr>
      <w:tr w14:paraId="7C9009F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B22FA3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17E5437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公交运营信息发布</w:t>
            </w:r>
          </w:p>
        </w:tc>
        <w:tc>
          <w:tcPr>
            <w:tcW w:w="5281" w:type="dxa"/>
            <w:tcBorders>
              <w:top w:val="single" w:color="000000" w:sz="4" w:space="0"/>
              <w:left w:val="single" w:color="000000" w:sz="4" w:space="0"/>
              <w:bottom w:val="single" w:color="000000" w:sz="4" w:space="0"/>
              <w:right w:val="single" w:color="000000" w:sz="4" w:space="0"/>
            </w:tcBorders>
            <w:vAlign w:val="center"/>
          </w:tcPr>
          <w:p w14:paraId="515A8E1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对现有公交站台信息发布与管理系统进行升级，配备详细信息面板，支持多语言展示，展示各站点的进站预报详情。</w:t>
            </w:r>
          </w:p>
        </w:tc>
        <w:tc>
          <w:tcPr>
            <w:tcW w:w="457" w:type="dxa"/>
            <w:tcBorders>
              <w:top w:val="single" w:color="000000" w:sz="4" w:space="0"/>
              <w:left w:val="single" w:color="000000" w:sz="4" w:space="0"/>
              <w:bottom w:val="single" w:color="000000" w:sz="4" w:space="0"/>
              <w:right w:val="single" w:color="000000" w:sz="4" w:space="0"/>
            </w:tcBorders>
            <w:vAlign w:val="center"/>
          </w:tcPr>
          <w:p w14:paraId="1A08E77D">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62A55A8F">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w:t>
            </w:r>
          </w:p>
        </w:tc>
      </w:tr>
      <w:tr w14:paraId="758C5D1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CDB701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49692702">
            <w:pPr>
              <w:pStyle w:val="201"/>
              <w:spacing w:line="400" w:lineRule="exact"/>
              <w:rPr>
                <w:rFonts w:hint="eastAsia" w:cs="微软雅黑"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实时公交小程序维护升级</w:t>
            </w:r>
          </w:p>
        </w:tc>
        <w:tc>
          <w:tcPr>
            <w:tcW w:w="5281" w:type="dxa"/>
            <w:tcBorders>
              <w:top w:val="single" w:color="000000" w:sz="4" w:space="0"/>
              <w:left w:val="single" w:color="000000" w:sz="4" w:space="0"/>
              <w:bottom w:val="single" w:color="000000" w:sz="4" w:space="0"/>
              <w:right w:val="single" w:color="000000" w:sz="4" w:space="0"/>
            </w:tcBorders>
            <w:vAlign w:val="center"/>
          </w:tcPr>
          <w:p w14:paraId="620A5815">
            <w:pPr>
              <w:pStyle w:val="201"/>
              <w:spacing w:line="400" w:lineRule="exact"/>
              <w:rPr>
                <w:rFonts w:hint="eastAsia" w:cs="微软雅黑"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实时公交查询小程序进行升级，支持多语言展示线路站点名称，接入太融e</w:t>
            </w:r>
          </w:p>
        </w:tc>
        <w:tc>
          <w:tcPr>
            <w:tcW w:w="457" w:type="dxa"/>
            <w:tcBorders>
              <w:top w:val="single" w:color="000000" w:sz="4" w:space="0"/>
              <w:left w:val="single" w:color="000000" w:sz="4" w:space="0"/>
              <w:bottom w:val="single" w:color="000000" w:sz="4" w:space="0"/>
              <w:right w:val="single" w:color="000000" w:sz="4" w:space="0"/>
            </w:tcBorders>
            <w:vAlign w:val="center"/>
          </w:tcPr>
          <w:p w14:paraId="41E20E19">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1843A136">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w:t>
            </w:r>
          </w:p>
        </w:tc>
      </w:tr>
      <w:tr w14:paraId="03EE217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4DB6E2E">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（三）</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111EB142">
            <w:pPr>
              <w:pStyle w:val="201"/>
              <w:spacing w:line="400" w:lineRule="exact"/>
              <w:rPr>
                <w:rFonts w:hint="eastAsia" w:asciiTheme="minorEastAsia" w:hAnsiTheme="minorEastAsia" w:eastAsiaTheme="minorEastAsia"/>
                <w:b/>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手机信令</w:t>
            </w:r>
            <w:r>
              <w:rPr>
                <w:rFonts w:hint="eastAsia" w:asciiTheme="minorEastAsia" w:hAnsiTheme="minorEastAsia" w:eastAsiaTheme="minorEastAsia"/>
                <w:b/>
                <w:bCs/>
                <w:color w:val="000000"/>
                <w:sz w:val="24"/>
                <w:szCs w:val="24"/>
                <w:highlight w:val="none"/>
                <w:lang w:eastAsia="zh-CN" w:bidi="ar"/>
              </w:rPr>
              <w:t>OD</w:t>
            </w:r>
            <w:r>
              <w:rPr>
                <w:rFonts w:hint="eastAsia" w:cs="微软雅黑" w:asciiTheme="minorEastAsia" w:hAnsiTheme="minorEastAsia" w:eastAsiaTheme="minorEastAsia"/>
                <w:b/>
                <w:bCs/>
                <w:color w:val="000000"/>
                <w:sz w:val="24"/>
                <w:szCs w:val="24"/>
                <w:highlight w:val="none"/>
                <w:lang w:eastAsia="zh-CN" w:bidi="ar"/>
              </w:rPr>
              <w:t>数据服务</w:t>
            </w:r>
          </w:p>
        </w:tc>
        <w:tc>
          <w:tcPr>
            <w:tcW w:w="457" w:type="dxa"/>
            <w:tcBorders>
              <w:top w:val="single" w:color="000000" w:sz="4" w:space="0"/>
              <w:left w:val="single" w:color="000000" w:sz="4" w:space="0"/>
              <w:bottom w:val="single" w:color="000000" w:sz="4" w:space="0"/>
              <w:right w:val="single" w:color="000000" w:sz="4" w:space="0"/>
            </w:tcBorders>
            <w:vAlign w:val="center"/>
          </w:tcPr>
          <w:p w14:paraId="6182DC95">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4553564">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2C58109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1856C9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56A327A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太仓市铁路枢纽客流来源去向</w:t>
            </w:r>
            <w:r>
              <w:rPr>
                <w:rFonts w:hint="eastAsia" w:asciiTheme="minorEastAsia" w:hAnsiTheme="minorEastAsia" w:eastAsiaTheme="minorEastAsia"/>
                <w:color w:val="000000"/>
                <w:sz w:val="24"/>
                <w:szCs w:val="24"/>
                <w:highlight w:val="none"/>
                <w:lang w:eastAsia="zh-CN" w:bidi="ar"/>
              </w:rPr>
              <w:t>OD</w:t>
            </w:r>
            <w:r>
              <w:rPr>
                <w:rFonts w:hint="eastAsia" w:cs="微软雅黑" w:asciiTheme="minorEastAsia" w:hAnsiTheme="minorEastAsia" w:eastAsiaTheme="minorEastAsia"/>
                <w:color w:val="000000"/>
                <w:sz w:val="24"/>
                <w:szCs w:val="24"/>
                <w:highlight w:val="none"/>
                <w:lang w:eastAsia="zh-CN" w:bidi="ar"/>
              </w:rPr>
              <w:t>数据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4C35333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到达太仓铁路枢纽（太仓站、太仓南站）客流来源地及目的地数据分析，太仓市域采用不大于</w:t>
            </w:r>
            <w:r>
              <w:rPr>
                <w:rFonts w:hint="eastAsia" w:asciiTheme="minorEastAsia" w:hAnsiTheme="minorEastAsia" w:eastAsiaTheme="minorEastAsia"/>
                <w:color w:val="000000"/>
                <w:sz w:val="24"/>
                <w:szCs w:val="24"/>
                <w:highlight w:val="none"/>
                <w:lang w:eastAsia="zh-CN" w:bidi="ar"/>
              </w:rPr>
              <w:t>500m</w:t>
            </w:r>
            <w:r>
              <w:rPr>
                <w:rFonts w:hint="eastAsia" w:cs="微软雅黑" w:asciiTheme="minorEastAsia" w:hAnsiTheme="minorEastAsia" w:eastAsiaTheme="minorEastAsia"/>
                <w:color w:val="000000"/>
                <w:sz w:val="24"/>
                <w:szCs w:val="24"/>
                <w:highlight w:val="none"/>
                <w:lang w:eastAsia="zh-CN" w:bidi="ar"/>
              </w:rPr>
              <w:t>的栅格尺寸。</w:t>
            </w:r>
          </w:p>
        </w:tc>
        <w:tc>
          <w:tcPr>
            <w:tcW w:w="457" w:type="dxa"/>
            <w:tcBorders>
              <w:top w:val="single" w:color="000000" w:sz="4" w:space="0"/>
              <w:left w:val="single" w:color="000000" w:sz="4" w:space="0"/>
              <w:bottom w:val="single" w:color="000000" w:sz="4" w:space="0"/>
              <w:right w:val="single" w:color="000000" w:sz="4" w:space="0"/>
            </w:tcBorders>
            <w:vAlign w:val="center"/>
          </w:tcPr>
          <w:p w14:paraId="2FFAC75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次</w:t>
            </w:r>
          </w:p>
        </w:tc>
        <w:tc>
          <w:tcPr>
            <w:tcW w:w="0" w:type="auto"/>
            <w:tcBorders>
              <w:top w:val="single" w:color="000000" w:sz="4" w:space="0"/>
              <w:left w:val="single" w:color="000000" w:sz="4" w:space="0"/>
              <w:bottom w:val="single" w:color="000000" w:sz="4" w:space="0"/>
              <w:right w:val="single" w:color="000000" w:sz="4" w:space="0"/>
            </w:tcBorders>
            <w:vAlign w:val="center"/>
          </w:tcPr>
          <w:p w14:paraId="42BEC9F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1FD773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981E3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16FD98C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太仓市医院服务范围</w:t>
            </w:r>
            <w:r>
              <w:rPr>
                <w:rFonts w:hint="eastAsia" w:asciiTheme="minorEastAsia" w:hAnsiTheme="minorEastAsia" w:eastAsiaTheme="minorEastAsia"/>
                <w:color w:val="000000"/>
                <w:sz w:val="24"/>
                <w:szCs w:val="24"/>
                <w:highlight w:val="none"/>
                <w:lang w:eastAsia="zh-CN" w:bidi="ar"/>
              </w:rPr>
              <w:t>OD</w:t>
            </w:r>
            <w:r>
              <w:rPr>
                <w:rFonts w:hint="eastAsia" w:cs="微软雅黑" w:asciiTheme="minorEastAsia" w:hAnsiTheme="minorEastAsia" w:eastAsiaTheme="minorEastAsia"/>
                <w:color w:val="000000"/>
                <w:sz w:val="24"/>
                <w:szCs w:val="24"/>
                <w:highlight w:val="none"/>
                <w:lang w:eastAsia="zh-CN" w:bidi="ar"/>
              </w:rPr>
              <w:t>数据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19DA99C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提供太仓市主要医院（第一人民医院，友谊医院，第三人民医院，中医院）地理范围的出行</w:t>
            </w:r>
            <w:r>
              <w:rPr>
                <w:rFonts w:hint="eastAsia" w:asciiTheme="minorEastAsia" w:hAnsiTheme="minorEastAsia" w:eastAsiaTheme="minorEastAsia"/>
                <w:color w:val="000000"/>
                <w:sz w:val="24"/>
                <w:szCs w:val="24"/>
                <w:highlight w:val="none"/>
                <w:lang w:eastAsia="zh-CN" w:bidi="ar"/>
              </w:rPr>
              <w:t>OD</w:t>
            </w:r>
            <w:r>
              <w:rPr>
                <w:rFonts w:hint="eastAsia" w:cs="微软雅黑" w:asciiTheme="minorEastAsia" w:hAnsiTheme="minorEastAsia" w:eastAsiaTheme="minorEastAsia"/>
                <w:color w:val="000000"/>
                <w:sz w:val="24"/>
                <w:szCs w:val="24"/>
                <w:highlight w:val="none"/>
                <w:lang w:eastAsia="zh-CN" w:bidi="ar"/>
              </w:rPr>
              <w:t>数据分析，太仓市域采用不大于</w:t>
            </w:r>
            <w:r>
              <w:rPr>
                <w:rFonts w:hint="eastAsia" w:asciiTheme="minorEastAsia" w:hAnsiTheme="minorEastAsia" w:eastAsiaTheme="minorEastAsia"/>
                <w:color w:val="000000"/>
                <w:sz w:val="24"/>
                <w:szCs w:val="24"/>
                <w:highlight w:val="none"/>
                <w:lang w:eastAsia="zh-CN" w:bidi="ar"/>
              </w:rPr>
              <w:t>500m</w:t>
            </w:r>
            <w:r>
              <w:rPr>
                <w:rFonts w:hint="eastAsia" w:cs="微软雅黑" w:asciiTheme="minorEastAsia" w:hAnsiTheme="minorEastAsia" w:eastAsiaTheme="minorEastAsia"/>
                <w:color w:val="000000"/>
                <w:sz w:val="24"/>
                <w:szCs w:val="24"/>
                <w:highlight w:val="none"/>
                <w:lang w:eastAsia="zh-CN" w:bidi="ar"/>
              </w:rPr>
              <w:t>的栅格尺寸。</w:t>
            </w:r>
          </w:p>
        </w:tc>
        <w:tc>
          <w:tcPr>
            <w:tcW w:w="457" w:type="dxa"/>
            <w:tcBorders>
              <w:top w:val="single" w:color="000000" w:sz="4" w:space="0"/>
              <w:left w:val="single" w:color="000000" w:sz="4" w:space="0"/>
              <w:bottom w:val="single" w:color="000000" w:sz="4" w:space="0"/>
              <w:right w:val="single" w:color="000000" w:sz="4" w:space="0"/>
            </w:tcBorders>
            <w:vAlign w:val="center"/>
          </w:tcPr>
          <w:p w14:paraId="724B3E5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次</w:t>
            </w:r>
          </w:p>
        </w:tc>
        <w:tc>
          <w:tcPr>
            <w:tcW w:w="0" w:type="auto"/>
            <w:tcBorders>
              <w:top w:val="single" w:color="000000" w:sz="4" w:space="0"/>
              <w:left w:val="single" w:color="000000" w:sz="4" w:space="0"/>
              <w:bottom w:val="single" w:color="000000" w:sz="4" w:space="0"/>
              <w:right w:val="single" w:color="000000" w:sz="4" w:space="0"/>
            </w:tcBorders>
            <w:vAlign w:val="center"/>
          </w:tcPr>
          <w:p w14:paraId="4BA2720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F6EB94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3D28E48">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（四）</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1FA9472F">
            <w:pPr>
              <w:pStyle w:val="201"/>
              <w:spacing w:line="400" w:lineRule="exact"/>
              <w:rPr>
                <w:rFonts w:hint="eastAsia" w:asciiTheme="minorEastAsia" w:hAnsiTheme="minorEastAsia" w:eastAsiaTheme="minorEastAsia"/>
                <w:b/>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智慧公交大模型应用</w:t>
            </w:r>
          </w:p>
        </w:tc>
        <w:tc>
          <w:tcPr>
            <w:tcW w:w="457" w:type="dxa"/>
            <w:tcBorders>
              <w:top w:val="single" w:color="000000" w:sz="4" w:space="0"/>
              <w:left w:val="single" w:color="000000" w:sz="4" w:space="0"/>
              <w:bottom w:val="single" w:color="000000" w:sz="4" w:space="0"/>
              <w:right w:val="single" w:color="000000" w:sz="4" w:space="0"/>
            </w:tcBorders>
            <w:vAlign w:val="center"/>
          </w:tcPr>
          <w:p w14:paraId="3C1CA68C">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22E25D9">
            <w:pPr>
              <w:pStyle w:val="201"/>
              <w:spacing w:line="400" w:lineRule="exact"/>
              <w:jc w:val="center"/>
              <w:rPr>
                <w:rFonts w:hint="eastAsia" w:asciiTheme="minorEastAsia" w:hAnsiTheme="minorEastAsia" w:eastAsiaTheme="minorEastAsia"/>
                <w:b/>
                <w:color w:val="000000"/>
                <w:sz w:val="24"/>
                <w:szCs w:val="24"/>
                <w:highlight w:val="none"/>
              </w:rPr>
            </w:pPr>
          </w:p>
        </w:tc>
      </w:tr>
      <w:tr w14:paraId="0980A1D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5C651D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643DE99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公交调度专用高性能数据库</w:t>
            </w:r>
          </w:p>
        </w:tc>
        <w:tc>
          <w:tcPr>
            <w:tcW w:w="5281" w:type="dxa"/>
            <w:tcBorders>
              <w:top w:val="single" w:color="000000" w:sz="4" w:space="0"/>
              <w:left w:val="single" w:color="000000" w:sz="4" w:space="0"/>
              <w:bottom w:val="single" w:color="000000" w:sz="4" w:space="0"/>
              <w:right w:val="single" w:color="000000" w:sz="4" w:space="0"/>
            </w:tcBorders>
            <w:vAlign w:val="center"/>
          </w:tcPr>
          <w:p w14:paraId="3637FD5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基于国产数据库定制公交调度生产营运系统的核心数据库，实现高性能实时计算与海量数据存储。兼容</w:t>
            </w:r>
            <w:r>
              <w:rPr>
                <w:rFonts w:hint="eastAsia" w:asciiTheme="minorEastAsia" w:hAnsiTheme="minorEastAsia" w:eastAsiaTheme="minorEastAsia"/>
                <w:color w:val="000000"/>
                <w:sz w:val="24"/>
                <w:szCs w:val="24"/>
                <w:highlight w:val="none"/>
                <w:lang w:eastAsia="zh-CN" w:bidi="ar"/>
              </w:rPr>
              <w:t>MySQL</w:t>
            </w:r>
            <w:r>
              <w:rPr>
                <w:rFonts w:hint="eastAsia" w:cs="微软雅黑" w:asciiTheme="minorEastAsia" w:hAnsiTheme="minorEastAsia" w:eastAsiaTheme="minorEastAsia"/>
                <w:color w:val="000000"/>
                <w:sz w:val="24"/>
                <w:szCs w:val="24"/>
                <w:highlight w:val="none"/>
                <w:lang w:eastAsia="zh-CN" w:bidi="ar"/>
              </w:rPr>
              <w:t>模式</w:t>
            </w:r>
          </w:p>
        </w:tc>
        <w:tc>
          <w:tcPr>
            <w:tcW w:w="457" w:type="dxa"/>
            <w:tcBorders>
              <w:top w:val="single" w:color="000000" w:sz="4" w:space="0"/>
              <w:left w:val="single" w:color="000000" w:sz="4" w:space="0"/>
              <w:bottom w:val="single" w:color="000000" w:sz="4" w:space="0"/>
              <w:right w:val="single" w:color="000000" w:sz="4" w:space="0"/>
            </w:tcBorders>
            <w:vAlign w:val="center"/>
          </w:tcPr>
          <w:p w14:paraId="1CFE82C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6AEC623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C81AAB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6CE52A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5445D9C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公交大模型一体化终端集成</w:t>
            </w:r>
          </w:p>
        </w:tc>
        <w:tc>
          <w:tcPr>
            <w:tcW w:w="5281" w:type="dxa"/>
            <w:tcBorders>
              <w:top w:val="single" w:color="000000" w:sz="4" w:space="0"/>
              <w:left w:val="single" w:color="000000" w:sz="4" w:space="0"/>
              <w:bottom w:val="single" w:color="000000" w:sz="4" w:space="0"/>
              <w:right w:val="single" w:color="000000" w:sz="4" w:space="0"/>
            </w:tcBorders>
            <w:vAlign w:val="center"/>
          </w:tcPr>
          <w:p w14:paraId="16C0DD4C">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FF667F3">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AFED016">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53E4C33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580113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7D205A4A">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AI</w:t>
            </w:r>
            <w:r>
              <w:rPr>
                <w:rFonts w:hint="eastAsia" w:cs="微软雅黑" w:asciiTheme="minorEastAsia" w:hAnsiTheme="minorEastAsia" w:eastAsiaTheme="minorEastAsia"/>
                <w:color w:val="000000"/>
                <w:sz w:val="24"/>
                <w:szCs w:val="24"/>
                <w:highlight w:val="none"/>
                <w:lang w:eastAsia="zh-CN" w:bidi="ar"/>
              </w:rPr>
              <w:t>硬件终端适配</w:t>
            </w:r>
            <w:r>
              <w:rPr>
                <w:rFonts w:hint="eastAsia" w:asciiTheme="minorEastAsia" w:hAnsiTheme="minorEastAsia" w:eastAsiaTheme="minorEastAsia"/>
                <w:color w:val="000000"/>
                <w:sz w:val="24"/>
                <w:szCs w:val="24"/>
                <w:highlight w:val="none"/>
                <w:lang w:eastAsia="zh-CN" w:bidi="ar"/>
              </w:rPr>
              <w:t>1</w:t>
            </w:r>
          </w:p>
        </w:tc>
        <w:tc>
          <w:tcPr>
            <w:tcW w:w="5281" w:type="dxa"/>
            <w:tcBorders>
              <w:top w:val="single" w:color="000000" w:sz="4" w:space="0"/>
              <w:left w:val="single" w:color="000000" w:sz="4" w:space="0"/>
              <w:bottom w:val="single" w:color="000000" w:sz="4" w:space="0"/>
              <w:right w:val="single" w:color="000000" w:sz="4" w:space="0"/>
            </w:tcBorders>
            <w:vAlign w:val="center"/>
          </w:tcPr>
          <w:p w14:paraId="5D34D2C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4E85F1F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03A1090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r>
      <w:tr w14:paraId="747D9DB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A20DA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2961FD4E">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AI</w:t>
            </w:r>
            <w:r>
              <w:rPr>
                <w:rFonts w:hint="eastAsia" w:cs="微软雅黑" w:asciiTheme="minorEastAsia" w:hAnsiTheme="minorEastAsia" w:eastAsiaTheme="minorEastAsia"/>
                <w:color w:val="000000"/>
                <w:sz w:val="24"/>
                <w:szCs w:val="24"/>
                <w:highlight w:val="none"/>
                <w:lang w:eastAsia="zh-CN" w:bidi="ar"/>
              </w:rPr>
              <w:t>硬件终端适配</w:t>
            </w:r>
            <w:r>
              <w:rPr>
                <w:rFonts w:hint="eastAsia" w:asciiTheme="minorEastAsia" w:hAnsiTheme="minorEastAsia" w:eastAsiaTheme="minorEastAsia"/>
                <w:color w:val="000000"/>
                <w:sz w:val="24"/>
                <w:szCs w:val="24"/>
                <w:highlight w:val="none"/>
                <w:lang w:eastAsia="zh-CN" w:bidi="ar"/>
              </w:rPr>
              <w:t>2</w:t>
            </w:r>
          </w:p>
        </w:tc>
        <w:tc>
          <w:tcPr>
            <w:tcW w:w="5281" w:type="dxa"/>
            <w:tcBorders>
              <w:top w:val="single" w:color="000000" w:sz="4" w:space="0"/>
              <w:left w:val="single" w:color="000000" w:sz="4" w:space="0"/>
              <w:bottom w:val="single" w:color="000000" w:sz="4" w:space="0"/>
              <w:right w:val="single" w:color="000000" w:sz="4" w:space="0"/>
            </w:tcBorders>
            <w:vAlign w:val="center"/>
          </w:tcPr>
          <w:p w14:paraId="2F3F5F5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2D3899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6F5D972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r>
      <w:tr w14:paraId="53388DB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21980B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tcBorders>
              <w:top w:val="single" w:color="000000" w:sz="4" w:space="0"/>
              <w:left w:val="single" w:color="000000" w:sz="4" w:space="0"/>
              <w:bottom w:val="single" w:color="000000" w:sz="4" w:space="0"/>
              <w:right w:val="single" w:color="000000" w:sz="4" w:space="0"/>
            </w:tcBorders>
            <w:vAlign w:val="center"/>
          </w:tcPr>
          <w:p w14:paraId="776C3F6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高质量交通数据集加工</w:t>
            </w:r>
          </w:p>
        </w:tc>
        <w:tc>
          <w:tcPr>
            <w:tcW w:w="5281" w:type="dxa"/>
            <w:tcBorders>
              <w:top w:val="single" w:color="000000" w:sz="4" w:space="0"/>
              <w:left w:val="single" w:color="000000" w:sz="4" w:space="0"/>
              <w:bottom w:val="single" w:color="000000" w:sz="4" w:space="0"/>
              <w:right w:val="single" w:color="000000" w:sz="4" w:space="0"/>
            </w:tcBorders>
            <w:vAlign w:val="center"/>
          </w:tcPr>
          <w:p w14:paraId="0EC9387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集成交通行业高质量数据集，包括标准规范、法律法规、技术文献等通识性知识集。</w:t>
            </w:r>
          </w:p>
        </w:tc>
        <w:tc>
          <w:tcPr>
            <w:tcW w:w="457" w:type="dxa"/>
            <w:tcBorders>
              <w:top w:val="single" w:color="000000" w:sz="4" w:space="0"/>
              <w:left w:val="single" w:color="000000" w:sz="4" w:space="0"/>
              <w:bottom w:val="single" w:color="000000" w:sz="4" w:space="0"/>
              <w:right w:val="single" w:color="000000" w:sz="4" w:space="0"/>
            </w:tcBorders>
            <w:vAlign w:val="center"/>
          </w:tcPr>
          <w:p w14:paraId="58883C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D8E329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r>
      <w:tr w14:paraId="710960E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BA1C03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2.4</w:t>
            </w:r>
          </w:p>
        </w:tc>
        <w:tc>
          <w:tcPr>
            <w:tcW w:w="1613" w:type="dxa"/>
            <w:tcBorders>
              <w:top w:val="single" w:color="000000" w:sz="4" w:space="0"/>
              <w:left w:val="single" w:color="000000" w:sz="4" w:space="0"/>
              <w:bottom w:val="single" w:color="000000" w:sz="4" w:space="0"/>
              <w:right w:val="single" w:color="000000" w:sz="4" w:space="0"/>
            </w:tcBorders>
            <w:vAlign w:val="center"/>
          </w:tcPr>
          <w:p w14:paraId="47578E7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知识库管理工具链</w:t>
            </w:r>
          </w:p>
        </w:tc>
        <w:tc>
          <w:tcPr>
            <w:tcW w:w="5281" w:type="dxa"/>
            <w:tcBorders>
              <w:top w:val="single" w:color="000000" w:sz="4" w:space="0"/>
              <w:left w:val="single" w:color="000000" w:sz="4" w:space="0"/>
              <w:bottom w:val="single" w:color="000000" w:sz="4" w:space="0"/>
              <w:right w:val="single" w:color="000000" w:sz="4" w:space="0"/>
            </w:tcBorders>
            <w:vAlign w:val="center"/>
          </w:tcPr>
          <w:p w14:paraId="0501439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提供知识库加工的全过程工具链，包括文件上传、数据分类、清洗治理、自动切片、标准审核、知识库创建、权限管控、用户体系等功能。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1C8A17C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BFCC3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r>
      <w:tr w14:paraId="617A9C5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FD71D0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2.5</w:t>
            </w:r>
          </w:p>
        </w:tc>
        <w:tc>
          <w:tcPr>
            <w:tcW w:w="1613" w:type="dxa"/>
            <w:tcBorders>
              <w:top w:val="single" w:color="000000" w:sz="4" w:space="0"/>
              <w:left w:val="single" w:color="000000" w:sz="4" w:space="0"/>
              <w:bottom w:val="single" w:color="000000" w:sz="4" w:space="0"/>
              <w:right w:val="single" w:color="000000" w:sz="4" w:space="0"/>
            </w:tcBorders>
            <w:vAlign w:val="center"/>
          </w:tcPr>
          <w:p w14:paraId="4A80E49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知识检索门户</w:t>
            </w:r>
          </w:p>
        </w:tc>
        <w:tc>
          <w:tcPr>
            <w:tcW w:w="5281" w:type="dxa"/>
            <w:tcBorders>
              <w:top w:val="single" w:color="000000" w:sz="4" w:space="0"/>
              <w:left w:val="single" w:color="000000" w:sz="4" w:space="0"/>
              <w:bottom w:val="single" w:color="000000" w:sz="4" w:space="0"/>
              <w:right w:val="single" w:color="000000" w:sz="4" w:space="0"/>
            </w:tcBorders>
            <w:vAlign w:val="center"/>
          </w:tcPr>
          <w:p w14:paraId="4DCF43C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提供一站式知识问答功能，并建立企业知识库入口、个人知识库管理功能。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23684D5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36AC0F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r>
      <w:tr w14:paraId="29925B9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7CC04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2.6</w:t>
            </w:r>
          </w:p>
        </w:tc>
        <w:tc>
          <w:tcPr>
            <w:tcW w:w="1613" w:type="dxa"/>
            <w:tcBorders>
              <w:top w:val="single" w:color="000000" w:sz="4" w:space="0"/>
              <w:left w:val="single" w:color="000000" w:sz="4" w:space="0"/>
              <w:bottom w:val="single" w:color="000000" w:sz="4" w:space="0"/>
              <w:right w:val="single" w:color="000000" w:sz="4" w:space="0"/>
            </w:tcBorders>
            <w:vAlign w:val="center"/>
          </w:tcPr>
          <w:p w14:paraId="28C54AA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模型部署与系统调试</w:t>
            </w:r>
          </w:p>
        </w:tc>
        <w:tc>
          <w:tcPr>
            <w:tcW w:w="5281" w:type="dxa"/>
            <w:tcBorders>
              <w:top w:val="single" w:color="000000" w:sz="4" w:space="0"/>
              <w:left w:val="single" w:color="000000" w:sz="4" w:space="0"/>
              <w:bottom w:val="single" w:color="000000" w:sz="4" w:space="0"/>
              <w:right w:val="single" w:color="000000" w:sz="4" w:space="0"/>
            </w:tcBorders>
            <w:vAlign w:val="center"/>
          </w:tcPr>
          <w:p w14:paraId="33CCFAC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基座模型部署与适配，与本地系统部署联调，实现一站式的即开即用。</w:t>
            </w:r>
          </w:p>
        </w:tc>
        <w:tc>
          <w:tcPr>
            <w:tcW w:w="457" w:type="dxa"/>
            <w:tcBorders>
              <w:top w:val="single" w:color="000000" w:sz="4" w:space="0"/>
              <w:left w:val="single" w:color="000000" w:sz="4" w:space="0"/>
              <w:bottom w:val="single" w:color="000000" w:sz="4" w:space="0"/>
              <w:right w:val="single" w:color="000000" w:sz="4" w:space="0"/>
            </w:tcBorders>
            <w:vAlign w:val="center"/>
          </w:tcPr>
          <w:p w14:paraId="59BC5F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AAF7E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r>
      <w:tr w14:paraId="652A12C8">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6ECF8B16">
            <w:pPr>
              <w:pStyle w:val="201"/>
              <w:spacing w:line="400" w:lineRule="exact"/>
              <w:jc w:val="center"/>
              <w:rPr>
                <w:rFonts w:hint="eastAsia" w:asciiTheme="minorEastAsia" w:hAnsiTheme="minorEastAsia" w:eastAsiaTheme="minorEastAsia"/>
                <w:bCs/>
                <w:color w:val="000000"/>
                <w:sz w:val="24"/>
                <w:szCs w:val="24"/>
                <w:highlight w:val="none"/>
              </w:rPr>
            </w:pPr>
            <w:r>
              <w:rPr>
                <w:rFonts w:hint="eastAsia" w:cs="微软雅黑" w:asciiTheme="minorEastAsia" w:hAnsiTheme="minorEastAsia" w:eastAsiaTheme="minorEastAsia"/>
                <w:bCs/>
                <w:color w:val="000000"/>
                <w:sz w:val="24"/>
                <w:szCs w:val="24"/>
                <w:highlight w:val="none"/>
                <w:lang w:eastAsia="zh-CN" w:bidi="ar"/>
              </w:rPr>
              <w:t>（五）</w:t>
            </w:r>
          </w:p>
        </w:tc>
        <w:tc>
          <w:tcPr>
            <w:tcW w:w="1613" w:type="dxa"/>
            <w:tcBorders>
              <w:top w:val="single" w:color="000000" w:sz="4" w:space="0"/>
              <w:left w:val="single" w:color="000000" w:sz="4" w:space="0"/>
              <w:bottom w:val="single" w:color="000000" w:sz="4" w:space="0"/>
              <w:right w:val="single" w:color="000000" w:sz="4" w:space="0"/>
            </w:tcBorders>
            <w:vAlign w:val="center"/>
          </w:tcPr>
          <w:p w14:paraId="2B17BAC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北斗</w:t>
            </w:r>
            <w:r>
              <w:rPr>
                <w:rFonts w:hint="eastAsia" w:asciiTheme="minorEastAsia" w:hAnsiTheme="minorEastAsia" w:eastAsiaTheme="minorEastAsia"/>
                <w:color w:val="000000"/>
                <w:sz w:val="24"/>
                <w:szCs w:val="24"/>
                <w:highlight w:val="none"/>
                <w:lang w:eastAsia="zh-CN" w:bidi="ar"/>
              </w:rPr>
              <w:t>4G</w:t>
            </w:r>
            <w:r>
              <w:rPr>
                <w:rFonts w:hint="eastAsia" w:cs="微软雅黑" w:asciiTheme="minorEastAsia" w:hAnsiTheme="minorEastAsia" w:eastAsiaTheme="minorEastAsia"/>
                <w:color w:val="000000"/>
                <w:sz w:val="24"/>
                <w:szCs w:val="24"/>
                <w:highlight w:val="none"/>
                <w:lang w:eastAsia="zh-CN" w:bidi="ar"/>
              </w:rPr>
              <w:t>全网通车载定位终端</w:t>
            </w:r>
          </w:p>
        </w:tc>
        <w:tc>
          <w:tcPr>
            <w:tcW w:w="5281" w:type="dxa"/>
            <w:tcBorders>
              <w:top w:val="single" w:color="000000" w:sz="4" w:space="0"/>
              <w:left w:val="single" w:color="000000" w:sz="4" w:space="0"/>
              <w:bottom w:val="single" w:color="000000" w:sz="4" w:space="0"/>
              <w:right w:val="single" w:color="000000" w:sz="4" w:space="0"/>
            </w:tcBorders>
            <w:vAlign w:val="center"/>
          </w:tcPr>
          <w:p w14:paraId="48658B2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7A986B1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4450A72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r>
      <w:tr w14:paraId="751DB427">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1A1F6DA8">
            <w:pPr>
              <w:pStyle w:val="201"/>
              <w:spacing w:line="400" w:lineRule="exact"/>
              <w:jc w:val="center"/>
              <w:rPr>
                <w:rFonts w:hint="eastAsia" w:asciiTheme="minorEastAsia" w:hAnsiTheme="minorEastAsia" w:eastAsiaTheme="minorEastAsia"/>
                <w:bCs/>
                <w:color w:val="000000"/>
                <w:sz w:val="24"/>
                <w:szCs w:val="24"/>
                <w:highlight w:val="none"/>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42BE883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安装费</w:t>
            </w:r>
          </w:p>
        </w:tc>
        <w:tc>
          <w:tcPr>
            <w:tcW w:w="5281" w:type="dxa"/>
            <w:tcBorders>
              <w:top w:val="single" w:color="000000" w:sz="4" w:space="0"/>
              <w:left w:val="single" w:color="000000" w:sz="4" w:space="0"/>
              <w:bottom w:val="single" w:color="000000" w:sz="4" w:space="0"/>
              <w:right w:val="single" w:color="000000" w:sz="4" w:space="0"/>
            </w:tcBorders>
            <w:vAlign w:val="center"/>
          </w:tcPr>
          <w:p w14:paraId="227BA88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含设备安装、调试，外接天线安装与布线</w:t>
            </w:r>
          </w:p>
        </w:tc>
        <w:tc>
          <w:tcPr>
            <w:tcW w:w="457" w:type="dxa"/>
            <w:tcBorders>
              <w:top w:val="single" w:color="000000" w:sz="4" w:space="0"/>
              <w:left w:val="single" w:color="000000" w:sz="4" w:space="0"/>
              <w:bottom w:val="single" w:color="000000" w:sz="4" w:space="0"/>
              <w:right w:val="single" w:color="000000" w:sz="4" w:space="0"/>
            </w:tcBorders>
            <w:vAlign w:val="center"/>
          </w:tcPr>
          <w:p w14:paraId="7CFE008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376692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r>
      <w:tr w14:paraId="2DDB5B1A">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0F952406">
            <w:pPr>
              <w:pStyle w:val="201"/>
              <w:spacing w:line="400" w:lineRule="exact"/>
              <w:jc w:val="center"/>
              <w:rPr>
                <w:rFonts w:hint="eastAsia" w:asciiTheme="minorEastAsia" w:hAnsiTheme="minorEastAsia" w:eastAsiaTheme="minorEastAsia"/>
                <w:bCs/>
                <w:color w:val="000000"/>
                <w:sz w:val="24"/>
                <w:szCs w:val="24"/>
                <w:highlight w:val="none"/>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6793A45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移动专有通道流量卡</w:t>
            </w:r>
          </w:p>
        </w:tc>
        <w:tc>
          <w:tcPr>
            <w:tcW w:w="5281" w:type="dxa"/>
            <w:tcBorders>
              <w:top w:val="single" w:color="000000" w:sz="4" w:space="0"/>
              <w:left w:val="single" w:color="000000" w:sz="4" w:space="0"/>
              <w:bottom w:val="single" w:color="000000" w:sz="4" w:space="0"/>
              <w:right w:val="single" w:color="000000" w:sz="4" w:space="0"/>
            </w:tcBorders>
            <w:vAlign w:val="center"/>
          </w:tcPr>
          <w:p w14:paraId="261567B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每张流量卡的流量套餐为</w:t>
            </w:r>
            <w:r>
              <w:rPr>
                <w:rFonts w:hint="eastAsia" w:asciiTheme="minorEastAsia" w:hAnsiTheme="minorEastAsia" w:eastAsiaTheme="minorEastAsia"/>
                <w:color w:val="000000"/>
                <w:sz w:val="24"/>
                <w:szCs w:val="24"/>
                <w:highlight w:val="none"/>
                <w:lang w:eastAsia="zh-CN" w:bidi="ar"/>
              </w:rPr>
              <w:t>300M /</w:t>
            </w:r>
            <w:r>
              <w:rPr>
                <w:rFonts w:hint="eastAsia" w:cs="微软雅黑" w:asciiTheme="minorEastAsia" w:hAnsiTheme="minorEastAsia" w:eastAsiaTheme="minorEastAsia"/>
                <w:color w:val="000000"/>
                <w:sz w:val="24"/>
                <w:szCs w:val="24"/>
                <w:highlight w:val="none"/>
                <w:lang w:eastAsia="zh-CN" w:bidi="ar"/>
              </w:rPr>
              <w:t>月，共三年</w:t>
            </w:r>
          </w:p>
        </w:tc>
        <w:tc>
          <w:tcPr>
            <w:tcW w:w="457" w:type="dxa"/>
            <w:tcBorders>
              <w:top w:val="single" w:color="000000" w:sz="4" w:space="0"/>
              <w:left w:val="single" w:color="000000" w:sz="4" w:space="0"/>
              <w:bottom w:val="single" w:color="000000" w:sz="4" w:space="0"/>
              <w:right w:val="single" w:color="000000" w:sz="4" w:space="0"/>
            </w:tcBorders>
            <w:vAlign w:val="center"/>
          </w:tcPr>
          <w:p w14:paraId="1E39A35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张</w:t>
            </w:r>
          </w:p>
        </w:tc>
        <w:tc>
          <w:tcPr>
            <w:tcW w:w="0" w:type="auto"/>
            <w:tcBorders>
              <w:top w:val="single" w:color="000000" w:sz="4" w:space="0"/>
              <w:left w:val="single" w:color="000000" w:sz="4" w:space="0"/>
              <w:bottom w:val="single" w:color="000000" w:sz="4" w:space="0"/>
              <w:right w:val="single" w:color="000000" w:sz="4" w:space="0"/>
            </w:tcBorders>
            <w:vAlign w:val="center"/>
          </w:tcPr>
          <w:p w14:paraId="243C06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r>
      <w:tr w14:paraId="2E16D4C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342B123">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40926A80">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太仓交通信控综合指挥平台</w:t>
            </w:r>
          </w:p>
        </w:tc>
        <w:tc>
          <w:tcPr>
            <w:tcW w:w="457" w:type="dxa"/>
            <w:tcBorders>
              <w:top w:val="single" w:color="000000" w:sz="4" w:space="0"/>
              <w:left w:val="single" w:color="000000" w:sz="4" w:space="0"/>
              <w:bottom w:val="single" w:color="000000" w:sz="4" w:space="0"/>
              <w:right w:val="single" w:color="000000" w:sz="4" w:space="0"/>
            </w:tcBorders>
            <w:vAlign w:val="center"/>
          </w:tcPr>
          <w:p w14:paraId="4C0C81B9">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6D96C27">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38A1AE7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CECDFFB">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6659814A">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整体要求</w:t>
            </w:r>
          </w:p>
        </w:tc>
        <w:tc>
          <w:tcPr>
            <w:tcW w:w="5281" w:type="dxa"/>
            <w:tcBorders>
              <w:top w:val="single" w:color="000000" w:sz="4" w:space="0"/>
              <w:left w:val="single" w:color="000000" w:sz="4" w:space="0"/>
              <w:bottom w:val="single" w:color="000000" w:sz="4" w:space="0"/>
              <w:right w:val="single" w:color="000000" w:sz="4" w:space="0"/>
            </w:tcBorders>
            <w:vAlign w:val="center"/>
          </w:tcPr>
          <w:p w14:paraId="12C1DD4F">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color w:val="000000"/>
                <w:sz w:val="24"/>
                <w:szCs w:val="24"/>
                <w:highlight w:val="none"/>
                <w:lang w:eastAsia="zh-CN" w:bidi="ar"/>
              </w:rPr>
              <w:t>系统应能够与太仓市公安局交通警察大队现有的信号控制系统无缝对接，并在系统中实现指定相位、指定控制方式、锁定交通流、系统步进等控制功能。</w:t>
            </w:r>
          </w:p>
          <w:p w14:paraId="3253E8F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color w:val="000000"/>
                <w:sz w:val="24"/>
                <w:szCs w:val="24"/>
                <w:highlight w:val="none"/>
                <w:lang w:eastAsia="zh-CN" w:bidi="ar"/>
              </w:rPr>
              <w:t>系统应能够与太仓市公安局交通警察大队现有的流量采集平台无缝对接，并能够对系统中采集的交通数据进行分析和应用。</w:t>
            </w:r>
          </w:p>
        </w:tc>
        <w:tc>
          <w:tcPr>
            <w:tcW w:w="457" w:type="dxa"/>
            <w:tcBorders>
              <w:top w:val="single" w:color="000000" w:sz="4" w:space="0"/>
              <w:left w:val="single" w:color="000000" w:sz="4" w:space="0"/>
              <w:bottom w:val="single" w:color="000000" w:sz="4" w:space="0"/>
              <w:right w:val="single" w:color="000000" w:sz="4" w:space="0"/>
            </w:tcBorders>
            <w:vAlign w:val="center"/>
          </w:tcPr>
          <w:p w14:paraId="581DB162">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62AF265">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42F7982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DAFA1D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45DF8F7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综合监视</w:t>
            </w:r>
          </w:p>
        </w:tc>
        <w:tc>
          <w:tcPr>
            <w:tcW w:w="5281" w:type="dxa"/>
            <w:tcBorders>
              <w:top w:val="single" w:color="000000" w:sz="4" w:space="0"/>
              <w:left w:val="single" w:color="000000" w:sz="4" w:space="0"/>
              <w:bottom w:val="single" w:color="000000" w:sz="4" w:space="0"/>
              <w:right w:val="single" w:color="000000" w:sz="4" w:space="0"/>
            </w:tcBorders>
            <w:vAlign w:val="center"/>
          </w:tcPr>
          <w:p w14:paraId="2C8EA49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74CF3B8">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E2EC2E4">
            <w:pPr>
              <w:pStyle w:val="201"/>
              <w:spacing w:line="400" w:lineRule="exact"/>
              <w:jc w:val="center"/>
              <w:rPr>
                <w:rFonts w:hint="eastAsia" w:asciiTheme="minorEastAsia" w:hAnsiTheme="minorEastAsia" w:eastAsiaTheme="minorEastAsia"/>
                <w:color w:val="000000"/>
                <w:sz w:val="24"/>
                <w:szCs w:val="24"/>
                <w:highlight w:val="none"/>
              </w:rPr>
            </w:pPr>
          </w:p>
        </w:tc>
      </w:tr>
      <w:tr w14:paraId="574F8B76">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2F948BD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70C4E2F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区域综合展示</w:t>
            </w:r>
          </w:p>
        </w:tc>
        <w:tc>
          <w:tcPr>
            <w:tcW w:w="5281" w:type="dxa"/>
            <w:tcBorders>
              <w:top w:val="single" w:color="000000" w:sz="4" w:space="0"/>
              <w:left w:val="single" w:color="000000" w:sz="4" w:space="0"/>
              <w:bottom w:val="single" w:color="000000" w:sz="4" w:space="0"/>
              <w:right w:val="single" w:color="000000" w:sz="4" w:space="0"/>
            </w:tcBorders>
            <w:vAlign w:val="center"/>
          </w:tcPr>
          <w:p w14:paraId="4C43D1E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设备状态展示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对范围内的信号机、雷达和视频检测器等设备进行统计，并展示设备总数、在线率等信息。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60D78E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88CA98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0C3D77D">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1A6004A">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7865E93A">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8B147C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运行参数展示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以标签的形式在展示界面展示路网运行指数，包括拥堵指数、拥堵里程、交通流量等数据。</w:t>
            </w:r>
          </w:p>
        </w:tc>
        <w:tc>
          <w:tcPr>
            <w:tcW w:w="457" w:type="dxa"/>
            <w:tcBorders>
              <w:top w:val="single" w:color="000000" w:sz="4" w:space="0"/>
              <w:left w:val="single" w:color="000000" w:sz="4" w:space="0"/>
              <w:bottom w:val="single" w:color="000000" w:sz="4" w:space="0"/>
              <w:right w:val="single" w:color="000000" w:sz="4" w:space="0"/>
            </w:tcBorders>
            <w:vAlign w:val="center"/>
          </w:tcPr>
          <w:p w14:paraId="441CC63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EECE2C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66D94EC">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742E93EC">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9EDC9CF">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263DFF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拥堵排名展示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分别对区域、路段、路口进行拥堵排名，并在展示栏内展示实时运行参数。支持自定义标签对重点关注路口、区域进行排名，并按交通运行参数进行排名。支持快速搜索定位，可以在搜索栏快速搜索定位到拥堵排名路口、路段以及重点关注路口。</w:t>
            </w:r>
          </w:p>
        </w:tc>
        <w:tc>
          <w:tcPr>
            <w:tcW w:w="457" w:type="dxa"/>
            <w:tcBorders>
              <w:top w:val="single" w:color="000000" w:sz="4" w:space="0"/>
              <w:left w:val="single" w:color="000000" w:sz="4" w:space="0"/>
              <w:bottom w:val="single" w:color="000000" w:sz="4" w:space="0"/>
              <w:right w:val="single" w:color="000000" w:sz="4" w:space="0"/>
            </w:tcBorders>
            <w:vAlign w:val="center"/>
          </w:tcPr>
          <w:p w14:paraId="7C94EC4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39A4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9567EF3">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44F6F2E2">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0D09713">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D409EF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实时路况展示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基于检测器</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互联网数据，展示区域内路网的实时路况，并实时监视数据状态。</w:t>
            </w:r>
          </w:p>
        </w:tc>
        <w:tc>
          <w:tcPr>
            <w:tcW w:w="457" w:type="dxa"/>
            <w:tcBorders>
              <w:top w:val="single" w:color="000000" w:sz="4" w:space="0"/>
              <w:left w:val="single" w:color="000000" w:sz="4" w:space="0"/>
              <w:bottom w:val="single" w:color="000000" w:sz="4" w:space="0"/>
              <w:right w:val="single" w:color="000000" w:sz="4" w:space="0"/>
            </w:tcBorders>
            <w:vAlign w:val="center"/>
          </w:tcPr>
          <w:p w14:paraId="631FA5F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02E3FE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5F00FDE">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650F7B0">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B3AD263">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AA5E35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路口服务水平展示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基于检测器</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互联网数据，展示区域内路口的服务水平（分为</w:t>
            </w:r>
            <w:r>
              <w:rPr>
                <w:rStyle w:val="238"/>
                <w:rFonts w:asciiTheme="minorEastAsia" w:hAnsiTheme="minorEastAsia" w:eastAsiaTheme="minorEastAsia"/>
                <w:sz w:val="24"/>
                <w:szCs w:val="24"/>
                <w:highlight w:val="none"/>
                <w:lang w:eastAsia="zh-CN" w:bidi="ar"/>
              </w:rPr>
              <w:t>A/B/C/D/E/F</w:t>
            </w:r>
            <w:r>
              <w:rPr>
                <w:rStyle w:val="239"/>
                <w:rFonts w:hint="default" w:asciiTheme="minorEastAsia" w:hAnsiTheme="minorEastAsia" w:eastAsiaTheme="minorEastAsia"/>
                <w:sz w:val="24"/>
                <w:szCs w:val="24"/>
                <w:highlight w:val="none"/>
                <w:lang w:eastAsia="zh-CN" w:bidi="ar"/>
              </w:rPr>
              <w:t>五个服务等级，并用由绿到红的渐变颜色表示）。</w:t>
            </w:r>
          </w:p>
        </w:tc>
        <w:tc>
          <w:tcPr>
            <w:tcW w:w="457" w:type="dxa"/>
            <w:tcBorders>
              <w:top w:val="single" w:color="000000" w:sz="4" w:space="0"/>
              <w:left w:val="single" w:color="000000" w:sz="4" w:space="0"/>
              <w:bottom w:val="single" w:color="000000" w:sz="4" w:space="0"/>
              <w:right w:val="single" w:color="000000" w:sz="4" w:space="0"/>
            </w:tcBorders>
            <w:vAlign w:val="center"/>
          </w:tcPr>
          <w:p w14:paraId="790ECC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7C0AE6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756BFCB">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59D9F0D">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2AEB82AD">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800EF3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异常交通拥堵展示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基于检测器、电警数据和互联网地图数据，识别交通运行偶发性拥堵路况，以异常事件的形式提示拥堵位置，并可以对历史交通运行数据进行查询统计。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46E66F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159A68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789EFB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608A96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6557F2B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交通流热力图</w:t>
            </w:r>
          </w:p>
        </w:tc>
        <w:tc>
          <w:tcPr>
            <w:tcW w:w="5281" w:type="dxa"/>
            <w:tcBorders>
              <w:top w:val="single" w:color="000000" w:sz="4" w:space="0"/>
              <w:left w:val="single" w:color="000000" w:sz="4" w:space="0"/>
              <w:bottom w:val="single" w:color="000000" w:sz="4" w:space="0"/>
              <w:right w:val="single" w:color="000000" w:sz="4" w:space="0"/>
            </w:tcBorders>
            <w:vAlign w:val="center"/>
          </w:tcPr>
          <w:p w14:paraId="7A08357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基于路口方向流量，以热力图的形式在地图上展示城市交通热点区域，支持历史流量热力图回放。</w:t>
            </w:r>
          </w:p>
        </w:tc>
        <w:tc>
          <w:tcPr>
            <w:tcW w:w="457" w:type="dxa"/>
            <w:tcBorders>
              <w:top w:val="single" w:color="000000" w:sz="4" w:space="0"/>
              <w:left w:val="single" w:color="000000" w:sz="4" w:space="0"/>
              <w:bottom w:val="single" w:color="000000" w:sz="4" w:space="0"/>
              <w:right w:val="single" w:color="000000" w:sz="4" w:space="0"/>
            </w:tcBorders>
            <w:vAlign w:val="center"/>
          </w:tcPr>
          <w:p w14:paraId="27F728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FE38C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D9B9E4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1BE0A7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62A50A1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视频巡查</w:t>
            </w:r>
          </w:p>
        </w:tc>
        <w:tc>
          <w:tcPr>
            <w:tcW w:w="5281" w:type="dxa"/>
            <w:tcBorders>
              <w:top w:val="single" w:color="000000" w:sz="4" w:space="0"/>
              <w:left w:val="single" w:color="000000" w:sz="4" w:space="0"/>
              <w:bottom w:val="single" w:color="000000" w:sz="4" w:space="0"/>
              <w:right w:val="single" w:color="000000" w:sz="4" w:space="0"/>
            </w:tcBorders>
            <w:vAlign w:val="center"/>
          </w:tcPr>
          <w:p w14:paraId="708011E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通过视频数据对接，完成视频资源的接入，可以随时调取拥堵区域的视频进行查看实时运行情况。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7C3BC20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B9065B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F1A276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613365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4A17DAA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快捷功能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102C23F8">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86C98C5">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92D6F78">
            <w:pPr>
              <w:pStyle w:val="201"/>
              <w:spacing w:line="400" w:lineRule="exact"/>
              <w:jc w:val="center"/>
              <w:rPr>
                <w:rFonts w:hint="eastAsia" w:asciiTheme="minorEastAsia" w:hAnsiTheme="minorEastAsia" w:eastAsiaTheme="minorEastAsia"/>
                <w:color w:val="000000"/>
                <w:sz w:val="24"/>
                <w:szCs w:val="24"/>
                <w:highlight w:val="none"/>
              </w:rPr>
            </w:pPr>
          </w:p>
        </w:tc>
      </w:tr>
      <w:tr w14:paraId="00C3A8E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965BD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2F2F748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快捷处置</w:t>
            </w:r>
          </w:p>
        </w:tc>
        <w:tc>
          <w:tcPr>
            <w:tcW w:w="5281" w:type="dxa"/>
            <w:tcBorders>
              <w:top w:val="single" w:color="000000" w:sz="4" w:space="0"/>
              <w:left w:val="single" w:color="000000" w:sz="4" w:space="0"/>
              <w:bottom w:val="single" w:color="000000" w:sz="4" w:space="0"/>
              <w:right w:val="single" w:color="000000" w:sz="4" w:space="0"/>
            </w:tcBorders>
            <w:vAlign w:val="center"/>
          </w:tcPr>
          <w:p w14:paraId="4A975AE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于单个路口交通拥堵处置，可通过指定相位、指定控制方式、锁定交通流、系统步进、临时方案等方式，实现对路口信号控制方案的快速干预功能。对于多路口协调的干线，可以快速设置协调参数进行协调优化。</w:t>
            </w:r>
          </w:p>
        </w:tc>
        <w:tc>
          <w:tcPr>
            <w:tcW w:w="457" w:type="dxa"/>
            <w:tcBorders>
              <w:top w:val="single" w:color="000000" w:sz="4" w:space="0"/>
              <w:left w:val="single" w:color="000000" w:sz="4" w:space="0"/>
              <w:bottom w:val="single" w:color="000000" w:sz="4" w:space="0"/>
              <w:right w:val="single" w:color="000000" w:sz="4" w:space="0"/>
            </w:tcBorders>
            <w:vAlign w:val="center"/>
          </w:tcPr>
          <w:p w14:paraId="2B8833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31F3F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041BED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344A9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0A1E491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快速勤务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46E5D7D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可以根据实际需求快速规划线路，具备任务管理、方案编辑、审核管理等功能，实现任务管理、人员配置、车辆配置等资源分配。</w:t>
            </w:r>
          </w:p>
        </w:tc>
        <w:tc>
          <w:tcPr>
            <w:tcW w:w="457" w:type="dxa"/>
            <w:tcBorders>
              <w:top w:val="single" w:color="000000" w:sz="4" w:space="0"/>
              <w:left w:val="single" w:color="000000" w:sz="4" w:space="0"/>
              <w:bottom w:val="single" w:color="000000" w:sz="4" w:space="0"/>
              <w:right w:val="single" w:color="000000" w:sz="4" w:space="0"/>
            </w:tcBorders>
            <w:vAlign w:val="center"/>
          </w:tcPr>
          <w:p w14:paraId="7A95EB3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46E23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F60BC14">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25434A6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2188F98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重点区域管控</w:t>
            </w:r>
          </w:p>
        </w:tc>
        <w:tc>
          <w:tcPr>
            <w:tcW w:w="5281" w:type="dxa"/>
            <w:tcBorders>
              <w:top w:val="single" w:color="000000" w:sz="4" w:space="0"/>
              <w:left w:val="single" w:color="000000" w:sz="4" w:space="0"/>
              <w:bottom w:val="single" w:color="000000" w:sz="4" w:space="0"/>
              <w:right w:val="single" w:color="000000" w:sz="4" w:space="0"/>
            </w:tcBorders>
            <w:vAlign w:val="center"/>
          </w:tcPr>
          <w:p w14:paraId="1EDA644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自定义重点区域</w:t>
            </w:r>
          </w:p>
        </w:tc>
        <w:tc>
          <w:tcPr>
            <w:tcW w:w="457" w:type="dxa"/>
            <w:tcBorders>
              <w:top w:val="single" w:color="000000" w:sz="4" w:space="0"/>
              <w:left w:val="single" w:color="000000" w:sz="4" w:space="0"/>
              <w:bottom w:val="single" w:color="000000" w:sz="4" w:space="0"/>
              <w:right w:val="single" w:color="000000" w:sz="4" w:space="0"/>
            </w:tcBorders>
            <w:vAlign w:val="center"/>
          </w:tcPr>
          <w:p w14:paraId="3B469BCA">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ED3689B">
            <w:pPr>
              <w:pStyle w:val="201"/>
              <w:spacing w:line="400" w:lineRule="exact"/>
              <w:jc w:val="center"/>
              <w:rPr>
                <w:rFonts w:hint="eastAsia" w:asciiTheme="minorEastAsia" w:hAnsiTheme="minorEastAsia" w:eastAsiaTheme="minorEastAsia"/>
                <w:color w:val="000000"/>
                <w:sz w:val="24"/>
                <w:szCs w:val="24"/>
                <w:highlight w:val="none"/>
              </w:rPr>
            </w:pPr>
          </w:p>
        </w:tc>
      </w:tr>
      <w:tr w14:paraId="603425D9">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D1C26D4">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2C0A6B82">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6CB218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可以自定义重点管理区域，突出显示重点关注路口。能够实时调取信号运行状态和视频监控画面，并可实现预案一键下发和快捷干预。</w:t>
            </w:r>
          </w:p>
        </w:tc>
        <w:tc>
          <w:tcPr>
            <w:tcW w:w="457" w:type="dxa"/>
            <w:tcBorders>
              <w:top w:val="single" w:color="000000" w:sz="4" w:space="0"/>
              <w:left w:val="single" w:color="000000" w:sz="4" w:space="0"/>
              <w:bottom w:val="single" w:color="000000" w:sz="4" w:space="0"/>
              <w:right w:val="single" w:color="000000" w:sz="4" w:space="0"/>
            </w:tcBorders>
            <w:vAlign w:val="center"/>
          </w:tcPr>
          <w:p w14:paraId="59D341C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88FD03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FA98F8D">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4B9CDB6F">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B9B16DA">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7C887C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预案配置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130CD9CC">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F0C230D">
            <w:pPr>
              <w:pStyle w:val="201"/>
              <w:spacing w:line="400" w:lineRule="exact"/>
              <w:jc w:val="center"/>
              <w:rPr>
                <w:rFonts w:hint="eastAsia" w:asciiTheme="minorEastAsia" w:hAnsiTheme="minorEastAsia" w:eastAsiaTheme="minorEastAsia"/>
                <w:color w:val="000000"/>
                <w:sz w:val="24"/>
                <w:szCs w:val="24"/>
                <w:highlight w:val="none"/>
              </w:rPr>
            </w:pPr>
          </w:p>
        </w:tc>
      </w:tr>
      <w:tr w14:paraId="6D743CED">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66F4E85D">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C833750">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30EDD7B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可以在系统中配置大型活动预案、特殊节假日预案、恶劣天气预案、重点区域安保任务预案等。</w:t>
            </w:r>
          </w:p>
        </w:tc>
        <w:tc>
          <w:tcPr>
            <w:tcW w:w="457" w:type="dxa"/>
            <w:tcBorders>
              <w:top w:val="single" w:color="000000" w:sz="4" w:space="0"/>
              <w:left w:val="single" w:color="000000" w:sz="4" w:space="0"/>
              <w:bottom w:val="single" w:color="000000" w:sz="4" w:space="0"/>
              <w:right w:val="single" w:color="000000" w:sz="4" w:space="0"/>
            </w:tcBorders>
            <w:vAlign w:val="center"/>
          </w:tcPr>
          <w:p w14:paraId="2F7A928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C5329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BA51EEC">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1F523C12">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0D74EA3">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EF0A3B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关联视频</w:t>
            </w:r>
          </w:p>
        </w:tc>
        <w:tc>
          <w:tcPr>
            <w:tcW w:w="457" w:type="dxa"/>
            <w:tcBorders>
              <w:top w:val="single" w:color="000000" w:sz="4" w:space="0"/>
              <w:left w:val="single" w:color="000000" w:sz="4" w:space="0"/>
              <w:bottom w:val="single" w:color="000000" w:sz="4" w:space="0"/>
              <w:right w:val="single" w:color="000000" w:sz="4" w:space="0"/>
            </w:tcBorders>
            <w:vAlign w:val="center"/>
          </w:tcPr>
          <w:p w14:paraId="00C5C841">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EA00323">
            <w:pPr>
              <w:pStyle w:val="201"/>
              <w:spacing w:line="400" w:lineRule="exact"/>
              <w:jc w:val="center"/>
              <w:rPr>
                <w:rFonts w:hint="eastAsia" w:asciiTheme="minorEastAsia" w:hAnsiTheme="minorEastAsia" w:eastAsiaTheme="minorEastAsia"/>
                <w:color w:val="000000"/>
                <w:sz w:val="24"/>
                <w:szCs w:val="24"/>
                <w:highlight w:val="none"/>
              </w:rPr>
            </w:pPr>
          </w:p>
        </w:tc>
      </w:tr>
      <w:tr w14:paraId="7B7D6781">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8A0146F">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203CB1DB">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537FD5A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可以调取视频资源（包含高点监控），设置活动区域的视频监控分组预案，查看道路交通实时运行情况。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6A336EB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22BF5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6376943">
        <w:tblPrEx>
          <w:tblCellMar>
            <w:top w:w="0" w:type="dxa"/>
            <w:left w:w="108" w:type="dxa"/>
            <w:bottom w:w="0" w:type="dxa"/>
            <w:right w:w="108" w:type="dxa"/>
          </w:tblCellMar>
        </w:tblPrEx>
        <w:trPr>
          <w:trHeight w:val="23" w:hRule="atLeast"/>
        </w:trPr>
        <w:tc>
          <w:tcPr>
            <w:tcW w:w="1044" w:type="dxa"/>
            <w:tcBorders>
              <w:top w:val="nil"/>
              <w:left w:val="single" w:color="000000" w:sz="4" w:space="0"/>
              <w:bottom w:val="single" w:color="000000" w:sz="4" w:space="0"/>
              <w:right w:val="single" w:color="000000" w:sz="4" w:space="0"/>
            </w:tcBorders>
            <w:vAlign w:val="center"/>
          </w:tcPr>
          <w:p w14:paraId="14F8C8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nil"/>
              <w:left w:val="single" w:color="000000" w:sz="4" w:space="0"/>
              <w:bottom w:val="single" w:color="000000" w:sz="4" w:space="0"/>
              <w:right w:val="single" w:color="000000" w:sz="4" w:space="0"/>
            </w:tcBorders>
            <w:vAlign w:val="center"/>
          </w:tcPr>
          <w:p w14:paraId="273A8EE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设备监视</w:t>
            </w:r>
          </w:p>
        </w:tc>
        <w:tc>
          <w:tcPr>
            <w:tcW w:w="5281" w:type="dxa"/>
            <w:tcBorders>
              <w:top w:val="single" w:color="000000" w:sz="4" w:space="0"/>
              <w:left w:val="single" w:color="000000" w:sz="4" w:space="0"/>
              <w:bottom w:val="single" w:color="000000" w:sz="4" w:space="0"/>
              <w:right w:val="single" w:color="000000" w:sz="4" w:space="0"/>
            </w:tcBorders>
            <w:vAlign w:val="center"/>
          </w:tcPr>
          <w:p w14:paraId="0C89C26A">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BF4055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B7DDA94">
            <w:pPr>
              <w:pStyle w:val="201"/>
              <w:spacing w:line="400" w:lineRule="exact"/>
              <w:jc w:val="center"/>
              <w:rPr>
                <w:rFonts w:hint="eastAsia" w:asciiTheme="minorEastAsia" w:hAnsiTheme="minorEastAsia" w:eastAsiaTheme="minorEastAsia"/>
                <w:color w:val="000000"/>
                <w:sz w:val="24"/>
                <w:szCs w:val="24"/>
                <w:highlight w:val="none"/>
              </w:rPr>
            </w:pPr>
          </w:p>
        </w:tc>
      </w:tr>
      <w:tr w14:paraId="47803D8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6CDEE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154F28E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设备状态监视</w:t>
            </w:r>
          </w:p>
        </w:tc>
        <w:tc>
          <w:tcPr>
            <w:tcW w:w="5281" w:type="dxa"/>
            <w:tcBorders>
              <w:top w:val="single" w:color="000000" w:sz="4" w:space="0"/>
              <w:left w:val="single" w:color="000000" w:sz="4" w:space="0"/>
              <w:bottom w:val="single" w:color="000000" w:sz="4" w:space="0"/>
              <w:right w:val="single" w:color="000000" w:sz="4" w:space="0"/>
            </w:tcBorders>
            <w:vAlign w:val="center"/>
          </w:tcPr>
          <w:p w14:paraId="18E11E7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基于电子地图展示信号机、检测器、视频等设备的基础信息及运行状态等信息。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0F5B122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3D32D5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AB1ECE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DC5175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2D1E5B4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实时故障报警</w:t>
            </w:r>
          </w:p>
        </w:tc>
        <w:tc>
          <w:tcPr>
            <w:tcW w:w="5281" w:type="dxa"/>
            <w:tcBorders>
              <w:top w:val="single" w:color="000000" w:sz="4" w:space="0"/>
              <w:left w:val="single" w:color="000000" w:sz="4" w:space="0"/>
              <w:bottom w:val="single" w:color="000000" w:sz="4" w:space="0"/>
              <w:right w:val="single" w:color="000000" w:sz="4" w:space="0"/>
            </w:tcBorders>
            <w:vAlign w:val="center"/>
          </w:tcPr>
          <w:p w14:paraId="009F618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根据运行状态监视识别设备异常，并对故障信息实施报警处理，实现设备故障监测功能。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7D6CF8C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891568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3D94E1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6DB6FE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5B5FE98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交通运行分析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098E8AFB">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C7675BB">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78F69C4">
            <w:pPr>
              <w:pStyle w:val="201"/>
              <w:spacing w:line="400" w:lineRule="exact"/>
              <w:jc w:val="center"/>
              <w:rPr>
                <w:rFonts w:hint="eastAsia" w:asciiTheme="minorEastAsia" w:hAnsiTheme="minorEastAsia" w:eastAsiaTheme="minorEastAsia"/>
                <w:color w:val="000000"/>
                <w:sz w:val="24"/>
                <w:szCs w:val="24"/>
                <w:highlight w:val="none"/>
              </w:rPr>
            </w:pPr>
          </w:p>
        </w:tc>
      </w:tr>
      <w:tr w14:paraId="5E5A42D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29559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4.1</w:t>
            </w:r>
          </w:p>
        </w:tc>
        <w:tc>
          <w:tcPr>
            <w:tcW w:w="1613" w:type="dxa"/>
            <w:tcBorders>
              <w:top w:val="single" w:color="000000" w:sz="4" w:space="0"/>
              <w:left w:val="single" w:color="000000" w:sz="4" w:space="0"/>
              <w:bottom w:val="single" w:color="000000" w:sz="4" w:space="0"/>
              <w:right w:val="single" w:color="000000" w:sz="4" w:space="0"/>
            </w:tcBorders>
            <w:vAlign w:val="center"/>
          </w:tcPr>
          <w:p w14:paraId="368C67C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交通流量分析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4376EEA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系统根据收集的数据</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对路口流量进行统计分析，支持选择不同路口</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支持打字查询</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、具体日期、不同数据分析度</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每</w:t>
            </w:r>
            <w:r>
              <w:rPr>
                <w:rStyle w:val="238"/>
                <w:rFonts w:asciiTheme="minorEastAsia" w:hAnsiTheme="minorEastAsia" w:eastAsiaTheme="minorEastAsia"/>
                <w:sz w:val="24"/>
                <w:szCs w:val="24"/>
                <w:highlight w:val="none"/>
                <w:lang w:eastAsia="zh-CN" w:bidi="ar"/>
              </w:rPr>
              <w:t>5/15/30</w:t>
            </w:r>
            <w:r>
              <w:rPr>
                <w:rStyle w:val="239"/>
                <w:rFonts w:hint="default" w:asciiTheme="minorEastAsia" w:hAnsiTheme="minorEastAsia" w:eastAsiaTheme="minorEastAsia"/>
                <w:sz w:val="24"/>
                <w:szCs w:val="24"/>
                <w:highlight w:val="none"/>
                <w:lang w:eastAsia="zh-CN" w:bidi="ar"/>
              </w:rPr>
              <w:t>分钟</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查看路口流量，数据结果按图表展示，可实现查看具体车辆数功能。查询结果可按</w:t>
            </w:r>
            <w:r>
              <w:rPr>
                <w:rStyle w:val="238"/>
                <w:rFonts w:asciiTheme="minorEastAsia" w:hAnsiTheme="minorEastAsia" w:eastAsiaTheme="minorEastAsia"/>
                <w:sz w:val="24"/>
                <w:szCs w:val="24"/>
                <w:highlight w:val="none"/>
                <w:lang w:eastAsia="zh-CN" w:bidi="ar"/>
              </w:rPr>
              <w:t>EXCEL</w:t>
            </w:r>
            <w:r>
              <w:rPr>
                <w:rStyle w:val="239"/>
                <w:rFonts w:hint="default" w:asciiTheme="minorEastAsia" w:hAnsiTheme="minorEastAsia" w:eastAsiaTheme="minorEastAsia"/>
                <w:sz w:val="24"/>
                <w:szCs w:val="24"/>
                <w:highlight w:val="none"/>
                <w:lang w:eastAsia="zh-CN" w:bidi="ar"/>
              </w:rPr>
              <w:t>或</w:t>
            </w:r>
            <w:r>
              <w:rPr>
                <w:rStyle w:val="238"/>
                <w:rFonts w:asciiTheme="minorEastAsia" w:hAnsiTheme="minorEastAsia" w:eastAsiaTheme="minorEastAsia"/>
                <w:sz w:val="24"/>
                <w:szCs w:val="24"/>
                <w:highlight w:val="none"/>
                <w:lang w:eastAsia="zh-CN" w:bidi="ar"/>
              </w:rPr>
              <w:t>jpg</w:t>
            </w:r>
            <w:r>
              <w:rPr>
                <w:rStyle w:val="239"/>
                <w:rFonts w:hint="default" w:asciiTheme="minorEastAsia" w:hAnsiTheme="minorEastAsia" w:eastAsiaTheme="minorEastAsia"/>
                <w:sz w:val="24"/>
                <w:szCs w:val="24"/>
                <w:highlight w:val="none"/>
                <w:lang w:eastAsia="zh-CN" w:bidi="ar"/>
              </w:rPr>
              <w:t>格式导出。</w:t>
            </w:r>
          </w:p>
        </w:tc>
        <w:tc>
          <w:tcPr>
            <w:tcW w:w="457" w:type="dxa"/>
            <w:tcBorders>
              <w:top w:val="single" w:color="000000" w:sz="4" w:space="0"/>
              <w:left w:val="single" w:color="000000" w:sz="4" w:space="0"/>
              <w:bottom w:val="single" w:color="000000" w:sz="4" w:space="0"/>
              <w:right w:val="single" w:color="000000" w:sz="4" w:space="0"/>
            </w:tcBorders>
            <w:vAlign w:val="center"/>
          </w:tcPr>
          <w:p w14:paraId="44AD681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7EE66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72E8B7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7C396F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4.2</w:t>
            </w:r>
          </w:p>
        </w:tc>
        <w:tc>
          <w:tcPr>
            <w:tcW w:w="1613" w:type="dxa"/>
            <w:tcBorders>
              <w:top w:val="single" w:color="000000" w:sz="4" w:space="0"/>
              <w:left w:val="single" w:color="000000" w:sz="4" w:space="0"/>
              <w:bottom w:val="single" w:color="000000" w:sz="4" w:space="0"/>
              <w:right w:val="single" w:color="000000" w:sz="4" w:space="0"/>
            </w:tcBorders>
            <w:vAlign w:val="center"/>
          </w:tcPr>
          <w:p w14:paraId="358244B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交通拥堵分析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6191E30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总结分析城市交通运行规律、交通特征，识别常发拥堵，路段、路口。</w:t>
            </w:r>
          </w:p>
        </w:tc>
        <w:tc>
          <w:tcPr>
            <w:tcW w:w="457" w:type="dxa"/>
            <w:tcBorders>
              <w:top w:val="single" w:color="000000" w:sz="4" w:space="0"/>
              <w:left w:val="single" w:color="000000" w:sz="4" w:space="0"/>
              <w:bottom w:val="single" w:color="000000" w:sz="4" w:space="0"/>
              <w:right w:val="single" w:color="000000" w:sz="4" w:space="0"/>
            </w:tcBorders>
            <w:vAlign w:val="center"/>
          </w:tcPr>
          <w:p w14:paraId="34C0AF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1802C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B935ED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FAA31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4.3</w:t>
            </w:r>
          </w:p>
        </w:tc>
        <w:tc>
          <w:tcPr>
            <w:tcW w:w="1613" w:type="dxa"/>
            <w:tcBorders>
              <w:top w:val="single" w:color="000000" w:sz="4" w:space="0"/>
              <w:left w:val="single" w:color="000000" w:sz="4" w:space="0"/>
              <w:bottom w:val="single" w:color="000000" w:sz="4" w:space="0"/>
              <w:right w:val="single" w:color="000000" w:sz="4" w:space="0"/>
            </w:tcBorders>
            <w:vAlign w:val="center"/>
          </w:tcPr>
          <w:p w14:paraId="0F35DA9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交通流溯源分析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20109A9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基于车牌识别数据对交通流溯源分析。区域溯源分析，分析进出区域、区域内部的主要交通路径；干线溯源分析，绿波线路推荐，拥堵溯源分析，上下游交通运行规律；路口溯源分析，通过</w:t>
            </w:r>
            <w:r>
              <w:rPr>
                <w:rStyle w:val="238"/>
                <w:rFonts w:asciiTheme="minorEastAsia" w:hAnsiTheme="minorEastAsia" w:eastAsiaTheme="minorEastAsia"/>
                <w:sz w:val="24"/>
                <w:szCs w:val="24"/>
                <w:highlight w:val="none"/>
                <w:lang w:eastAsia="zh-CN" w:bidi="ar"/>
              </w:rPr>
              <w:t>OD</w:t>
            </w:r>
            <w:r>
              <w:rPr>
                <w:rStyle w:val="239"/>
                <w:rFonts w:hint="default" w:asciiTheme="minorEastAsia" w:hAnsiTheme="minorEastAsia" w:eastAsiaTheme="minorEastAsia"/>
                <w:sz w:val="24"/>
                <w:szCs w:val="24"/>
                <w:highlight w:val="none"/>
                <w:lang w:eastAsia="zh-CN" w:bidi="ar"/>
              </w:rPr>
              <w:t>溯源分析路口上下游交通运行规律。</w:t>
            </w:r>
          </w:p>
        </w:tc>
        <w:tc>
          <w:tcPr>
            <w:tcW w:w="457" w:type="dxa"/>
            <w:tcBorders>
              <w:top w:val="single" w:color="000000" w:sz="4" w:space="0"/>
              <w:left w:val="single" w:color="000000" w:sz="4" w:space="0"/>
              <w:bottom w:val="single" w:color="000000" w:sz="4" w:space="0"/>
              <w:right w:val="single" w:color="000000" w:sz="4" w:space="0"/>
            </w:tcBorders>
            <w:vAlign w:val="center"/>
          </w:tcPr>
          <w:p w14:paraId="38077FB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2BBD97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5C6A13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FAAFE9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0DF559B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策略完善</w:t>
            </w:r>
          </w:p>
        </w:tc>
        <w:tc>
          <w:tcPr>
            <w:tcW w:w="5281" w:type="dxa"/>
            <w:tcBorders>
              <w:top w:val="single" w:color="000000" w:sz="4" w:space="0"/>
              <w:left w:val="single" w:color="000000" w:sz="4" w:space="0"/>
              <w:bottom w:val="single" w:color="000000" w:sz="4" w:space="0"/>
              <w:right w:val="single" w:color="000000" w:sz="4" w:space="0"/>
            </w:tcBorders>
            <w:vAlign w:val="center"/>
          </w:tcPr>
          <w:p w14:paraId="1880B01B">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BF0CCBC">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FEB025D">
            <w:pPr>
              <w:pStyle w:val="201"/>
              <w:spacing w:line="400" w:lineRule="exact"/>
              <w:jc w:val="center"/>
              <w:rPr>
                <w:rFonts w:hint="eastAsia" w:asciiTheme="minorEastAsia" w:hAnsiTheme="minorEastAsia" w:eastAsiaTheme="minorEastAsia"/>
                <w:color w:val="000000"/>
                <w:sz w:val="24"/>
                <w:szCs w:val="24"/>
                <w:highlight w:val="none"/>
              </w:rPr>
            </w:pPr>
          </w:p>
        </w:tc>
      </w:tr>
      <w:tr w14:paraId="59B9BD10">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6023CFD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58EA282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路口级</w:t>
            </w:r>
          </w:p>
        </w:tc>
        <w:tc>
          <w:tcPr>
            <w:tcW w:w="5281" w:type="dxa"/>
            <w:tcBorders>
              <w:top w:val="single" w:color="000000" w:sz="4" w:space="0"/>
              <w:left w:val="single" w:color="000000" w:sz="4" w:space="0"/>
              <w:bottom w:val="single" w:color="000000" w:sz="4" w:space="0"/>
              <w:right w:val="single" w:color="000000" w:sz="4" w:space="0"/>
            </w:tcBorders>
            <w:vAlign w:val="center"/>
          </w:tcPr>
          <w:p w14:paraId="2A12417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路口信控策略完善从流量和阶段两个维度切入，对路口进行全天时段内的交通流数据统计和数据研判。将路口的周期流量及时段流向流量进行量化展示；从阶段排队、阶段流量和阶段车道过车分析三个方面入手，评价分析路口阶段的各项指标。</w:t>
            </w:r>
          </w:p>
        </w:tc>
        <w:tc>
          <w:tcPr>
            <w:tcW w:w="457" w:type="dxa"/>
            <w:tcBorders>
              <w:top w:val="single" w:color="000000" w:sz="4" w:space="0"/>
              <w:left w:val="single" w:color="000000" w:sz="4" w:space="0"/>
              <w:bottom w:val="single" w:color="000000" w:sz="4" w:space="0"/>
              <w:right w:val="single" w:color="000000" w:sz="4" w:space="0"/>
            </w:tcBorders>
            <w:vAlign w:val="center"/>
          </w:tcPr>
          <w:p w14:paraId="19667D6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BE48B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69872DD">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4596ED5F">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4A1D383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5E01921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在流量维度上，通过对路口的周期流量数据、全天小时流量数据和周期时长的分布情况的统计研判，分析流量和周期时长的匹配度。</w:t>
            </w:r>
          </w:p>
        </w:tc>
        <w:tc>
          <w:tcPr>
            <w:tcW w:w="457" w:type="dxa"/>
            <w:tcBorders>
              <w:top w:val="single" w:color="000000" w:sz="4" w:space="0"/>
              <w:left w:val="single" w:color="000000" w:sz="4" w:space="0"/>
              <w:bottom w:val="single" w:color="000000" w:sz="4" w:space="0"/>
              <w:right w:val="single" w:color="000000" w:sz="4" w:space="0"/>
            </w:tcBorders>
            <w:vAlign w:val="center"/>
          </w:tcPr>
          <w:p w14:paraId="7D4EFB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A1870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F145A85">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517B7A07">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9052E32">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6C9EAD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在阶段维度上，通过分析路口的交通流数据，计算各阶段的阶段清空率、阶段平均时长、阶段平均最大车道流量、阶段平均车头时距、阶段最大车头时距以及阶段绿灯利用率等指标。分析阶段流量和阶段绿灯时间的匹配度。</w:t>
            </w:r>
          </w:p>
        </w:tc>
        <w:tc>
          <w:tcPr>
            <w:tcW w:w="457" w:type="dxa"/>
            <w:tcBorders>
              <w:top w:val="single" w:color="000000" w:sz="4" w:space="0"/>
              <w:left w:val="single" w:color="000000" w:sz="4" w:space="0"/>
              <w:bottom w:val="single" w:color="000000" w:sz="4" w:space="0"/>
              <w:right w:val="single" w:color="000000" w:sz="4" w:space="0"/>
            </w:tcBorders>
            <w:vAlign w:val="center"/>
          </w:tcPr>
          <w:p w14:paraId="2B43EA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78F49F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676D6EF">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4AE1947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5.2</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4B0914F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干线级</w:t>
            </w:r>
          </w:p>
        </w:tc>
        <w:tc>
          <w:tcPr>
            <w:tcW w:w="5281" w:type="dxa"/>
            <w:tcBorders>
              <w:top w:val="single" w:color="000000" w:sz="4" w:space="0"/>
              <w:left w:val="single" w:color="000000" w:sz="4" w:space="0"/>
              <w:bottom w:val="single" w:color="000000" w:sz="4" w:space="0"/>
              <w:right w:val="single" w:color="000000" w:sz="4" w:space="0"/>
            </w:tcBorders>
            <w:vAlign w:val="center"/>
          </w:tcPr>
          <w:p w14:paraId="3675EDA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干线信控策略完善分别统计早高峰、晚高峰、平峰和夜间低谷等不同时段的小时流量，计算各项交通流指标。</w:t>
            </w:r>
          </w:p>
        </w:tc>
        <w:tc>
          <w:tcPr>
            <w:tcW w:w="457" w:type="dxa"/>
            <w:tcBorders>
              <w:top w:val="single" w:color="000000" w:sz="4" w:space="0"/>
              <w:left w:val="single" w:color="000000" w:sz="4" w:space="0"/>
              <w:bottom w:val="single" w:color="000000" w:sz="4" w:space="0"/>
              <w:right w:val="single" w:color="000000" w:sz="4" w:space="0"/>
            </w:tcBorders>
            <w:vAlign w:val="center"/>
          </w:tcPr>
          <w:p w14:paraId="652AA95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0AF0C4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880E381">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5820722E">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FC9230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250C47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从路段和关键路口两个层面分析干线潜在的问题。在路段层面通过计算起点和终点的拥堵指数，协调方向上的平均行程时间，平均延误时间和自由流速度等交通流指标的统计研判，分析干线拥堵情况和拥堵原因。在关键路口层面对协调方向的拥堵指数和分协调方向的最大排队长度的统计研判，结合关键路口的控制方式，分析路口拥堵原因，发现配时方案在实际控制过程中存在的问题。为用户调整方案提供数据支持，从而对配方案进行针对性的优化。</w:t>
            </w:r>
          </w:p>
        </w:tc>
        <w:tc>
          <w:tcPr>
            <w:tcW w:w="457" w:type="dxa"/>
            <w:tcBorders>
              <w:top w:val="single" w:color="000000" w:sz="4" w:space="0"/>
              <w:left w:val="single" w:color="000000" w:sz="4" w:space="0"/>
              <w:bottom w:val="single" w:color="000000" w:sz="4" w:space="0"/>
              <w:right w:val="single" w:color="000000" w:sz="4" w:space="0"/>
            </w:tcBorders>
            <w:vAlign w:val="center"/>
          </w:tcPr>
          <w:p w14:paraId="3F8DE0A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0F0FF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183093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3A4B47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5.3</w:t>
            </w:r>
          </w:p>
        </w:tc>
        <w:tc>
          <w:tcPr>
            <w:tcW w:w="1613" w:type="dxa"/>
            <w:tcBorders>
              <w:top w:val="single" w:color="000000" w:sz="4" w:space="0"/>
              <w:left w:val="single" w:color="000000" w:sz="4" w:space="0"/>
              <w:bottom w:val="single" w:color="000000" w:sz="4" w:space="0"/>
              <w:right w:val="single" w:color="000000" w:sz="4" w:space="0"/>
            </w:tcBorders>
            <w:vAlign w:val="center"/>
          </w:tcPr>
          <w:p w14:paraId="60AC029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区域级</w:t>
            </w:r>
          </w:p>
        </w:tc>
        <w:tc>
          <w:tcPr>
            <w:tcW w:w="5281" w:type="dxa"/>
            <w:tcBorders>
              <w:top w:val="single" w:color="000000" w:sz="4" w:space="0"/>
              <w:left w:val="single" w:color="000000" w:sz="4" w:space="0"/>
              <w:bottom w:val="single" w:color="000000" w:sz="4" w:space="0"/>
              <w:right w:val="single" w:color="000000" w:sz="4" w:space="0"/>
            </w:tcBorders>
            <w:vAlign w:val="center"/>
          </w:tcPr>
          <w:p w14:paraId="41EC07A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历史统计数据，对划分的区域进行交通运行状态监测。能够对区域内的车流总量、拥堵里程、拥堵路口的比例进行实时监测分析；同时系统能够根据区域内拥堵分布，诊断区域内的瓶颈路口和控制边界的关键路口，为区域控制优化提供决策支撑。</w:t>
            </w:r>
          </w:p>
        </w:tc>
        <w:tc>
          <w:tcPr>
            <w:tcW w:w="457" w:type="dxa"/>
            <w:tcBorders>
              <w:top w:val="single" w:color="000000" w:sz="4" w:space="0"/>
              <w:left w:val="single" w:color="000000" w:sz="4" w:space="0"/>
              <w:bottom w:val="single" w:color="000000" w:sz="4" w:space="0"/>
              <w:right w:val="single" w:color="000000" w:sz="4" w:space="0"/>
            </w:tcBorders>
            <w:vAlign w:val="center"/>
          </w:tcPr>
          <w:p w14:paraId="16EED0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2B0BE5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9E0B5D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B05554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66A4630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基于历史交通流数据分析的信控优化</w:t>
            </w:r>
          </w:p>
        </w:tc>
        <w:tc>
          <w:tcPr>
            <w:tcW w:w="5281" w:type="dxa"/>
            <w:tcBorders>
              <w:top w:val="single" w:color="000000" w:sz="4" w:space="0"/>
              <w:left w:val="single" w:color="000000" w:sz="4" w:space="0"/>
              <w:bottom w:val="single" w:color="000000" w:sz="4" w:space="0"/>
              <w:right w:val="single" w:color="000000" w:sz="4" w:space="0"/>
            </w:tcBorders>
            <w:vAlign w:val="center"/>
          </w:tcPr>
          <w:p w14:paraId="4B77B0CD">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9C67739">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DD89BE0">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39F43E9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CADE9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6.1</w:t>
            </w:r>
          </w:p>
        </w:tc>
        <w:tc>
          <w:tcPr>
            <w:tcW w:w="1613" w:type="dxa"/>
            <w:tcBorders>
              <w:top w:val="single" w:color="000000" w:sz="4" w:space="0"/>
              <w:left w:val="single" w:color="000000" w:sz="4" w:space="0"/>
              <w:bottom w:val="single" w:color="000000" w:sz="4" w:space="0"/>
              <w:right w:val="single" w:color="000000" w:sz="4" w:space="0"/>
            </w:tcBorders>
            <w:vAlign w:val="center"/>
          </w:tcPr>
          <w:p w14:paraId="56D65F6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单点专项优化</w:t>
            </w:r>
          </w:p>
        </w:tc>
        <w:tc>
          <w:tcPr>
            <w:tcW w:w="5281" w:type="dxa"/>
            <w:tcBorders>
              <w:top w:val="single" w:color="000000" w:sz="4" w:space="0"/>
              <w:left w:val="single" w:color="000000" w:sz="4" w:space="0"/>
              <w:bottom w:val="single" w:color="000000" w:sz="4" w:space="0"/>
              <w:right w:val="single" w:color="000000" w:sz="4" w:space="0"/>
            </w:tcBorders>
            <w:vAlign w:val="center"/>
          </w:tcPr>
          <w:p w14:paraId="7916AAE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分析研判单个路口过往交通流数据并进行规律总结，制定契合该路口的专项优化策略，通过策略下发、原方案备份后试运行来检验单点优化方案可行性，达到预期效果后替换原方案，减少交通延误，提高交通的顺畅程度。</w:t>
            </w:r>
          </w:p>
        </w:tc>
        <w:tc>
          <w:tcPr>
            <w:tcW w:w="457" w:type="dxa"/>
            <w:tcBorders>
              <w:top w:val="single" w:color="000000" w:sz="4" w:space="0"/>
              <w:left w:val="single" w:color="000000" w:sz="4" w:space="0"/>
              <w:bottom w:val="single" w:color="000000" w:sz="4" w:space="0"/>
              <w:right w:val="single" w:color="000000" w:sz="4" w:space="0"/>
            </w:tcBorders>
            <w:vAlign w:val="center"/>
          </w:tcPr>
          <w:p w14:paraId="75A7AB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C5F956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2EF3E6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A12892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6.2</w:t>
            </w:r>
          </w:p>
        </w:tc>
        <w:tc>
          <w:tcPr>
            <w:tcW w:w="1613" w:type="dxa"/>
            <w:tcBorders>
              <w:top w:val="single" w:color="000000" w:sz="4" w:space="0"/>
              <w:left w:val="single" w:color="000000" w:sz="4" w:space="0"/>
              <w:bottom w:val="single" w:color="000000" w:sz="4" w:space="0"/>
              <w:right w:val="single" w:color="000000" w:sz="4" w:space="0"/>
            </w:tcBorders>
            <w:vAlign w:val="center"/>
          </w:tcPr>
          <w:p w14:paraId="6423F2D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绿波干线制定及调优</w:t>
            </w:r>
          </w:p>
        </w:tc>
        <w:tc>
          <w:tcPr>
            <w:tcW w:w="5281" w:type="dxa"/>
            <w:tcBorders>
              <w:top w:val="single" w:color="000000" w:sz="4" w:space="0"/>
              <w:left w:val="single" w:color="000000" w:sz="4" w:space="0"/>
              <w:bottom w:val="single" w:color="000000" w:sz="4" w:space="0"/>
              <w:right w:val="single" w:color="000000" w:sz="4" w:space="0"/>
            </w:tcBorders>
            <w:vAlign w:val="center"/>
          </w:tcPr>
          <w:p w14:paraId="5227BD8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基于历史交通数据生成最优协调方案策略，并与信号控制系统无缝衔接。通过干线协调优化，使得交通流量更加流畅和高效，实现不同配时方案之间的平滑过渡，以实现更加精细和灵活的交通调度和管理。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599ED05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CAA78F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332406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F3A92E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6.3</w:t>
            </w:r>
          </w:p>
        </w:tc>
        <w:tc>
          <w:tcPr>
            <w:tcW w:w="1613" w:type="dxa"/>
            <w:tcBorders>
              <w:top w:val="single" w:color="000000" w:sz="4" w:space="0"/>
              <w:left w:val="single" w:color="000000" w:sz="4" w:space="0"/>
              <w:bottom w:val="single" w:color="000000" w:sz="4" w:space="0"/>
              <w:right w:val="single" w:color="000000" w:sz="4" w:space="0"/>
            </w:tcBorders>
            <w:vAlign w:val="center"/>
          </w:tcPr>
          <w:p w14:paraId="6522372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自适应控制优化</w:t>
            </w:r>
          </w:p>
        </w:tc>
        <w:tc>
          <w:tcPr>
            <w:tcW w:w="5281" w:type="dxa"/>
            <w:tcBorders>
              <w:top w:val="single" w:color="000000" w:sz="4" w:space="0"/>
              <w:left w:val="single" w:color="000000" w:sz="4" w:space="0"/>
              <w:bottom w:val="single" w:color="000000" w:sz="4" w:space="0"/>
              <w:right w:val="single" w:color="000000" w:sz="4" w:space="0"/>
            </w:tcBorders>
            <w:vAlign w:val="center"/>
          </w:tcPr>
          <w:p w14:paraId="6CA9C1F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基于流量数据分析、问题诊断结果，对自适应控制路口的配时方案进行优化，通过算法模型自动生成符合交通运行规律的更优方案，并实现优化方案实时下发至信号控制系统。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4782AD1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B374A8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96F0C3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9DEA8A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6.4</w:t>
            </w:r>
          </w:p>
        </w:tc>
        <w:tc>
          <w:tcPr>
            <w:tcW w:w="1613" w:type="dxa"/>
            <w:tcBorders>
              <w:top w:val="single" w:color="000000" w:sz="4" w:space="0"/>
              <w:left w:val="single" w:color="000000" w:sz="4" w:space="0"/>
              <w:bottom w:val="single" w:color="000000" w:sz="4" w:space="0"/>
              <w:right w:val="single" w:color="000000" w:sz="4" w:space="0"/>
            </w:tcBorders>
            <w:vAlign w:val="center"/>
          </w:tcPr>
          <w:p w14:paraId="3DFA0A8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溢出控制优化</w:t>
            </w:r>
          </w:p>
        </w:tc>
        <w:tc>
          <w:tcPr>
            <w:tcW w:w="5281" w:type="dxa"/>
            <w:tcBorders>
              <w:top w:val="single" w:color="000000" w:sz="4" w:space="0"/>
              <w:left w:val="single" w:color="000000" w:sz="4" w:space="0"/>
              <w:bottom w:val="single" w:color="000000" w:sz="4" w:space="0"/>
              <w:right w:val="single" w:color="000000" w:sz="4" w:space="0"/>
            </w:tcBorders>
            <w:vAlign w:val="center"/>
          </w:tcPr>
          <w:p w14:paraId="3C73C04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当路段交通流达到饱和状态</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下游路口通过能力不足时，系统通过识别关键路径，实现相邻路口溢出控制，并根据不同的状态生成合理有效的溢出控制策略，并实现优化方案实时下发至信号控制系统。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3FA443B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BC6170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75356D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434603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785AF2D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效益评估</w:t>
            </w:r>
          </w:p>
        </w:tc>
        <w:tc>
          <w:tcPr>
            <w:tcW w:w="5281" w:type="dxa"/>
            <w:tcBorders>
              <w:top w:val="single" w:color="000000" w:sz="4" w:space="0"/>
              <w:left w:val="single" w:color="000000" w:sz="4" w:space="0"/>
              <w:bottom w:val="single" w:color="000000" w:sz="4" w:space="0"/>
              <w:right w:val="single" w:color="000000" w:sz="4" w:space="0"/>
            </w:tcBorders>
            <w:vAlign w:val="center"/>
          </w:tcPr>
          <w:p w14:paraId="5423276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3AB79A6">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466D056">
            <w:pPr>
              <w:pStyle w:val="201"/>
              <w:spacing w:line="400" w:lineRule="exact"/>
              <w:jc w:val="center"/>
              <w:rPr>
                <w:rFonts w:hint="eastAsia" w:asciiTheme="minorEastAsia" w:hAnsiTheme="minorEastAsia" w:eastAsiaTheme="minorEastAsia"/>
                <w:color w:val="000000"/>
                <w:sz w:val="24"/>
                <w:szCs w:val="24"/>
                <w:highlight w:val="none"/>
              </w:rPr>
            </w:pPr>
          </w:p>
        </w:tc>
      </w:tr>
      <w:tr w14:paraId="0A09336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3369F7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7.1</w:t>
            </w:r>
          </w:p>
        </w:tc>
        <w:tc>
          <w:tcPr>
            <w:tcW w:w="1613" w:type="dxa"/>
            <w:tcBorders>
              <w:top w:val="single" w:color="000000" w:sz="4" w:space="0"/>
              <w:left w:val="single" w:color="000000" w:sz="4" w:space="0"/>
              <w:bottom w:val="single" w:color="000000" w:sz="4" w:space="0"/>
              <w:right w:val="single" w:color="000000" w:sz="4" w:space="0"/>
            </w:tcBorders>
            <w:vAlign w:val="center"/>
          </w:tcPr>
          <w:p w14:paraId="3191592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控制效益评价</w:t>
            </w:r>
          </w:p>
        </w:tc>
        <w:tc>
          <w:tcPr>
            <w:tcW w:w="5281" w:type="dxa"/>
            <w:tcBorders>
              <w:top w:val="single" w:color="000000" w:sz="4" w:space="0"/>
              <w:left w:val="single" w:color="000000" w:sz="4" w:space="0"/>
              <w:bottom w:val="single" w:color="000000" w:sz="4" w:space="0"/>
              <w:right w:val="single" w:color="000000" w:sz="4" w:space="0"/>
            </w:tcBorders>
            <w:vAlign w:val="center"/>
          </w:tcPr>
          <w:p w14:paraId="3015DF5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通过对平均小时流量、平均车速、绿灯放行效率、溢出次数和阶段清空率等指标的统计分析，评估路口的配时健康程度，反映每个路口的交通状况和配时方案的效果。</w:t>
            </w:r>
          </w:p>
        </w:tc>
        <w:tc>
          <w:tcPr>
            <w:tcW w:w="457" w:type="dxa"/>
            <w:tcBorders>
              <w:top w:val="single" w:color="000000" w:sz="4" w:space="0"/>
              <w:left w:val="single" w:color="000000" w:sz="4" w:space="0"/>
              <w:bottom w:val="single" w:color="000000" w:sz="4" w:space="0"/>
              <w:right w:val="single" w:color="000000" w:sz="4" w:space="0"/>
            </w:tcBorders>
            <w:vAlign w:val="center"/>
          </w:tcPr>
          <w:p w14:paraId="52270DD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F49B74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46D692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E04CB2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7.2</w:t>
            </w:r>
          </w:p>
        </w:tc>
        <w:tc>
          <w:tcPr>
            <w:tcW w:w="1613" w:type="dxa"/>
            <w:tcBorders>
              <w:top w:val="single" w:color="000000" w:sz="4" w:space="0"/>
              <w:left w:val="single" w:color="000000" w:sz="4" w:space="0"/>
              <w:bottom w:val="single" w:color="000000" w:sz="4" w:space="0"/>
              <w:right w:val="single" w:color="000000" w:sz="4" w:space="0"/>
            </w:tcBorders>
            <w:vAlign w:val="center"/>
          </w:tcPr>
          <w:p w14:paraId="38F1A85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评价报告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29D445B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运行分析</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中的相关数据进行评价，生成评估报告，快速地生成路口信号的评估报告，从而更好地了解路口的运行情况，及时发现和解决问题，提高交通管理效率。</w:t>
            </w:r>
          </w:p>
        </w:tc>
        <w:tc>
          <w:tcPr>
            <w:tcW w:w="457" w:type="dxa"/>
            <w:tcBorders>
              <w:top w:val="single" w:color="000000" w:sz="4" w:space="0"/>
              <w:left w:val="single" w:color="000000" w:sz="4" w:space="0"/>
              <w:bottom w:val="single" w:color="000000" w:sz="4" w:space="0"/>
              <w:right w:val="single" w:color="000000" w:sz="4" w:space="0"/>
            </w:tcBorders>
            <w:vAlign w:val="center"/>
          </w:tcPr>
          <w:p w14:paraId="4F840A3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78A01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9F327F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46824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7A4993C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项目实施</w:t>
            </w:r>
          </w:p>
        </w:tc>
        <w:tc>
          <w:tcPr>
            <w:tcW w:w="5281" w:type="dxa"/>
            <w:tcBorders>
              <w:top w:val="single" w:color="000000" w:sz="4" w:space="0"/>
              <w:left w:val="single" w:color="000000" w:sz="4" w:space="0"/>
              <w:bottom w:val="single" w:color="000000" w:sz="4" w:space="0"/>
              <w:right w:val="single" w:color="000000" w:sz="4" w:space="0"/>
            </w:tcBorders>
            <w:vAlign w:val="center"/>
          </w:tcPr>
          <w:p w14:paraId="73B8207F">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9C3A03E">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0E77151">
            <w:pPr>
              <w:pStyle w:val="201"/>
              <w:spacing w:line="400" w:lineRule="exact"/>
              <w:jc w:val="center"/>
              <w:rPr>
                <w:rFonts w:hint="eastAsia" w:asciiTheme="minorEastAsia" w:hAnsiTheme="minorEastAsia" w:eastAsiaTheme="minorEastAsia"/>
                <w:color w:val="000000"/>
                <w:sz w:val="24"/>
                <w:szCs w:val="24"/>
                <w:highlight w:val="none"/>
              </w:rPr>
            </w:pPr>
          </w:p>
        </w:tc>
      </w:tr>
      <w:tr w14:paraId="299FD64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04FF12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8.1</w:t>
            </w:r>
          </w:p>
        </w:tc>
        <w:tc>
          <w:tcPr>
            <w:tcW w:w="1613" w:type="dxa"/>
            <w:tcBorders>
              <w:top w:val="single" w:color="000000" w:sz="4" w:space="0"/>
              <w:left w:val="single" w:color="000000" w:sz="4" w:space="0"/>
              <w:bottom w:val="single" w:color="000000" w:sz="4" w:space="0"/>
              <w:right w:val="single" w:color="000000" w:sz="4" w:space="0"/>
            </w:tcBorders>
            <w:vAlign w:val="center"/>
          </w:tcPr>
          <w:p w14:paraId="45E39CF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软件系统安装部署</w:t>
            </w:r>
          </w:p>
        </w:tc>
        <w:tc>
          <w:tcPr>
            <w:tcW w:w="5281" w:type="dxa"/>
            <w:tcBorders>
              <w:top w:val="single" w:color="000000" w:sz="4" w:space="0"/>
              <w:left w:val="single" w:color="000000" w:sz="4" w:space="0"/>
              <w:bottom w:val="single" w:color="000000" w:sz="4" w:space="0"/>
              <w:right w:val="single" w:color="000000" w:sz="4" w:space="0"/>
            </w:tcBorders>
            <w:vAlign w:val="center"/>
          </w:tcPr>
          <w:p w14:paraId="48099F4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开发环境、运行环境</w:t>
            </w:r>
          </w:p>
        </w:tc>
        <w:tc>
          <w:tcPr>
            <w:tcW w:w="457" w:type="dxa"/>
            <w:tcBorders>
              <w:top w:val="single" w:color="000000" w:sz="4" w:space="0"/>
              <w:left w:val="single" w:color="000000" w:sz="4" w:space="0"/>
              <w:bottom w:val="single" w:color="000000" w:sz="4" w:space="0"/>
              <w:right w:val="single" w:color="000000" w:sz="4" w:space="0"/>
            </w:tcBorders>
            <w:vAlign w:val="center"/>
          </w:tcPr>
          <w:p w14:paraId="3431123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9944EC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38D2D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3EB55E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c>
          <w:tcPr>
            <w:tcW w:w="1613" w:type="dxa"/>
            <w:tcBorders>
              <w:top w:val="single" w:color="000000" w:sz="4" w:space="0"/>
              <w:left w:val="single" w:color="000000" w:sz="4" w:space="0"/>
              <w:bottom w:val="single" w:color="000000" w:sz="4" w:space="0"/>
              <w:right w:val="single" w:color="000000" w:sz="4" w:space="0"/>
            </w:tcBorders>
            <w:vAlign w:val="center"/>
          </w:tcPr>
          <w:p w14:paraId="264B540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外部系统对接接口对接调试</w:t>
            </w:r>
          </w:p>
        </w:tc>
        <w:tc>
          <w:tcPr>
            <w:tcW w:w="5281" w:type="dxa"/>
            <w:tcBorders>
              <w:top w:val="single" w:color="000000" w:sz="4" w:space="0"/>
              <w:left w:val="single" w:color="000000" w:sz="4" w:space="0"/>
              <w:bottom w:val="single" w:color="000000" w:sz="4" w:space="0"/>
              <w:right w:val="single" w:color="000000" w:sz="4" w:space="0"/>
            </w:tcBorders>
            <w:vAlign w:val="center"/>
          </w:tcPr>
          <w:p w14:paraId="32E3C44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高德数据对接、视频汇聚对接</w:t>
            </w:r>
          </w:p>
        </w:tc>
        <w:tc>
          <w:tcPr>
            <w:tcW w:w="457" w:type="dxa"/>
            <w:tcBorders>
              <w:top w:val="single" w:color="000000" w:sz="4" w:space="0"/>
              <w:left w:val="single" w:color="000000" w:sz="4" w:space="0"/>
              <w:bottom w:val="single" w:color="000000" w:sz="4" w:space="0"/>
              <w:right w:val="single" w:color="000000" w:sz="4" w:space="0"/>
            </w:tcBorders>
            <w:vAlign w:val="center"/>
          </w:tcPr>
          <w:p w14:paraId="66EE681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31BCA9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8F0918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AFD21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8.3</w:t>
            </w:r>
          </w:p>
        </w:tc>
        <w:tc>
          <w:tcPr>
            <w:tcW w:w="1613" w:type="dxa"/>
            <w:tcBorders>
              <w:top w:val="single" w:color="000000" w:sz="4" w:space="0"/>
              <w:left w:val="single" w:color="000000" w:sz="4" w:space="0"/>
              <w:bottom w:val="single" w:color="000000" w:sz="4" w:space="0"/>
              <w:right w:val="single" w:color="000000" w:sz="4" w:space="0"/>
            </w:tcBorders>
            <w:vAlign w:val="center"/>
          </w:tcPr>
          <w:p w14:paraId="0BFB097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测试调优</w:t>
            </w:r>
          </w:p>
        </w:tc>
        <w:tc>
          <w:tcPr>
            <w:tcW w:w="5281" w:type="dxa"/>
            <w:tcBorders>
              <w:top w:val="single" w:color="000000" w:sz="4" w:space="0"/>
              <w:left w:val="single" w:color="000000" w:sz="4" w:space="0"/>
              <w:bottom w:val="single" w:color="000000" w:sz="4" w:space="0"/>
              <w:right w:val="single" w:color="000000" w:sz="4" w:space="0"/>
            </w:tcBorders>
            <w:vAlign w:val="center"/>
          </w:tcPr>
          <w:p w14:paraId="38A6C55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单元测试、系统联调、性能调优</w:t>
            </w:r>
          </w:p>
        </w:tc>
        <w:tc>
          <w:tcPr>
            <w:tcW w:w="457" w:type="dxa"/>
            <w:tcBorders>
              <w:top w:val="single" w:color="000000" w:sz="4" w:space="0"/>
              <w:left w:val="single" w:color="000000" w:sz="4" w:space="0"/>
              <w:bottom w:val="single" w:color="000000" w:sz="4" w:space="0"/>
              <w:right w:val="single" w:color="000000" w:sz="4" w:space="0"/>
            </w:tcBorders>
            <w:vAlign w:val="center"/>
          </w:tcPr>
          <w:p w14:paraId="70EC78E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AE75D3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826947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00AB90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8.4</w:t>
            </w:r>
          </w:p>
        </w:tc>
        <w:tc>
          <w:tcPr>
            <w:tcW w:w="1613" w:type="dxa"/>
            <w:tcBorders>
              <w:top w:val="single" w:color="000000" w:sz="4" w:space="0"/>
              <w:left w:val="single" w:color="000000" w:sz="4" w:space="0"/>
              <w:bottom w:val="single" w:color="000000" w:sz="4" w:space="0"/>
              <w:right w:val="single" w:color="000000" w:sz="4" w:space="0"/>
            </w:tcBorders>
            <w:vAlign w:val="center"/>
          </w:tcPr>
          <w:p w14:paraId="566875F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使用培训</w:t>
            </w:r>
          </w:p>
        </w:tc>
        <w:tc>
          <w:tcPr>
            <w:tcW w:w="5281" w:type="dxa"/>
            <w:tcBorders>
              <w:top w:val="single" w:color="000000" w:sz="4" w:space="0"/>
              <w:left w:val="single" w:color="000000" w:sz="4" w:space="0"/>
              <w:bottom w:val="single" w:color="000000" w:sz="4" w:space="0"/>
              <w:right w:val="single" w:color="000000" w:sz="4" w:space="0"/>
            </w:tcBorders>
            <w:vAlign w:val="center"/>
          </w:tcPr>
          <w:p w14:paraId="00816DD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开展使用培训工作</w:t>
            </w:r>
          </w:p>
        </w:tc>
        <w:tc>
          <w:tcPr>
            <w:tcW w:w="457" w:type="dxa"/>
            <w:tcBorders>
              <w:top w:val="single" w:color="000000" w:sz="4" w:space="0"/>
              <w:left w:val="single" w:color="000000" w:sz="4" w:space="0"/>
              <w:bottom w:val="single" w:color="000000" w:sz="4" w:space="0"/>
              <w:right w:val="single" w:color="000000" w:sz="4" w:space="0"/>
            </w:tcBorders>
            <w:vAlign w:val="center"/>
          </w:tcPr>
          <w:p w14:paraId="005F183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B3194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E44858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B1A5D58">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十一</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5D7BB0B7">
            <w:pPr>
              <w:pStyle w:val="201"/>
              <w:spacing w:line="400" w:lineRule="exact"/>
              <w:rPr>
                <w:rFonts w:hint="eastAsia" w:asciiTheme="minorEastAsia" w:hAnsiTheme="minorEastAsia" w:eastAsiaTheme="minorEastAsia"/>
                <w:b/>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法眼</w:t>
            </w:r>
            <w:r>
              <w:rPr>
                <w:rFonts w:hint="eastAsia" w:asciiTheme="minorEastAsia" w:hAnsiTheme="minorEastAsia" w:eastAsiaTheme="minorEastAsia"/>
                <w:b/>
                <w:bCs/>
                <w:color w:val="000000"/>
                <w:sz w:val="24"/>
                <w:szCs w:val="24"/>
                <w:highlight w:val="none"/>
                <w:lang w:eastAsia="zh-CN" w:bidi="ar"/>
              </w:rPr>
              <w:t>AI-</w:t>
            </w:r>
            <w:r>
              <w:rPr>
                <w:rFonts w:hint="eastAsia" w:cs="微软雅黑" w:asciiTheme="minorEastAsia" w:hAnsiTheme="minorEastAsia" w:eastAsiaTheme="minorEastAsia"/>
                <w:b/>
                <w:bCs/>
                <w:color w:val="000000"/>
                <w:sz w:val="24"/>
                <w:szCs w:val="24"/>
                <w:highlight w:val="none"/>
                <w:lang w:eastAsia="zh-CN" w:bidi="ar"/>
              </w:rPr>
              <w:t>多模态智能中枢</w:t>
            </w:r>
          </w:p>
        </w:tc>
        <w:tc>
          <w:tcPr>
            <w:tcW w:w="457" w:type="dxa"/>
            <w:tcBorders>
              <w:top w:val="single" w:color="000000" w:sz="4" w:space="0"/>
              <w:left w:val="single" w:color="000000" w:sz="4" w:space="0"/>
              <w:bottom w:val="single" w:color="000000" w:sz="4" w:space="0"/>
              <w:right w:val="single" w:color="000000" w:sz="4" w:space="0"/>
            </w:tcBorders>
            <w:vAlign w:val="center"/>
          </w:tcPr>
          <w:p w14:paraId="6D373BB6">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AFAB025">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236C5A0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5C3A99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5E4EEBF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14BE325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对接报警定位平台获取报警人相关信息；对接可视域平台获取相机点位</w:t>
            </w:r>
            <w:r>
              <w:rPr>
                <w:rFonts w:hint="eastAsia" w:asciiTheme="minorEastAsia" w:hAnsiTheme="minorEastAsia" w:eastAsiaTheme="minorEastAsia"/>
                <w:color w:val="000000"/>
                <w:sz w:val="24"/>
                <w:szCs w:val="24"/>
                <w:highlight w:val="none"/>
                <w:lang w:eastAsia="zh-CN" w:bidi="ar"/>
              </w:rPr>
              <w:t>ID</w:t>
            </w:r>
          </w:p>
        </w:tc>
        <w:tc>
          <w:tcPr>
            <w:tcW w:w="457" w:type="dxa"/>
            <w:tcBorders>
              <w:top w:val="single" w:color="000000" w:sz="4" w:space="0"/>
              <w:left w:val="single" w:color="000000" w:sz="4" w:space="0"/>
              <w:bottom w:val="single" w:color="000000" w:sz="4" w:space="0"/>
              <w:right w:val="single" w:color="000000" w:sz="4" w:space="0"/>
            </w:tcBorders>
            <w:vAlign w:val="center"/>
          </w:tcPr>
          <w:p w14:paraId="5F9E6A3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B5D3FF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7AAB2F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EC669D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6CD7A99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事故检测配置及报警推送</w:t>
            </w:r>
          </w:p>
        </w:tc>
        <w:tc>
          <w:tcPr>
            <w:tcW w:w="5281" w:type="dxa"/>
            <w:tcBorders>
              <w:top w:val="single" w:color="000000" w:sz="4" w:space="0"/>
              <w:left w:val="single" w:color="000000" w:sz="4" w:space="0"/>
              <w:bottom w:val="single" w:color="000000" w:sz="4" w:space="0"/>
              <w:right w:val="single" w:color="000000" w:sz="4" w:space="0"/>
            </w:tcBorders>
            <w:vAlign w:val="center"/>
          </w:tcPr>
          <w:p w14:paraId="2891ADB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对接增加事故检测算法配置、报警事故视频推送</w:t>
            </w:r>
          </w:p>
        </w:tc>
        <w:tc>
          <w:tcPr>
            <w:tcW w:w="457" w:type="dxa"/>
            <w:tcBorders>
              <w:top w:val="single" w:color="000000" w:sz="4" w:space="0"/>
              <w:left w:val="single" w:color="000000" w:sz="4" w:space="0"/>
              <w:bottom w:val="single" w:color="000000" w:sz="4" w:space="0"/>
              <w:right w:val="single" w:color="000000" w:sz="4" w:space="0"/>
            </w:tcBorders>
            <w:vAlign w:val="center"/>
          </w:tcPr>
          <w:p w14:paraId="77C2379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0DBB48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F3240B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AA129B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03CA25D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多模态大模型推理服务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7D1AE3E6">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BA5E83E">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6CB4566">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1573316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5E933E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8D7C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图像分析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4CFB6D7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支持对视频关键帧、单独上传的图像进行分析。识别照片中的重要元素和信息，并与相关案件信息进行关联和比对。</w:t>
            </w:r>
          </w:p>
        </w:tc>
        <w:tc>
          <w:tcPr>
            <w:tcW w:w="457" w:type="dxa"/>
            <w:tcBorders>
              <w:top w:val="single" w:color="000000" w:sz="4" w:space="0"/>
              <w:left w:val="single" w:color="000000" w:sz="4" w:space="0"/>
              <w:bottom w:val="single" w:color="000000" w:sz="4" w:space="0"/>
              <w:right w:val="single" w:color="000000" w:sz="4" w:space="0"/>
            </w:tcBorders>
            <w:vAlign w:val="center"/>
          </w:tcPr>
          <w:p w14:paraId="64A395E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2BB45D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16D902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F3B369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B7BC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多模态数据深度解析与关联推理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6B8719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利用大模型技术对执法记录仪或监控视频、警情信息和电子卷宗等异构数据进行特征提取与语义理解，自动识别违法行为特征，并生成标准化证据链；</w:t>
            </w:r>
          </w:p>
        </w:tc>
        <w:tc>
          <w:tcPr>
            <w:tcW w:w="457" w:type="dxa"/>
            <w:tcBorders>
              <w:top w:val="single" w:color="000000" w:sz="4" w:space="0"/>
              <w:left w:val="single" w:color="000000" w:sz="4" w:space="0"/>
              <w:bottom w:val="single" w:color="000000" w:sz="4" w:space="0"/>
              <w:right w:val="single" w:color="000000" w:sz="4" w:space="0"/>
            </w:tcBorders>
            <w:vAlign w:val="center"/>
          </w:tcPr>
          <w:p w14:paraId="7CEB523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ABE4BC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14E5F7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340A60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E1D4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全流程自动化协同</w:t>
            </w:r>
          </w:p>
        </w:tc>
        <w:tc>
          <w:tcPr>
            <w:tcW w:w="5281" w:type="dxa"/>
            <w:tcBorders>
              <w:top w:val="single" w:color="000000" w:sz="4" w:space="0"/>
              <w:left w:val="single" w:color="000000" w:sz="4" w:space="0"/>
              <w:bottom w:val="single" w:color="000000" w:sz="4" w:space="0"/>
              <w:right w:val="single" w:color="000000" w:sz="4" w:space="0"/>
            </w:tcBorders>
            <w:vAlign w:val="center"/>
          </w:tcPr>
          <w:p w14:paraId="1E270D1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打通</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数据采集</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违法识别</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文书生成</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辅助处置</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环节，实现现场执法、事故监控视频关联、事故责任书预判及生成等业务自动化处理，同时支持多智能体协作机制，将智能化能力及业务流程封装为可调用的智能体模块，提升跨警种协同效率</w:t>
            </w:r>
          </w:p>
        </w:tc>
        <w:tc>
          <w:tcPr>
            <w:tcW w:w="457" w:type="dxa"/>
            <w:tcBorders>
              <w:top w:val="single" w:color="000000" w:sz="4" w:space="0"/>
              <w:left w:val="single" w:color="000000" w:sz="4" w:space="0"/>
              <w:bottom w:val="single" w:color="000000" w:sz="4" w:space="0"/>
              <w:right w:val="single" w:color="000000" w:sz="4" w:space="0"/>
            </w:tcBorders>
            <w:vAlign w:val="center"/>
          </w:tcPr>
          <w:p w14:paraId="5B2EB87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A68CB5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166B4F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6B21AC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3.4</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BADC8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事故责任认定预审</w:t>
            </w:r>
          </w:p>
        </w:tc>
        <w:tc>
          <w:tcPr>
            <w:tcW w:w="5281" w:type="dxa"/>
            <w:tcBorders>
              <w:top w:val="single" w:color="000000" w:sz="4" w:space="0"/>
              <w:left w:val="single" w:color="000000" w:sz="4" w:space="0"/>
              <w:bottom w:val="single" w:color="000000" w:sz="4" w:space="0"/>
              <w:right w:val="single" w:color="000000" w:sz="4" w:space="0"/>
            </w:tcBorders>
            <w:vAlign w:val="center"/>
          </w:tcPr>
          <w:p w14:paraId="10AAE76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事故现场视频分析；全自动责任认定预审模块；全链路事故责任预判辅助</w:t>
            </w:r>
          </w:p>
        </w:tc>
        <w:tc>
          <w:tcPr>
            <w:tcW w:w="457" w:type="dxa"/>
            <w:tcBorders>
              <w:top w:val="single" w:color="000000" w:sz="4" w:space="0"/>
              <w:left w:val="single" w:color="000000" w:sz="4" w:space="0"/>
              <w:bottom w:val="single" w:color="000000" w:sz="4" w:space="0"/>
              <w:right w:val="single" w:color="000000" w:sz="4" w:space="0"/>
            </w:tcBorders>
            <w:vAlign w:val="center"/>
          </w:tcPr>
          <w:p w14:paraId="077C5BD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8DB55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B17976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C393BF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3ABDB96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算子管理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B7ECCC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算子</w:t>
            </w:r>
            <w:r>
              <w:rPr>
                <w:rFonts w:hint="eastAsia" w:asciiTheme="minorEastAsia" w:hAnsiTheme="minorEastAsia" w:eastAsiaTheme="minorEastAsia"/>
                <w:color w:val="000000"/>
                <w:sz w:val="24"/>
                <w:szCs w:val="24"/>
                <w:highlight w:val="none"/>
                <w:lang w:eastAsia="zh-CN" w:bidi="ar"/>
              </w:rPr>
              <w:t>CRUD</w:t>
            </w:r>
            <w:r>
              <w:rPr>
                <w:rFonts w:hint="eastAsia" w:cs="微软雅黑" w:asciiTheme="minorEastAsia" w:hAnsiTheme="minorEastAsia" w:eastAsiaTheme="minorEastAsia"/>
                <w:color w:val="000000"/>
                <w:sz w:val="24"/>
                <w:szCs w:val="24"/>
                <w:highlight w:val="none"/>
                <w:lang w:eastAsia="zh-CN" w:bidi="ar"/>
              </w:rPr>
              <w:t>、基于</w:t>
            </w:r>
            <w:r>
              <w:rPr>
                <w:rFonts w:hint="eastAsia" w:asciiTheme="minorEastAsia" w:hAnsiTheme="minorEastAsia" w:eastAsiaTheme="minorEastAsia"/>
                <w:color w:val="000000"/>
                <w:sz w:val="24"/>
                <w:szCs w:val="24"/>
                <w:highlight w:val="none"/>
                <w:lang w:eastAsia="zh-CN" w:bidi="ar"/>
              </w:rPr>
              <w:t>dify</w:t>
            </w:r>
            <w:r>
              <w:rPr>
                <w:rFonts w:hint="eastAsia" w:cs="微软雅黑" w:asciiTheme="minorEastAsia" w:hAnsiTheme="minorEastAsia" w:eastAsiaTheme="minorEastAsia"/>
                <w:color w:val="000000"/>
                <w:sz w:val="24"/>
                <w:szCs w:val="24"/>
                <w:highlight w:val="none"/>
                <w:lang w:eastAsia="zh-CN" w:bidi="ar"/>
              </w:rPr>
              <w:t>的算子服务开发</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包括：执法一致性、敏感词、暴力执法、执法程序违规、声纹不一致、事故责任认定</w:t>
            </w:r>
          </w:p>
        </w:tc>
        <w:tc>
          <w:tcPr>
            <w:tcW w:w="457" w:type="dxa"/>
            <w:tcBorders>
              <w:top w:val="single" w:color="000000" w:sz="4" w:space="0"/>
              <w:left w:val="single" w:color="000000" w:sz="4" w:space="0"/>
              <w:bottom w:val="single" w:color="000000" w:sz="4" w:space="0"/>
              <w:right w:val="single" w:color="000000" w:sz="4" w:space="0"/>
            </w:tcBorders>
            <w:vAlign w:val="center"/>
          </w:tcPr>
          <w:p w14:paraId="6A82F41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CDBE6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1FC3D2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3179B4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2BAD360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算法管理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EFF9E9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算法</w:t>
            </w:r>
            <w:r>
              <w:rPr>
                <w:rFonts w:hint="eastAsia" w:asciiTheme="minorEastAsia" w:hAnsiTheme="minorEastAsia" w:eastAsiaTheme="minorEastAsia"/>
                <w:color w:val="000000"/>
                <w:sz w:val="24"/>
                <w:szCs w:val="24"/>
                <w:highlight w:val="none"/>
                <w:lang w:eastAsia="zh-CN" w:bidi="ar"/>
              </w:rPr>
              <w:t>CRUD</w:t>
            </w:r>
            <w:r>
              <w:rPr>
                <w:rFonts w:hint="eastAsia" w:cs="微软雅黑" w:asciiTheme="minorEastAsia" w:hAnsiTheme="minorEastAsia" w:eastAsiaTheme="minorEastAsia"/>
                <w:color w:val="000000"/>
                <w:sz w:val="24"/>
                <w:szCs w:val="24"/>
                <w:highlight w:val="none"/>
                <w:lang w:eastAsia="zh-CN" w:bidi="ar"/>
              </w:rPr>
              <w:t>、算子逻辑关系配置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1F72CE3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25E980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E272EE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4C2185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352CBD6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任务管理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06A5B8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任务</w:t>
            </w:r>
            <w:r>
              <w:rPr>
                <w:rFonts w:hint="eastAsia" w:asciiTheme="minorEastAsia" w:hAnsiTheme="minorEastAsia" w:eastAsiaTheme="minorEastAsia"/>
                <w:color w:val="000000"/>
                <w:sz w:val="24"/>
                <w:szCs w:val="24"/>
                <w:highlight w:val="none"/>
                <w:lang w:eastAsia="zh-CN" w:bidi="ar"/>
              </w:rPr>
              <w:t>CRUD</w:t>
            </w:r>
            <w:r>
              <w:rPr>
                <w:rFonts w:hint="eastAsia" w:cs="微软雅黑" w:asciiTheme="minorEastAsia" w:hAnsiTheme="minorEastAsia" w:eastAsiaTheme="minorEastAsia"/>
                <w:color w:val="000000"/>
                <w:sz w:val="24"/>
                <w:szCs w:val="24"/>
                <w:highlight w:val="none"/>
                <w:lang w:eastAsia="zh-CN" w:bidi="ar"/>
              </w:rPr>
              <w:t>、创建</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编辑任务时可配置视频</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文书范围并绑定算法、任务状态可开启</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停止</w:t>
            </w:r>
          </w:p>
        </w:tc>
        <w:tc>
          <w:tcPr>
            <w:tcW w:w="457" w:type="dxa"/>
            <w:tcBorders>
              <w:top w:val="single" w:color="000000" w:sz="4" w:space="0"/>
              <w:left w:val="single" w:color="000000" w:sz="4" w:space="0"/>
              <w:bottom w:val="single" w:color="000000" w:sz="4" w:space="0"/>
              <w:right w:val="single" w:color="000000" w:sz="4" w:space="0"/>
            </w:tcBorders>
            <w:vAlign w:val="center"/>
          </w:tcPr>
          <w:p w14:paraId="5B4523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67D40A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CC08E9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03FFA2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016CDC5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任务详情</w:t>
            </w:r>
          </w:p>
        </w:tc>
        <w:tc>
          <w:tcPr>
            <w:tcW w:w="5281" w:type="dxa"/>
            <w:tcBorders>
              <w:top w:val="single" w:color="000000" w:sz="4" w:space="0"/>
              <w:left w:val="single" w:color="000000" w:sz="4" w:space="0"/>
              <w:bottom w:val="single" w:color="000000" w:sz="4" w:space="0"/>
              <w:right w:val="single" w:color="000000" w:sz="4" w:space="0"/>
            </w:tcBorders>
            <w:vAlign w:val="center"/>
          </w:tcPr>
          <w:p w14:paraId="484E19E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子任务视图展示任务状态及任务分析结果</w:t>
            </w:r>
          </w:p>
        </w:tc>
        <w:tc>
          <w:tcPr>
            <w:tcW w:w="457" w:type="dxa"/>
            <w:tcBorders>
              <w:top w:val="single" w:color="000000" w:sz="4" w:space="0"/>
              <w:left w:val="single" w:color="000000" w:sz="4" w:space="0"/>
              <w:bottom w:val="single" w:color="000000" w:sz="4" w:space="0"/>
              <w:right w:val="single" w:color="000000" w:sz="4" w:space="0"/>
            </w:tcBorders>
            <w:vAlign w:val="center"/>
          </w:tcPr>
          <w:p w14:paraId="774559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A88CA2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A12332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22B0ED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78E4719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任务调度</w:t>
            </w:r>
          </w:p>
        </w:tc>
        <w:tc>
          <w:tcPr>
            <w:tcW w:w="5281" w:type="dxa"/>
            <w:tcBorders>
              <w:top w:val="single" w:color="000000" w:sz="4" w:space="0"/>
              <w:left w:val="single" w:color="000000" w:sz="4" w:space="0"/>
              <w:bottom w:val="single" w:color="000000" w:sz="4" w:space="0"/>
              <w:right w:val="single" w:color="000000" w:sz="4" w:space="0"/>
            </w:tcBorders>
            <w:vAlign w:val="center"/>
          </w:tcPr>
          <w:p w14:paraId="6EE5BB7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在不超出视频分析最大并发数的前提下，配置任务调度算法及时间窗口管理策略</w:t>
            </w:r>
          </w:p>
        </w:tc>
        <w:tc>
          <w:tcPr>
            <w:tcW w:w="457" w:type="dxa"/>
            <w:tcBorders>
              <w:top w:val="single" w:color="000000" w:sz="4" w:space="0"/>
              <w:left w:val="single" w:color="000000" w:sz="4" w:space="0"/>
              <w:bottom w:val="single" w:color="000000" w:sz="4" w:space="0"/>
              <w:right w:val="single" w:color="000000" w:sz="4" w:space="0"/>
            </w:tcBorders>
            <w:vAlign w:val="center"/>
          </w:tcPr>
          <w:p w14:paraId="7E54A9F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108CF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964417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741F7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48B16B4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预警中心</w:t>
            </w:r>
          </w:p>
        </w:tc>
        <w:tc>
          <w:tcPr>
            <w:tcW w:w="5281" w:type="dxa"/>
            <w:tcBorders>
              <w:top w:val="single" w:color="000000" w:sz="4" w:space="0"/>
              <w:left w:val="single" w:color="000000" w:sz="4" w:space="0"/>
              <w:bottom w:val="single" w:color="000000" w:sz="4" w:space="0"/>
              <w:right w:val="single" w:color="000000" w:sz="4" w:space="0"/>
            </w:tcBorders>
            <w:vAlign w:val="center"/>
          </w:tcPr>
          <w:p w14:paraId="596E2E0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展示预警数据，支持筛选排序</w:t>
            </w:r>
          </w:p>
        </w:tc>
        <w:tc>
          <w:tcPr>
            <w:tcW w:w="457" w:type="dxa"/>
            <w:tcBorders>
              <w:top w:val="single" w:color="000000" w:sz="4" w:space="0"/>
              <w:left w:val="single" w:color="000000" w:sz="4" w:space="0"/>
              <w:bottom w:val="single" w:color="000000" w:sz="4" w:space="0"/>
              <w:right w:val="single" w:color="000000" w:sz="4" w:space="0"/>
            </w:tcBorders>
            <w:vAlign w:val="center"/>
          </w:tcPr>
          <w:p w14:paraId="72E9BB0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BB9FE7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BFDE34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63181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w:t>
            </w:r>
          </w:p>
        </w:tc>
        <w:tc>
          <w:tcPr>
            <w:tcW w:w="1613" w:type="dxa"/>
            <w:tcBorders>
              <w:top w:val="single" w:color="000000" w:sz="4" w:space="0"/>
              <w:left w:val="single" w:color="000000" w:sz="4" w:space="0"/>
              <w:bottom w:val="single" w:color="000000" w:sz="4" w:space="0"/>
              <w:right w:val="single" w:color="000000" w:sz="4" w:space="0"/>
            </w:tcBorders>
            <w:vAlign w:val="center"/>
          </w:tcPr>
          <w:p w14:paraId="043A2AA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预警详情</w:t>
            </w:r>
          </w:p>
        </w:tc>
        <w:tc>
          <w:tcPr>
            <w:tcW w:w="5281" w:type="dxa"/>
            <w:tcBorders>
              <w:top w:val="single" w:color="000000" w:sz="4" w:space="0"/>
              <w:left w:val="single" w:color="000000" w:sz="4" w:space="0"/>
              <w:bottom w:val="single" w:color="000000" w:sz="4" w:space="0"/>
              <w:right w:val="single" w:color="000000" w:sz="4" w:space="0"/>
            </w:tcBorders>
            <w:vAlign w:val="center"/>
          </w:tcPr>
          <w:p w14:paraId="4682638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根据不同算子类型展示预警详情内容</w:t>
            </w:r>
          </w:p>
        </w:tc>
        <w:tc>
          <w:tcPr>
            <w:tcW w:w="457" w:type="dxa"/>
            <w:tcBorders>
              <w:top w:val="single" w:color="000000" w:sz="4" w:space="0"/>
              <w:left w:val="single" w:color="000000" w:sz="4" w:space="0"/>
              <w:bottom w:val="single" w:color="000000" w:sz="4" w:space="0"/>
              <w:right w:val="single" w:color="000000" w:sz="4" w:space="0"/>
            </w:tcBorders>
            <w:vAlign w:val="center"/>
          </w:tcPr>
          <w:p w14:paraId="1330908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92643A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2E665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60559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063E2ED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1A97BD3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指标看板、趋势图、分布图等可视化</w:t>
            </w:r>
          </w:p>
        </w:tc>
        <w:tc>
          <w:tcPr>
            <w:tcW w:w="457" w:type="dxa"/>
            <w:tcBorders>
              <w:top w:val="single" w:color="000000" w:sz="4" w:space="0"/>
              <w:left w:val="single" w:color="000000" w:sz="4" w:space="0"/>
              <w:bottom w:val="single" w:color="000000" w:sz="4" w:space="0"/>
              <w:right w:val="single" w:color="000000" w:sz="4" w:space="0"/>
            </w:tcBorders>
            <w:vAlign w:val="center"/>
          </w:tcPr>
          <w:p w14:paraId="4A4353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3D70D8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0116DD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B189B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5A12686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0F3CD8C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执法文书、执法视频、报警信息对接</w:t>
            </w:r>
          </w:p>
        </w:tc>
        <w:tc>
          <w:tcPr>
            <w:tcW w:w="457" w:type="dxa"/>
            <w:tcBorders>
              <w:top w:val="single" w:color="000000" w:sz="4" w:space="0"/>
              <w:left w:val="single" w:color="000000" w:sz="4" w:space="0"/>
              <w:bottom w:val="single" w:color="000000" w:sz="4" w:space="0"/>
              <w:right w:val="single" w:color="000000" w:sz="4" w:space="0"/>
            </w:tcBorders>
            <w:vAlign w:val="center"/>
          </w:tcPr>
          <w:p w14:paraId="2C55AA4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D71568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5DA3AD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7B04B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314542D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警务通</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模块</w:t>
            </w:r>
          </w:p>
        </w:tc>
        <w:tc>
          <w:tcPr>
            <w:tcW w:w="5281" w:type="dxa"/>
            <w:tcBorders>
              <w:top w:val="single" w:color="000000" w:sz="4" w:space="0"/>
              <w:left w:val="single" w:color="000000" w:sz="4" w:space="0"/>
              <w:bottom w:val="single" w:color="000000" w:sz="4" w:space="0"/>
              <w:right w:val="single" w:color="000000" w:sz="4" w:space="0"/>
            </w:tcBorders>
            <w:vAlign w:val="center"/>
          </w:tcPr>
          <w:p w14:paraId="49219CE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推送事故责任预判辅助信息（视频片段、认定结论）到警务通进行汇总展示</w:t>
            </w:r>
          </w:p>
        </w:tc>
        <w:tc>
          <w:tcPr>
            <w:tcW w:w="457" w:type="dxa"/>
            <w:tcBorders>
              <w:top w:val="single" w:color="000000" w:sz="4" w:space="0"/>
              <w:left w:val="single" w:color="000000" w:sz="4" w:space="0"/>
              <w:bottom w:val="single" w:color="000000" w:sz="4" w:space="0"/>
              <w:right w:val="single" w:color="000000" w:sz="4" w:space="0"/>
            </w:tcBorders>
            <w:vAlign w:val="center"/>
          </w:tcPr>
          <w:p w14:paraId="298D144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44E95E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961377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00FA46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032368C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一键推送</w:t>
            </w:r>
          </w:p>
        </w:tc>
        <w:tc>
          <w:tcPr>
            <w:tcW w:w="5281" w:type="dxa"/>
            <w:tcBorders>
              <w:top w:val="single" w:color="000000" w:sz="4" w:space="0"/>
              <w:left w:val="single" w:color="000000" w:sz="4" w:space="0"/>
              <w:bottom w:val="single" w:color="000000" w:sz="4" w:space="0"/>
              <w:right w:val="single" w:color="000000" w:sz="4" w:space="0"/>
            </w:tcBorders>
            <w:vAlign w:val="center"/>
          </w:tcPr>
          <w:p w14:paraId="00774DD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推送报警至警务通</w:t>
            </w:r>
            <w:r>
              <w:rPr>
                <w:rFonts w:hint="eastAsia" w:asciiTheme="minorEastAsia" w:hAnsiTheme="minorEastAsia" w:eastAsiaTheme="minorEastAsia"/>
                <w:color w:val="000000"/>
                <w:sz w:val="24"/>
                <w:szCs w:val="24"/>
                <w:highlight w:val="none"/>
                <w:lang w:eastAsia="zh-CN" w:bidi="ar"/>
              </w:rPr>
              <w:t>app</w:t>
            </w:r>
          </w:p>
        </w:tc>
        <w:tc>
          <w:tcPr>
            <w:tcW w:w="457" w:type="dxa"/>
            <w:tcBorders>
              <w:top w:val="single" w:color="000000" w:sz="4" w:space="0"/>
              <w:left w:val="single" w:color="000000" w:sz="4" w:space="0"/>
              <w:bottom w:val="single" w:color="000000" w:sz="4" w:space="0"/>
              <w:right w:val="single" w:color="000000" w:sz="4" w:space="0"/>
            </w:tcBorders>
            <w:vAlign w:val="center"/>
          </w:tcPr>
          <w:p w14:paraId="7BF230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2C8E7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B3FBB4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19A2686">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十二</w:t>
            </w:r>
          </w:p>
        </w:tc>
        <w:tc>
          <w:tcPr>
            <w:tcW w:w="1613" w:type="dxa"/>
            <w:tcBorders>
              <w:top w:val="single" w:color="000000" w:sz="4" w:space="0"/>
              <w:left w:val="single" w:color="000000" w:sz="4" w:space="0"/>
              <w:bottom w:val="single" w:color="000000" w:sz="4" w:space="0"/>
              <w:right w:val="single" w:color="000000" w:sz="4" w:space="0"/>
            </w:tcBorders>
            <w:vAlign w:val="center"/>
          </w:tcPr>
          <w:p w14:paraId="21C4CF67">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交通监控设备标志牌</w:t>
            </w:r>
          </w:p>
        </w:tc>
        <w:tc>
          <w:tcPr>
            <w:tcW w:w="5281" w:type="dxa"/>
            <w:tcBorders>
              <w:top w:val="single" w:color="000000" w:sz="4" w:space="0"/>
              <w:left w:val="single" w:color="000000" w:sz="4" w:space="0"/>
              <w:bottom w:val="single" w:color="000000" w:sz="4" w:space="0"/>
              <w:right w:val="single" w:color="000000" w:sz="4" w:space="0"/>
            </w:tcBorders>
            <w:vAlign w:val="center"/>
          </w:tcPr>
          <w:p w14:paraId="16556B6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白底、蓝图形、黑边框、白色衬边，</w:t>
            </w:r>
            <w:r>
              <w:rPr>
                <w:rFonts w:hint="eastAsia" w:asciiTheme="minorEastAsia" w:hAnsiTheme="minorEastAsia" w:eastAsiaTheme="minorEastAsia"/>
                <w:color w:val="000000"/>
                <w:sz w:val="24"/>
                <w:szCs w:val="24"/>
                <w:highlight w:val="none"/>
                <w:lang w:eastAsia="zh-CN" w:bidi="ar"/>
              </w:rPr>
              <w:t>600mm*800mm,</w:t>
            </w:r>
            <w:r>
              <w:rPr>
                <w:rFonts w:hint="eastAsia" w:cs="微软雅黑" w:asciiTheme="minorEastAsia" w:hAnsiTheme="minorEastAsia" w:eastAsiaTheme="minorEastAsia"/>
                <w:color w:val="000000"/>
                <w:sz w:val="24"/>
                <w:szCs w:val="24"/>
                <w:highlight w:val="none"/>
                <w:lang w:eastAsia="zh-CN" w:bidi="ar"/>
              </w:rPr>
              <w:t>板面采用</w:t>
            </w:r>
            <w:r>
              <w:rPr>
                <w:rFonts w:hint="eastAsia" w:asciiTheme="minorEastAsia" w:hAnsiTheme="minorEastAsia" w:eastAsiaTheme="minorEastAsia"/>
                <w:color w:val="000000"/>
                <w:sz w:val="24"/>
                <w:szCs w:val="24"/>
                <w:highlight w:val="none"/>
                <w:lang w:eastAsia="zh-CN" w:bidi="ar"/>
              </w:rPr>
              <w:t>2mm</w:t>
            </w:r>
            <w:r>
              <w:rPr>
                <w:rFonts w:hint="eastAsia" w:cs="微软雅黑" w:asciiTheme="minorEastAsia" w:hAnsiTheme="minorEastAsia" w:eastAsiaTheme="minorEastAsia"/>
                <w:color w:val="000000"/>
                <w:sz w:val="24"/>
                <w:szCs w:val="24"/>
                <w:highlight w:val="none"/>
                <w:lang w:eastAsia="zh-CN" w:bidi="ar"/>
              </w:rPr>
              <w:t>厚铝板</w:t>
            </w:r>
            <w:r>
              <w:rPr>
                <w:rFonts w:hint="eastAsia" w:asciiTheme="minorEastAsia" w:hAnsiTheme="minorEastAsia" w:eastAsiaTheme="minorEastAsia"/>
                <w:color w:val="000000"/>
                <w:sz w:val="24"/>
                <w:szCs w:val="24"/>
                <w:highlight w:val="none"/>
                <w:lang w:eastAsia="zh-CN" w:bidi="ar"/>
              </w:rPr>
              <w:t>+III</w:t>
            </w:r>
            <w:r>
              <w:rPr>
                <w:rFonts w:hint="eastAsia" w:cs="微软雅黑" w:asciiTheme="minorEastAsia" w:hAnsiTheme="minorEastAsia" w:eastAsiaTheme="minorEastAsia"/>
                <w:color w:val="000000"/>
                <w:sz w:val="24"/>
                <w:szCs w:val="24"/>
                <w:highlight w:val="none"/>
                <w:lang w:eastAsia="zh-CN" w:bidi="ar"/>
              </w:rPr>
              <w:t>类反光膜，文字和图案采用</w:t>
            </w:r>
            <w:r>
              <w:rPr>
                <w:rFonts w:hint="eastAsia" w:asciiTheme="minorEastAsia" w:hAnsiTheme="minorEastAsia" w:eastAsiaTheme="minorEastAsia"/>
                <w:color w:val="000000"/>
                <w:sz w:val="24"/>
                <w:szCs w:val="24"/>
                <w:highlight w:val="none"/>
                <w:lang w:eastAsia="zh-CN" w:bidi="ar"/>
              </w:rPr>
              <w:t>IV</w:t>
            </w:r>
            <w:r>
              <w:rPr>
                <w:rFonts w:hint="eastAsia" w:cs="微软雅黑" w:asciiTheme="minorEastAsia" w:hAnsiTheme="minorEastAsia" w:eastAsiaTheme="minorEastAsia"/>
                <w:color w:val="000000"/>
                <w:sz w:val="24"/>
                <w:szCs w:val="24"/>
                <w:highlight w:val="none"/>
                <w:lang w:eastAsia="zh-CN" w:bidi="ar"/>
              </w:rPr>
              <w:t>类反光膜，附着式安装</w:t>
            </w:r>
          </w:p>
        </w:tc>
        <w:tc>
          <w:tcPr>
            <w:tcW w:w="457" w:type="dxa"/>
            <w:tcBorders>
              <w:top w:val="single" w:color="000000" w:sz="4" w:space="0"/>
              <w:left w:val="single" w:color="000000" w:sz="4" w:space="0"/>
              <w:bottom w:val="single" w:color="000000" w:sz="4" w:space="0"/>
              <w:right w:val="single" w:color="000000" w:sz="4" w:space="0"/>
            </w:tcBorders>
            <w:vAlign w:val="center"/>
          </w:tcPr>
          <w:p w14:paraId="6605FEB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块</w:t>
            </w:r>
          </w:p>
        </w:tc>
        <w:tc>
          <w:tcPr>
            <w:tcW w:w="0" w:type="auto"/>
            <w:tcBorders>
              <w:top w:val="single" w:color="000000" w:sz="4" w:space="0"/>
              <w:left w:val="single" w:color="000000" w:sz="4" w:space="0"/>
              <w:bottom w:val="single" w:color="000000" w:sz="4" w:space="0"/>
              <w:right w:val="single" w:color="000000" w:sz="4" w:space="0"/>
            </w:tcBorders>
            <w:vAlign w:val="center"/>
          </w:tcPr>
          <w:p w14:paraId="0F0AC54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586</w:t>
            </w:r>
          </w:p>
        </w:tc>
      </w:tr>
      <w:tr w14:paraId="61F1A16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700048E">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十三</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66BBA828">
            <w:pPr>
              <w:pStyle w:val="201"/>
              <w:spacing w:line="400" w:lineRule="exact"/>
              <w:rPr>
                <w:rFonts w:hint="eastAsia" w:asciiTheme="minorEastAsia" w:hAnsiTheme="minorEastAsia" w:eastAsiaTheme="minorEastAsia"/>
                <w:b/>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风雨连廊</w:t>
            </w:r>
          </w:p>
        </w:tc>
        <w:tc>
          <w:tcPr>
            <w:tcW w:w="457" w:type="dxa"/>
            <w:tcBorders>
              <w:top w:val="single" w:color="000000" w:sz="4" w:space="0"/>
              <w:left w:val="single" w:color="000000" w:sz="4" w:space="0"/>
              <w:bottom w:val="single" w:color="000000" w:sz="4" w:space="0"/>
              <w:right w:val="single" w:color="000000" w:sz="4" w:space="0"/>
            </w:tcBorders>
            <w:vAlign w:val="center"/>
          </w:tcPr>
          <w:p w14:paraId="482EE7F0">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A84C11F">
            <w:pPr>
              <w:pStyle w:val="201"/>
              <w:spacing w:line="400" w:lineRule="exact"/>
              <w:jc w:val="center"/>
              <w:rPr>
                <w:rFonts w:hint="eastAsia" w:asciiTheme="minorEastAsia" w:hAnsiTheme="minorEastAsia" w:eastAsiaTheme="minorEastAsia"/>
                <w:b/>
                <w:color w:val="000000"/>
                <w:sz w:val="24"/>
                <w:szCs w:val="24"/>
                <w:highlight w:val="none"/>
              </w:rPr>
            </w:pPr>
          </w:p>
        </w:tc>
      </w:tr>
      <w:tr w14:paraId="7F83B1B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DCA79F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2BB4AD8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膜结构遮阳棚端头段</w:t>
            </w:r>
          </w:p>
        </w:tc>
        <w:tc>
          <w:tcPr>
            <w:tcW w:w="5281" w:type="dxa"/>
            <w:tcBorders>
              <w:top w:val="single" w:color="000000" w:sz="4" w:space="0"/>
              <w:left w:val="single" w:color="000000" w:sz="4" w:space="0"/>
              <w:bottom w:val="single" w:color="000000" w:sz="4" w:space="0"/>
              <w:right w:val="single" w:color="000000" w:sz="4" w:space="0"/>
            </w:tcBorders>
            <w:vAlign w:val="center"/>
          </w:tcPr>
          <w:p w14:paraId="4D71D68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立柱</w:t>
            </w:r>
            <w:r>
              <w:rPr>
                <w:rStyle w:val="240"/>
                <w:rFonts w:asciiTheme="minorEastAsia" w:hAnsiTheme="minorEastAsia" w:eastAsiaTheme="minorEastAsia"/>
                <w:sz w:val="24"/>
                <w:szCs w:val="24"/>
                <w:highlight w:val="none"/>
                <w:lang w:eastAsia="zh-CN" w:bidi="ar"/>
              </w:rPr>
              <w:t>Ø</w:t>
            </w:r>
            <w:r>
              <w:rPr>
                <w:rFonts w:hint="eastAsia" w:asciiTheme="minorEastAsia" w:hAnsiTheme="minorEastAsia" w:eastAsiaTheme="minorEastAsia"/>
                <w:color w:val="000000"/>
                <w:sz w:val="24"/>
                <w:szCs w:val="24"/>
                <w:highlight w:val="none"/>
                <w:lang w:eastAsia="zh-CN" w:bidi="ar"/>
              </w:rPr>
              <w:t>165*6mm</w:t>
            </w:r>
            <w:r>
              <w:rPr>
                <w:rFonts w:hint="eastAsia" w:cs="微软雅黑" w:asciiTheme="minorEastAsia" w:hAnsiTheme="minorEastAsia" w:eastAsiaTheme="minorEastAsia"/>
                <w:color w:val="000000"/>
                <w:sz w:val="24"/>
                <w:szCs w:val="24"/>
                <w:highlight w:val="none"/>
                <w:lang w:eastAsia="zh-CN" w:bidi="ar"/>
              </w:rPr>
              <w:t>，高</w:t>
            </w:r>
            <w:r>
              <w:rPr>
                <w:rFonts w:hint="eastAsia" w:asciiTheme="minorEastAsia" w:hAnsiTheme="minorEastAsia" w:eastAsiaTheme="minorEastAsia"/>
                <w:color w:val="000000"/>
                <w:sz w:val="24"/>
                <w:szCs w:val="24"/>
                <w:highlight w:val="none"/>
                <w:lang w:eastAsia="zh-CN" w:bidi="ar"/>
              </w:rPr>
              <w:t>2820mm</w:t>
            </w:r>
            <w:r>
              <w:rPr>
                <w:rFonts w:hint="eastAsia" w:cs="微软雅黑" w:asciiTheme="minorEastAsia" w:hAnsiTheme="minorEastAsia" w:eastAsiaTheme="minorEastAsia"/>
                <w:color w:val="000000"/>
                <w:sz w:val="24"/>
                <w:szCs w:val="24"/>
                <w:highlight w:val="none"/>
                <w:lang w:eastAsia="zh-CN" w:bidi="ar"/>
              </w:rPr>
              <w:t>、</w:t>
            </w:r>
            <w:r>
              <w:rPr>
                <w:rFonts w:hint="eastAsia" w:asciiTheme="minorEastAsia" w:hAnsiTheme="minorEastAsia" w:eastAsiaTheme="minorEastAsia"/>
                <w:color w:val="000000"/>
                <w:sz w:val="24"/>
                <w:szCs w:val="24"/>
                <w:highlight w:val="none"/>
                <w:lang w:eastAsia="zh-CN" w:bidi="ar"/>
              </w:rPr>
              <w:t>3820mm</w:t>
            </w:r>
            <w:r>
              <w:rPr>
                <w:rFonts w:hint="eastAsia" w:cs="微软雅黑" w:asciiTheme="minorEastAsia" w:hAnsiTheme="minorEastAsia" w:eastAsiaTheme="minorEastAsia"/>
                <w:color w:val="000000"/>
                <w:sz w:val="24"/>
                <w:szCs w:val="24"/>
                <w:highlight w:val="none"/>
                <w:lang w:eastAsia="zh-CN" w:bidi="ar"/>
              </w:rPr>
              <w:t>；棚高</w:t>
            </w:r>
            <w:r>
              <w:rPr>
                <w:rFonts w:hint="eastAsia" w:asciiTheme="minorEastAsia" w:hAnsiTheme="minorEastAsia" w:eastAsiaTheme="minorEastAsia"/>
                <w:color w:val="000000"/>
                <w:sz w:val="24"/>
                <w:szCs w:val="24"/>
                <w:highlight w:val="none"/>
                <w:lang w:eastAsia="zh-CN" w:bidi="ar"/>
              </w:rPr>
              <w:t>2500~3280mm</w:t>
            </w:r>
            <w:r>
              <w:rPr>
                <w:rFonts w:hint="eastAsia" w:cs="微软雅黑" w:asciiTheme="minorEastAsia" w:hAnsiTheme="minorEastAsia" w:eastAsiaTheme="minorEastAsia"/>
                <w:color w:val="000000"/>
                <w:sz w:val="24"/>
                <w:szCs w:val="24"/>
                <w:highlight w:val="none"/>
                <w:lang w:eastAsia="zh-CN" w:bidi="ar"/>
              </w:rPr>
              <w:t>，挑臂</w:t>
            </w:r>
            <w:r>
              <w:rPr>
                <w:rFonts w:hint="eastAsia" w:asciiTheme="minorEastAsia" w:hAnsiTheme="minorEastAsia" w:eastAsiaTheme="minorEastAsia"/>
                <w:color w:val="000000"/>
                <w:sz w:val="24"/>
                <w:szCs w:val="24"/>
                <w:highlight w:val="none"/>
                <w:lang w:eastAsia="zh-CN" w:bidi="ar"/>
              </w:rPr>
              <w:t>H220*100*6*6mm</w:t>
            </w:r>
            <w:r>
              <w:rPr>
                <w:rFonts w:hint="eastAsia" w:cs="微软雅黑" w:asciiTheme="minorEastAsia" w:hAnsiTheme="minorEastAsia" w:eastAsiaTheme="minorEastAsia"/>
                <w:color w:val="000000"/>
                <w:sz w:val="24"/>
                <w:szCs w:val="24"/>
                <w:highlight w:val="none"/>
                <w:lang w:eastAsia="zh-CN" w:bidi="ar"/>
              </w:rPr>
              <w:t>，含基础，详见技术要求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233EF12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米</w:t>
            </w:r>
          </w:p>
        </w:tc>
        <w:tc>
          <w:tcPr>
            <w:tcW w:w="0" w:type="auto"/>
            <w:tcBorders>
              <w:top w:val="single" w:color="000000" w:sz="4" w:space="0"/>
              <w:left w:val="single" w:color="000000" w:sz="4" w:space="0"/>
              <w:bottom w:val="single" w:color="000000" w:sz="4" w:space="0"/>
              <w:right w:val="single" w:color="000000" w:sz="4" w:space="0"/>
            </w:tcBorders>
            <w:vAlign w:val="center"/>
          </w:tcPr>
          <w:p w14:paraId="40B51F6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r>
      <w:tr w14:paraId="6E455F1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A46F71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0F819C8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膜结构遮阳棚连廊段</w:t>
            </w:r>
          </w:p>
        </w:tc>
        <w:tc>
          <w:tcPr>
            <w:tcW w:w="5281" w:type="dxa"/>
            <w:tcBorders>
              <w:top w:val="single" w:color="000000" w:sz="4" w:space="0"/>
              <w:left w:val="single" w:color="000000" w:sz="4" w:space="0"/>
              <w:bottom w:val="single" w:color="000000" w:sz="4" w:space="0"/>
              <w:right w:val="single" w:color="000000" w:sz="4" w:space="0"/>
            </w:tcBorders>
            <w:vAlign w:val="center"/>
          </w:tcPr>
          <w:p w14:paraId="7A5D931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立柱</w:t>
            </w:r>
            <w:r>
              <w:rPr>
                <w:rStyle w:val="241"/>
                <w:rFonts w:asciiTheme="minorEastAsia" w:hAnsiTheme="minorEastAsia" w:eastAsiaTheme="minorEastAsia"/>
                <w:sz w:val="24"/>
                <w:szCs w:val="24"/>
                <w:highlight w:val="none"/>
                <w:lang w:eastAsia="zh-CN" w:bidi="ar"/>
              </w:rPr>
              <w:t>Ø</w:t>
            </w:r>
            <w:r>
              <w:rPr>
                <w:rFonts w:hint="eastAsia" w:asciiTheme="minorEastAsia" w:hAnsiTheme="minorEastAsia" w:eastAsiaTheme="minorEastAsia"/>
                <w:color w:val="000000"/>
                <w:sz w:val="24"/>
                <w:szCs w:val="24"/>
                <w:highlight w:val="none"/>
                <w:lang w:eastAsia="zh-CN" w:bidi="ar"/>
              </w:rPr>
              <w:t>165*6mm</w:t>
            </w:r>
            <w:r>
              <w:rPr>
                <w:rFonts w:hint="eastAsia" w:cs="微软雅黑" w:asciiTheme="minorEastAsia" w:hAnsiTheme="minorEastAsia" w:eastAsiaTheme="minorEastAsia"/>
                <w:color w:val="000000"/>
                <w:sz w:val="24"/>
                <w:szCs w:val="24"/>
                <w:highlight w:val="none"/>
                <w:lang w:eastAsia="zh-CN" w:bidi="ar"/>
              </w:rPr>
              <w:t>，高</w:t>
            </w:r>
            <w:r>
              <w:rPr>
                <w:rFonts w:hint="eastAsia" w:asciiTheme="minorEastAsia" w:hAnsiTheme="minorEastAsia" w:eastAsiaTheme="minorEastAsia"/>
                <w:color w:val="000000"/>
                <w:sz w:val="24"/>
                <w:szCs w:val="24"/>
                <w:highlight w:val="none"/>
                <w:lang w:eastAsia="zh-CN" w:bidi="ar"/>
              </w:rPr>
              <w:t>2820mm</w:t>
            </w:r>
            <w:r>
              <w:rPr>
                <w:rFonts w:hint="eastAsia" w:cs="微软雅黑" w:asciiTheme="minorEastAsia" w:hAnsiTheme="minorEastAsia" w:eastAsiaTheme="minorEastAsia"/>
                <w:color w:val="000000"/>
                <w:sz w:val="24"/>
                <w:szCs w:val="24"/>
                <w:highlight w:val="none"/>
                <w:lang w:eastAsia="zh-CN" w:bidi="ar"/>
              </w:rPr>
              <w:t>；棚高</w:t>
            </w:r>
            <w:r>
              <w:rPr>
                <w:rFonts w:hint="eastAsia" w:asciiTheme="minorEastAsia" w:hAnsiTheme="minorEastAsia" w:eastAsiaTheme="minorEastAsia"/>
                <w:color w:val="000000"/>
                <w:sz w:val="24"/>
                <w:szCs w:val="24"/>
                <w:highlight w:val="none"/>
                <w:lang w:eastAsia="zh-CN" w:bidi="ar"/>
              </w:rPr>
              <w:t>2500~3120mm</w:t>
            </w:r>
            <w:r>
              <w:rPr>
                <w:rFonts w:hint="eastAsia" w:cs="微软雅黑" w:asciiTheme="minorEastAsia" w:hAnsiTheme="minorEastAsia" w:eastAsiaTheme="minorEastAsia"/>
                <w:color w:val="000000"/>
                <w:sz w:val="24"/>
                <w:szCs w:val="24"/>
                <w:highlight w:val="none"/>
                <w:lang w:eastAsia="zh-CN" w:bidi="ar"/>
              </w:rPr>
              <w:t>，挑臂</w:t>
            </w:r>
            <w:r>
              <w:rPr>
                <w:rFonts w:hint="eastAsia" w:asciiTheme="minorEastAsia" w:hAnsiTheme="minorEastAsia" w:eastAsiaTheme="minorEastAsia"/>
                <w:color w:val="000000"/>
                <w:sz w:val="24"/>
                <w:szCs w:val="24"/>
                <w:highlight w:val="none"/>
                <w:lang w:eastAsia="zh-CN" w:bidi="ar"/>
              </w:rPr>
              <w:t>H110~220*100*6*6mm</w:t>
            </w:r>
            <w:r>
              <w:rPr>
                <w:rFonts w:hint="eastAsia" w:cs="微软雅黑" w:asciiTheme="minorEastAsia" w:hAnsiTheme="minorEastAsia" w:eastAsiaTheme="minorEastAsia"/>
                <w:color w:val="000000"/>
                <w:sz w:val="24"/>
                <w:szCs w:val="24"/>
                <w:highlight w:val="none"/>
                <w:lang w:eastAsia="zh-CN" w:bidi="ar"/>
              </w:rPr>
              <w:t>；每</w:t>
            </w:r>
            <w:r>
              <w:rPr>
                <w:rFonts w:hint="eastAsia" w:asciiTheme="minorEastAsia" w:hAnsiTheme="minorEastAsia" w:eastAsiaTheme="minorEastAsia"/>
                <w:color w:val="000000"/>
                <w:sz w:val="24"/>
                <w:szCs w:val="24"/>
                <w:highlight w:val="none"/>
                <w:lang w:eastAsia="zh-CN" w:bidi="ar"/>
              </w:rPr>
              <w:t>5750mm</w:t>
            </w:r>
            <w:r>
              <w:rPr>
                <w:rFonts w:hint="eastAsia" w:cs="微软雅黑" w:asciiTheme="minorEastAsia" w:hAnsiTheme="minorEastAsia" w:eastAsiaTheme="minorEastAsia"/>
                <w:color w:val="000000"/>
                <w:sz w:val="24"/>
                <w:szCs w:val="24"/>
                <w:highlight w:val="none"/>
                <w:lang w:eastAsia="zh-CN" w:bidi="ar"/>
              </w:rPr>
              <w:t>为一隔断，侧面居中设置</w:t>
            </w:r>
            <w:r>
              <w:rPr>
                <w:rFonts w:hint="eastAsia" w:asciiTheme="minorEastAsia" w:hAnsiTheme="minorEastAsia" w:eastAsiaTheme="minorEastAsia"/>
                <w:color w:val="000000"/>
                <w:sz w:val="24"/>
                <w:szCs w:val="24"/>
                <w:highlight w:val="none"/>
                <w:lang w:eastAsia="zh-CN" w:bidi="ar"/>
              </w:rPr>
              <w:t>3500mm*1000mm</w:t>
            </w:r>
            <w:r>
              <w:rPr>
                <w:rFonts w:hint="eastAsia" w:cs="微软雅黑" w:asciiTheme="minorEastAsia" w:hAnsiTheme="minorEastAsia" w:eastAsiaTheme="minorEastAsia"/>
                <w:color w:val="000000"/>
                <w:sz w:val="24"/>
                <w:szCs w:val="24"/>
                <w:highlight w:val="none"/>
                <w:lang w:eastAsia="zh-CN" w:bidi="ar"/>
              </w:rPr>
              <w:t>宣传栏，宣传栏边框</w:t>
            </w:r>
            <w:r>
              <w:rPr>
                <w:rFonts w:hint="eastAsia" w:asciiTheme="minorEastAsia" w:hAnsiTheme="minorEastAsia" w:eastAsiaTheme="minorEastAsia"/>
                <w:color w:val="000000"/>
                <w:sz w:val="24"/>
                <w:szCs w:val="24"/>
                <w:highlight w:val="none"/>
                <w:lang w:eastAsia="zh-CN" w:bidi="ar"/>
              </w:rPr>
              <w:t>50*50*5mm</w:t>
            </w:r>
            <w:r>
              <w:rPr>
                <w:rFonts w:hint="eastAsia" w:cs="微软雅黑" w:asciiTheme="minorEastAsia" w:hAnsiTheme="minorEastAsia" w:eastAsiaTheme="minorEastAsia"/>
                <w:color w:val="000000"/>
                <w:sz w:val="24"/>
                <w:szCs w:val="24"/>
                <w:highlight w:val="none"/>
                <w:lang w:eastAsia="zh-CN" w:bidi="ar"/>
              </w:rPr>
              <w:t>，背板为铝板，采用扭动合页结构，配置两根</w:t>
            </w:r>
            <w:r>
              <w:rPr>
                <w:rFonts w:hint="eastAsia" w:asciiTheme="minorEastAsia" w:hAnsiTheme="minorEastAsia" w:eastAsiaTheme="minorEastAsia"/>
                <w:color w:val="000000"/>
                <w:sz w:val="24"/>
                <w:szCs w:val="24"/>
                <w:highlight w:val="none"/>
                <w:lang w:eastAsia="zh-CN" w:bidi="ar"/>
              </w:rPr>
              <w:t>600mm</w:t>
            </w:r>
            <w:r>
              <w:rPr>
                <w:rFonts w:hint="eastAsia" w:cs="微软雅黑" w:asciiTheme="minorEastAsia" w:hAnsiTheme="minorEastAsia" w:eastAsiaTheme="minorEastAsia"/>
                <w:color w:val="000000"/>
                <w:sz w:val="24"/>
                <w:szCs w:val="24"/>
                <w:highlight w:val="none"/>
                <w:lang w:eastAsia="zh-CN" w:bidi="ar"/>
              </w:rPr>
              <w:t>长液压杆；面板边框</w:t>
            </w:r>
            <w:r>
              <w:rPr>
                <w:rFonts w:hint="eastAsia" w:asciiTheme="minorEastAsia" w:hAnsiTheme="minorEastAsia" w:eastAsiaTheme="minorEastAsia"/>
                <w:color w:val="000000"/>
                <w:sz w:val="24"/>
                <w:szCs w:val="24"/>
                <w:highlight w:val="none"/>
                <w:lang w:eastAsia="zh-CN" w:bidi="ar"/>
              </w:rPr>
              <w:t>50*50*2.5mm</w:t>
            </w:r>
            <w:r>
              <w:rPr>
                <w:rFonts w:hint="eastAsia" w:cs="微软雅黑" w:asciiTheme="minorEastAsia" w:hAnsiTheme="minorEastAsia" w:eastAsiaTheme="minorEastAsia"/>
                <w:color w:val="000000"/>
                <w:sz w:val="24"/>
                <w:szCs w:val="24"/>
                <w:highlight w:val="none"/>
                <w:lang w:eastAsia="zh-CN" w:bidi="ar"/>
              </w:rPr>
              <w:t>，配</w:t>
            </w:r>
            <w:r>
              <w:rPr>
                <w:rFonts w:hint="eastAsia" w:asciiTheme="minorEastAsia" w:hAnsiTheme="minorEastAsia" w:eastAsiaTheme="minorEastAsia"/>
                <w:color w:val="000000"/>
                <w:sz w:val="24"/>
                <w:szCs w:val="24"/>
                <w:highlight w:val="none"/>
                <w:lang w:eastAsia="zh-CN" w:bidi="ar"/>
              </w:rPr>
              <w:t>5mm</w:t>
            </w:r>
            <w:r>
              <w:rPr>
                <w:rFonts w:hint="eastAsia" w:cs="微软雅黑" w:asciiTheme="minorEastAsia" w:hAnsiTheme="minorEastAsia" w:eastAsiaTheme="minorEastAsia"/>
                <w:color w:val="000000"/>
                <w:sz w:val="24"/>
                <w:szCs w:val="24"/>
                <w:highlight w:val="none"/>
                <w:lang w:eastAsia="zh-CN" w:bidi="ar"/>
              </w:rPr>
              <w:t>钢化玻璃，含基础，详见技术要求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72DFF8B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米</w:t>
            </w:r>
          </w:p>
        </w:tc>
        <w:tc>
          <w:tcPr>
            <w:tcW w:w="0" w:type="auto"/>
            <w:tcBorders>
              <w:top w:val="single" w:color="000000" w:sz="4" w:space="0"/>
              <w:left w:val="single" w:color="000000" w:sz="4" w:space="0"/>
              <w:bottom w:val="single" w:color="000000" w:sz="4" w:space="0"/>
              <w:right w:val="single" w:color="000000" w:sz="4" w:space="0"/>
            </w:tcBorders>
            <w:vAlign w:val="center"/>
          </w:tcPr>
          <w:p w14:paraId="1554B8E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46</w:t>
            </w:r>
          </w:p>
        </w:tc>
      </w:tr>
      <w:tr w14:paraId="617B810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65DB68A">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十四</w:t>
            </w:r>
          </w:p>
        </w:tc>
        <w:tc>
          <w:tcPr>
            <w:tcW w:w="1613" w:type="dxa"/>
            <w:tcBorders>
              <w:top w:val="single" w:color="000000" w:sz="4" w:space="0"/>
              <w:left w:val="single" w:color="000000" w:sz="4" w:space="0"/>
              <w:bottom w:val="single" w:color="000000" w:sz="4" w:space="0"/>
              <w:right w:val="single" w:color="000000" w:sz="4" w:space="0"/>
            </w:tcBorders>
            <w:vAlign w:val="center"/>
          </w:tcPr>
          <w:p w14:paraId="0430CD8A">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路口遮阳篷</w:t>
            </w:r>
          </w:p>
        </w:tc>
        <w:tc>
          <w:tcPr>
            <w:tcW w:w="5281" w:type="dxa"/>
            <w:tcBorders>
              <w:top w:val="single" w:color="000000" w:sz="4" w:space="0"/>
              <w:left w:val="single" w:color="000000" w:sz="4" w:space="0"/>
              <w:bottom w:val="single" w:color="000000" w:sz="4" w:space="0"/>
              <w:right w:val="single" w:color="000000" w:sz="4" w:space="0"/>
            </w:tcBorders>
            <w:vAlign w:val="center"/>
          </w:tcPr>
          <w:p w14:paraId="5F49CEE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立柱</w:t>
            </w:r>
            <w:r>
              <w:rPr>
                <w:rFonts w:hint="eastAsia" w:asciiTheme="minorEastAsia" w:hAnsiTheme="minorEastAsia" w:eastAsiaTheme="minorEastAsia"/>
                <w:color w:val="000000"/>
                <w:sz w:val="24"/>
                <w:szCs w:val="24"/>
                <w:highlight w:val="none"/>
                <w:lang w:eastAsia="zh-CN" w:bidi="ar"/>
              </w:rPr>
              <w:t>4380*250*250*10mm</w:t>
            </w:r>
            <w:r>
              <w:rPr>
                <w:rFonts w:hint="eastAsia" w:cs="微软雅黑" w:asciiTheme="minorEastAsia" w:hAnsiTheme="minorEastAsia" w:eastAsiaTheme="minorEastAsia"/>
                <w:color w:val="000000"/>
                <w:sz w:val="24"/>
                <w:szCs w:val="24"/>
                <w:highlight w:val="none"/>
                <w:lang w:eastAsia="zh-CN" w:bidi="ar"/>
              </w:rPr>
              <w:t>镀锌方管；双挑臂长不低于</w:t>
            </w:r>
            <w:r>
              <w:rPr>
                <w:rFonts w:hint="eastAsia" w:asciiTheme="minorEastAsia" w:hAnsiTheme="minorEastAsia" w:eastAsiaTheme="minorEastAsia"/>
                <w:color w:val="000000"/>
                <w:sz w:val="24"/>
                <w:szCs w:val="24"/>
                <w:highlight w:val="none"/>
                <w:lang w:eastAsia="zh-CN" w:bidi="ar"/>
              </w:rPr>
              <w:t>3150mm</w:t>
            </w:r>
            <w:r>
              <w:rPr>
                <w:rFonts w:hint="eastAsia" w:cs="微软雅黑" w:asciiTheme="minorEastAsia" w:hAnsiTheme="minorEastAsia" w:eastAsiaTheme="minorEastAsia"/>
                <w:color w:val="000000"/>
                <w:sz w:val="24"/>
                <w:szCs w:val="24"/>
                <w:highlight w:val="none"/>
                <w:lang w:eastAsia="zh-CN" w:bidi="ar"/>
              </w:rPr>
              <w:t>，</w:t>
            </w:r>
            <w:r>
              <w:rPr>
                <w:rFonts w:hint="eastAsia" w:asciiTheme="minorEastAsia" w:hAnsiTheme="minorEastAsia" w:eastAsiaTheme="minorEastAsia"/>
                <w:color w:val="000000"/>
                <w:sz w:val="24"/>
                <w:szCs w:val="24"/>
                <w:highlight w:val="none"/>
                <w:lang w:eastAsia="zh-CN" w:bidi="ar"/>
              </w:rPr>
              <w:t>250*150*8mm</w:t>
            </w:r>
            <w:r>
              <w:rPr>
                <w:rFonts w:hint="eastAsia" w:cs="微软雅黑" w:asciiTheme="minorEastAsia" w:hAnsiTheme="minorEastAsia" w:eastAsiaTheme="minorEastAsia"/>
                <w:color w:val="000000"/>
                <w:sz w:val="24"/>
                <w:szCs w:val="24"/>
                <w:highlight w:val="none"/>
                <w:lang w:eastAsia="zh-CN" w:bidi="ar"/>
              </w:rPr>
              <w:t>镀锌方管，棚展宽与悬臂相等，长不低于</w:t>
            </w:r>
            <w:r>
              <w:rPr>
                <w:rFonts w:hint="eastAsia" w:asciiTheme="minorEastAsia" w:hAnsiTheme="minorEastAsia" w:eastAsiaTheme="minorEastAsia"/>
                <w:color w:val="000000"/>
                <w:sz w:val="24"/>
                <w:szCs w:val="24"/>
                <w:highlight w:val="none"/>
                <w:lang w:eastAsia="zh-CN" w:bidi="ar"/>
              </w:rPr>
              <w:t>4200mm</w:t>
            </w:r>
            <w:r>
              <w:rPr>
                <w:rFonts w:hint="eastAsia" w:cs="微软雅黑" w:asciiTheme="minorEastAsia" w:hAnsiTheme="minorEastAsia" w:eastAsiaTheme="minorEastAsia"/>
                <w:color w:val="000000"/>
                <w:sz w:val="24"/>
                <w:szCs w:val="24"/>
                <w:highlight w:val="none"/>
                <w:lang w:eastAsia="zh-CN" w:bidi="ar"/>
              </w:rPr>
              <w:t>，含基础，详见技术要求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2D93F88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20B1D66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r>
      <w:tr w14:paraId="3790D81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A114E7E">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十五</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64FD2205">
            <w:pPr>
              <w:pStyle w:val="201"/>
              <w:spacing w:line="400" w:lineRule="exact"/>
              <w:rPr>
                <w:rFonts w:hint="eastAsia" w:asciiTheme="minorEastAsia" w:hAnsiTheme="minorEastAsia" w:eastAsiaTheme="minorEastAsia"/>
                <w:b/>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安全接入</w:t>
            </w:r>
          </w:p>
        </w:tc>
        <w:tc>
          <w:tcPr>
            <w:tcW w:w="457" w:type="dxa"/>
            <w:tcBorders>
              <w:top w:val="single" w:color="000000" w:sz="4" w:space="0"/>
              <w:left w:val="single" w:color="000000" w:sz="4" w:space="0"/>
              <w:bottom w:val="single" w:color="000000" w:sz="4" w:space="0"/>
              <w:right w:val="single" w:color="000000" w:sz="4" w:space="0"/>
            </w:tcBorders>
            <w:vAlign w:val="center"/>
          </w:tcPr>
          <w:p w14:paraId="5E0F0962">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1E7E034">
            <w:pPr>
              <w:pStyle w:val="201"/>
              <w:spacing w:line="400" w:lineRule="exact"/>
              <w:jc w:val="center"/>
              <w:rPr>
                <w:rFonts w:hint="eastAsia" w:asciiTheme="minorEastAsia" w:hAnsiTheme="minorEastAsia" w:eastAsiaTheme="minorEastAsia"/>
                <w:b/>
                <w:color w:val="000000"/>
                <w:sz w:val="24"/>
                <w:szCs w:val="24"/>
                <w:highlight w:val="none"/>
              </w:rPr>
            </w:pPr>
          </w:p>
        </w:tc>
      </w:tr>
      <w:tr w14:paraId="3AD4C2A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ABE18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79C5E2D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安全认证网关</w:t>
            </w:r>
          </w:p>
        </w:tc>
        <w:tc>
          <w:tcPr>
            <w:tcW w:w="5281" w:type="dxa"/>
            <w:tcBorders>
              <w:top w:val="single" w:color="000000" w:sz="4" w:space="0"/>
              <w:left w:val="single" w:color="000000" w:sz="4" w:space="0"/>
              <w:bottom w:val="single" w:color="000000" w:sz="4" w:space="0"/>
              <w:right w:val="single" w:color="000000" w:sz="4" w:space="0"/>
            </w:tcBorders>
            <w:vAlign w:val="center"/>
          </w:tcPr>
          <w:p w14:paraId="379D2AB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237BFCF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66A3F4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E5A04E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F3B3C0F">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十六</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6E7BCD4F">
            <w:pPr>
              <w:pStyle w:val="201"/>
              <w:spacing w:line="400" w:lineRule="exact"/>
              <w:rPr>
                <w:rFonts w:hint="eastAsia" w:asciiTheme="minorEastAsia" w:hAnsiTheme="minorEastAsia" w:eastAsiaTheme="minorEastAsia"/>
                <w:b/>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超员检测系统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1E8042F1">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994D91D">
            <w:pPr>
              <w:pStyle w:val="201"/>
              <w:spacing w:line="400" w:lineRule="exact"/>
              <w:jc w:val="center"/>
              <w:rPr>
                <w:rFonts w:hint="eastAsia" w:asciiTheme="minorEastAsia" w:hAnsiTheme="minorEastAsia" w:eastAsiaTheme="minorEastAsia"/>
                <w:b/>
                <w:color w:val="000000"/>
                <w:sz w:val="24"/>
                <w:szCs w:val="24"/>
                <w:highlight w:val="none"/>
              </w:rPr>
            </w:pPr>
          </w:p>
        </w:tc>
      </w:tr>
      <w:tr w14:paraId="3FD4BB4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E7AE3D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4B8290D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超员检测一体机</w:t>
            </w:r>
          </w:p>
        </w:tc>
        <w:tc>
          <w:tcPr>
            <w:tcW w:w="5281" w:type="dxa"/>
            <w:tcBorders>
              <w:top w:val="single" w:color="000000" w:sz="4" w:space="0"/>
              <w:left w:val="single" w:color="000000" w:sz="4" w:space="0"/>
              <w:bottom w:val="single" w:color="000000" w:sz="4" w:space="0"/>
              <w:right w:val="single" w:color="000000" w:sz="4" w:space="0"/>
            </w:tcBorders>
            <w:vAlign w:val="center"/>
          </w:tcPr>
          <w:p w14:paraId="6AFC09C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621030E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2230A9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13475A9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F20F19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0DE168E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抓拍单元</w:t>
            </w:r>
          </w:p>
        </w:tc>
        <w:tc>
          <w:tcPr>
            <w:tcW w:w="5281" w:type="dxa"/>
            <w:tcBorders>
              <w:top w:val="single" w:color="000000" w:sz="4" w:space="0"/>
              <w:left w:val="single" w:color="000000" w:sz="4" w:space="0"/>
              <w:bottom w:val="single" w:color="000000" w:sz="4" w:space="0"/>
              <w:right w:val="single" w:color="000000" w:sz="4" w:space="0"/>
            </w:tcBorders>
            <w:vAlign w:val="center"/>
          </w:tcPr>
          <w:p w14:paraId="1B81419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48BE7DD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4EEDC9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131359D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36BC67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48A8F0F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多合一补光灯</w:t>
            </w:r>
          </w:p>
        </w:tc>
        <w:tc>
          <w:tcPr>
            <w:tcW w:w="5281" w:type="dxa"/>
            <w:tcBorders>
              <w:top w:val="single" w:color="000000" w:sz="4" w:space="0"/>
              <w:left w:val="single" w:color="000000" w:sz="4" w:space="0"/>
              <w:bottom w:val="single" w:color="000000" w:sz="4" w:space="0"/>
              <w:right w:val="single" w:color="000000" w:sz="4" w:space="0"/>
            </w:tcBorders>
            <w:vAlign w:val="center"/>
          </w:tcPr>
          <w:p w14:paraId="1430D64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30990B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7A4DBB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24</w:t>
            </w:r>
          </w:p>
        </w:tc>
      </w:tr>
      <w:tr w14:paraId="200FB40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86942B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29319BF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预警屏</w:t>
            </w:r>
          </w:p>
        </w:tc>
        <w:tc>
          <w:tcPr>
            <w:tcW w:w="5281" w:type="dxa"/>
            <w:tcBorders>
              <w:top w:val="single" w:color="000000" w:sz="4" w:space="0"/>
              <w:left w:val="single" w:color="000000" w:sz="4" w:space="0"/>
              <w:bottom w:val="single" w:color="000000" w:sz="4" w:space="0"/>
              <w:right w:val="single" w:color="000000" w:sz="4" w:space="0"/>
            </w:tcBorders>
            <w:vAlign w:val="center"/>
          </w:tcPr>
          <w:p w14:paraId="6F38DD4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738E77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3B8CB53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11F7792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5793B5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66E7570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小立杆基础</w:t>
            </w:r>
          </w:p>
        </w:tc>
        <w:tc>
          <w:tcPr>
            <w:tcW w:w="5281" w:type="dxa"/>
            <w:tcBorders>
              <w:top w:val="single" w:color="000000" w:sz="4" w:space="0"/>
              <w:left w:val="single" w:color="000000" w:sz="4" w:space="0"/>
              <w:bottom w:val="single" w:color="000000" w:sz="4" w:space="0"/>
              <w:right w:val="single" w:color="000000" w:sz="4" w:space="0"/>
            </w:tcBorders>
            <w:vAlign w:val="center"/>
          </w:tcPr>
          <w:p w14:paraId="54032F4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定制</w:t>
            </w:r>
          </w:p>
        </w:tc>
        <w:tc>
          <w:tcPr>
            <w:tcW w:w="457" w:type="dxa"/>
            <w:tcBorders>
              <w:top w:val="single" w:color="000000" w:sz="4" w:space="0"/>
              <w:left w:val="single" w:color="000000" w:sz="4" w:space="0"/>
              <w:bottom w:val="single" w:color="000000" w:sz="4" w:space="0"/>
              <w:right w:val="single" w:color="000000" w:sz="4" w:space="0"/>
            </w:tcBorders>
            <w:vAlign w:val="center"/>
          </w:tcPr>
          <w:p w14:paraId="193A12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个</w:t>
            </w:r>
          </w:p>
        </w:tc>
        <w:tc>
          <w:tcPr>
            <w:tcW w:w="0" w:type="auto"/>
            <w:tcBorders>
              <w:top w:val="single" w:color="000000" w:sz="4" w:space="0"/>
              <w:left w:val="single" w:color="000000" w:sz="4" w:space="0"/>
              <w:bottom w:val="single" w:color="000000" w:sz="4" w:space="0"/>
              <w:right w:val="single" w:color="000000" w:sz="4" w:space="0"/>
            </w:tcBorders>
            <w:vAlign w:val="center"/>
          </w:tcPr>
          <w:p w14:paraId="63D5890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36A88CF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DEEFD2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34724E9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小立杆</w:t>
            </w:r>
          </w:p>
        </w:tc>
        <w:tc>
          <w:tcPr>
            <w:tcW w:w="5281" w:type="dxa"/>
            <w:tcBorders>
              <w:top w:val="single" w:color="000000" w:sz="4" w:space="0"/>
              <w:left w:val="single" w:color="000000" w:sz="4" w:space="0"/>
              <w:bottom w:val="single" w:color="000000" w:sz="4" w:space="0"/>
              <w:right w:val="single" w:color="000000" w:sz="4" w:space="0"/>
            </w:tcBorders>
            <w:vAlign w:val="center"/>
          </w:tcPr>
          <w:p w14:paraId="203D715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高不低于</w:t>
            </w:r>
            <w:r>
              <w:rPr>
                <w:rFonts w:hint="eastAsia" w:asciiTheme="minorEastAsia" w:hAnsiTheme="minorEastAsia" w:eastAsiaTheme="minorEastAsia"/>
                <w:color w:val="000000"/>
                <w:sz w:val="24"/>
                <w:szCs w:val="24"/>
                <w:highlight w:val="none"/>
                <w:lang w:eastAsia="zh-CN" w:bidi="ar"/>
              </w:rPr>
              <w:t>1.6</w:t>
            </w:r>
            <w:r>
              <w:rPr>
                <w:rFonts w:hint="eastAsia" w:cs="微软雅黑" w:asciiTheme="minorEastAsia" w:hAnsiTheme="minorEastAsia" w:eastAsiaTheme="minorEastAsia"/>
                <w:color w:val="000000"/>
                <w:sz w:val="24"/>
                <w:szCs w:val="24"/>
                <w:highlight w:val="none"/>
                <w:lang w:eastAsia="zh-CN" w:bidi="ar"/>
              </w:rPr>
              <w:t>米</w:t>
            </w:r>
          </w:p>
        </w:tc>
        <w:tc>
          <w:tcPr>
            <w:tcW w:w="457" w:type="dxa"/>
            <w:tcBorders>
              <w:top w:val="single" w:color="000000" w:sz="4" w:space="0"/>
              <w:left w:val="single" w:color="000000" w:sz="4" w:space="0"/>
              <w:bottom w:val="single" w:color="000000" w:sz="4" w:space="0"/>
              <w:right w:val="single" w:color="000000" w:sz="4" w:space="0"/>
            </w:tcBorders>
            <w:vAlign w:val="center"/>
          </w:tcPr>
          <w:p w14:paraId="7030D2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根</w:t>
            </w:r>
          </w:p>
        </w:tc>
        <w:tc>
          <w:tcPr>
            <w:tcW w:w="0" w:type="auto"/>
            <w:tcBorders>
              <w:top w:val="single" w:color="000000" w:sz="4" w:space="0"/>
              <w:left w:val="single" w:color="000000" w:sz="4" w:space="0"/>
              <w:bottom w:val="single" w:color="000000" w:sz="4" w:space="0"/>
              <w:right w:val="single" w:color="000000" w:sz="4" w:space="0"/>
            </w:tcBorders>
            <w:vAlign w:val="center"/>
          </w:tcPr>
          <w:p w14:paraId="1C1A43D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72AD729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B34594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22522DE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立杆</w:t>
            </w:r>
          </w:p>
        </w:tc>
        <w:tc>
          <w:tcPr>
            <w:tcW w:w="5281" w:type="dxa"/>
            <w:tcBorders>
              <w:top w:val="single" w:color="000000" w:sz="4" w:space="0"/>
              <w:left w:val="single" w:color="000000" w:sz="4" w:space="0"/>
              <w:bottom w:val="single" w:color="000000" w:sz="4" w:space="0"/>
              <w:right w:val="single" w:color="000000" w:sz="4" w:space="0"/>
            </w:tcBorders>
            <w:vAlign w:val="center"/>
          </w:tcPr>
          <w:p w14:paraId="45B7851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高</w:t>
            </w:r>
            <w:r>
              <w:rPr>
                <w:rFonts w:hint="eastAsia" w:asciiTheme="minorEastAsia" w:hAnsiTheme="minorEastAsia" w:eastAsiaTheme="minorEastAsia"/>
                <w:color w:val="000000"/>
                <w:sz w:val="24"/>
                <w:szCs w:val="24"/>
                <w:highlight w:val="none"/>
                <w:lang w:eastAsia="zh-CN" w:bidi="ar"/>
              </w:rPr>
              <w:t>6.5</w:t>
            </w:r>
            <w:r>
              <w:rPr>
                <w:rFonts w:hint="eastAsia" w:cs="微软雅黑" w:asciiTheme="minorEastAsia" w:hAnsiTheme="minorEastAsia" w:eastAsiaTheme="minorEastAsia"/>
                <w:color w:val="000000"/>
                <w:sz w:val="24"/>
                <w:szCs w:val="24"/>
                <w:highlight w:val="none"/>
                <w:lang w:eastAsia="zh-CN" w:bidi="ar"/>
              </w:rPr>
              <w:t>米，臂长</w:t>
            </w:r>
            <w:r>
              <w:rPr>
                <w:rFonts w:hint="eastAsia" w:asciiTheme="minorEastAsia" w:hAnsiTheme="minorEastAsia" w:eastAsiaTheme="minorEastAsia"/>
                <w:color w:val="000000"/>
                <w:sz w:val="24"/>
                <w:szCs w:val="24"/>
                <w:highlight w:val="none"/>
                <w:lang w:eastAsia="zh-CN" w:bidi="ar"/>
              </w:rPr>
              <w:t>5</w:t>
            </w:r>
            <w:r>
              <w:rPr>
                <w:rFonts w:hint="eastAsia" w:cs="微软雅黑" w:asciiTheme="minorEastAsia" w:hAnsiTheme="minorEastAsia" w:eastAsiaTheme="minorEastAsia"/>
                <w:color w:val="000000"/>
                <w:sz w:val="24"/>
                <w:szCs w:val="24"/>
                <w:highlight w:val="none"/>
                <w:lang w:eastAsia="zh-CN" w:bidi="ar"/>
              </w:rPr>
              <w:t>米</w:t>
            </w:r>
          </w:p>
        </w:tc>
        <w:tc>
          <w:tcPr>
            <w:tcW w:w="457" w:type="dxa"/>
            <w:tcBorders>
              <w:top w:val="single" w:color="000000" w:sz="4" w:space="0"/>
              <w:left w:val="single" w:color="000000" w:sz="4" w:space="0"/>
              <w:bottom w:val="single" w:color="000000" w:sz="4" w:space="0"/>
              <w:right w:val="single" w:color="000000" w:sz="4" w:space="0"/>
            </w:tcBorders>
            <w:vAlign w:val="center"/>
          </w:tcPr>
          <w:p w14:paraId="2C7936C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4136E9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648D8F0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31218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683EB92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立杆基础</w:t>
            </w:r>
          </w:p>
        </w:tc>
        <w:tc>
          <w:tcPr>
            <w:tcW w:w="5281" w:type="dxa"/>
            <w:tcBorders>
              <w:top w:val="single" w:color="000000" w:sz="4" w:space="0"/>
              <w:left w:val="single" w:color="000000" w:sz="4" w:space="0"/>
              <w:bottom w:val="single" w:color="000000" w:sz="4" w:space="0"/>
              <w:right w:val="single" w:color="000000" w:sz="4" w:space="0"/>
            </w:tcBorders>
            <w:vAlign w:val="center"/>
          </w:tcPr>
          <w:p w14:paraId="4952CF10">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1200*1200*1500</w:t>
            </w:r>
            <w:r>
              <w:rPr>
                <w:rFonts w:hint="eastAsia" w:cs="微软雅黑" w:asciiTheme="minorEastAsia" w:hAnsiTheme="minorEastAsia" w:eastAsiaTheme="minorEastAsia"/>
                <w:color w:val="000000"/>
                <w:sz w:val="24"/>
                <w:szCs w:val="24"/>
                <w:highlight w:val="none"/>
                <w:lang w:eastAsia="zh-CN" w:bidi="ar"/>
              </w:rPr>
              <w:t>（</w:t>
            </w:r>
            <w:r>
              <w:rPr>
                <w:rFonts w:hint="eastAsia" w:asciiTheme="minorEastAsia" w:hAnsiTheme="minorEastAsia" w:eastAsiaTheme="minorEastAsia"/>
                <w:color w:val="000000"/>
                <w:sz w:val="24"/>
                <w:szCs w:val="24"/>
                <w:highlight w:val="none"/>
                <w:lang w:eastAsia="zh-CN" w:bidi="ar"/>
              </w:rPr>
              <w:t>mm</w:t>
            </w:r>
            <w:r>
              <w:rPr>
                <w:rFonts w:hint="eastAsia" w:cs="微软雅黑" w:asciiTheme="minorEastAsia" w:hAnsiTheme="minorEastAsia" w:eastAsiaTheme="minorEastAsia"/>
                <w:color w:val="000000"/>
                <w:sz w:val="24"/>
                <w:szCs w:val="24"/>
                <w:highlight w:val="none"/>
                <w:lang w:eastAsia="zh-CN" w:bidi="ar"/>
              </w:rPr>
              <w:t>）</w:t>
            </w:r>
          </w:p>
        </w:tc>
        <w:tc>
          <w:tcPr>
            <w:tcW w:w="457" w:type="dxa"/>
            <w:tcBorders>
              <w:top w:val="single" w:color="000000" w:sz="4" w:space="0"/>
              <w:left w:val="single" w:color="000000" w:sz="4" w:space="0"/>
              <w:bottom w:val="single" w:color="000000" w:sz="4" w:space="0"/>
              <w:right w:val="single" w:color="000000" w:sz="4" w:space="0"/>
            </w:tcBorders>
            <w:vAlign w:val="center"/>
          </w:tcPr>
          <w:p w14:paraId="08DE6F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5876E72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424F90E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5B559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3931F96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施工辅材</w:t>
            </w:r>
          </w:p>
        </w:tc>
        <w:tc>
          <w:tcPr>
            <w:tcW w:w="5281" w:type="dxa"/>
            <w:tcBorders>
              <w:top w:val="single" w:color="000000" w:sz="4" w:space="0"/>
              <w:left w:val="single" w:color="000000" w:sz="4" w:space="0"/>
              <w:bottom w:val="single" w:color="000000" w:sz="4" w:space="0"/>
              <w:right w:val="single" w:color="000000" w:sz="4" w:space="0"/>
            </w:tcBorders>
            <w:vAlign w:val="center"/>
          </w:tcPr>
          <w:p w14:paraId="4D39121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安装、布线、开挖等</w:t>
            </w:r>
          </w:p>
        </w:tc>
        <w:tc>
          <w:tcPr>
            <w:tcW w:w="457" w:type="dxa"/>
            <w:tcBorders>
              <w:top w:val="single" w:color="000000" w:sz="4" w:space="0"/>
              <w:left w:val="single" w:color="000000" w:sz="4" w:space="0"/>
              <w:bottom w:val="single" w:color="000000" w:sz="4" w:space="0"/>
              <w:right w:val="single" w:color="000000" w:sz="4" w:space="0"/>
            </w:tcBorders>
            <w:vAlign w:val="center"/>
          </w:tcPr>
          <w:p w14:paraId="217724D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2CD1FF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2F02916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177EAC8">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十七</w:t>
            </w:r>
          </w:p>
        </w:tc>
        <w:tc>
          <w:tcPr>
            <w:tcW w:w="1613" w:type="dxa"/>
            <w:tcBorders>
              <w:top w:val="single" w:color="000000" w:sz="4" w:space="0"/>
              <w:left w:val="single" w:color="000000" w:sz="4" w:space="0"/>
              <w:bottom w:val="single" w:color="000000" w:sz="4" w:space="0"/>
              <w:right w:val="single" w:color="000000" w:sz="4" w:space="0"/>
            </w:tcBorders>
            <w:vAlign w:val="center"/>
          </w:tcPr>
          <w:p w14:paraId="7076B8D8">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互联网地图接口服务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159E2D8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采购第三方地图接口服务（三年）</w:t>
            </w:r>
          </w:p>
        </w:tc>
        <w:tc>
          <w:tcPr>
            <w:tcW w:w="457" w:type="dxa"/>
            <w:tcBorders>
              <w:top w:val="single" w:color="000000" w:sz="4" w:space="0"/>
              <w:left w:val="single" w:color="000000" w:sz="4" w:space="0"/>
              <w:bottom w:val="single" w:color="000000" w:sz="4" w:space="0"/>
              <w:right w:val="single" w:color="000000" w:sz="4" w:space="0"/>
            </w:tcBorders>
            <w:vAlign w:val="center"/>
          </w:tcPr>
          <w:p w14:paraId="7045918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7ED8B3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bl>
    <w:p w14:paraId="1091D147">
      <w:pPr>
        <w:pStyle w:val="201"/>
        <w:spacing w:line="480" w:lineRule="exact"/>
        <w:ind w:firstLine="482" w:firstLineChars="200"/>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（二）</w:t>
      </w:r>
      <w:r>
        <w:rPr>
          <w:rStyle w:val="216"/>
          <w:rFonts w:hint="eastAsia" w:cs="宋体" w:asciiTheme="minorEastAsia" w:hAnsiTheme="minorEastAsia"/>
          <w:b/>
          <w:color w:val="000000"/>
          <w:sz w:val="24"/>
          <w:szCs w:val="24"/>
          <w:highlight w:val="none"/>
          <w:lang w:eastAsia="zh-CN"/>
        </w:rPr>
        <w:t>系统功能技术参数</w:t>
      </w:r>
    </w:p>
    <w:p w14:paraId="451639A1">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Hans"/>
        </w:rPr>
      </w:pPr>
      <w:bookmarkStart w:id="9" w:name="_Toc1614324458"/>
      <w:bookmarkStart w:id="10" w:name="_Toc1625573388"/>
      <w:r>
        <w:rPr>
          <w:rFonts w:hint="eastAsia" w:cs="书宋-简" w:asciiTheme="minorEastAsia" w:hAnsiTheme="minorEastAsia" w:eastAsiaTheme="minorEastAsia"/>
          <w:b/>
          <w:bCs/>
          <w:sz w:val="24"/>
          <w:szCs w:val="24"/>
          <w:highlight w:val="none"/>
          <w:lang w:eastAsia="zh-CN"/>
        </w:rPr>
        <w:t>2.1</w:t>
      </w:r>
      <w:r>
        <w:rPr>
          <w:rFonts w:hint="eastAsia" w:cs="书宋-简" w:asciiTheme="minorEastAsia" w:hAnsiTheme="minorEastAsia" w:eastAsiaTheme="minorEastAsia"/>
          <w:b/>
          <w:bCs/>
          <w:sz w:val="24"/>
          <w:szCs w:val="24"/>
          <w:highlight w:val="none"/>
          <w:lang w:eastAsia="zh-Hans"/>
        </w:rPr>
        <w:t>视频巡检车违停抓拍系统</w:t>
      </w:r>
      <w:bookmarkEnd w:id="9"/>
      <w:bookmarkEnd w:id="10"/>
    </w:p>
    <w:p w14:paraId="00ADAF1B">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Hans"/>
        </w:rPr>
      </w:pPr>
      <w:bookmarkStart w:id="11" w:name="_Toc494269995"/>
      <w:bookmarkStart w:id="12" w:name="_Toc1114706046"/>
      <w:bookmarkStart w:id="13" w:name="_Toc1979793043"/>
      <w:r>
        <w:rPr>
          <w:rFonts w:hint="eastAsia" w:cs="书宋-简" w:asciiTheme="minorEastAsia" w:hAnsiTheme="minorEastAsia" w:eastAsiaTheme="minorEastAsia"/>
          <w:b/>
          <w:bCs/>
          <w:sz w:val="24"/>
          <w:szCs w:val="24"/>
          <w:highlight w:val="none"/>
          <w:lang w:eastAsia="zh-CN"/>
        </w:rPr>
        <w:t>2.1.1</w:t>
      </w:r>
      <w:r>
        <w:rPr>
          <w:rFonts w:hint="eastAsia" w:cs="书宋-简" w:asciiTheme="minorEastAsia" w:hAnsiTheme="minorEastAsia" w:eastAsiaTheme="minorEastAsia"/>
          <w:b/>
          <w:bCs/>
          <w:sz w:val="24"/>
          <w:szCs w:val="24"/>
          <w:highlight w:val="none"/>
          <w:lang w:eastAsia="zh-Hans"/>
        </w:rPr>
        <w:t>项目需求</w:t>
      </w:r>
      <w:bookmarkEnd w:id="11"/>
      <w:bookmarkEnd w:id="12"/>
      <w:bookmarkEnd w:id="13"/>
    </w:p>
    <w:p w14:paraId="22235B9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项目功能要求：在太易停路边收费的视频巡检车设备通过技术升级实现巡检车路边停车、违停二合一，对路边违法停车车辆进行抓拍，把照片给到交警部门进行下一步处理。</w:t>
      </w:r>
    </w:p>
    <w:p w14:paraId="417CFC28">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4" w:name="_Toc1328435696"/>
      <w:bookmarkStart w:id="15" w:name="_Toc1270047083"/>
      <w:bookmarkStart w:id="16" w:name="_Toc494269996"/>
      <w:r>
        <w:rPr>
          <w:rFonts w:hint="eastAsia" w:cs="书宋-简" w:asciiTheme="minorEastAsia" w:hAnsiTheme="minorEastAsia" w:eastAsiaTheme="minorEastAsia"/>
          <w:b/>
          <w:bCs/>
          <w:sz w:val="24"/>
          <w:szCs w:val="24"/>
          <w:highlight w:val="none"/>
          <w:lang w:eastAsia="zh-CN"/>
        </w:rPr>
        <w:t>2.1.2巡检车设备组成</w:t>
      </w:r>
      <w:bookmarkEnd w:id="14"/>
      <w:bookmarkEnd w:id="15"/>
    </w:p>
    <w:p w14:paraId="72E2632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7" w:name="_Toc1791033436"/>
      <w:bookmarkStart w:id="18" w:name="_Toc1841356448"/>
      <w:r>
        <w:rPr>
          <w:rFonts w:hint="eastAsia" w:cs="书宋-简" w:asciiTheme="minorEastAsia" w:hAnsiTheme="minorEastAsia" w:eastAsiaTheme="minorEastAsia"/>
          <w:b/>
          <w:bCs/>
          <w:sz w:val="24"/>
          <w:szCs w:val="24"/>
          <w:highlight w:val="none"/>
          <w:lang w:eastAsia="zh-CN"/>
        </w:rPr>
        <w:t>2.1.2.1智能分析端</w:t>
      </w:r>
      <w:bookmarkEnd w:id="17"/>
      <w:bookmarkEnd w:id="18"/>
    </w:p>
    <w:p w14:paraId="7201F45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智能分析端内置于停车位管理专用车辆的装备箱中，包含事件检测软件、号牌 识别比对软件、图像抓拍处理软件、视频信号录像软件以及后台上传软件。</w:t>
      </w:r>
    </w:p>
    <w:p w14:paraId="50081B3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智能分析端需完成以下功能：</w:t>
      </w:r>
    </w:p>
    <w:p w14:paraId="6208732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w:t>
      </w:r>
      <w:r>
        <w:rPr>
          <w:rFonts w:hint="eastAsia" w:cs="书宋-简" w:asciiTheme="minorEastAsia" w:hAnsiTheme="minorEastAsia" w:eastAsiaTheme="minorEastAsia"/>
          <w:sz w:val="24"/>
          <w:szCs w:val="24"/>
          <w:highlight w:val="none"/>
          <w:lang w:eastAsia="zh-CN"/>
        </w:rPr>
        <w:t>系统界面停车位功能类型，智能分析端开启对应高清采集相机，采集停车位管理专用车辆周围交通信息。</w:t>
      </w:r>
    </w:p>
    <w:p w14:paraId="79359FA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w:t>
      </w:r>
      <w:r>
        <w:rPr>
          <w:rFonts w:hint="eastAsia" w:cs="书宋-简" w:asciiTheme="minorEastAsia" w:hAnsiTheme="minorEastAsia" w:eastAsiaTheme="minorEastAsia"/>
          <w:sz w:val="24"/>
          <w:szCs w:val="24"/>
          <w:highlight w:val="none"/>
          <w:lang w:eastAsia="zh-CN"/>
        </w:rPr>
        <w:t>智能分析端对采集信息进行分析，事件检测软件进行车位状态检测，并通过视频信号录像软件进行录像。</w:t>
      </w:r>
    </w:p>
    <w:p w14:paraId="193A2A9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w:t>
      </w:r>
      <w:r>
        <w:rPr>
          <w:rFonts w:hint="eastAsia" w:cs="书宋-简" w:asciiTheme="minorEastAsia" w:hAnsiTheme="minorEastAsia" w:eastAsiaTheme="minorEastAsia"/>
          <w:sz w:val="24"/>
          <w:szCs w:val="24"/>
          <w:highlight w:val="none"/>
          <w:lang w:eastAsia="zh-CN"/>
        </w:rPr>
        <w:t>当事件检测软件检测到车位状态为占用时，图像抓拍处理软件进行抓拍，处理图片，输出处理之后的图片，并通过后台上传软件上传到后台服务器。</w:t>
      </w:r>
    </w:p>
    <w:p w14:paraId="678014B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（4）停车位管理系统通过千兆交换机形成星形局域网，网络连接所有高清采集相机、智能分析服务器。基于4G网络技术，将抓拍数据传输至后台服务器。</w:t>
      </w:r>
    </w:p>
    <w:p w14:paraId="37A72C49">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9" w:name="_Toc290984619"/>
      <w:bookmarkStart w:id="20" w:name="_Toc877964816"/>
      <w:r>
        <w:rPr>
          <w:rFonts w:hint="eastAsia" w:cs="书宋-简" w:asciiTheme="minorEastAsia" w:hAnsiTheme="minorEastAsia" w:eastAsiaTheme="minorEastAsia"/>
          <w:b/>
          <w:bCs/>
          <w:sz w:val="24"/>
          <w:szCs w:val="24"/>
          <w:highlight w:val="none"/>
          <w:lang w:eastAsia="zh-CN"/>
        </w:rPr>
        <w:t>2.1.2.2视频采集端</w:t>
      </w:r>
      <w:bookmarkEnd w:id="19"/>
      <w:bookmarkEnd w:id="20"/>
    </w:p>
    <w:p w14:paraId="235ABFC4">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微软雅黑" w:asciiTheme="minorEastAsia" w:hAnsiTheme="minorEastAsia" w:eastAsiaTheme="minorEastAsia"/>
          <w:bCs/>
          <w:sz w:val="24"/>
          <w:szCs w:val="24"/>
          <w:highlight w:val="none"/>
          <w:lang w:eastAsia="zh-CN"/>
        </w:rPr>
        <w:t>（</w:t>
      </w:r>
      <w:r>
        <w:rPr>
          <w:rFonts w:hint="eastAsia" w:asciiTheme="minorEastAsia" w:hAnsiTheme="minorEastAsia" w:eastAsiaTheme="minorEastAsia"/>
          <w:bCs/>
          <w:sz w:val="24"/>
          <w:szCs w:val="24"/>
          <w:highlight w:val="none"/>
          <w:lang w:eastAsia="zh-CN"/>
        </w:rPr>
        <w:t>1</w:t>
      </w:r>
      <w:r>
        <w:rPr>
          <w:rFonts w:hint="eastAsia" w:cs="微软雅黑"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bCs/>
          <w:sz w:val="24"/>
          <w:szCs w:val="24"/>
          <w:highlight w:val="none"/>
          <w:lang w:eastAsia="zh-CN"/>
        </w:rPr>
        <w:t>高清采集相机</w:t>
      </w:r>
    </w:p>
    <w:p w14:paraId="6B7B947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高清采集相机主要是对交通信息的采集，这些高清采集相机是固定在停车位管理专用车辆装备箱上的，在设备使用过程中画面不断改变，能够实现移动监测并采集停车位管理专用车辆周围的交通信息。</w:t>
      </w:r>
    </w:p>
    <w:p w14:paraId="7EFBD0BA">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（2）定位模块</w:t>
      </w:r>
    </w:p>
    <w:p w14:paraId="1D8369A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定位模块通过USB接口或者串口与智能分析服务器相连，接收卫星信号，对停车位管理专用车辆进行定位，确定泊车具体地点。</w:t>
      </w:r>
    </w:p>
    <w:p w14:paraId="55781B48">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（3）抓拍车辆图片功能</w:t>
      </w:r>
    </w:p>
    <w:p w14:paraId="7BBB722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功能描述：通过巡检车采集端可对道路违规停车车辆和泊位内车辆自动抓拍取证，将抓拍图片保存至后台系统。</w:t>
      </w:r>
    </w:p>
    <w:p w14:paraId="6117D3BB">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（4）车辆违法停驶检测及抓拍功能</w:t>
      </w:r>
    </w:p>
    <w:p w14:paraId="6A228D5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车辆停驶事件：车辆在道路上由行驶改变为静止状态，且静止时间大于某一设定值的交通事件。如果车辆停驶在禁停区域，系统检测到违章停车后，高清采集相机对违章车辆进行抓拍，获取车辆细节特写,并对特写图进行车牌识别。</w:t>
      </w:r>
    </w:p>
    <w:p w14:paraId="4A962038">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（5）自动车牌识别功能</w:t>
      </w:r>
    </w:p>
    <w:p w14:paraId="7C5EF2B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通过视频巡检车对停车位中的车辆进行车牌自动识别，车牌正确识别率要求≥98%。</w:t>
      </w:r>
    </w:p>
    <w:p w14:paraId="61921F4F">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（6）泊位自动匹配功能</w:t>
      </w:r>
    </w:p>
    <w:p w14:paraId="3DC808D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通过视频识别算法自动匹配出当前车辆泊位的编号，泊车匹配准确率要求≥98%。</w:t>
      </w:r>
    </w:p>
    <w:p w14:paraId="3E072214">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（7）信息自动上传功能</w:t>
      </w:r>
    </w:p>
    <w:p w14:paraId="32B31F2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要求快速传递停车位信息，实现多种平台无缝对接。</w:t>
      </w:r>
    </w:p>
    <w:bookmarkEnd w:id="16"/>
    <w:p w14:paraId="1CBFC6E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21" w:name="_Toc494270020"/>
      <w:bookmarkStart w:id="22" w:name="_Toc1703585865"/>
      <w:bookmarkStart w:id="23" w:name="_Toc1541954245"/>
      <w:r>
        <w:rPr>
          <w:rFonts w:hint="eastAsia" w:cs="书宋-简" w:asciiTheme="minorEastAsia" w:hAnsiTheme="minorEastAsia" w:eastAsiaTheme="minorEastAsia"/>
          <w:b/>
          <w:bCs/>
          <w:sz w:val="24"/>
          <w:szCs w:val="24"/>
          <w:highlight w:val="none"/>
          <w:lang w:eastAsia="zh-CN"/>
        </w:rPr>
        <w:t>2.1.2.3系统性能</w:t>
      </w:r>
      <w:bookmarkEnd w:id="21"/>
      <w:bookmarkEnd w:id="22"/>
      <w:bookmarkEnd w:id="23"/>
    </w:p>
    <w:p w14:paraId="043D952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 xml:space="preserve">系统的基本技术性能指标要求如下： </w:t>
      </w:r>
    </w:p>
    <w:p w14:paraId="498FFD3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sz w:val="24"/>
          <w:szCs w:val="24"/>
          <w:highlight w:val="none"/>
          <w:lang w:eastAsia="zh-CN"/>
        </w:rPr>
        <w:t>实时检测来自高清采集相机（彩色或黑白均可）的图像信号。在正常光照环境下（夜晚或雨、雪、雾等恶劣天气条件除外），交通事件及交通违法检测率≥90%。</w:t>
      </w:r>
    </w:p>
    <w:p w14:paraId="33F11C97">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24" w:name="_Toc98388099"/>
      <w:bookmarkStart w:id="25" w:name="_Toc317987328"/>
      <w:r>
        <w:rPr>
          <w:rFonts w:hint="eastAsia" w:cs="书宋-简" w:asciiTheme="minorEastAsia" w:hAnsiTheme="minorEastAsia" w:eastAsiaTheme="minorEastAsia"/>
          <w:b/>
          <w:bCs/>
          <w:sz w:val="24"/>
          <w:szCs w:val="24"/>
          <w:highlight w:val="none"/>
          <w:lang w:eastAsia="zh-CN"/>
        </w:rPr>
        <w:t>2.2太仓公安车辆解析应用系统</w:t>
      </w:r>
      <w:bookmarkEnd w:id="24"/>
      <w:bookmarkEnd w:id="25"/>
    </w:p>
    <w:p w14:paraId="43E293E3">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26" w:name="_Toc1499942185"/>
      <w:bookmarkStart w:id="27" w:name="_Toc177132351"/>
      <w:bookmarkStart w:id="28" w:name="_Toc1069882844"/>
      <w:bookmarkStart w:id="29" w:name="_Toc204604068"/>
      <w:r>
        <w:rPr>
          <w:rFonts w:hint="eastAsia" w:cs="书宋-简" w:asciiTheme="minorEastAsia" w:hAnsiTheme="minorEastAsia" w:eastAsiaTheme="minorEastAsia"/>
          <w:b/>
          <w:bCs/>
          <w:sz w:val="24"/>
          <w:szCs w:val="24"/>
          <w:highlight w:val="none"/>
          <w:lang w:eastAsia="zh-CN"/>
        </w:rPr>
        <w:t>2.2.1视频图像接入系统</w:t>
      </w:r>
      <w:bookmarkEnd w:id="26"/>
      <w:bookmarkEnd w:id="27"/>
      <w:bookmarkEnd w:id="28"/>
      <w:bookmarkEnd w:id="29"/>
      <w:r>
        <w:rPr>
          <w:rFonts w:hint="eastAsia" w:cs="书宋-简" w:asciiTheme="minorEastAsia" w:hAnsiTheme="minorEastAsia" w:eastAsiaTheme="minorEastAsia"/>
          <w:b/>
          <w:bCs/>
          <w:sz w:val="24"/>
          <w:szCs w:val="24"/>
          <w:highlight w:val="none"/>
          <w:lang w:eastAsia="zh-CN"/>
        </w:rPr>
        <w:t>要求</w:t>
      </w:r>
    </w:p>
    <w:p w14:paraId="66504CCB">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30" w:name="_Toc1330227846"/>
      <w:bookmarkStart w:id="31" w:name="_Toc217771162"/>
      <w:bookmarkStart w:id="32" w:name="_Toc204604069"/>
      <w:r>
        <w:rPr>
          <w:rFonts w:hint="eastAsia" w:cs="书宋-简" w:asciiTheme="minorEastAsia" w:hAnsiTheme="minorEastAsia" w:eastAsiaTheme="minorEastAsia"/>
          <w:b/>
          <w:bCs/>
          <w:sz w:val="24"/>
          <w:szCs w:val="24"/>
          <w:highlight w:val="none"/>
          <w:lang w:eastAsia="zh-CN"/>
        </w:rPr>
        <w:t>2.2.1.1视频统一联网</w:t>
      </w:r>
      <w:bookmarkEnd w:id="30"/>
      <w:bookmarkEnd w:id="31"/>
      <w:bookmarkEnd w:id="32"/>
    </w:p>
    <w:p w14:paraId="319F061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（1）标准协议级联</w:t>
      </w:r>
    </w:p>
    <w:p w14:paraId="3CB8EA2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持通过GA/T 1400及扩展协议级联车辆等数据。</w:t>
      </w:r>
    </w:p>
    <w:p w14:paraId="1CFCDA6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支持通过GB/T 28181标准协议实现普通视频资源的级联，包含域间注册与心跳、资源同步、实时预览、录像回放与控制、录像下载、语音广播、设备控制等。</w:t>
      </w:r>
    </w:p>
    <w:p w14:paraId="2B53664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（2）联网管理配置</w:t>
      </w:r>
    </w:p>
    <w:p w14:paraId="398788D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支持针对本域或外域的资源进行选择共享操作。</w:t>
      </w:r>
    </w:p>
    <w:p w14:paraId="1F9A3C5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支持对下级域进行检索查询操作。</w:t>
      </w:r>
    </w:p>
    <w:p w14:paraId="7B087B1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支持对联网信令服务、联网媒体服务、多线路网域进行配置。</w:t>
      </w:r>
    </w:p>
    <w:p w14:paraId="0F67EE4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支持对联网上下级域的配置。</w:t>
      </w:r>
    </w:p>
    <w:p w14:paraId="212C5B6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支持配置对本级域与下级域进行资源定期同步，并对冗余资源进行清除。</w:t>
      </w:r>
    </w:p>
    <w:p w14:paraId="3DBA665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支持展示本级域与下级域的资源状态，以及外域链接状态。</w:t>
      </w:r>
    </w:p>
    <w:p w14:paraId="32F3EF3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支持展示本级域与下级域的资源状态，以及共享给上级的资源信息。</w:t>
      </w:r>
    </w:p>
    <w:p w14:paraId="532DF1BE">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33" w:name="_Toc767785246"/>
      <w:bookmarkStart w:id="34" w:name="_Toc1693617307"/>
      <w:bookmarkStart w:id="35" w:name="_Toc204604070"/>
      <w:r>
        <w:rPr>
          <w:rFonts w:hint="eastAsia" w:cs="书宋-简" w:asciiTheme="minorEastAsia" w:hAnsiTheme="minorEastAsia" w:eastAsiaTheme="minorEastAsia"/>
          <w:b/>
          <w:bCs/>
          <w:sz w:val="24"/>
          <w:szCs w:val="24"/>
          <w:highlight w:val="none"/>
          <w:lang w:eastAsia="zh-CN"/>
        </w:rPr>
        <w:t>2.2.1.2设备统一接入</w:t>
      </w:r>
      <w:bookmarkEnd w:id="33"/>
      <w:bookmarkEnd w:id="34"/>
      <w:bookmarkEnd w:id="35"/>
    </w:p>
    <w:p w14:paraId="249FE629">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bCs/>
          <w:sz w:val="24"/>
          <w:szCs w:val="24"/>
          <w:highlight w:val="none"/>
          <w:lang w:eastAsia="zh-CN"/>
        </w:rPr>
        <w:t>视频设备接入</w:t>
      </w:r>
    </w:p>
    <w:p w14:paraId="254D681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支持根据模板批量导入编码设备、编辑及同步编码设备信息。支持在选定区域下手动添加编码设备，包括单IP添加、IP段添加、单编号添加及编号段添加等多种方式。支持针对编码设备添加标签。</w:t>
      </w:r>
    </w:p>
    <w:p w14:paraId="259F393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支持设备的添加、删除、调整区域、主动发现、数据接入配置、添加能力集、删除能力、手动校时、同步、导入和导出操作。</w:t>
      </w:r>
    </w:p>
    <w:p w14:paraId="686293F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自动获取编码设备的视频通道，并支持批量添加到所选区域，支持以列表形式展示监控点详情信息。支持查看、编辑监控点基本信息，支持监控点添加标签。支持对监控点进行添加、删除、调整次序、调整区域、同步、添加能力集、删除能力集、导入和导出操作。</w:t>
      </w:r>
    </w:p>
    <w:p w14:paraId="28D2A81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针对业务目录，系统支持用户从基础目录中批量添加监控点至业务目录下的选中区域。</w:t>
      </w:r>
    </w:p>
    <w:p w14:paraId="348874BF">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（2）卡口设备接入</w:t>
      </w:r>
    </w:p>
    <w:p w14:paraId="71F381C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支持添加、删除、排序、导入/导出卡口，支持配置卡口基本信息，包括前端资源、方向-车道信息、关联视频点位。</w:t>
      </w:r>
    </w:p>
    <w:p w14:paraId="25C77B1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支持卡口位置标注，支持手动输入卡口经纬度信息及通过地图定位方式标注卡口位置两种方式。</w:t>
      </w:r>
    </w:p>
    <w:p w14:paraId="70C96D6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针对自定义业务目录，支持从基础目录中批量添加卡口至业务目录选定区域。</w:t>
      </w:r>
    </w:p>
    <w:p w14:paraId="7A77F384">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36" w:name="_Toc1553345175"/>
      <w:bookmarkStart w:id="37" w:name="_Toc204604071"/>
      <w:bookmarkStart w:id="38" w:name="_Toc2084878346"/>
      <w:r>
        <w:rPr>
          <w:rFonts w:hint="eastAsia" w:cs="书宋-简" w:asciiTheme="minorEastAsia" w:hAnsiTheme="minorEastAsia" w:eastAsiaTheme="minorEastAsia"/>
          <w:b/>
          <w:bCs/>
          <w:sz w:val="24"/>
          <w:szCs w:val="24"/>
          <w:highlight w:val="none"/>
          <w:lang w:eastAsia="zh-CN"/>
        </w:rPr>
        <w:t>2.2.2车辆解析系统功能</w:t>
      </w:r>
      <w:bookmarkEnd w:id="36"/>
      <w:bookmarkEnd w:id="37"/>
      <w:bookmarkEnd w:id="38"/>
      <w:r>
        <w:rPr>
          <w:rFonts w:hint="eastAsia" w:cs="书宋-简" w:asciiTheme="minorEastAsia" w:hAnsiTheme="minorEastAsia" w:eastAsiaTheme="minorEastAsia"/>
          <w:b/>
          <w:bCs/>
          <w:sz w:val="24"/>
          <w:szCs w:val="24"/>
          <w:highlight w:val="none"/>
          <w:lang w:eastAsia="zh-CN"/>
        </w:rPr>
        <w:t>要求</w:t>
      </w:r>
    </w:p>
    <w:p w14:paraId="66C61825">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39" w:name="_Toc59693123"/>
      <w:bookmarkStart w:id="40" w:name="_Toc204604072"/>
      <w:bookmarkStart w:id="41" w:name="_Toc1992987015"/>
      <w:r>
        <w:rPr>
          <w:rFonts w:hint="eastAsia" w:cs="书宋-简" w:asciiTheme="minorEastAsia" w:hAnsiTheme="minorEastAsia" w:eastAsiaTheme="minorEastAsia"/>
          <w:b/>
          <w:bCs/>
          <w:sz w:val="24"/>
          <w:szCs w:val="24"/>
          <w:highlight w:val="none"/>
          <w:lang w:eastAsia="zh-CN"/>
        </w:rPr>
        <w:t>2.2.2.1算法仓库</w:t>
      </w:r>
      <w:bookmarkEnd w:id="39"/>
      <w:bookmarkEnd w:id="40"/>
      <w:bookmarkEnd w:id="41"/>
    </w:p>
    <w:p w14:paraId="589933C2">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算法仓库是整个视频图像解析系统的算法管理中心，具备完整的算法全生命周期管理能力，包括算法的管理、封装、发布、更新、级联等功能，可以有效满足用户对于智能算法的管理和使用需求，是实现视频图像智能分析、价值挖掘的核心。算法仓库可以对边缘端、中心端的检测算法、建模算法、比对算法等算法包进行管理，提供算法的统一授权体系，为统筹开展算法的调度应用提供基础。</w:t>
      </w:r>
    </w:p>
    <w:p w14:paraId="08637E0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支持上传算法模型，填写描述信息、版本迭代说明后按照算法封装标准将算法模型封装成规范化的算法包。支持上传按照标准封装好的算法包。支持中心端通用GPU服务器、边缘智能设备等各计算平台的算法包。</w:t>
      </w:r>
    </w:p>
    <w:p w14:paraId="6BE6C99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支持按行业分类、分析源类型、分析目标类型、算法分组标签对算法进行筛选。</w:t>
      </w:r>
    </w:p>
    <w:p w14:paraId="0FD10AD7">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42" w:name="_Toc387455112"/>
      <w:bookmarkStart w:id="43" w:name="_Toc75711441"/>
      <w:bookmarkStart w:id="44" w:name="_Toc204604073"/>
      <w:bookmarkStart w:id="45" w:name="_Toc95812260"/>
      <w:r>
        <w:rPr>
          <w:rFonts w:hint="eastAsia" w:cs="书宋-简" w:asciiTheme="minorEastAsia" w:hAnsiTheme="minorEastAsia" w:eastAsiaTheme="minorEastAsia"/>
          <w:b/>
          <w:bCs/>
          <w:sz w:val="24"/>
          <w:szCs w:val="24"/>
          <w:highlight w:val="none"/>
          <w:lang w:eastAsia="zh-CN"/>
        </w:rPr>
        <w:t>2.2.2.2车辆图片分析引擎</w:t>
      </w:r>
      <w:bookmarkEnd w:id="42"/>
      <w:bookmarkEnd w:id="43"/>
      <w:bookmarkEnd w:id="44"/>
      <w:bookmarkEnd w:id="45"/>
    </w:p>
    <w:p w14:paraId="6199912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分析引擎能够提供多算法运行的环境，依托算法仓库实现多种算法的运行。针对视频监控资源，提供基于流媒体的取流、编解码，从视频流中进行车辆的解析；针对智能相机，图片直存云存储后，对URL等相关信息进行转发处理，能够基于图片进行智能解析；最终输出车辆相关的结构化数据及模型信息，为上层应用平台提供检索、模型碰撞、技战法等业务应用支撑。</w:t>
      </w:r>
    </w:p>
    <w:p w14:paraId="5B635897">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车辆图片分析是将抓拍图片中的车辆图片进行结构化分析，分析车辆相关的特征数据并建模，并根据实战应用需求，将结构化的特征数据按需存储，支撑应用系统功能及实战业务应用。车辆图片分析主要实现的功能包括：</w:t>
      </w:r>
    </w:p>
    <w:p w14:paraId="0D4A929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1）支持对车辆的品牌、型号、年款等特征进行识别，满足以下参数要求：对车头（即对车辆正向拍摄）识别车型≥6300种，对车尾（即对车辆背向拍摄）识别车型≥4400种，且在白天光照正常、夜间补光正常情况下，识别准确率≥95%。</w:t>
      </w:r>
    </w:p>
    <w:p w14:paraId="00E7713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（2）支持对车辆进行车牌号码识别。</w:t>
      </w:r>
    </w:p>
    <w:p w14:paraId="49F03A0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 xml:space="preserve">（3）支持通过深度学习算法模型对检测到的车辆进行多种类型的属性识別，属性识别类别包括号牌种类（大型汽车号牌、挂车号牌、大型新能源汽车号牌、小型汽车号牌、小型新能源汽车号牌、使馆汽车号牌、领馆汽车号牌、港澳出入境车号牌、教练车号牌、警车汽车号牌、消防救援车辆、武警车牌、军用车牌、港澳本地车号牌）、车牌颜色（黑色、蓝色、绿色、黄色、黄绿色、白色）、车牌号、车辆类型（三厢轿车、面包车/MPV、皮卡、卡车、两厢轿车、SUV、小型货车、大型货车、中小型客车、大型客车）、运动方向（向上、向下、向左、向右、向左上、向左下、向右上、向右下）、特殊车辆类型（普通车辆、校车、集装箱、油罐车、搅拌车、出租车、消防车、公检法、工程抢险、军车、渣土车、公交车、长途客车、教练车、救护车、运钞车、环卫车、箱式货车、工业工程车、行政执法车、挂车、随车吊、救援车、栏板卡车、洒水车、拖拉机、粉粒物料车、吸污车）、危险品车识别（悬挂危险品标志、未悬挂危险品标志）、车辆品牌、车辆型号、车辆年款、车身颜色（黑、白、灰、红、蓝、黄、棕、绿、紫、粉、银、橙、金）、货车拖挂（有、无、无法判断）、天窗（有、无、无法判断）、行李架（有、无、无法判断）、车身文字（有、无、无法判断）、车辆角度（正面、侧面、背面）、第二车牌号、第二号牌种类、第二车牌颜色、前车窗挂件个数、前后车窗上的纸巾盒个数、前车窗摆件个数、主驾遮阳板状态（放下、收起）、副驾遮阳板状态（放下、收起）、后车窗玩偶个数、车尾方向（LED 显示屏、抱枕、贴纸、纸巾盒、备胎、车身喷字）、车顶灯个数、年检标个数、主/副驾区域（是否有人、是否系安全带、是否拨打电话、是否吸烟、是否戴帽子、是否戴眼镜、是否戴口罩、人员上衣颜色）。 </w:t>
      </w:r>
    </w:p>
    <w:p w14:paraId="1FEFFF7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（4）支持对车辆的品牌进行识别，视频识别支持不少于150种机动车车辆品牌的识别。</w:t>
      </w:r>
    </w:p>
    <w:p w14:paraId="5527FEA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val="zh-CN" w:eastAsia="zh-CN"/>
        </w:rPr>
        <w:t>（5）支持对车辆的子品牌进行识别，视频识别支持不少于1500种车辆子品牌和年款的识别</w:t>
      </w:r>
      <w:r>
        <w:rPr>
          <w:rFonts w:hint="eastAsia" w:cs="书宋-简" w:asciiTheme="minorEastAsia" w:hAnsiTheme="minorEastAsia" w:eastAsiaTheme="minorEastAsia"/>
          <w:sz w:val="24"/>
          <w:szCs w:val="24"/>
          <w:highlight w:val="none"/>
          <w:lang w:eastAsia="zh-CN"/>
        </w:rPr>
        <w:t>。</w:t>
      </w:r>
    </w:p>
    <w:p w14:paraId="7A61FE26">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46" w:name="_Toc204604074"/>
      <w:bookmarkStart w:id="47" w:name="_Toc949181507"/>
      <w:bookmarkStart w:id="48" w:name="_Toc787649680"/>
      <w:r>
        <w:rPr>
          <w:rFonts w:hint="eastAsia" w:cs="书宋-简" w:asciiTheme="minorEastAsia" w:hAnsiTheme="minorEastAsia" w:eastAsiaTheme="minorEastAsia"/>
          <w:b/>
          <w:bCs/>
          <w:sz w:val="24"/>
          <w:szCs w:val="24"/>
          <w:highlight w:val="none"/>
          <w:lang w:eastAsia="zh-CN"/>
        </w:rPr>
        <w:t>2.2.2.3车辆抓拍库搜图引擎</w:t>
      </w:r>
      <w:bookmarkEnd w:id="46"/>
      <w:bookmarkEnd w:id="47"/>
      <w:bookmarkEnd w:id="48"/>
    </w:p>
    <w:p w14:paraId="1C5FE6B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val="zh-CN" w:eastAsia="zh-CN"/>
        </w:rPr>
        <w:t>搜图引擎支持根据</w:t>
      </w:r>
      <w:r>
        <w:rPr>
          <w:rFonts w:hint="eastAsia" w:cs="书宋-简" w:asciiTheme="minorEastAsia" w:hAnsiTheme="minorEastAsia" w:eastAsiaTheme="minorEastAsia"/>
          <w:sz w:val="24"/>
          <w:szCs w:val="24"/>
          <w:highlight w:val="none"/>
          <w:lang w:eastAsia="zh-CN"/>
        </w:rPr>
        <w:t>用户输入的待检索图片，对车辆抓拍图片中的目标特征值进行比较并输出相似度超过设定阈值的结果。主要应用在车辆数据规模较大，且对查询效率和并发量要求较高的以图搜图场景中，如动态车辆搜图等。在以上场景中，需要依赖高算力和大容量显存的GPU服务器来独立部署搜图引擎，以实现车热数据的高效搜图应用。</w:t>
      </w:r>
    </w:p>
    <w:p w14:paraId="2622344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当存在高并发、大库容、长周期的车辆抓拍库搜图需求时，可采用GPU卡部署比对引擎进行车辆抓拍库搜图。</w:t>
      </w:r>
    </w:p>
    <w:p w14:paraId="093C33B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车辆抓拍库搜图功能支持将系统输入的车辆图片模型与车辆动态抓拍库进行比对（1：N），并按照设定的阈值，将比中的TOP N结果进行输出。</w:t>
      </w:r>
    </w:p>
    <w:p w14:paraId="659844CC">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49" w:name="_Toc2011438802"/>
      <w:bookmarkStart w:id="50" w:name="_Toc938971652"/>
      <w:bookmarkStart w:id="51" w:name="_Toc204604075"/>
      <w:bookmarkStart w:id="52" w:name="_Toc184981449"/>
      <w:r>
        <w:rPr>
          <w:rFonts w:hint="eastAsia" w:cs="书宋-简" w:asciiTheme="minorEastAsia" w:hAnsiTheme="minorEastAsia" w:eastAsiaTheme="minorEastAsia"/>
          <w:b/>
          <w:bCs/>
          <w:sz w:val="24"/>
          <w:szCs w:val="24"/>
          <w:highlight w:val="none"/>
          <w:lang w:eastAsia="zh-CN"/>
        </w:rPr>
        <w:t>2.2.2.4资源管理调度平台</w:t>
      </w:r>
      <w:bookmarkEnd w:id="49"/>
      <w:bookmarkEnd w:id="50"/>
      <w:bookmarkEnd w:id="51"/>
    </w:p>
    <w:p w14:paraId="1D94401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资源管理调度平台是整个视频图像解析系统的管理调度中心，对本级和跨级跨域的解析任务、算力资源进行总体管理与按需调度，实现云边智能计算资源的高效、合理利用。平台提供多种云边智能算力资源的集中管理能力，并结合丰富、灵活的智能调度策略，接收上层应用平台智能分析任务，利用有限的智能计算资源高效地处理智能分析任务，并对全过程进行监控和管理。</w:t>
      </w:r>
    </w:p>
    <w:p w14:paraId="5B6BA778">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1）</w:t>
      </w:r>
      <w:r>
        <w:rPr>
          <w:rFonts w:hint="eastAsia" w:cs="书宋-简" w:asciiTheme="minorEastAsia" w:hAnsiTheme="minorEastAsia" w:eastAsiaTheme="minorEastAsia"/>
          <w:bCs/>
          <w:sz w:val="24"/>
          <w:szCs w:val="24"/>
          <w:highlight w:val="none"/>
          <w:lang w:val="zh-CN" w:eastAsia="zh-CN"/>
        </w:rPr>
        <w:t>中心端资源管理</w:t>
      </w:r>
    </w:p>
    <w:p w14:paraId="4C047CC3">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中心端资源添加，添加内容包括配置中心端资源名称、类型（比对服务、引擎服务、智能分析服务、算力服务、聚类服务、搜图服务）、所属网域、设备IP、类型、端口、用户名和密码、是否开启校时，启动校时使用外部NTP时需要配置NTP校时IP、校时端口、校时间隔。</w:t>
      </w:r>
    </w:p>
    <w:p w14:paraId="63331A5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列表分页展示已添加中心端资源名称、所属网域、IP、状态、版本、芯片类型、芯片数量、添加时间；支持按添加时间对中心端资源进行排序；支持算法同步；支持中心端资源信息编辑；支持单个删除和批量删除中心端资源设备。</w:t>
      </w:r>
    </w:p>
    <w:p w14:paraId="3A861262">
      <w:pPr>
        <w:pStyle w:val="201"/>
        <w:spacing w:line="480" w:lineRule="exact"/>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支持按照资源名称、状态、类型对中心端资源进行查询，支持查询条件的重置。</w:t>
      </w:r>
    </w:p>
    <w:p w14:paraId="447C1BD5">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2</w:t>
      </w:r>
      <w:r>
        <w:rPr>
          <w:rFonts w:hint="eastAsia" w:cs="书宋-简" w:asciiTheme="minorEastAsia" w:hAnsiTheme="minorEastAsia" w:eastAsiaTheme="minorEastAsia"/>
          <w:bCs/>
          <w:sz w:val="24"/>
          <w:szCs w:val="24"/>
          <w:highlight w:val="none"/>
          <w:lang w:val="zh-CN" w:eastAsia="zh-CN"/>
        </w:rPr>
        <w:t>）边缘资源管理</w:t>
      </w:r>
    </w:p>
    <w:p w14:paraId="6844993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平台提供对智能IPC、NVR等边缘智能计算资源的接入、管理能力。</w:t>
      </w:r>
    </w:p>
    <w:p w14:paraId="2AB7915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支持边缘资源的添加，包括配置边缘端资源名称、所属网域、所属区域、IP、端口、用户名和密码。</w:t>
      </w:r>
    </w:p>
    <w:p w14:paraId="5F4FFB8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列表分页展示已添加边缘端资源的资源名称、IP、状态、设备类型、设备编号、设备序列号、功能类型、所属区域等信息；支持按照边缘端资源名称、状态、设备类型、功能类型对边缘端资源进行查询，支持查询条件的重置。支持单个设备同步和批量设备同步；支持单个删除和批量删除边缘端资源设备。</w:t>
      </w:r>
    </w:p>
    <w:p w14:paraId="1A70DE48">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53" w:name="_Toc1176183462"/>
      <w:bookmarkStart w:id="54" w:name="_Toc204604076"/>
      <w:bookmarkStart w:id="55" w:name="_Toc1586717008"/>
      <w:r>
        <w:rPr>
          <w:rFonts w:hint="eastAsia" w:cs="书宋-简" w:asciiTheme="minorEastAsia" w:hAnsiTheme="minorEastAsia" w:eastAsiaTheme="minorEastAsia"/>
          <w:b/>
          <w:bCs/>
          <w:sz w:val="24"/>
          <w:szCs w:val="24"/>
          <w:highlight w:val="none"/>
          <w:lang w:eastAsia="zh-CN"/>
        </w:rPr>
        <w:t>2.2.3车辆大数据基础平台功能</w:t>
      </w:r>
      <w:bookmarkEnd w:id="52"/>
      <w:bookmarkEnd w:id="53"/>
      <w:bookmarkEnd w:id="54"/>
      <w:bookmarkEnd w:id="55"/>
      <w:r>
        <w:rPr>
          <w:rFonts w:hint="eastAsia" w:cs="书宋-简" w:asciiTheme="minorEastAsia" w:hAnsiTheme="minorEastAsia" w:eastAsiaTheme="minorEastAsia"/>
          <w:b/>
          <w:bCs/>
          <w:sz w:val="24"/>
          <w:szCs w:val="24"/>
          <w:highlight w:val="none"/>
          <w:lang w:eastAsia="zh-CN"/>
        </w:rPr>
        <w:t>要求</w:t>
      </w:r>
    </w:p>
    <w:p w14:paraId="770C3623">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56" w:name="_Toc184981450"/>
      <w:bookmarkStart w:id="57" w:name="_Toc204604077"/>
      <w:bookmarkStart w:id="58" w:name="_Toc932684279"/>
      <w:bookmarkStart w:id="59" w:name="_Toc500825010"/>
      <w:r>
        <w:rPr>
          <w:rFonts w:hint="eastAsia" w:cs="书宋-简" w:asciiTheme="minorEastAsia" w:hAnsiTheme="minorEastAsia" w:eastAsiaTheme="minorEastAsia"/>
          <w:b/>
          <w:bCs/>
          <w:sz w:val="24"/>
          <w:szCs w:val="24"/>
          <w:highlight w:val="none"/>
          <w:lang w:eastAsia="zh-CN"/>
        </w:rPr>
        <w:t>2.2.3.1数据存储</w:t>
      </w:r>
      <w:bookmarkEnd w:id="56"/>
      <w:bookmarkEnd w:id="57"/>
      <w:bookmarkEnd w:id="58"/>
      <w:bookmarkEnd w:id="59"/>
    </w:p>
    <w:p w14:paraId="2A85CF9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支持多源异构数据的存储能力，提供多种数据存储组件，包括消息发布订阅系统、分布式文件系统、NoSQL数据库存储、列式数仓存储、图数据库等。</w:t>
      </w:r>
    </w:p>
    <w:p w14:paraId="6A794C2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bookmarkStart w:id="60" w:name="_Toc184981451"/>
      <w:r>
        <w:rPr>
          <w:rFonts w:hint="eastAsia" w:cs="书宋-简" w:asciiTheme="minorEastAsia" w:hAnsiTheme="minorEastAsia" w:eastAsiaTheme="minorEastAsia"/>
          <w:sz w:val="24"/>
          <w:szCs w:val="24"/>
          <w:highlight w:val="none"/>
          <w:lang w:eastAsia="zh-CN"/>
        </w:rPr>
        <w:t>（1）消息发布订阅系统</w:t>
      </w:r>
      <w:bookmarkEnd w:id="60"/>
    </w:p>
    <w:p w14:paraId="4A6ABFB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提供消息发布订阅系统，是一个分布式的、数据冗余备份的缓存系统，用于大数据集群的数据接入，承担高速数据总线的作用。</w:t>
      </w:r>
    </w:p>
    <w:p w14:paraId="7C49C9F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支持服务节点组成集群，由生产者向集群推送消息，由消费者从集群订阅消费数据；</w:t>
      </w:r>
    </w:p>
    <w:p w14:paraId="35D6C81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支持以Topic主题的形式存储数据，每个服务节点上都可以创建多个Topic；</w:t>
      </w:r>
    </w:p>
    <w:p w14:paraId="0BC660B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支持Topic分区，以提升Topic的读写并行度，Topic分区量支持可视化配置修改；</w:t>
      </w:r>
    </w:p>
    <w:p w14:paraId="5479F25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支持数据副本，副本数量支持可视化配置修改。</w:t>
      </w:r>
    </w:p>
    <w:p w14:paraId="6553294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bookmarkStart w:id="61" w:name="_Toc184981452"/>
      <w:r>
        <w:rPr>
          <w:rFonts w:hint="eastAsia" w:cs="书宋-简" w:asciiTheme="minorEastAsia" w:hAnsiTheme="minorEastAsia" w:eastAsiaTheme="minorEastAsia"/>
          <w:sz w:val="24"/>
          <w:szCs w:val="24"/>
          <w:highlight w:val="none"/>
          <w:lang w:eastAsia="zh-CN"/>
        </w:rPr>
        <w:t>（2）分布式文件系统</w:t>
      </w:r>
      <w:bookmarkEnd w:id="61"/>
    </w:p>
    <w:p w14:paraId="42648188">
      <w:pPr>
        <w:pStyle w:val="201"/>
        <w:spacing w:line="480" w:lineRule="exact"/>
        <w:ind w:firstLine="480" w:firstLineChars="200"/>
        <w:rPr>
          <w:rFonts w:hint="eastAsia" w:cs="书宋-简" w:asciiTheme="minorEastAsia" w:hAnsiTheme="minorEastAsia" w:eastAsiaTheme="minorEastAsia"/>
          <w:sz w:val="24"/>
          <w:szCs w:val="24"/>
          <w:highlight w:val="none"/>
          <w:shd w:val="clear" w:color="auto" w:fill="FFFFFF"/>
          <w:lang w:eastAsia="zh-CN"/>
        </w:rPr>
      </w:pPr>
      <w:r>
        <w:rPr>
          <w:rFonts w:hint="eastAsia" w:cs="书宋-简" w:asciiTheme="minorEastAsia" w:hAnsiTheme="minorEastAsia" w:eastAsiaTheme="minorEastAsia"/>
          <w:sz w:val="24"/>
          <w:szCs w:val="24"/>
          <w:highlight w:val="none"/>
          <w:lang w:eastAsia="zh-CN"/>
        </w:rPr>
        <w:t>提供分布式文件系统作为平台的文件系统，用于分布式数据库的文件存储，支持分布式存储和多副本机制。</w:t>
      </w:r>
    </w:p>
    <w:p w14:paraId="24CA235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val="zh-CN" w:eastAsia="zh-CN"/>
        </w:rPr>
        <w:t>支持</w:t>
      </w:r>
      <w:r>
        <w:rPr>
          <w:rFonts w:hint="eastAsia" w:cs="书宋-简" w:asciiTheme="minorEastAsia" w:hAnsiTheme="minorEastAsia" w:eastAsiaTheme="minorEastAsia"/>
          <w:sz w:val="24"/>
          <w:szCs w:val="24"/>
          <w:highlight w:val="none"/>
          <w:lang w:eastAsia="zh-CN"/>
        </w:rPr>
        <w:t>分布式存储：支持以管理节点和数据节点组成分布式主从架构；管理节点负责元数据管理，数据节点实际存放数据；</w:t>
      </w:r>
    </w:p>
    <w:p w14:paraId="79BA676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支持数据块存储：支持存储的数据以数据块流式写入，数据块大小支持可视化配置;</w:t>
      </w:r>
    </w:p>
    <w:p w14:paraId="7F1E512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支持容错机制：支持管理节点高可用；支持数据多副本存储机制，默认3副本，支持副本数可视化配置。</w:t>
      </w:r>
    </w:p>
    <w:p w14:paraId="491C4AE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bookmarkStart w:id="62" w:name="_Toc184981453"/>
      <w:r>
        <w:rPr>
          <w:rFonts w:hint="eastAsia" w:cs="书宋-简" w:asciiTheme="minorEastAsia" w:hAnsiTheme="minorEastAsia" w:eastAsiaTheme="minorEastAsia"/>
          <w:sz w:val="24"/>
          <w:szCs w:val="24"/>
          <w:highlight w:val="none"/>
          <w:lang w:eastAsia="zh-CN"/>
        </w:rPr>
        <w:t>（3）NoSQL数据库</w:t>
      </w:r>
      <w:bookmarkEnd w:id="62"/>
    </w:p>
    <w:p w14:paraId="5D72D5B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提供分布式数据库，用于原始数据的存储，支持结构化、半结构化（JSON）、非结构化数据（模型，二进制序列）的存储。</w:t>
      </w:r>
    </w:p>
    <w:p w14:paraId="197CA33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支持分布式架构：支持管理节点和数据节点组成分布式主从架构，管理节点支持高可用；</w:t>
      </w:r>
    </w:p>
    <w:p w14:paraId="5D8F675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支持分区存储：支持以表的形式存储数据，表中的数据划分为多个数据分区；</w:t>
      </w:r>
    </w:p>
    <w:p w14:paraId="617CBBC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支持多列族存储：支持将数据表中多个关联的列设计成列族；支持不同的列族存放在不同的物理文件。</w:t>
      </w:r>
    </w:p>
    <w:p w14:paraId="093C206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bookmarkStart w:id="63" w:name="_Toc184981454"/>
      <w:r>
        <w:rPr>
          <w:rFonts w:hint="eastAsia" w:cs="书宋-简" w:asciiTheme="minorEastAsia" w:hAnsiTheme="minorEastAsia" w:eastAsiaTheme="minorEastAsia"/>
          <w:sz w:val="24"/>
          <w:szCs w:val="24"/>
          <w:highlight w:val="none"/>
          <w:lang w:eastAsia="zh-CN"/>
        </w:rPr>
        <w:t>（4）列式数仓存储</w:t>
      </w:r>
      <w:bookmarkEnd w:id="63"/>
    </w:p>
    <w:p w14:paraId="62B3CCD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提供列式数仓存储，用于存储治理后的数据，适用于数仓数据的快速查询。</w:t>
      </w:r>
    </w:p>
    <w:p w14:paraId="26C6EBA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 xml:space="preserve">支持由管理节点和数据节点组成的分布式主从架构； </w:t>
      </w:r>
    </w:p>
    <w:p w14:paraId="384BA72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支持对表进行横向分区，支持用户组合使用两种分区策略（字段哈希值分区和字段值范围分区）；</w:t>
      </w:r>
    </w:p>
    <w:p w14:paraId="49579D0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支持一张表被分为若干分区。</w:t>
      </w:r>
    </w:p>
    <w:p w14:paraId="413072B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bookmarkStart w:id="64" w:name="_Toc184981455"/>
      <w:r>
        <w:rPr>
          <w:rFonts w:hint="eastAsia" w:cs="书宋-简" w:asciiTheme="minorEastAsia" w:hAnsiTheme="minorEastAsia" w:eastAsiaTheme="minorEastAsia"/>
          <w:sz w:val="24"/>
          <w:szCs w:val="24"/>
          <w:highlight w:val="none"/>
          <w:lang w:eastAsia="zh-CN"/>
        </w:rPr>
        <w:t>（5）图数据库</w:t>
      </w:r>
      <w:bookmarkEnd w:id="64"/>
    </w:p>
    <w:p w14:paraId="7AAE519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提供图数据库，应用图形理论存储实体之间的关系信息，服务于人员关系分析、人员图谱等基于关系的分析类业务。在数据结构中用结点集表示实体，用连接结点的线表示实体的关系。相对于传统的关系型数据库，查询速度更快、操作更简单、能提供更为丰富的关系展现方式。</w:t>
      </w:r>
    </w:p>
    <w:p w14:paraId="0C7BF52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分布式图数据库支持Gremlin标准图查询语言，提供多种类型访问接口。</w:t>
      </w:r>
    </w:p>
    <w:p w14:paraId="0A78AC1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分布式图数据库支持原生分布式图存储、数据模型优化、实时更新查询、分布式图查询、图深度推演等功能。</w:t>
      </w:r>
    </w:p>
    <w:p w14:paraId="526FB14C">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原生分布式图存储：支持分布式原生图存储，支持多副本、高可用。</w:t>
      </w:r>
    </w:p>
    <w:p w14:paraId="21F18581">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数据模型优化：支持点边标签、标签下独立属性和索引，支持动态Schema，支持用户自定义主键。</w:t>
      </w:r>
    </w:p>
    <w:p w14:paraId="499B77FC">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实时更新查询：支持Gremlin语言，支持用户通过主键或者属性条件进行查询和更新。</w:t>
      </w:r>
    </w:p>
    <w:p w14:paraId="6C56DB61">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分布式图查询：支持分布式图查询引擎，支持计算向数据迁移，提升查询性能。</w:t>
      </w:r>
    </w:p>
    <w:p w14:paraId="5B2B1A7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图深度推演：支持图概况、实体扩展、关系推演，支持根据方向、标签和属性过滤。</w:t>
      </w:r>
    </w:p>
    <w:p w14:paraId="1FA3156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65" w:name="_Toc184981464"/>
      <w:bookmarkStart w:id="66" w:name="_Toc1377530477"/>
      <w:bookmarkStart w:id="67" w:name="_Toc568318842"/>
      <w:bookmarkStart w:id="68" w:name="_Toc204604078"/>
      <w:r>
        <w:rPr>
          <w:rFonts w:hint="eastAsia" w:cs="书宋-简" w:asciiTheme="minorEastAsia" w:hAnsiTheme="minorEastAsia" w:eastAsiaTheme="minorEastAsia"/>
          <w:b/>
          <w:bCs/>
          <w:sz w:val="24"/>
          <w:szCs w:val="24"/>
          <w:highlight w:val="none"/>
          <w:lang w:eastAsia="zh-CN"/>
        </w:rPr>
        <w:t>2.2.3.2平台管理</w:t>
      </w:r>
      <w:bookmarkEnd w:id="65"/>
      <w:bookmarkEnd w:id="66"/>
      <w:bookmarkEnd w:id="67"/>
      <w:bookmarkEnd w:id="68"/>
    </w:p>
    <w:p w14:paraId="4E78156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val="zh-CN" w:eastAsia="zh-CN"/>
        </w:rPr>
        <w:t>平台管理</w:t>
      </w:r>
      <w:r>
        <w:rPr>
          <w:rFonts w:hint="eastAsia" w:cs="书宋-简" w:asciiTheme="minorEastAsia" w:hAnsiTheme="minorEastAsia" w:eastAsiaTheme="minorEastAsia"/>
          <w:sz w:val="24"/>
          <w:szCs w:val="24"/>
          <w:highlight w:val="none"/>
          <w:lang w:eastAsia="zh-CN"/>
        </w:rPr>
        <w:t>是对大数据基础平台的运维管理。支持大数据基础平台集群的安装部署、节点管理、服务管理、告警信息、监控、日志审计、多租户、用户管理等功能。支持对大数据基础平台集群进行在线扩容、减容，组件升级。</w:t>
      </w:r>
    </w:p>
    <w:p w14:paraId="6FD9471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bookmarkStart w:id="69" w:name="_Toc184981465"/>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sz w:val="24"/>
          <w:szCs w:val="24"/>
          <w:highlight w:val="none"/>
          <w:lang w:val="zh-CN" w:eastAsia="zh-CN"/>
        </w:rPr>
        <w:t>）集群部署</w:t>
      </w:r>
      <w:bookmarkEnd w:id="69"/>
    </w:p>
    <w:p w14:paraId="7D881151">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支持图形化安装部署，支持</w:t>
      </w:r>
      <w:r>
        <w:rPr>
          <w:rFonts w:hint="eastAsia" w:cs="书宋-简" w:asciiTheme="minorEastAsia" w:hAnsiTheme="minorEastAsia" w:eastAsiaTheme="minorEastAsia"/>
          <w:sz w:val="24"/>
          <w:szCs w:val="24"/>
          <w:highlight w:val="none"/>
          <w:lang w:eastAsia="zh-CN"/>
        </w:rPr>
        <w:t>大数据基础平台</w:t>
      </w:r>
      <w:r>
        <w:rPr>
          <w:rFonts w:hint="eastAsia" w:cs="书宋-简" w:asciiTheme="minorEastAsia" w:hAnsiTheme="minorEastAsia" w:eastAsiaTheme="minorEastAsia"/>
          <w:sz w:val="24"/>
          <w:szCs w:val="24"/>
          <w:highlight w:val="none"/>
          <w:lang w:val="zh-CN" w:eastAsia="zh-CN"/>
        </w:rPr>
        <w:t>的向导式安装部署，用户可根据界面指引一步一步完成集群部署。</w:t>
      </w:r>
    </w:p>
    <w:p w14:paraId="680D4ED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bookmarkStart w:id="70" w:name="_Toc184981466"/>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2</w:t>
      </w:r>
      <w:r>
        <w:rPr>
          <w:rFonts w:hint="eastAsia" w:cs="书宋-简" w:asciiTheme="minorEastAsia" w:hAnsiTheme="minorEastAsia" w:eastAsiaTheme="minorEastAsia"/>
          <w:sz w:val="24"/>
          <w:szCs w:val="24"/>
          <w:highlight w:val="none"/>
          <w:lang w:val="zh-CN" w:eastAsia="zh-CN"/>
        </w:rPr>
        <w:t>）节点管理</w:t>
      </w:r>
      <w:bookmarkEnd w:id="70"/>
    </w:p>
    <w:p w14:paraId="61960556">
      <w:pPr>
        <w:pStyle w:val="201"/>
        <w:spacing w:line="480" w:lineRule="exact"/>
        <w:ind w:firstLine="240" w:firstLineChars="1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w:t>
      </w:r>
      <w:r>
        <w:rPr>
          <w:rFonts w:hint="eastAsia" w:cs="书宋-简" w:asciiTheme="minorEastAsia" w:hAnsiTheme="minorEastAsia" w:eastAsiaTheme="minorEastAsia"/>
          <w:sz w:val="24"/>
          <w:szCs w:val="24"/>
          <w:highlight w:val="none"/>
          <w:lang w:eastAsia="zh-CN"/>
        </w:rPr>
        <w:t>大数据基础平台</w:t>
      </w:r>
      <w:r>
        <w:rPr>
          <w:rFonts w:hint="eastAsia" w:cs="书宋-简" w:asciiTheme="minorEastAsia" w:hAnsiTheme="minorEastAsia" w:eastAsiaTheme="minorEastAsia"/>
          <w:sz w:val="24"/>
          <w:szCs w:val="24"/>
          <w:highlight w:val="none"/>
          <w:lang w:val="zh-CN" w:eastAsia="zh-CN"/>
        </w:rPr>
        <w:t>集群的概况管理。</w:t>
      </w:r>
    </w:p>
    <w:p w14:paraId="5357AAC7">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支持集群管理者通过用户界面了解集群内所有节点的信息状态，包括节点整体健康状况、资源使用率（CPU/内存/磁盘）、服务实例状态。</w:t>
      </w:r>
    </w:p>
    <w:p w14:paraId="653F7BC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支持节点启动、停止、重启。</w:t>
      </w:r>
    </w:p>
    <w:p w14:paraId="4F7C087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支持在线扩容及在线减容。</w:t>
      </w:r>
    </w:p>
    <w:p w14:paraId="645E67AB">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bookmarkStart w:id="71" w:name="_Toc184981467"/>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3</w:t>
      </w:r>
      <w:r>
        <w:rPr>
          <w:rFonts w:hint="eastAsia" w:cs="书宋-简" w:asciiTheme="minorEastAsia" w:hAnsiTheme="minorEastAsia" w:eastAsiaTheme="minorEastAsia"/>
          <w:sz w:val="24"/>
          <w:szCs w:val="24"/>
          <w:highlight w:val="none"/>
          <w:lang w:val="zh-CN" w:eastAsia="zh-CN"/>
        </w:rPr>
        <w:t>）服务管理</w:t>
      </w:r>
      <w:bookmarkEnd w:id="71"/>
    </w:p>
    <w:p w14:paraId="14BBF72C">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支持集群服务管理能力。</w:t>
      </w:r>
    </w:p>
    <w:p w14:paraId="0A06039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支持基础服务和租户服务详情展示，包括服务类型、服务版本、角色实例、运行状态。支持对具体服务进行的启/停、卸载操作。</w:t>
      </w:r>
    </w:p>
    <w:p w14:paraId="23C5737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支持添加新的服务。</w:t>
      </w:r>
    </w:p>
    <w:p w14:paraId="68EB05A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支持对现有服务进行在线升级。</w:t>
      </w:r>
    </w:p>
    <w:p w14:paraId="1B45A43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val="zh-CN" w:eastAsia="zh-CN"/>
        </w:rPr>
        <w:t>支持</w:t>
      </w:r>
      <w:r>
        <w:rPr>
          <w:rFonts w:hint="eastAsia" w:cs="书宋-简" w:asciiTheme="minorEastAsia" w:hAnsiTheme="minorEastAsia" w:eastAsiaTheme="minorEastAsia"/>
          <w:sz w:val="24"/>
          <w:szCs w:val="24"/>
          <w:highlight w:val="none"/>
          <w:lang w:eastAsia="zh-CN"/>
        </w:rPr>
        <w:t>服务操作，支持服务管理首页进行如下操作：</w:t>
      </w:r>
    </w:p>
    <w:p w14:paraId="59B9170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启动/停止：启动或停止运行该服务；</w:t>
      </w:r>
    </w:p>
    <w:p w14:paraId="2CB4A9C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强杀：立即杀死服务的所有进程，通常在服务僵死无法正常使用时使用；</w:t>
      </w:r>
    </w:p>
    <w:p w14:paraId="29E303E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卸载：将服务从集群中卸载。</w:t>
      </w:r>
    </w:p>
    <w:p w14:paraId="0519740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支持在具体服务的详情页面查看服务的基本信息、参数配置、高级参数配置。服务的基本信息包含角色实例、类型、节点、运行状态、操作。支持添加和删除实例，支持启动、停止实例。</w:t>
      </w:r>
    </w:p>
    <w:p w14:paraId="3C84485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支持灵活地修改服务的配置参数。支持对服务进行参数配置、高级参数配置、参数搜索等操作。</w:t>
      </w:r>
    </w:p>
    <w:p w14:paraId="39D7323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支持服务在线升级。</w:t>
      </w:r>
    </w:p>
    <w:p w14:paraId="0FAEBD01">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bookmarkStart w:id="72" w:name="_Toc184981470"/>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4</w:t>
      </w:r>
      <w:r>
        <w:rPr>
          <w:rFonts w:hint="eastAsia" w:cs="书宋-简" w:asciiTheme="minorEastAsia" w:hAnsiTheme="minorEastAsia" w:eastAsiaTheme="minorEastAsia"/>
          <w:sz w:val="24"/>
          <w:szCs w:val="24"/>
          <w:highlight w:val="none"/>
          <w:lang w:val="zh-CN" w:eastAsia="zh-CN"/>
        </w:rPr>
        <w:t>）日志审计</w:t>
      </w:r>
      <w:bookmarkEnd w:id="72"/>
    </w:p>
    <w:p w14:paraId="3D95925A">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日志审计支持根据时间、租户/用户、服务、操作等维度查看操作审计信息。</w:t>
      </w:r>
    </w:p>
    <w:p w14:paraId="2E1C490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支持在审计管理页面查看用户在大数据管理平台进行过的各种操作记录。审计包括以下内容：</w:t>
      </w:r>
    </w:p>
    <w:p w14:paraId="0E29A20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租户操作：添加租户、删除租户、修改租户；</w:t>
      </w:r>
    </w:p>
    <w:p w14:paraId="6E3A9BC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用户操作：添加用户、删除用户、修改用户密码；</w:t>
      </w:r>
    </w:p>
    <w:p w14:paraId="5976C69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服务操作：删除服务、启动服务、添加服务、停止服务、强制停止服务、扩容服务、更新服务配置、添加实例、停止实例、启动实例、停止实例、升级服务、回滚服务；</w:t>
      </w:r>
    </w:p>
    <w:p w14:paraId="3CAE13D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备份操作：创建备份计划、删除备份计划、启动备份计划、暂停备份计划、创建备份、恢复备份、删除备份；</w:t>
      </w:r>
    </w:p>
    <w:p w14:paraId="7D3B9EF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节点操作：删除节点，添加节点。</w:t>
      </w:r>
    </w:p>
    <w:p w14:paraId="734DE8E7">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bookmarkStart w:id="73" w:name="_Toc184981472"/>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5</w:t>
      </w:r>
      <w:r>
        <w:rPr>
          <w:rFonts w:hint="eastAsia" w:cs="书宋-简" w:asciiTheme="minorEastAsia" w:hAnsiTheme="minorEastAsia" w:eastAsiaTheme="minorEastAsia"/>
          <w:sz w:val="24"/>
          <w:szCs w:val="24"/>
          <w:highlight w:val="none"/>
          <w:lang w:val="zh-CN" w:eastAsia="zh-CN"/>
        </w:rPr>
        <w:t>）用户管理</w:t>
      </w:r>
      <w:bookmarkEnd w:id="73"/>
    </w:p>
    <w:p w14:paraId="0EECE64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支持统一的用户管理界面。</w:t>
      </w:r>
    </w:p>
    <w:p w14:paraId="314AC4C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支持系统管理员添加、删除用户，以及修改密码。支持不同的用户角色。</w:t>
      </w:r>
    </w:p>
    <w:p w14:paraId="1C6AD1DE">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74" w:name="_Toc133528632"/>
      <w:bookmarkStart w:id="75" w:name="_Toc177132311"/>
      <w:bookmarkStart w:id="76" w:name="_Toc1544702855"/>
      <w:bookmarkStart w:id="77" w:name="_Toc204604079"/>
      <w:bookmarkStart w:id="78" w:name="_Toc141951511"/>
      <w:r>
        <w:rPr>
          <w:rFonts w:hint="eastAsia" w:cs="书宋-简" w:asciiTheme="minorEastAsia" w:hAnsiTheme="minorEastAsia" w:eastAsiaTheme="minorEastAsia"/>
          <w:b/>
          <w:bCs/>
          <w:sz w:val="24"/>
          <w:szCs w:val="24"/>
          <w:highlight w:val="none"/>
          <w:lang w:eastAsia="zh-CN"/>
        </w:rPr>
        <w:t>2.2.4视频图像信息综合应用平台</w:t>
      </w:r>
      <w:bookmarkEnd w:id="74"/>
      <w:bookmarkEnd w:id="75"/>
      <w:bookmarkEnd w:id="76"/>
      <w:bookmarkEnd w:id="77"/>
      <w:r>
        <w:rPr>
          <w:rFonts w:hint="eastAsia" w:cs="书宋-简" w:asciiTheme="minorEastAsia" w:hAnsiTheme="minorEastAsia" w:eastAsiaTheme="minorEastAsia"/>
          <w:b/>
          <w:bCs/>
          <w:sz w:val="24"/>
          <w:szCs w:val="24"/>
          <w:highlight w:val="none"/>
          <w:lang w:eastAsia="zh-CN"/>
        </w:rPr>
        <w:t>要求</w:t>
      </w:r>
    </w:p>
    <w:p w14:paraId="4901FC80">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79" w:name="_Toc204604080"/>
      <w:bookmarkStart w:id="80" w:name="_Toc95306909"/>
      <w:bookmarkStart w:id="81" w:name="_Toc818889789"/>
      <w:bookmarkStart w:id="82" w:name="_Toc165973131"/>
      <w:r>
        <w:rPr>
          <w:rFonts w:hint="eastAsia" w:cs="书宋-简" w:asciiTheme="minorEastAsia" w:hAnsiTheme="minorEastAsia" w:eastAsiaTheme="minorEastAsia"/>
          <w:b/>
          <w:bCs/>
          <w:sz w:val="24"/>
          <w:szCs w:val="24"/>
          <w:highlight w:val="none"/>
          <w:lang w:eastAsia="zh-CN"/>
        </w:rPr>
        <w:t>2.2.4.1视频调阅</w:t>
      </w:r>
      <w:bookmarkEnd w:id="79"/>
      <w:bookmarkEnd w:id="80"/>
      <w:bookmarkEnd w:id="81"/>
      <w:bookmarkEnd w:id="82"/>
    </w:p>
    <w:p w14:paraId="6C40A5F2">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视频调阅包含视频应用、电子地图、点位搜索等应用，为用户提供视频预览、回放、点位查找等能力。</w:t>
      </w:r>
    </w:p>
    <w:p w14:paraId="072B20E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sz w:val="24"/>
          <w:szCs w:val="24"/>
          <w:highlight w:val="none"/>
          <w:lang w:val="zh-CN" w:eastAsia="zh-CN"/>
        </w:rPr>
        <w:t>）视频应用</w:t>
      </w:r>
    </w:p>
    <w:p w14:paraId="1C997491">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视频应用提供基础的视频预览、录像回放、视频上墙功能，满足监控领域用户在安保、监控等场景下的实时预览和远程回放的操作需求。客户端提供视频浓缩播放功能，实现视频智能变速播放。为提高视频查看效率，提供实时视频自动标注的功能，实时展示画面中的人、车目标的特征信息。</w:t>
      </w:r>
    </w:p>
    <w:p w14:paraId="461998D2">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2</w:t>
      </w:r>
      <w:r>
        <w:rPr>
          <w:rFonts w:hint="eastAsia" w:cs="书宋-简" w:asciiTheme="minorEastAsia" w:hAnsiTheme="minorEastAsia" w:eastAsiaTheme="minorEastAsia"/>
          <w:sz w:val="24"/>
          <w:szCs w:val="24"/>
          <w:highlight w:val="none"/>
          <w:lang w:val="zh-CN" w:eastAsia="zh-CN"/>
        </w:rPr>
        <w:t>）视频预览</w:t>
      </w:r>
    </w:p>
    <w:p w14:paraId="5F08885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支持以资源树形式展示点位资源。</w:t>
      </w:r>
    </w:p>
    <w:p w14:paraId="6562E8C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预览点位实时视频。支持查看点位属性详情，包括：监控点名称、类型、状态、级联状态、IP地址、经纬度、监控点编码、国标编码。支持搜索当前点位的周边的点位，支持通过框选、圆选、多边形选、线选、点选等绘制区域进行查询。支持将点位添加至收藏夹。支持将点位发送至电视墙进行预览。支持将点位分享给移动端。</w:t>
      </w:r>
    </w:p>
    <w:p w14:paraId="1E88706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支持根据关键字及拼音字母进行点位模糊搜索，支持将搜索到的点位定位到资源树。</w:t>
      </w:r>
    </w:p>
    <w:p w14:paraId="734D316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支持查看我的收藏。</w:t>
      </w:r>
    </w:p>
    <w:p w14:paraId="736C29C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支持创建新的收藏夹分组，并支持编辑、修改排序以及删除个人收藏夹分组，支持收藏夹刷新。</w:t>
      </w:r>
    </w:p>
    <w:p w14:paraId="178BCBE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支持对收藏夹内点位进行预览及回放。</w:t>
      </w:r>
    </w:p>
    <w:p w14:paraId="691931B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支持将创建的收藏夹分组分享给其他用户。</w:t>
      </w:r>
    </w:p>
    <w:p w14:paraId="0694C4B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支持根据关键字及拼音字母对收藏夹内点位进行模糊搜索，支持将搜索到的点位定位到资源树。</w:t>
      </w:r>
    </w:p>
    <w:p w14:paraId="144BAA2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支持创建、编辑、删除分组或预案。</w:t>
      </w:r>
    </w:p>
    <w:p w14:paraId="35CA5AF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支持配置轮巡间隔、是否定时执行预案以及执行时间、所属预案分组。支持按资源树添加点位。支持配置资源点位码流类型（自适应码流、主码流、子码流）、预置点、顺序。</w:t>
      </w:r>
    </w:p>
    <w:p w14:paraId="2F10078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支持按时间顺序显示近期查看过的点位，支持对近期查看过的点位视频快速进行播放，支持清空历史列表。</w:t>
      </w:r>
    </w:p>
    <w:p w14:paraId="14FC909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支持画面按照1画面、4画面、6画面、8画面、9画面等进行分割。</w:t>
      </w:r>
    </w:p>
    <w:p w14:paraId="3842E71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支持对预览的视频进行抓图、录像、画面放大、云台控制、声音控制、视频增强、对讲控制、即时回放。</w:t>
      </w:r>
    </w:p>
    <w:p w14:paraId="79A7293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支持将抓图跳转至以图搜图，支持上传至线索库。</w:t>
      </w:r>
    </w:p>
    <w:p w14:paraId="1CE57CC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云台控制支持焦距调节、光圈调节、灯光控制、雨刷控制、镜头初始化。支持预置点、巡航、轨迹三种模式选择。</w:t>
      </w:r>
    </w:p>
    <w:p w14:paraId="2AF1792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3</w:t>
      </w:r>
      <w:r>
        <w:rPr>
          <w:rFonts w:hint="eastAsia" w:cs="书宋-简" w:asciiTheme="minorEastAsia" w:hAnsiTheme="minorEastAsia" w:eastAsiaTheme="minorEastAsia"/>
          <w:sz w:val="24"/>
          <w:szCs w:val="24"/>
          <w:highlight w:val="none"/>
          <w:lang w:val="zh-CN" w:eastAsia="zh-CN"/>
        </w:rPr>
        <w:t>）录像回放</w:t>
      </w:r>
    </w:p>
    <w:p w14:paraId="0CC174E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支持以资源树形式展示资源。</w:t>
      </w:r>
    </w:p>
    <w:p w14:paraId="74ADBFE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查看点位录像。支持查看点位属性详情，包括：监控点名称、类型、状态、级联状态、IP地址、经纬度、监控点编码、国标编码。支持搜索当前点位的周边的点位，支持通过框选、圆选、多边形选、线选等绘制区域进行查询。</w:t>
      </w:r>
    </w:p>
    <w:p w14:paraId="48A86E9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支持根据关键字进行点位模糊搜索。</w:t>
      </w:r>
    </w:p>
    <w:p w14:paraId="00A776F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支持按时间顺序显示近期查看过的视频，支持对近期查看过的回放视频进行播放或续播，支持清空历史列表。</w:t>
      </w:r>
    </w:p>
    <w:p w14:paraId="338CA37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支持画面抓图、录像剪辑、电子放大、分段回放、向前定位、视频增强、收藏等功能。</w:t>
      </w:r>
    </w:p>
    <w:p w14:paraId="3568317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支持多录像同步播放、异步播放。支持筛选录像类型，包括移动录像、报警录像、计划录像、手动录像。支持对录像进行框选、下载、打标签等操作。</w:t>
      </w:r>
    </w:p>
    <w:p w14:paraId="793DDB9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支持单画面及多画面播放控制，支持画面倒放、逐帧倒放、逐帧前进。</w:t>
      </w:r>
    </w:p>
    <w:p w14:paraId="551ED52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eastAsia="zh-CN"/>
        </w:rPr>
        <w:t>支持多屏播放，支持切换画面为1、4、9、16分屏。</w:t>
      </w:r>
    </w:p>
    <w:p w14:paraId="1AE3045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4</w:t>
      </w:r>
      <w:r>
        <w:rPr>
          <w:rFonts w:hint="eastAsia" w:cs="书宋-简" w:asciiTheme="minorEastAsia" w:hAnsiTheme="minorEastAsia" w:eastAsiaTheme="minorEastAsia"/>
          <w:sz w:val="24"/>
          <w:szCs w:val="24"/>
          <w:highlight w:val="none"/>
          <w:lang w:val="zh-CN" w:eastAsia="zh-CN"/>
        </w:rPr>
        <w:t>）视频上墙</w:t>
      </w:r>
    </w:p>
    <w:p w14:paraId="122B588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支持电视墙场景管理，实现场景窗口配置、场景切换计划配置以及轮巡计划的管理。</w:t>
      </w:r>
    </w:p>
    <w:p w14:paraId="23EFE65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eastAsia="zh-CN"/>
        </w:rPr>
        <w:t>支持上墙控制，实现场景一键上墙、场景切换、电视墙切换、监控点上下墙、轮巡控制操作。</w:t>
      </w:r>
    </w:p>
    <w:p w14:paraId="45658E3F">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83" w:name="_Toc165973132"/>
      <w:bookmarkStart w:id="84" w:name="_Toc204604081"/>
      <w:bookmarkStart w:id="85" w:name="_Toc1947902548"/>
      <w:bookmarkStart w:id="86" w:name="_Toc152104255"/>
      <w:r>
        <w:rPr>
          <w:rFonts w:hint="eastAsia" w:cs="书宋-简" w:asciiTheme="minorEastAsia" w:hAnsiTheme="minorEastAsia" w:eastAsiaTheme="minorEastAsia"/>
          <w:b/>
          <w:bCs/>
          <w:sz w:val="24"/>
          <w:szCs w:val="24"/>
          <w:highlight w:val="none"/>
          <w:lang w:eastAsia="zh-CN"/>
        </w:rPr>
        <w:t>2.2.4.2查询检索</w:t>
      </w:r>
      <w:bookmarkEnd w:id="83"/>
      <w:bookmarkEnd w:id="84"/>
      <w:bookmarkEnd w:id="85"/>
      <w:bookmarkEnd w:id="86"/>
    </w:p>
    <w:p w14:paraId="640EE88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sz w:val="24"/>
          <w:szCs w:val="24"/>
          <w:highlight w:val="none"/>
          <w:lang w:val="zh-CN" w:eastAsia="zh-CN"/>
        </w:rPr>
        <w:t>）图片搜索</w:t>
      </w:r>
    </w:p>
    <w:p w14:paraId="2AFB03CB">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图片搜索应用通过对上传的车辆图片进行建模，与抓拍数据进行比对，通过设置抓拍地点、时间、相似度等条件，找出满足条件的车辆目标，并可根据搜索结果进行下一步研判分析。主要包含车辆图片搜索、分布式车辆图片搜索。</w:t>
      </w:r>
    </w:p>
    <w:p w14:paraId="7ACD558A">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2</w:t>
      </w:r>
      <w:r>
        <w:rPr>
          <w:rFonts w:hint="eastAsia" w:cs="书宋-简" w:asciiTheme="minorEastAsia" w:hAnsiTheme="minorEastAsia" w:eastAsiaTheme="minorEastAsia"/>
          <w:bCs/>
          <w:sz w:val="24"/>
          <w:szCs w:val="24"/>
          <w:highlight w:val="none"/>
          <w:lang w:val="zh-CN" w:eastAsia="zh-CN"/>
        </w:rPr>
        <w:t>）车辆图片搜索</w:t>
      </w:r>
    </w:p>
    <w:p w14:paraId="3257845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支持通过查询历史记录选择、收藏夹选图、粘贴URL、全屏拖拽以及选择文件5种形式上传车辆图片。</w:t>
      </w:r>
    </w:p>
    <w:p w14:paraId="627C1AE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通过车辆图片、时间范围（1天、3天、7天、10天、自定义）、多个时间段、查询范围（地图选点、目录选点、标签选点、收藏夹选点、视频解析）、最小相似度等条件进行搜索。支持选择是否仅将车牌作为搜索条件。</w:t>
      </w:r>
    </w:p>
    <w:p w14:paraId="4E21C77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不将车牌作为搜索条件时，支持按相似度倒序（由高到低）、时间正序、时间倒序对搜索结果进行排列。支持按车牌分组和按卡口分组查看搜索结果。</w:t>
      </w:r>
    </w:p>
    <w:p w14:paraId="00EE2A7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仅将车牌作为搜索条件时，支持按时间正序、时间倒序对搜索结果进行排列。支持导出部分或全部搜索结果。</w:t>
      </w:r>
    </w:p>
    <w:p w14:paraId="4BE042A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支持选择相应的搜索结果并加入线索库。支持选择相应的搜索结果并生成车辆轨迹。</w:t>
      </w:r>
    </w:p>
    <w:p w14:paraId="756A646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支持对某一搜索结果进行一键跳转，包括档案查看、继续查询、视频解析、视频回放等。支持查看结果详情。</w:t>
      </w:r>
    </w:p>
    <w:p w14:paraId="0D999C68">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3</w:t>
      </w:r>
      <w:r>
        <w:rPr>
          <w:rFonts w:hint="eastAsia" w:cs="书宋-简" w:asciiTheme="minorEastAsia" w:hAnsiTheme="minorEastAsia" w:eastAsiaTheme="minorEastAsia"/>
          <w:bCs/>
          <w:sz w:val="24"/>
          <w:szCs w:val="24"/>
          <w:highlight w:val="none"/>
          <w:lang w:val="zh-CN" w:eastAsia="zh-CN"/>
        </w:rPr>
        <w:t>）分布式车辆图片搜索</w:t>
      </w:r>
    </w:p>
    <w:p w14:paraId="5911FA0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支持通过车辆图片、日期范围、抓拍地点等条件，从多平台（本级、上级、各下级等）搜索与目标相似度在一定阈值的车辆抓拍数据，结果支持按平台、按相似度和按时间展示。</w:t>
      </w:r>
    </w:p>
    <w:p w14:paraId="21B2AE6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结果支持展示车辆抓拍图片、比对相似度，车牌号码、抓拍时间、抓拍地点、来源平台名称等，支持展示详情。</w:t>
      </w:r>
    </w:p>
    <w:p w14:paraId="5ED850B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支持将查询结果添加到暂存架。</w:t>
      </w:r>
    </w:p>
    <w:p w14:paraId="2B9CA2D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针对查询失败的平台，支持异常原因的展示。</w:t>
      </w:r>
    </w:p>
    <w:p w14:paraId="3320EF33">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4</w:t>
      </w:r>
      <w:r>
        <w:rPr>
          <w:rFonts w:hint="eastAsia" w:cs="书宋-简" w:asciiTheme="minorEastAsia" w:hAnsiTheme="minorEastAsia" w:eastAsiaTheme="minorEastAsia"/>
          <w:sz w:val="24"/>
          <w:szCs w:val="24"/>
          <w:highlight w:val="none"/>
          <w:lang w:val="zh-CN" w:eastAsia="zh-CN"/>
        </w:rPr>
        <w:t>）属性搜索</w:t>
      </w:r>
    </w:p>
    <w:p w14:paraId="1185351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属性搜索应用通过选择车辆属性特征，设置抓拍时间、抓拍地点等条件，找出符合属性特征的车辆目标，并可根据搜索结果进行下一步研判分析。主要包车辆属性搜索、分布式车辆属性搜索。</w:t>
      </w:r>
    </w:p>
    <w:p w14:paraId="3E53A594">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5</w:t>
      </w:r>
      <w:r>
        <w:rPr>
          <w:rFonts w:hint="eastAsia" w:cs="书宋-简" w:asciiTheme="minorEastAsia" w:hAnsiTheme="minorEastAsia" w:eastAsiaTheme="minorEastAsia"/>
          <w:bCs/>
          <w:sz w:val="24"/>
          <w:szCs w:val="24"/>
          <w:highlight w:val="none"/>
          <w:lang w:val="zh-CN" w:eastAsia="zh-CN"/>
        </w:rPr>
        <w:t>）车辆属性搜索</w:t>
      </w:r>
    </w:p>
    <w:p w14:paraId="2A03E4E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照车牌有无、车牌号码、车牌颜色、车牌类型、时间范围（1天、3天、7天、10天、自定义）、多个时间段、查询范围（地图选点、目录选点、标签选点、收藏夹选点、视频解析）、、车辆品牌、车身颜色、车辆类型、车辆属性（主遮阳板是否打开、副驾驶室是否有人、拍照角度、方向、车道）、车辆特征（天窗、行李架、天窗站人、车身喷字、备胎）、主副驾驶员特征（主安全带、打电话、儿童单独乘坐副驾驶、副安全带、车检贴标）、前车窗特征（车标颜色、纸巾盒、临牌车辆、挂件、副遮阳板、危险品标志、摆件、卡片检测）、其他特征（渣土车、渣土车盖板、速度区间）等条件进行查询。</w:t>
      </w:r>
    </w:p>
    <w:p w14:paraId="727125F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车牌和按卡口对搜索结果进行分类。支持按时间正序、时间倒序对搜索结果进行排列。支持导出部分或全部搜索结果。支持对某一搜索结果以图搜图、一键布控、视频解析。支持选择部分结果生成车辆轨迹。</w:t>
      </w:r>
    </w:p>
    <w:p w14:paraId="79CB6453">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6</w:t>
      </w:r>
      <w:r>
        <w:rPr>
          <w:rFonts w:hint="eastAsia" w:cs="书宋-简" w:asciiTheme="minorEastAsia" w:hAnsiTheme="minorEastAsia" w:eastAsiaTheme="minorEastAsia"/>
          <w:bCs/>
          <w:sz w:val="24"/>
          <w:szCs w:val="24"/>
          <w:highlight w:val="none"/>
          <w:lang w:val="zh-CN" w:eastAsia="zh-CN"/>
        </w:rPr>
        <w:t>）分布式车辆属性搜索</w:t>
      </w:r>
    </w:p>
    <w:p w14:paraId="0AD4C97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支持通过日期范围、车牌号码、车牌颜色、车牌类型、车辆类型、车身颜色、抓拍地点等条件，从多平台（本级、上级、各下级等）搜索符合条件的车辆抓拍数据，结果支持按平台或按时间排序展示。</w:t>
      </w:r>
    </w:p>
    <w:p w14:paraId="20412003">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结果支持展示车辆抓拍图片、车牌号码、抓拍时间、抓拍地点、来源平台名称等，支持展示详情。</w:t>
      </w:r>
    </w:p>
    <w:p w14:paraId="7D75E7C1">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支持将查询结果添加到暂存架。</w:t>
      </w:r>
    </w:p>
    <w:p w14:paraId="2F48E10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针对查询失败的平台，支持异常原因的展示。</w:t>
      </w:r>
    </w:p>
    <w:p w14:paraId="19EEBF5D">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87" w:name="_Toc204604082"/>
      <w:bookmarkStart w:id="88" w:name="_Toc9925721"/>
      <w:bookmarkStart w:id="89" w:name="_Toc165973134"/>
      <w:bookmarkStart w:id="90" w:name="_Toc226974035"/>
      <w:r>
        <w:rPr>
          <w:rFonts w:hint="eastAsia" w:cs="书宋-简" w:asciiTheme="minorEastAsia" w:hAnsiTheme="minorEastAsia" w:eastAsiaTheme="minorEastAsia"/>
          <w:b/>
          <w:bCs/>
          <w:sz w:val="24"/>
          <w:szCs w:val="24"/>
          <w:highlight w:val="none"/>
          <w:lang w:eastAsia="zh-CN"/>
        </w:rPr>
        <w:t>2.2.4.3布控告警</w:t>
      </w:r>
      <w:bookmarkEnd w:id="87"/>
      <w:bookmarkEnd w:id="88"/>
      <w:bookmarkEnd w:id="89"/>
      <w:bookmarkEnd w:id="90"/>
    </w:p>
    <w:p w14:paraId="77300E2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个体布控应用通过车辆图片、车牌等信息对单个车辆信息进行布控。用户可接收到实时预警推送，并查看实时与历史预警信息。</w:t>
      </w:r>
    </w:p>
    <w:p w14:paraId="099ADC7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sz w:val="24"/>
          <w:szCs w:val="24"/>
          <w:highlight w:val="none"/>
          <w:lang w:val="zh-CN" w:eastAsia="zh-CN"/>
        </w:rPr>
        <w:t>）车辆图片布控</w:t>
      </w:r>
    </w:p>
    <w:p w14:paraId="15075D1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eastAsia="zh-CN"/>
        </w:rPr>
        <w:t>支持上传单张车辆图片对车辆进行布控，支持选择车辆颜色、车辆类型。</w:t>
      </w:r>
      <w:r>
        <w:rPr>
          <w:rFonts w:hint="eastAsia" w:cs="书宋-简" w:asciiTheme="minorEastAsia" w:hAnsiTheme="minorEastAsia" w:eastAsiaTheme="minorEastAsia"/>
          <w:sz w:val="24"/>
          <w:szCs w:val="24"/>
          <w:highlight w:val="none"/>
          <w:lang w:val="zh-CN" w:eastAsia="zh-CN"/>
        </w:rPr>
        <w:t>支持布控有效期（一天、一周、一月、永久、自定义、按周重复）、布控地点（目录选点、地图选点、收藏夹选点和重点地点选点）、布控有效始段、车辆相似度、关注级别（严重关注、重点关注、一般关注、无需关注）、推送范围（添加账号外用户、设置短信推送、预警归属推送）、处置类型（抓捕类、管控类、关注类）、布控原因（涉嫌犯罪人员、重点管控人员、其他）的配置。</w:t>
      </w:r>
    </w:p>
    <w:p w14:paraId="568A7812">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支持实时预警的展示，支持按关注等级、处理状态进行筛选。</w:t>
      </w:r>
    </w:p>
    <w:p w14:paraId="192D2009">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支持历史预警的查询、导出和详情查看，支持历史预警的处理和推送。</w:t>
      </w:r>
    </w:p>
    <w:p w14:paraId="7332B669">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2</w:t>
      </w:r>
      <w:r>
        <w:rPr>
          <w:rFonts w:hint="eastAsia" w:cs="书宋-简" w:asciiTheme="minorEastAsia" w:hAnsiTheme="minorEastAsia" w:eastAsiaTheme="minorEastAsia"/>
          <w:sz w:val="24"/>
          <w:szCs w:val="24"/>
          <w:highlight w:val="none"/>
          <w:lang w:val="zh-CN" w:eastAsia="zh-CN"/>
        </w:rPr>
        <w:t>）车牌布控</w:t>
      </w:r>
    </w:p>
    <w:p w14:paraId="7B8CBC5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eastAsia="zh-CN"/>
        </w:rPr>
        <w:t>支持根据车牌号码、车牌颜色对车辆进行布控。</w:t>
      </w:r>
      <w:r>
        <w:rPr>
          <w:rFonts w:hint="eastAsia" w:cs="书宋-简" w:asciiTheme="minorEastAsia" w:hAnsiTheme="minorEastAsia" w:eastAsiaTheme="minorEastAsia"/>
          <w:sz w:val="24"/>
          <w:szCs w:val="24"/>
          <w:highlight w:val="none"/>
          <w:lang w:val="zh-CN" w:eastAsia="zh-CN"/>
        </w:rPr>
        <w:t>支持布控有效期（一天、一周、一月、永久、自定义、按周重复）、布控地点（目录选点、地图选点、收藏夹选点和重点地点选点）、布控有效始段、关注级别（严重关注、重点关注、一般关注、无需关注）、推送范围（添加账号外用户、设置短信推送、预警归属推送）、处置类型（抓捕类、管控类、关注类）、布控原因（涉嫌犯罪人员、重点管控人员、其他）的配置。</w:t>
      </w:r>
    </w:p>
    <w:p w14:paraId="61238DC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支持实时预警的展示，支持按关注等级、处理状态进行筛选。</w:t>
      </w:r>
    </w:p>
    <w:p w14:paraId="2C041D6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支持历史预警的查询、导出和详情查看，支持历史预警的处理和推送。</w:t>
      </w:r>
    </w:p>
    <w:p w14:paraId="34E9FFFF">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91" w:name="_Toc1016037222"/>
      <w:bookmarkStart w:id="92" w:name="_Toc165973136"/>
      <w:bookmarkStart w:id="93" w:name="_Toc204604083"/>
      <w:bookmarkStart w:id="94" w:name="_Toc1465352028"/>
      <w:r>
        <w:rPr>
          <w:rFonts w:hint="eastAsia" w:cs="书宋-简" w:asciiTheme="minorEastAsia" w:hAnsiTheme="minorEastAsia" w:eastAsiaTheme="minorEastAsia"/>
          <w:b/>
          <w:bCs/>
          <w:sz w:val="24"/>
          <w:szCs w:val="24"/>
          <w:highlight w:val="none"/>
          <w:lang w:eastAsia="zh-CN"/>
        </w:rPr>
        <w:t>2.2.4.4车辆技战法</w:t>
      </w:r>
      <w:bookmarkEnd w:id="91"/>
      <w:bookmarkEnd w:id="92"/>
      <w:bookmarkEnd w:id="93"/>
      <w:bookmarkEnd w:id="94"/>
    </w:p>
    <w:p w14:paraId="100E96DB">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sz w:val="24"/>
          <w:szCs w:val="24"/>
          <w:highlight w:val="none"/>
          <w:lang w:val="zh-CN" w:eastAsia="zh-CN"/>
        </w:rPr>
        <w:t>）车辆轨迹研判</w:t>
      </w:r>
    </w:p>
    <w:p w14:paraId="1ABE126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针对一个或多个目标车牌号码，在地图上分别刻画车辆行驶轨迹。</w:t>
      </w:r>
    </w:p>
    <w:p w14:paraId="08D4876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支持根据车牌号码、车牌颜色、地点范围（地图选点、目录选点）、时间范围刻画多条车辆行驶轨迹。</w:t>
      </w:r>
    </w:p>
    <w:p w14:paraId="5C5C5F8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2</w:t>
      </w:r>
      <w:r>
        <w:rPr>
          <w:rFonts w:hint="eastAsia" w:cs="书宋-简" w:asciiTheme="minorEastAsia" w:hAnsiTheme="minorEastAsia" w:eastAsiaTheme="minorEastAsia"/>
          <w:sz w:val="24"/>
          <w:szCs w:val="24"/>
          <w:highlight w:val="none"/>
          <w:lang w:val="zh-CN" w:eastAsia="zh-CN"/>
        </w:rPr>
        <w:t>）车辆时空碰撞</w:t>
      </w:r>
    </w:p>
    <w:p w14:paraId="5EC98C57">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在车牌未知但已知车辆其他特征的情况下，找出目标车在某些时空都出现过的情况。</w:t>
      </w:r>
    </w:p>
    <w:p w14:paraId="7519DEB0">
      <w:pPr>
        <w:pStyle w:val="201"/>
        <w:spacing w:line="480" w:lineRule="exact"/>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支持通过车辆特征、多个地点范围（地图选点、目录选点）和时间范围、最少出现时空数等条件查询出在碰撞区域出现且出现区域数不小于出现时空数的车辆信息。</w:t>
      </w:r>
    </w:p>
    <w:p w14:paraId="7C80F427">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3</w:t>
      </w:r>
      <w:r>
        <w:rPr>
          <w:rFonts w:hint="eastAsia" w:cs="书宋-简" w:asciiTheme="minorEastAsia" w:hAnsiTheme="minorEastAsia" w:eastAsiaTheme="minorEastAsia"/>
          <w:sz w:val="24"/>
          <w:szCs w:val="24"/>
          <w:highlight w:val="none"/>
          <w:lang w:val="zh-CN" w:eastAsia="zh-CN"/>
        </w:rPr>
        <w:t>）相似车牌分析</w:t>
      </w:r>
    </w:p>
    <w:p w14:paraId="7A2383DC">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分析指定区域范围内、指定时间段内，与目标车牌号相似（只是其中某几位数字略有不同）的车辆。</w:t>
      </w:r>
    </w:p>
    <w:p w14:paraId="3F868D5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支持通过车牌号码、地点范围（地图选点、目录选点）、时间范围、车牌最多相差位数、车牌特征等条件查询出与目标车牌相似的车辆信息。</w:t>
      </w:r>
    </w:p>
    <w:p w14:paraId="27E8937A">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4</w:t>
      </w:r>
      <w:r>
        <w:rPr>
          <w:rFonts w:hint="eastAsia" w:cs="书宋-简" w:asciiTheme="minorEastAsia" w:hAnsiTheme="minorEastAsia" w:eastAsiaTheme="minorEastAsia"/>
          <w:sz w:val="24"/>
          <w:szCs w:val="24"/>
          <w:highlight w:val="none"/>
          <w:lang w:val="zh-CN" w:eastAsia="zh-CN"/>
        </w:rPr>
        <w:t>）车辆频繁出现分析</w:t>
      </w:r>
    </w:p>
    <w:p w14:paraId="206E7F7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通过设置时空条件以及频次，快速找到在某个区域内的某个时间段中，出现频次（或天数）超过阈值的车。</w:t>
      </w:r>
    </w:p>
    <w:p w14:paraId="4A1DEC4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支持通过地点范围（地图选点、目录选点）、时间范围、范围时段、最少出现天数、最少出现次数、最短出现间隔周期、车辆特征等条件查询出在区域内频繁出现的车辆。</w:t>
      </w:r>
    </w:p>
    <w:p w14:paraId="78FD272B">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5</w:t>
      </w:r>
      <w:r>
        <w:rPr>
          <w:rFonts w:hint="eastAsia" w:cs="书宋-简" w:asciiTheme="minorEastAsia" w:hAnsiTheme="minorEastAsia" w:eastAsiaTheme="minorEastAsia"/>
          <w:sz w:val="24"/>
          <w:szCs w:val="24"/>
          <w:highlight w:val="none"/>
          <w:lang w:val="zh-CN" w:eastAsia="zh-CN"/>
        </w:rPr>
        <w:t>）车辆昼伏夜出分析</w:t>
      </w:r>
    </w:p>
    <w:p w14:paraId="22D4873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针对目标时空范围内出现过的所有过车情况，找出白天隐匿、晚上露面的车辆，进一步可过滤出昼伏夜出较频繁的车辆。</w:t>
      </w:r>
    </w:p>
    <w:p w14:paraId="4E5541A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支持通过地点范围（地图选点、目录选点）、时间范围、最少夜出天数、夜出时间范围、最小夜出比例、车辆特征等条件查询出区域内昼伏夜出的车辆信息。</w:t>
      </w:r>
    </w:p>
    <w:p w14:paraId="37C434E7">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6</w:t>
      </w:r>
      <w:r>
        <w:rPr>
          <w:rFonts w:hint="eastAsia" w:cs="书宋-简" w:asciiTheme="minorEastAsia" w:hAnsiTheme="minorEastAsia" w:eastAsiaTheme="minorEastAsia"/>
          <w:sz w:val="24"/>
          <w:szCs w:val="24"/>
          <w:highlight w:val="none"/>
          <w:lang w:val="zh-CN" w:eastAsia="zh-CN"/>
        </w:rPr>
        <w:t>）夜间面部遮挡分析</w:t>
      </w:r>
    </w:p>
    <w:p w14:paraId="7D2E533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可分析出指定时间段内，夜间行车打开主、副遮阳板的车辆，还可以结合车身颜色等属性进一步锁定目标。</w:t>
      </w:r>
    </w:p>
    <w:p w14:paraId="753B41E3">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支持通过地点范围（地图选点、目录选点）、时间范围、夜间时段、遮阳板状态、车辆特征等条件查询出区域内夜间面部遮挡的车辆信息。</w:t>
      </w:r>
    </w:p>
    <w:p w14:paraId="7D5BAAA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7</w:t>
      </w:r>
      <w:r>
        <w:rPr>
          <w:rFonts w:hint="eastAsia" w:cs="书宋-简" w:asciiTheme="minorEastAsia" w:hAnsiTheme="minorEastAsia" w:eastAsiaTheme="minorEastAsia"/>
          <w:sz w:val="24"/>
          <w:szCs w:val="24"/>
          <w:highlight w:val="none"/>
          <w:lang w:val="zh-CN" w:eastAsia="zh-CN"/>
        </w:rPr>
        <w:t>）同行车辆分析</w:t>
      </w:r>
    </w:p>
    <w:p w14:paraId="40AEDF5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分析出与目标车同行的车辆，可用于从多个嫌疑车中锁定存在跟车可能性较大的车辆。</w:t>
      </w:r>
    </w:p>
    <w:p w14:paraId="0FBB3DF7">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支持通过车牌号码、车牌颜色、地点范围（地图选点、目录选点）、时间范围、最长前后同行时间、最少同行抓拍次数、同行车辆特征等条件查询出目标车辆的同行车辆。</w:t>
      </w:r>
    </w:p>
    <w:p w14:paraId="1D44DE09">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8</w:t>
      </w:r>
      <w:r>
        <w:rPr>
          <w:rFonts w:hint="eastAsia" w:cs="书宋-简" w:asciiTheme="minorEastAsia" w:hAnsiTheme="minorEastAsia" w:eastAsiaTheme="minorEastAsia"/>
          <w:sz w:val="24"/>
          <w:szCs w:val="24"/>
          <w:highlight w:val="none"/>
          <w:lang w:val="zh-CN" w:eastAsia="zh-CN"/>
        </w:rPr>
        <w:t>）轨迹查车</w:t>
      </w:r>
    </w:p>
    <w:p w14:paraId="7606C6AC">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通过在地图上手动绘制轨迹，找出满足轨迹路径的车辆。</w:t>
      </w:r>
    </w:p>
    <w:p w14:paraId="7D00B8A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支持通过地点范围（顺序匹配、非顺序匹配）、时间范围、轨迹最小匹配度、车辆特征等条件查询出符合行车特征的车辆信息。</w:t>
      </w:r>
    </w:p>
    <w:p w14:paraId="1FB8EEC2">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9</w:t>
      </w:r>
      <w:r>
        <w:rPr>
          <w:rFonts w:hint="eastAsia" w:cs="书宋-简" w:asciiTheme="minorEastAsia" w:hAnsiTheme="minorEastAsia" w:eastAsiaTheme="minorEastAsia"/>
          <w:sz w:val="24"/>
          <w:szCs w:val="24"/>
          <w:highlight w:val="none"/>
          <w:lang w:val="zh-CN" w:eastAsia="zh-CN"/>
        </w:rPr>
        <w:t>）套牌车分析</w:t>
      </w:r>
    </w:p>
    <w:p w14:paraId="14AC475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基于时空分析同车牌号码与颜色，但是相距较远的车辆，结合车辆登记信息，找出疑似套牌车。</w:t>
      </w:r>
    </w:p>
    <w:p w14:paraId="3039BDA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支持通过时间范围、套牌最少抓拍次数、车辆特征等条件查询出套牌车信息。</w:t>
      </w:r>
    </w:p>
    <w:p w14:paraId="322DA2D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10</w:t>
      </w:r>
      <w:r>
        <w:rPr>
          <w:rFonts w:hint="eastAsia" w:cs="书宋-简" w:asciiTheme="minorEastAsia" w:hAnsiTheme="minorEastAsia" w:eastAsiaTheme="minorEastAsia"/>
          <w:sz w:val="24"/>
          <w:szCs w:val="24"/>
          <w:highlight w:val="none"/>
          <w:lang w:val="zh-CN" w:eastAsia="zh-CN"/>
        </w:rPr>
        <w:t>）车辆停留点分析</w:t>
      </w:r>
    </w:p>
    <w:p w14:paraId="1BCCA63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针对目标车辆，分析并在地图上展示车辆停留点，进一步可过滤出停留时间较长的地方。</w:t>
      </w:r>
    </w:p>
    <w:p w14:paraId="15104CF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支持通过车牌号码、车牌颜色、地点范围（地图选点、目录选点）、时间范围、最短停留时长、最少停留次数等条件查询出目标车辆的停留位置。</w:t>
      </w:r>
    </w:p>
    <w:p w14:paraId="2D665FA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11</w:t>
      </w:r>
      <w:r>
        <w:rPr>
          <w:rFonts w:hint="eastAsia" w:cs="书宋-简" w:asciiTheme="minorEastAsia" w:hAnsiTheme="minorEastAsia" w:eastAsiaTheme="minorEastAsia"/>
          <w:sz w:val="24"/>
          <w:szCs w:val="24"/>
          <w:highlight w:val="none"/>
          <w:lang w:val="zh-CN" w:eastAsia="zh-CN"/>
        </w:rPr>
        <w:t>）车辆初次入城分析</w:t>
      </w:r>
    </w:p>
    <w:p w14:paraId="4B713A8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可分析出全城或针对某个防控圈内，找出指定时间段内，首次出现的车辆。</w:t>
      </w:r>
    </w:p>
    <w:p w14:paraId="51E010BB">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支持通过时间范围、回溯天数、车辆特征、是否初次进入特定区域等条件查询出初次入城或进入防控圈的车辆。</w:t>
      </w:r>
    </w:p>
    <w:p w14:paraId="1BEECA2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支持通过地图圈定特定区域。</w:t>
      </w:r>
      <w:bookmarkEnd w:id="78"/>
    </w:p>
    <w:p w14:paraId="32CDE314">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95" w:name="_Toc1583111113"/>
      <w:bookmarkStart w:id="96" w:name="_Toc1622735135"/>
      <w:r>
        <w:rPr>
          <w:rFonts w:hint="eastAsia" w:cs="书宋-简" w:asciiTheme="minorEastAsia" w:hAnsiTheme="minorEastAsia" w:eastAsiaTheme="minorEastAsia"/>
          <w:b/>
          <w:bCs/>
          <w:sz w:val="24"/>
          <w:szCs w:val="24"/>
          <w:highlight w:val="none"/>
          <w:lang w:eastAsia="zh-CN"/>
        </w:rPr>
        <w:t>2.3 AI眼镜</w:t>
      </w:r>
      <w:bookmarkEnd w:id="95"/>
      <w:r>
        <w:rPr>
          <w:rFonts w:hint="eastAsia" w:cs="书宋-简" w:asciiTheme="minorEastAsia" w:hAnsiTheme="minorEastAsia" w:eastAsiaTheme="minorEastAsia"/>
          <w:b/>
          <w:bCs/>
          <w:sz w:val="24"/>
          <w:szCs w:val="24"/>
          <w:highlight w:val="none"/>
          <w:lang w:eastAsia="zh-CN"/>
        </w:rPr>
        <w:t>应用平台</w:t>
      </w:r>
    </w:p>
    <w:p w14:paraId="1F8D56DA">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 xml:space="preserve">本次系统建设，围绕交警的核心业务和工作目标，通过引入智能穿戴设备与人工智能技术，通过与智慧交通AI解析服务等业务平台数据的联动，提升交警在日常执法、交通管理、事故处理、安全防控等方面的智能化水平。 </w:t>
      </w:r>
    </w:p>
    <w:p w14:paraId="0C49A1D8">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1）人员信息采集查询：快速识别交通违法行为人、交通事故当事人的身份信息、关联“慧眼”平台历史抓拍违法记录、历史事故信息等数据，助力路面违法查处、交通事故快处、“碰瓷”事故打击、警医联动工作。与警务通联动，实现处罚页面信息的自动录入。</w:t>
      </w:r>
    </w:p>
    <w:p w14:paraId="7FD29B3B">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（2）车辆信息采集查询：快速识别机动车、非机动车号牌，并与登记注册车辆进行比对，关联“慧眼”平台历史抓拍违法记录，快速判断车辆是否存在重点布控、非法改装等隐形违法信息。</w:t>
      </w:r>
    </w:p>
    <w:p w14:paraId="4D9A1660">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3）增加摄录/对讲功能，助力各类交通事件处置及突发舆情事件的指挥、联络、取证工作。事故处理时，语音记录与转译，通过语音识别技术自动记录当事人陈述、证人证词，并生成结构化文本存档，避免人工记录疏漏。</w:t>
      </w:r>
    </w:p>
    <w:p w14:paraId="2B59491A">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4）现场交通纠违场景：非接触式执法，AI眼镜自动识别采集违法停车、开车打电话、未系安全带、遮挡号牌、非法改装等行为，截取图像、视频证据并关联车牌信息，自动上传违法平台。行人/非机动车违法识别，捕捉行人闯红灯电动车逆行等行为，通过语音播报或震动方式提示民警。</w:t>
      </w:r>
    </w:p>
    <w:p w14:paraId="1B563753">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 xml:space="preserve">（5）执法流程规范化: </w:t>
      </w:r>
      <w:bookmarkStart w:id="97" w:name="_Hlk211438350"/>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现场执法时，实时语音提示执法程序，在开具罚单时，AI眼镜逐步提示法律依据、告知义务等标准化流程，避免程序错误引发复议。</w:t>
      </w:r>
      <w:bookmarkEnd w:id="97"/>
    </w:p>
    <w:p w14:paraId="55952C90">
      <w:pPr>
        <w:pStyle w:val="201"/>
        <w:spacing w:line="480" w:lineRule="exact"/>
        <w:ind w:firstLine="482" w:firstLineChars="200"/>
        <w:rPr>
          <w:rFonts w:hint="eastAsia" w:cs="书宋-简" w:asciiTheme="minorEastAsia" w:hAnsiTheme="minorEastAsia" w:eastAsiaTheme="minorEastAsia"/>
          <w:b/>
          <w:bCs/>
          <w:sz w:val="24"/>
          <w:szCs w:val="24"/>
          <w:highlight w:val="none"/>
          <w:lang w:val="zh-CN" w:eastAsia="zh-CN"/>
        </w:rPr>
      </w:pPr>
      <w:bookmarkStart w:id="98" w:name="_Toc212725698"/>
      <w:bookmarkStart w:id="99" w:name="_Toc1153766010"/>
      <w:r>
        <w:rPr>
          <w:rFonts w:hint="eastAsia" w:cs="书宋-简" w:asciiTheme="minorEastAsia" w:hAnsiTheme="minorEastAsia" w:eastAsiaTheme="minorEastAsia"/>
          <w:b/>
          <w:bCs/>
          <w:sz w:val="24"/>
          <w:szCs w:val="24"/>
          <w:highlight w:val="none"/>
          <w:lang w:eastAsia="zh-CN"/>
        </w:rPr>
        <w:t>2.3.1</w:t>
      </w:r>
      <w:r>
        <w:rPr>
          <w:rFonts w:hint="eastAsia" w:cs="书宋-简" w:asciiTheme="minorEastAsia" w:hAnsiTheme="minorEastAsia" w:eastAsiaTheme="minorEastAsia"/>
          <w:b/>
          <w:bCs/>
          <w:sz w:val="24"/>
          <w:szCs w:val="24"/>
          <w:highlight w:val="none"/>
          <w:lang w:val="zh-CN" w:eastAsia="zh-CN"/>
        </w:rPr>
        <w:t>系统架构</w:t>
      </w:r>
      <w:bookmarkEnd w:id="98"/>
      <w:bookmarkEnd w:id="99"/>
    </w:p>
    <w:p w14:paraId="56DB801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作为人机交互的主要入口，AI眼镜可以作为主要的数据采集以及交互显示终端，实时采集环境以及交互数据，然后通过蓝牙等应用服务将数据传输给移动警务终端，警务终端在接受数据后，通过移动警务网总线和安全访问边界将数据传输到公安信息网；在公安信息网中，AI眼镜管理平台主要负责进行眼镜设备的入网等管理，解析服务平台(慧眼-智慧交通AI解析系统)负责进行AI解析服务，例如</w:t>
      </w: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采集违法停车、开车打电话、未系安全带、遮挡号牌、非法改装等行为；同时，AI解析服务平台服务通过与公安信息网上的人脸比对</w:t>
      </w:r>
      <w:r>
        <w:rPr>
          <w:rFonts w:hint="eastAsia" w:cs="书宋-简" w:asciiTheme="minorEastAsia" w:hAnsiTheme="minorEastAsia" w:eastAsiaTheme="minorEastAsia"/>
          <w:sz w:val="24"/>
          <w:szCs w:val="24"/>
          <w:highlight w:val="none"/>
          <w:lang w:eastAsia="zh-CN"/>
        </w:rPr>
        <w:t>、车辆比对服务应用进行关联应用，获取人员车辆身份等信息，然后将重要信息以及实时信息第一时间呈现在一线人员眼前，提升整体的协作效率；同时将重要信息反馈给警务终端中的违法处置应用，有效提升一线人员的处置效率。</w:t>
      </w:r>
    </w:p>
    <w:p w14:paraId="3DCE65F3">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（1）在其应用中，需遵循公安网安全入网原则：</w:t>
      </w:r>
    </w:p>
    <w:p w14:paraId="3229E27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唯一性：“警员+警务通+AR眼镜”，在任何情况下需保证三者唯一，眼镜才可使用。</w:t>
      </w:r>
    </w:p>
    <w:p w14:paraId="0BE191C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保密性：所有通信过程中的数据都需要加密。</w:t>
      </w:r>
    </w:p>
    <w:p w14:paraId="67A228A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可追溯性：对设备进行全生命周期管理，从设备导入，设备绑定及解绑等关键环节加以把控。</w:t>
      </w:r>
    </w:p>
    <w:p w14:paraId="52FE72B2">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（2）其具体的设备入网业务流程如下：</w:t>
      </w:r>
    </w:p>
    <w:p w14:paraId="0683035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设备入库流程： 由管理人员在设备采购完成后，基于管理平台完成设备入库导入工作，将设备的Mac地址、设备唯一标识、设备密钥、设备类型信息导入AI眼镜云平台，在平台侧与移动终端设备接入认证系统对接，实现对AI眼镜设备扩展终端的设备数字证书的在线制发以及管理，完成入库后，AI眼镜设备才可与警务通手机建立无线通讯以及设备的认证以及绑定操作，来实现设备的安全可信；</w:t>
      </w:r>
    </w:p>
    <w:p w14:paraId="6B22D61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设备绑定认证流程：在AI眼镜设备和警务通手机蓝牙建连后，通过蓝牙发起设备绑定/认证，通过设备密钥对设备信息进行非对称加密传输，通过平台对设备信息进行解密和初次验证，验证通过后再经移动终端接入认证系统进行设备信息的二次确认，认证通过后，AI眼镜设备扩展终端设备才可与警务通端侧网关进行数据通讯；</w:t>
      </w:r>
    </w:p>
    <w:p w14:paraId="327B71B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数据传输流程： 在完成设备认证/绑定操作后，AI眼镜设备作为授权的扩展终端设备，可以通过移动终端设备接入认证系统获取设备数字证书，之后通过设备数字证书的设备密钥，对蓝牙数据传输数据进行国密加密算法加密传输，并在警务通边侧网关上实现对加密数据的解密以及预处理，如需对接警务云平台实现AI+AR的业务场景，则通过警务通边侧网关再去访问警务云平台业务接口进行安全访问, 通过设备的绑定认证流程以及数据传输过程的加密传输，来保证数据传输的安全；</w:t>
      </w:r>
    </w:p>
    <w:p w14:paraId="44C6590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设备解绑流程：当需要将某台已绑定的AI眼镜设备重新分配给其他人时，由管理人员在管理平台对指定的AI眼镜设备进行和对应警务通账号的解绑，完成解绑后，被解绑的AI眼镜设备可以被其他警务通设备/账号绑定，被解绑的AI眼镜设备在重新绑定新的警务通设备/账号之前，无法正常使用；</w:t>
      </w:r>
    </w:p>
    <w:p w14:paraId="0851B8A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设备注销流程：当AI眼镜设备损坏或者遗失时，管理人员可在管理平台上对AI眼镜设备进行设备注销操作，注销时会对接移动终端接入认证系统进行遥毙，完成设备注销，被注销的AI眼镜设备无法正常使用，也无法绑定警务通设备及账号，所有在设备上的缓存加密数据也会被清除，保证数据安全。</w:t>
      </w:r>
    </w:p>
    <w:p w14:paraId="4224F1F2">
      <w:pPr>
        <w:pStyle w:val="201"/>
        <w:spacing w:line="480" w:lineRule="exact"/>
        <w:ind w:firstLine="482" w:firstLineChars="200"/>
        <w:rPr>
          <w:rFonts w:hint="eastAsia" w:cs="书宋-简" w:asciiTheme="minorEastAsia" w:hAnsiTheme="minorEastAsia" w:eastAsiaTheme="minorEastAsia"/>
          <w:b/>
          <w:bCs/>
          <w:sz w:val="24"/>
          <w:szCs w:val="24"/>
          <w:highlight w:val="none"/>
          <w:lang w:val="zh-CN" w:eastAsia="zh-CN"/>
        </w:rPr>
      </w:pPr>
      <w:bookmarkStart w:id="100" w:name="_Toc212725700"/>
      <w:r>
        <w:rPr>
          <w:rFonts w:hint="eastAsia" w:cs="书宋-简" w:asciiTheme="minorEastAsia" w:hAnsiTheme="minorEastAsia" w:eastAsiaTheme="minorEastAsia"/>
          <w:b/>
          <w:bCs/>
          <w:sz w:val="24"/>
          <w:szCs w:val="24"/>
          <w:highlight w:val="none"/>
          <w:lang w:eastAsia="zh-CN"/>
        </w:rPr>
        <w:t>2.3.2</w:t>
      </w:r>
      <w:r>
        <w:rPr>
          <w:rFonts w:hint="eastAsia" w:cs="书宋-简" w:asciiTheme="minorEastAsia" w:hAnsiTheme="minorEastAsia" w:eastAsiaTheme="minorEastAsia"/>
          <w:b/>
          <w:bCs/>
          <w:sz w:val="24"/>
          <w:szCs w:val="24"/>
          <w:highlight w:val="none"/>
          <w:lang w:val="zh-CN" w:eastAsia="zh-CN"/>
        </w:rPr>
        <w:t>数据流向</w:t>
      </w:r>
      <w:bookmarkEnd w:id="100"/>
    </w:p>
    <w:p w14:paraId="1E62BB9D">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整个流程可以分为三条并行且交互的数据流：视频流、业务数据流、指令反馈流。</w:t>
      </w:r>
    </w:p>
    <w:p w14:paraId="4CC442B0">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第一步：前端采集与识别 (AI眼镜端)</w:t>
      </w:r>
    </w:p>
    <w:p w14:paraId="203F2CCF">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捕获画面：交警佩戴的AI眼镜捕捉前方人体、车牌等信息图片，并通过采集人脸抓拍信息。</w:t>
      </w:r>
    </w:p>
    <w:p w14:paraId="32A6D6FE">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第二步：数据传输 (手机中转端)</w:t>
      </w:r>
    </w:p>
    <w:p w14:paraId="4592A74A">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 xml:space="preserve">发送人脸、车牌信息：AI眼镜通过蓝牙或Wi-Fi，将识别出的车牌号和图像信息发送到交警随身携带的“手机中转端”。 </w:t>
      </w:r>
    </w:p>
    <w:p w14:paraId="262893A2">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第三步：后端处理与查询</w:t>
      </w:r>
    </w:p>
    <w:p w14:paraId="7DB467D8">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转发电文：手机中转端将包含车牌号、设备ID等关键信息的业务数据通过移动网络发送到后端服务器。</w:t>
      </w:r>
    </w:p>
    <w:p w14:paraId="0D00B9F1">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推送视频流：手机中转端按照GB28181将视频流推送到后端。</w:t>
      </w:r>
    </w:p>
    <w:p w14:paraId="6FE9F863">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结果返回：后端服务器在收到车牌号后，向“慧眼”等业务平台发起查询请求，并返回结果。后端服务器收到画面或者视频推送后，进行特定算法事件解析报警返回。一方面，将解析结果反馈给交警违法处置应用，另一方面将人脸比对结果信息反馈到眼镜终端。</w:t>
      </w:r>
    </w:p>
    <w:bookmarkEnd w:id="96"/>
    <w:p w14:paraId="7DEAE3C0">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01" w:name="_Toc2008320690"/>
      <w:bookmarkStart w:id="102" w:name="_Toc230009387"/>
      <w:r>
        <w:rPr>
          <w:rFonts w:hint="eastAsia" w:cs="书宋-简" w:asciiTheme="minorEastAsia" w:hAnsiTheme="minorEastAsia" w:eastAsiaTheme="minorEastAsia"/>
          <w:b/>
          <w:bCs/>
          <w:sz w:val="24"/>
          <w:szCs w:val="24"/>
          <w:highlight w:val="none"/>
          <w:lang w:eastAsia="zh-CN"/>
        </w:rPr>
        <w:t>2.4安全认证网关</w:t>
      </w:r>
    </w:p>
    <w:p w14:paraId="37302B45">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2.4.1功能要求</w:t>
      </w:r>
    </w:p>
    <w:p w14:paraId="4DF8CCE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能够通过数字证书标识用户身份，可信边界安全网关对用户持有的数字身份进行完整认证，包括验证数字证书的信任域、有效期、证书状态。</w:t>
      </w:r>
    </w:p>
    <w:p w14:paraId="5CD9CE2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能够支持标准LDAP协议，能定时下载证书撤销列表到网关内，用户发起接入请求时，在网关内实现证书状态验证。</w:t>
      </w:r>
    </w:p>
    <w:p w14:paraId="2AC5866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能够支持标准OCSP协议，能实时验证证书状态，当用户发起接入请求时，网关向OCSP服务器发起请求，并返回证书状态。</w:t>
      </w:r>
    </w:p>
    <w:p w14:paraId="76C2030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能够通过资源定义对用户进行访问控制。资源指的是内网对外网开放的IP地址或允许内网访问外网的IP地址。</w:t>
      </w:r>
    </w:p>
    <w:p w14:paraId="0BFABC5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color w:val="000000"/>
          <w:sz w:val="24"/>
          <w:szCs w:val="24"/>
          <w:highlight w:val="none"/>
          <w:lang w:eastAsia="zh-CN"/>
        </w:rPr>
        <w:t>能够支持黑、白名单，黑名单是不允许通过认证网关的一组证书地域属性列表</w:t>
      </w:r>
      <w:r>
        <w:rPr>
          <w:rFonts w:hint="eastAsia" w:cs="书宋-简" w:asciiTheme="minorEastAsia" w:hAnsiTheme="minorEastAsia" w:eastAsiaTheme="minorEastAsia"/>
          <w:sz w:val="24"/>
          <w:szCs w:val="24"/>
          <w:highlight w:val="none"/>
          <w:lang w:eastAsia="zh-CN"/>
        </w:rPr>
        <w:t>。白名单与黑名单对应，只有白名单中允许的用户地域属性才可以找到相应的服务对应的网络资源。（投标时提供功能截图）</w:t>
      </w:r>
    </w:p>
    <w:p w14:paraId="2D185A9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sz w:val="24"/>
          <w:szCs w:val="24"/>
          <w:highlight w:val="none"/>
          <w:lang w:eastAsia="zh-CN"/>
        </w:rPr>
        <w:t>能够支持多种结构业务系统，支持B/S、C/S结构业务系统。（投标时提供功能截图）</w:t>
      </w:r>
    </w:p>
    <w:p w14:paraId="1A58AF9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sz w:val="24"/>
          <w:szCs w:val="24"/>
          <w:highlight w:val="none"/>
          <w:lang w:eastAsia="zh-CN"/>
        </w:rPr>
        <w:t>不影响原有业务，安全保护只对用户身份和数据传输做处理，不修改业务功能。（投标时提供功能截图）</w:t>
      </w:r>
    </w:p>
    <w:p w14:paraId="5755386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能够提供标准接口支持应用系统无缝接入。</w:t>
      </w:r>
    </w:p>
    <w:p w14:paraId="7B61AD9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能够支持业务系统零改造，通过简单配置即可实现业务系统安全加固。</w:t>
      </w:r>
    </w:p>
    <w:p w14:paraId="6D4E7D4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通过黑名单和白名单策略，对用户能否访问业务系统做入门级控制。</w:t>
      </w:r>
    </w:p>
    <w:p w14:paraId="772A23B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基于ACL技术，对系统资源进行内容访问控制。与权限管理系统联合，完成用户访问业务系统的细粒度控制。控制管理员IP地址，保证认证网关管理安全。</w:t>
      </w:r>
    </w:p>
    <w:p w14:paraId="26A9834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能够支持标准日志输出，可将日志信息发送到远程审计系统，进行集中、统一审计管理，为事后鉴定提供有效数据。</w:t>
      </w:r>
    </w:p>
    <w:p w14:paraId="501E9D4D">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2.5超员检测系统</w:t>
      </w:r>
      <w:bookmarkEnd w:id="101"/>
    </w:p>
    <w:bookmarkEnd w:id="102"/>
    <w:p w14:paraId="418570A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03" w:name="_Toc230009404"/>
      <w:bookmarkStart w:id="104" w:name="_Toc2017730748"/>
      <w:r>
        <w:rPr>
          <w:rFonts w:hint="eastAsia" w:cs="书宋-简" w:asciiTheme="minorEastAsia" w:hAnsiTheme="minorEastAsia" w:eastAsiaTheme="minorEastAsia"/>
          <w:b/>
          <w:bCs/>
          <w:sz w:val="24"/>
          <w:szCs w:val="24"/>
          <w:highlight w:val="none"/>
          <w:lang w:eastAsia="zh-CN"/>
        </w:rPr>
        <w:t>2.5.1系统功能</w:t>
      </w:r>
      <w:bookmarkEnd w:id="103"/>
      <w:bookmarkEnd w:id="104"/>
      <w:r>
        <w:rPr>
          <w:rFonts w:hint="eastAsia" w:cs="书宋-简" w:asciiTheme="minorEastAsia" w:hAnsiTheme="minorEastAsia" w:eastAsiaTheme="minorEastAsia"/>
          <w:b/>
          <w:bCs/>
          <w:sz w:val="24"/>
          <w:szCs w:val="24"/>
          <w:highlight w:val="none"/>
          <w:lang w:eastAsia="zh-CN"/>
        </w:rPr>
        <w:t>要求</w:t>
      </w:r>
    </w:p>
    <w:p w14:paraId="373ED2A4">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05" w:name="_Toc230009405"/>
      <w:bookmarkStart w:id="106" w:name="_Toc1481851338"/>
      <w:r>
        <w:rPr>
          <w:rFonts w:hint="eastAsia" w:cs="书宋-简" w:asciiTheme="minorEastAsia" w:hAnsiTheme="minorEastAsia" w:eastAsiaTheme="minorEastAsia"/>
          <w:b/>
          <w:bCs/>
          <w:sz w:val="24"/>
          <w:szCs w:val="24"/>
          <w:highlight w:val="none"/>
          <w:lang w:eastAsia="zh-CN"/>
        </w:rPr>
        <w:t>2.5.1.1设备管理</w:t>
      </w:r>
      <w:bookmarkEnd w:id="105"/>
      <w:bookmarkEnd w:id="106"/>
    </w:p>
    <w:p w14:paraId="0023A49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支持对辖区内的超员检测设备管理，实时监控设备在线状态情况、实时数据情况等信息，便于运维人员快速排查处理，保障系统稳定运行。</w:t>
      </w:r>
    </w:p>
    <w:p w14:paraId="726ED600">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07" w:name="_Toc16343"/>
      <w:bookmarkStart w:id="108" w:name="_Toc1070626340"/>
      <w:bookmarkStart w:id="109" w:name="_Toc230009406"/>
      <w:r>
        <w:rPr>
          <w:rFonts w:hint="eastAsia" w:cs="书宋-简" w:asciiTheme="minorEastAsia" w:hAnsiTheme="minorEastAsia" w:eastAsiaTheme="minorEastAsia"/>
          <w:b/>
          <w:bCs/>
          <w:sz w:val="24"/>
          <w:szCs w:val="24"/>
          <w:highlight w:val="none"/>
          <w:lang w:eastAsia="zh-CN"/>
        </w:rPr>
        <w:t>2.5.1.2超员预警</w:t>
      </w:r>
      <w:bookmarkEnd w:id="107"/>
      <w:bookmarkEnd w:id="108"/>
      <w:bookmarkEnd w:id="109"/>
    </w:p>
    <w:p w14:paraId="2114BC5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针对检测的超员数据，在平台进行实时预警，页面左侧以列表的形式展示24小时内的出现的超员数据，页面右侧展示某一条超员数据的图片、载客信息等详细信息，并支持语音播报、系统弹窗的形式进行预警播报。</w:t>
      </w:r>
    </w:p>
    <w:p w14:paraId="3389D42F">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10" w:name="_Toc17306"/>
      <w:bookmarkStart w:id="111" w:name="_Toc230009407"/>
      <w:bookmarkStart w:id="112" w:name="_Toc1760102526"/>
      <w:r>
        <w:rPr>
          <w:rFonts w:hint="eastAsia" w:cs="书宋-简" w:asciiTheme="minorEastAsia" w:hAnsiTheme="minorEastAsia" w:eastAsiaTheme="minorEastAsia"/>
          <w:b/>
          <w:bCs/>
          <w:sz w:val="24"/>
          <w:szCs w:val="24"/>
          <w:highlight w:val="none"/>
          <w:lang w:eastAsia="zh-CN"/>
        </w:rPr>
        <w:t>2.5.1.3超员</w:t>
      </w:r>
      <w:bookmarkEnd w:id="110"/>
      <w:r>
        <w:rPr>
          <w:rFonts w:hint="eastAsia" w:cs="书宋-简" w:asciiTheme="minorEastAsia" w:hAnsiTheme="minorEastAsia" w:eastAsiaTheme="minorEastAsia"/>
          <w:b/>
          <w:bCs/>
          <w:sz w:val="24"/>
          <w:szCs w:val="24"/>
          <w:highlight w:val="none"/>
          <w:lang w:eastAsia="zh-CN"/>
        </w:rPr>
        <w:t>查询</w:t>
      </w:r>
      <w:bookmarkEnd w:id="111"/>
      <w:bookmarkEnd w:id="112"/>
    </w:p>
    <w:p w14:paraId="499DD79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支持按照号牌号码、号牌种类、事件类型等检索条件检索超员数据；支持列表模式和卡片模式两种展示模式。支持按日期统计超员总数；支持饼图展示超员和非超员事件类型占比；支持超员时段趋势分析。</w:t>
      </w:r>
    </w:p>
    <w:p w14:paraId="4765288E">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13" w:name="_Toc230009408"/>
      <w:bookmarkStart w:id="114" w:name="_Toc1732811526"/>
      <w:r>
        <w:rPr>
          <w:rFonts w:hint="eastAsia" w:cs="书宋-简" w:asciiTheme="minorEastAsia" w:hAnsiTheme="minorEastAsia" w:eastAsiaTheme="minorEastAsia"/>
          <w:b/>
          <w:bCs/>
          <w:sz w:val="24"/>
          <w:szCs w:val="24"/>
          <w:highlight w:val="none"/>
          <w:lang w:eastAsia="zh-CN"/>
        </w:rPr>
        <w:t>2.5.1.4联动预警</w:t>
      </w:r>
      <w:bookmarkEnd w:id="113"/>
      <w:bookmarkEnd w:id="114"/>
    </w:p>
    <w:p w14:paraId="0ED1A1D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支持诱导屏、警示灯、高音喇叭等外场联动设备的协议适配，实现疑似超员车辆信息与多设备同步联动预警。</w:t>
      </w:r>
    </w:p>
    <w:p w14:paraId="1B3B3955">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15" w:name="_Toc230009409"/>
      <w:bookmarkStart w:id="116" w:name="_Toc94599035"/>
      <w:r>
        <w:rPr>
          <w:rFonts w:hint="eastAsia" w:cs="书宋-简" w:asciiTheme="minorEastAsia" w:hAnsiTheme="minorEastAsia" w:eastAsiaTheme="minorEastAsia"/>
          <w:b/>
          <w:bCs/>
          <w:sz w:val="24"/>
          <w:szCs w:val="24"/>
          <w:highlight w:val="none"/>
          <w:lang w:eastAsia="zh-CN"/>
        </w:rPr>
        <w:t>2.5.1.5统计分析</w:t>
      </w:r>
      <w:bookmarkEnd w:id="115"/>
      <w:bookmarkEnd w:id="116"/>
    </w:p>
    <w:p w14:paraId="4A13458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从多维度对预警数据情况进行统计，并对统计结果数据通过图表进行展示。支持统计结果数据EXL导出。</w:t>
      </w:r>
    </w:p>
    <w:p w14:paraId="605E0E3F">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17" w:name="_Toc2431"/>
      <w:bookmarkStart w:id="118" w:name="_Toc230009410"/>
      <w:bookmarkStart w:id="119" w:name="_Toc579781201"/>
      <w:r>
        <w:rPr>
          <w:rFonts w:hint="eastAsia" w:cs="书宋-简" w:asciiTheme="minorEastAsia" w:hAnsiTheme="minorEastAsia" w:eastAsiaTheme="minorEastAsia"/>
          <w:b/>
          <w:bCs/>
          <w:sz w:val="24"/>
          <w:szCs w:val="24"/>
          <w:highlight w:val="none"/>
          <w:lang w:eastAsia="zh-CN"/>
        </w:rPr>
        <w:t>2.5.1.6配置</w:t>
      </w:r>
      <w:bookmarkEnd w:id="117"/>
      <w:r>
        <w:rPr>
          <w:rFonts w:hint="eastAsia" w:cs="书宋-简" w:asciiTheme="minorEastAsia" w:hAnsiTheme="minorEastAsia" w:eastAsiaTheme="minorEastAsia"/>
          <w:b/>
          <w:bCs/>
          <w:sz w:val="24"/>
          <w:szCs w:val="24"/>
          <w:highlight w:val="none"/>
          <w:lang w:eastAsia="zh-CN"/>
        </w:rPr>
        <w:t>管理</w:t>
      </w:r>
      <w:bookmarkEnd w:id="118"/>
      <w:bookmarkEnd w:id="119"/>
    </w:p>
    <w:p w14:paraId="1355836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支持系统配置、平台对接配置、超员预警超员阈值配置、支持超员违法代码配置。</w:t>
      </w:r>
    </w:p>
    <w:p w14:paraId="529F755D">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20" w:name="_Toc79061154"/>
      <w:bookmarkStart w:id="121" w:name="_Toc493600820"/>
      <w:r>
        <w:rPr>
          <w:rFonts w:hint="eastAsia" w:cs="书宋-简" w:asciiTheme="minorEastAsia" w:hAnsiTheme="minorEastAsia" w:eastAsiaTheme="minorEastAsia"/>
          <w:b/>
          <w:bCs/>
          <w:sz w:val="24"/>
          <w:szCs w:val="24"/>
          <w:highlight w:val="none"/>
          <w:lang w:eastAsia="zh-CN"/>
        </w:rPr>
        <w:t>2.5.2系统性能指标</w:t>
      </w:r>
      <w:bookmarkEnd w:id="120"/>
      <w:bookmarkEnd w:id="121"/>
      <w:r>
        <w:rPr>
          <w:rFonts w:hint="eastAsia" w:cs="书宋-简" w:asciiTheme="minorEastAsia" w:hAnsiTheme="minorEastAsia" w:eastAsiaTheme="minorEastAsia"/>
          <w:b/>
          <w:bCs/>
          <w:sz w:val="24"/>
          <w:szCs w:val="24"/>
          <w:highlight w:val="none"/>
          <w:lang w:eastAsia="zh-CN"/>
        </w:rPr>
        <w:t>要求</w:t>
      </w:r>
    </w:p>
    <w:p w14:paraId="4A66544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捕获率：≥99％；</w:t>
      </w:r>
    </w:p>
    <w:p w14:paraId="52BC7D1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sz w:val="24"/>
          <w:szCs w:val="24"/>
          <w:highlight w:val="none"/>
          <w:lang w:eastAsia="zh-CN"/>
        </w:rPr>
        <w:t>侧拍透窗率：当机动车速度小于80km/h时，透窗率不小于90%；</w:t>
      </w:r>
    </w:p>
    <w:p w14:paraId="2418A06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牌照识别率：白天≥99%，晚上≥97%；</w:t>
      </w:r>
    </w:p>
    <w:p w14:paraId="5FCE1AE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人数识别正确率：</w:t>
      </w:r>
      <w:r>
        <w:rPr>
          <w:rFonts w:hint="eastAsia"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sz w:val="24"/>
          <w:szCs w:val="24"/>
          <w:highlight w:val="none"/>
          <w:lang w:eastAsia="zh-CN"/>
        </w:rPr>
        <w:t>在天气晴朗无雾、红外补光灯能探测到车内乘员的情况下，机动车乘员人数识别准确率白天、夜晚均不小于95%。</w:t>
      </w:r>
    </w:p>
    <w:p w14:paraId="00EA21ED">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2.6风雨连廊、遮阳棚</w:t>
      </w:r>
    </w:p>
    <w:p w14:paraId="31244210">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2.6.1参数要求</w:t>
      </w:r>
    </w:p>
    <w:p w14:paraId="570725C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（1）结构设计使用年限不低于50年，结构设计安全等级不低于2级；</w:t>
      </w:r>
    </w:p>
    <w:p w14:paraId="4841DB1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（2）恒荷载：钢结构自重按计算选取，膜材自重0.01KN/平方米；</w:t>
      </w:r>
    </w:p>
    <w:p w14:paraId="217FBB2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（3）膜面预应力：经向1.2KN/m，结向1.2KN/m;</w:t>
      </w:r>
    </w:p>
    <w:p w14:paraId="3C3BBC4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（4）活(雪)荷载：膜面0.45KN/平方米;</w:t>
      </w:r>
    </w:p>
    <w:p w14:paraId="5AB2EC5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（5）风荷载：基本风压0.30kN/平方米；</w:t>
      </w:r>
    </w:p>
    <w:p w14:paraId="1D2101A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（6）地震设防烈度：6度(0.05)</w:t>
      </w:r>
    </w:p>
    <w:p w14:paraId="1648FA73">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2.6.2材料选用</w:t>
      </w:r>
    </w:p>
    <w:p w14:paraId="08BCC9A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（1）钢管及钢板材质均为Q235B，Q235B钢材质量应符合《碳素结构钢》GB/T700的规定。</w:t>
      </w:r>
    </w:p>
    <w:p w14:paraId="4D909DC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2）本工程所采用的钢材，应具有抗拉强度、伸长率、屈服强度、硫与磷含量、碳含量、冷弯试验的合格证。钢材的屈服强度实测值与抗拉强度实测值的比值不应大于0.85。材应有明的屈台阶，且伸长率应大于20%。钢材应有良好的可焊性和合格的冲击韧性。</w:t>
      </w:r>
    </w:p>
    <w:p w14:paraId="400299A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（3）膜材：白色膜材表面PVDF涂层做之前与甲方确认，其抗拉强度不低于经向5.0kN/5cm，结向5.0kN/5cm，耐火等级B1；质量应符合《膜结构用涂层织物》GB/T30161的规定。</w:t>
      </w:r>
    </w:p>
    <w:p w14:paraId="3ECDE09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（4）钢板质量应符合《碳素结构钢和低合金结构钢热厚钢板和钢带》GB/T3274的规定。</w:t>
      </w:r>
    </w:p>
    <w:p w14:paraId="7B2D751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（5）普通螺栓螺帽应符合现行国家标准《六角头螺栓C级》GB/T5780和《六角头螺》GB/T5782的规定。</w:t>
      </w:r>
    </w:p>
    <w:p w14:paraId="19F1DFB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（6）钢索均选用619+1WS外包PE镀锌钢索，钢索质量应符合现行《钢丝绳通用技术条件》GB/T20118的规定；钢索锚具采用压接式锚具，表面做镀锌防腐处理。</w:t>
      </w:r>
    </w:p>
    <w:p w14:paraId="6F1FC90A">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2.6.3钢结构焊接要求</w:t>
      </w:r>
    </w:p>
    <w:p w14:paraId="31707DD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（1）钢结构焊接应符合《钢结构焊接规范》GB50661-2011的规定。</w:t>
      </w:r>
    </w:p>
    <w:p w14:paraId="4399839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（2）钢结构尽量采用工厂焊接，并优先采用自动焊接和半自动焊接。选用的焊接设备应满足焊接工艺要求和具备安全可靠的性能。</w:t>
      </w:r>
    </w:p>
    <w:p w14:paraId="735A1EC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（3）钢管等空心构件的端口采用钢板作为封头板时，采用连续焊缝密封，内外空气隔绝，并确保组装、安装过程中件内不得积水。</w:t>
      </w:r>
    </w:p>
    <w:p w14:paraId="635CB4B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（4）主钢管与节点板连接焊缝要求:</w:t>
      </w:r>
    </w:p>
    <w:p w14:paraId="768D3E9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主钢管拼接处钢管断开，其壁厚≥6mm时钢管坡口与节点板全熔透对接焊缝；</w:t>
      </w:r>
    </w:p>
    <w:p w14:paraId="23A6576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其他部位钢管连续，采用对接焊缝；</w:t>
      </w:r>
    </w:p>
    <w:p w14:paraId="3F75027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所有主钢管与节点板连接焊缝质量等级为二级，其他要求同钢管相贯焊缝。</w:t>
      </w:r>
    </w:p>
    <w:p w14:paraId="06ED1BA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（5）钢管相贯线焊缝要求如下:</w:t>
      </w:r>
    </w:p>
    <w:p w14:paraId="5149950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相贯线焊缝，应沿全周连续焊接并平滑过渡。</w:t>
      </w:r>
    </w:p>
    <w:p w14:paraId="0EE7077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当多根支管同时交于一节点，且支管同时相贯时，支管按大管径和壁厚优先，支管与支管相贯处一律满焊。</w:t>
      </w:r>
    </w:p>
    <w:p w14:paraId="5015EC2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圆管相贯时，支管端部的相贯线焊缝位置沿支管周边分为A(趾部)、B,(侧面)、C(踵部)三个区域。</w:t>
      </w:r>
    </w:p>
    <w:p w14:paraId="74111CB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当焊管壁厚≤6mm时，采用全周角焊缝。</w:t>
      </w:r>
    </w:p>
    <w:p w14:paraId="4F8740B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当焊管壁厚&gt;6mm时，所夹锐角≥75度时，采用全周带坡口全熔透焊缝。</w:t>
      </w:r>
    </w:p>
    <w:p w14:paraId="12CA9B2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当焊管壁厚&gt;6mm时，所夹角&lt;75度时，A、B区采用带坡口的全熔透焊缝，C区用带坡口的部分熔透焊缝(当夹角&lt;35度时可采用角焊缝)。各区相接处坡口及焊缝应圆滑过渡，角&lt;35度时可采用角缝)，各区相接处坡口及焊缝应圆滑过渡。</w:t>
      </w:r>
    </w:p>
    <w:p w14:paraId="01AEE58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对全熔透和部分熔透焊缝，其有效焊缝高度he&gt;1.15t，且he&lt;1.25t。对角焊焊脚尺寸为1.5t，t为支管的壁厚。</w:t>
      </w:r>
    </w:p>
    <w:p w14:paraId="2DA78AD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（6）钢构件其壁厚≥6mm时与受力封板(相对封头防水板)的连接采用坡口熔透焊缝，焊缝等级二级。</w:t>
      </w:r>
    </w:p>
    <w:p w14:paraId="0F87039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（7）钢管插入节点板连接焊缝要求:</w:t>
      </w:r>
    </w:p>
    <w:p w14:paraId="49A0ED3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焊缝应沿周连续焊接并平滑过度。</w:t>
      </w:r>
    </w:p>
    <w:p w14:paraId="3DB9A73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钢管与节点板连接焊缝为受力焊缝；封板与节点板连接焊缝为受力焊缝,均保证钢管封。未注明时封厚度均为6mm,并确保组装、安装过程中构件内不得积水。</w:t>
      </w:r>
    </w:p>
    <w:p w14:paraId="16506DA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构造焊缝采用角焊缝，受力焊缝当焊管壁厚≤6mm时，采用双面角焊缝；焊管壁厚&gt;6mm时，采用全熔透对接焊缝，质量等级为二级。焊缝其他要求同钢管相贯焊缝。</w:t>
      </w:r>
    </w:p>
    <w:p w14:paraId="268A770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2.6.4涂装</w:t>
      </w:r>
    </w:p>
    <w:p w14:paraId="2904401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（1）底涂为环氧富锌底漆两道，漆膜干膜总厚度不小于60</w:t>
      </w:r>
      <w:r>
        <w:rPr>
          <w:rFonts w:hint="eastAsia" w:cs="书宋-简" w:asciiTheme="minorEastAsia" w:hAnsiTheme="minorEastAsia" w:eastAsiaTheme="minorEastAsia"/>
          <w:sz w:val="24"/>
          <w:szCs w:val="24"/>
          <w:highlight w:val="none"/>
        </w:rPr>
        <w:t>μ</w:t>
      </w:r>
      <w:r>
        <w:rPr>
          <w:rFonts w:hint="eastAsia" w:cs="书宋-简" w:asciiTheme="minorEastAsia" w:hAnsiTheme="minorEastAsia" w:eastAsiaTheme="minorEastAsia"/>
          <w:sz w:val="24"/>
          <w:szCs w:val="24"/>
          <w:highlight w:val="none"/>
          <w:lang w:eastAsia="zh-CN"/>
        </w:rPr>
        <w:t>m；环氧云铁中间漆，漆干膜总厚度不小于30</w:t>
      </w:r>
      <w:r>
        <w:rPr>
          <w:rFonts w:hint="eastAsia" w:cs="书宋-简" w:asciiTheme="minorEastAsia" w:hAnsiTheme="minorEastAsia" w:eastAsiaTheme="minorEastAsia"/>
          <w:sz w:val="24"/>
          <w:szCs w:val="24"/>
          <w:highlight w:val="none"/>
        </w:rPr>
        <w:t>μ</w:t>
      </w:r>
      <w:r>
        <w:rPr>
          <w:rFonts w:hint="eastAsia" w:cs="书宋-简" w:asciiTheme="minorEastAsia" w:hAnsiTheme="minorEastAsia" w:eastAsiaTheme="minorEastAsia"/>
          <w:sz w:val="24"/>
          <w:szCs w:val="24"/>
          <w:highlight w:val="none"/>
          <w:lang w:eastAsia="zh-CN"/>
        </w:rPr>
        <w:t>m，面涂层为白色氯化橡胶漆，漆膜干膜不小于60</w:t>
      </w:r>
      <w:r>
        <w:rPr>
          <w:rFonts w:hint="eastAsia" w:cs="书宋-简" w:asciiTheme="minorEastAsia" w:hAnsiTheme="minorEastAsia" w:eastAsiaTheme="minorEastAsia"/>
          <w:sz w:val="24"/>
          <w:szCs w:val="24"/>
          <w:highlight w:val="none"/>
        </w:rPr>
        <w:t>μ</w:t>
      </w:r>
      <w:r>
        <w:rPr>
          <w:rFonts w:hint="eastAsia" w:cs="书宋-简" w:asciiTheme="minorEastAsia" w:hAnsiTheme="minorEastAsia" w:eastAsiaTheme="minorEastAsia"/>
          <w:sz w:val="24"/>
          <w:szCs w:val="24"/>
          <w:highlight w:val="none"/>
          <w:lang w:eastAsia="zh-CN"/>
        </w:rPr>
        <w:t>m；干膜总厚度不小于150</w:t>
      </w:r>
      <w:r>
        <w:rPr>
          <w:rFonts w:hint="eastAsia" w:cs="书宋-简" w:asciiTheme="minorEastAsia" w:hAnsiTheme="minorEastAsia" w:eastAsiaTheme="minorEastAsia"/>
          <w:sz w:val="24"/>
          <w:szCs w:val="24"/>
          <w:highlight w:val="none"/>
        </w:rPr>
        <w:t>μ</w:t>
      </w:r>
      <w:r>
        <w:rPr>
          <w:rFonts w:hint="eastAsia" w:cs="书宋-简" w:asciiTheme="minorEastAsia" w:hAnsiTheme="minorEastAsia" w:eastAsiaTheme="minorEastAsia"/>
          <w:sz w:val="24"/>
          <w:szCs w:val="24"/>
          <w:highlight w:val="none"/>
          <w:lang w:eastAsia="zh-CN"/>
        </w:rPr>
        <w:t>m。</w:t>
      </w:r>
    </w:p>
    <w:p w14:paraId="231AE32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（2）所有钢构件在涂刷防锈蚀涂料前应进行抛丸除锈(除锈在工厂内完成)，除锈质量等级要求达到《涂装前钢材表面锈蚀等级》GB8923 Sa2.5级标准；对现场补刷部位采用手工除锈时，除锈质量等级要求达到《涂装前钢材表面锈蚀等级》GB8923 St3.0级标准:</w:t>
      </w:r>
    </w:p>
    <w:p w14:paraId="59894F9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（3）支承构件在涂装防锈面漆、防火涂层前，必须将与膜面的连接部位以圆角处理打磨光滑、无毛刺、无棱角。</w:t>
      </w:r>
    </w:p>
    <w:p w14:paraId="03BF60C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（4）安装螺栓折除后，孔四周及孔壁应按上述要求涂装。</w:t>
      </w:r>
    </w:p>
    <w:p w14:paraId="5FF13F2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2.6.5安装位置</w:t>
      </w:r>
    </w:p>
    <w:tbl>
      <w:tblPr>
        <w:tblStyle w:val="45"/>
        <w:tblW w:w="8496" w:type="dxa"/>
        <w:jc w:val="center"/>
        <w:tblLayout w:type="fixed"/>
        <w:tblCellMar>
          <w:top w:w="0" w:type="dxa"/>
          <w:left w:w="108" w:type="dxa"/>
          <w:bottom w:w="0" w:type="dxa"/>
          <w:right w:w="108" w:type="dxa"/>
        </w:tblCellMar>
      </w:tblPr>
      <w:tblGrid>
        <w:gridCol w:w="999"/>
        <w:gridCol w:w="3898"/>
        <w:gridCol w:w="1101"/>
        <w:gridCol w:w="2498"/>
      </w:tblGrid>
      <w:tr w14:paraId="596107F8">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450FF110">
            <w:pPr>
              <w:pStyle w:val="201"/>
              <w:spacing w:line="48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序号</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0F9FDA5E">
            <w:pPr>
              <w:pStyle w:val="201"/>
              <w:spacing w:line="48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人行路口雨棚点位名称</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288FCAD">
            <w:pPr>
              <w:pStyle w:val="201"/>
              <w:spacing w:line="48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序号</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5C5238FC">
            <w:pPr>
              <w:pStyle w:val="201"/>
              <w:spacing w:line="48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人行路口雨棚点位名称</w:t>
            </w:r>
          </w:p>
        </w:tc>
      </w:tr>
      <w:tr w14:paraId="5293CC9B">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7A7B9F90">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73A55BC8">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县府街东仓路东向西</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29BF0D41">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8</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216C4B5C">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县府街东亭路东向西</w:t>
            </w:r>
          </w:p>
        </w:tc>
      </w:tr>
      <w:tr w14:paraId="7B88F8F0">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0B1D3B64">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7B7C2013">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东仓路县府街南向北</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3E7744F">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9</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4165DAD5">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东亭路县府街南向北</w:t>
            </w:r>
          </w:p>
        </w:tc>
      </w:tr>
      <w:tr w14:paraId="154246FA">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50C30E0A">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65FE8367">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县府街东仓路西向东</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003E43A">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10</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60576ECB">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县府街东亭路西向东</w:t>
            </w:r>
          </w:p>
        </w:tc>
      </w:tr>
      <w:tr w14:paraId="421B00A7">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2AA9A782">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498BF307">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东仓路县府街北向南</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8F7345A">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11</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5EA02E3F">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东亭路县府街北向南</w:t>
            </w:r>
          </w:p>
        </w:tc>
      </w:tr>
      <w:tr w14:paraId="54ECD62A">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20F4D160">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6B110705">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县府街扬州路东向西</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7473F09">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12</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5349E541">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娄江路县府街南向北</w:t>
            </w:r>
          </w:p>
        </w:tc>
      </w:tr>
      <w:tr w14:paraId="53BB6C38">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1CE0E426">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7A9D45F1">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扬州路县府街南向北</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E911AF8">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13</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1FC49601">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娄江路县府街北向南</w:t>
            </w:r>
          </w:p>
        </w:tc>
      </w:tr>
      <w:tr w14:paraId="2E17419A">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58338199">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4AFFC1F1">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县府街扬州路西向东</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50C021F3">
            <w:pPr>
              <w:pStyle w:val="201"/>
              <w:spacing w:line="480" w:lineRule="exact"/>
              <w:rPr>
                <w:rFonts w:hint="eastAsia" w:asciiTheme="minorEastAsia" w:hAnsiTheme="minorEastAsia" w:eastAsiaTheme="minorEastAsia"/>
                <w:color w:val="000000"/>
                <w:sz w:val="24"/>
                <w:szCs w:val="24"/>
                <w:highlight w:val="none"/>
                <w:lang w:eastAsia="zh-CN" w:bidi="ar"/>
              </w:rPr>
            </w:pP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75E35A97">
            <w:pPr>
              <w:pStyle w:val="201"/>
              <w:spacing w:line="480" w:lineRule="exact"/>
              <w:rPr>
                <w:rFonts w:hint="eastAsia" w:asciiTheme="minorEastAsia" w:hAnsiTheme="minorEastAsia" w:eastAsiaTheme="minorEastAsia"/>
                <w:color w:val="000000"/>
                <w:sz w:val="24"/>
                <w:szCs w:val="24"/>
                <w:highlight w:val="none"/>
                <w:lang w:eastAsia="zh-CN" w:bidi="ar"/>
              </w:rPr>
            </w:pPr>
          </w:p>
        </w:tc>
      </w:tr>
      <w:tr w14:paraId="1553A76E">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4D3C7667">
            <w:pPr>
              <w:pStyle w:val="201"/>
              <w:spacing w:line="48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序号</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239735DF">
            <w:pPr>
              <w:pStyle w:val="201"/>
              <w:spacing w:line="48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人行路口雨棚点位名称</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AFA676D">
            <w:pPr>
              <w:pStyle w:val="201"/>
              <w:spacing w:line="480" w:lineRule="exact"/>
              <w:rPr>
                <w:rFonts w:hint="eastAsia" w:asciiTheme="minorEastAsia" w:hAnsiTheme="minorEastAsia" w:eastAsiaTheme="minorEastAsia"/>
                <w:b/>
                <w:bCs/>
                <w:color w:val="000000"/>
                <w:sz w:val="24"/>
                <w:szCs w:val="24"/>
                <w:highlight w:val="none"/>
                <w:lang w:eastAsia="zh-CN" w:bidi="ar"/>
              </w:rPr>
            </w:pP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735EC25F">
            <w:pPr>
              <w:pStyle w:val="201"/>
              <w:spacing w:line="480" w:lineRule="exact"/>
              <w:rPr>
                <w:rFonts w:hint="eastAsia" w:asciiTheme="minorEastAsia" w:hAnsiTheme="minorEastAsia" w:eastAsiaTheme="minorEastAsia"/>
                <w:b/>
                <w:bCs/>
                <w:color w:val="000000"/>
                <w:sz w:val="24"/>
                <w:szCs w:val="24"/>
                <w:highlight w:val="none"/>
                <w:lang w:eastAsia="zh-CN" w:bidi="ar"/>
              </w:rPr>
            </w:pPr>
          </w:p>
        </w:tc>
      </w:tr>
      <w:tr w14:paraId="21DA45B4">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454AF69C">
            <w:pPr>
              <w:pStyle w:val="201"/>
              <w:spacing w:line="480" w:lineRule="exact"/>
              <w:rPr>
                <w:rFonts w:hint="eastAsia" w:cs="等线" w:asciiTheme="minorEastAsia" w:hAnsiTheme="minorEastAsia" w:eastAsiaTheme="minorEastAsia"/>
                <w:color w:val="000000"/>
                <w:sz w:val="24"/>
                <w:szCs w:val="24"/>
                <w:highlight w:val="none"/>
              </w:rPr>
            </w:pPr>
            <w:r>
              <w:rPr>
                <w:rFonts w:cs="等线" w:asciiTheme="minorEastAsia" w:hAnsiTheme="minorEastAsia" w:eastAsiaTheme="minorEastAsia"/>
                <w:color w:val="000000"/>
                <w:sz w:val="24"/>
                <w:szCs w:val="24"/>
                <w:highlight w:val="none"/>
                <w:lang w:eastAsia="zh-CN" w:bidi="ar"/>
              </w:rPr>
              <w:t>1</w:t>
            </w:r>
          </w:p>
        </w:tc>
        <w:tc>
          <w:tcPr>
            <w:tcW w:w="7497" w:type="dxa"/>
            <w:gridSpan w:val="3"/>
            <w:tcBorders>
              <w:top w:val="single" w:color="000000" w:sz="4" w:space="0"/>
              <w:left w:val="single" w:color="000000" w:sz="4" w:space="0"/>
              <w:bottom w:val="single" w:color="000000" w:sz="4" w:space="0"/>
              <w:right w:val="single" w:color="000000" w:sz="4" w:space="0"/>
            </w:tcBorders>
            <w:vAlign w:val="center"/>
          </w:tcPr>
          <w:p w14:paraId="67E39BBB">
            <w:pPr>
              <w:pStyle w:val="201"/>
              <w:spacing w:line="480" w:lineRule="exact"/>
              <w:rPr>
                <w:rFonts w:hint="eastAsia" w:cs="等线"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太仓市实验小学（高新区校区）风雨连廊雨棚</w:t>
            </w:r>
          </w:p>
        </w:tc>
      </w:tr>
    </w:tbl>
    <w:p w14:paraId="4DB0CC07">
      <w:pPr>
        <w:pStyle w:val="201"/>
        <w:spacing w:line="480" w:lineRule="exact"/>
        <w:rPr>
          <w:rFonts w:hint="eastAsia" w:cs="书宋-简" w:asciiTheme="minorEastAsia" w:hAnsiTheme="minorEastAsia" w:eastAsiaTheme="minorEastAsia"/>
          <w:sz w:val="24"/>
          <w:szCs w:val="24"/>
          <w:highlight w:val="none"/>
          <w:lang w:eastAsia="zh-CN"/>
        </w:rPr>
      </w:pPr>
    </w:p>
    <w:p w14:paraId="129006E1">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2.7互联网地图接口服务</w:t>
      </w:r>
    </w:p>
    <w:p w14:paraId="3A64B384">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2.7.1接口基本要求</w:t>
      </w:r>
    </w:p>
    <w:p w14:paraId="4447974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地理/逆地理编码 API (HOT) - [搜索]通过 HTTP/HTTPS 协议访问远程服务的接口，提供结构化地址与经纬度之间的相互转化的能力。</w:t>
      </w:r>
    </w:p>
    <w:p w14:paraId="0982A3A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路径规划 API (HOT) - [导航]以HTTP形式提供的步行、公交、驾车查询及行驶距离计算接口，返回JSON 或 XML格式的查询数据，用于实现路径规划功能的开发。</w:t>
      </w:r>
    </w:p>
    <w:p w14:paraId="73CE28D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搜索 API (HOT) - [搜索]提供多种查询POI信息的能力，其中包括关键字搜索、周边搜索、多边形搜索、ID查询四种筛选机制。目前搜索是不支持返回全量数据的，同请求参数翻页查询最多支持获取200条数据</w:t>
      </w:r>
    </w:p>
    <w:p w14:paraId="4701D01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输入提示 API (HOT) - [搜索]根据用户输入的关键词查询返回建议列表。</w:t>
      </w:r>
    </w:p>
    <w:p w14:paraId="2B99ED3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行政区域查询 API - [搜索]根据用户输入的搜索条件可以帮助用户快速的查找特定的行政区域信息。</w:t>
      </w:r>
    </w:p>
    <w:p w14:paraId="4B2EE49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静态地图 API - [地图]通过返回一张地图图片响应HTTP请求，使用户能够将地图以图片形式嵌入自己的网页中。</w:t>
      </w:r>
    </w:p>
    <w:p w14:paraId="6103A3B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IP 定位 (HOT) - [搜索]根据用户输入的 IP 地址，能够快速的帮用户定位 IP 的所在位置。</w:t>
      </w:r>
    </w:p>
    <w:p w14:paraId="63AC3B7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坐标转换 API - [地图]将用户输入的GPS坐标、mapbar坐标、baidu坐标、高德坐标进行转换。</w:t>
      </w:r>
    </w:p>
    <w:p w14:paraId="6171D62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天气查询 API - [搜索]根据用户输入的adcode，查询目标区域当前/未来的天气情况。</w:t>
      </w:r>
    </w:p>
    <w:p w14:paraId="6730E65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轨迹纠偏 API - [导航]根据给定的坐标点、车辆的方位角以及行驶速度，将用户的轨迹纠偏到路上，从而返回用户实际驾车经过的道路坐标。</w:t>
      </w:r>
    </w:p>
    <w:p w14:paraId="5A025BF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云图服务 API - [地图]提供位置数据存储、检索、展现服务。</w:t>
      </w:r>
    </w:p>
    <w:p w14:paraId="278F1F4C">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2.7.2</w:t>
      </w:r>
      <w:r>
        <w:rPr>
          <w:rFonts w:cs="书宋-简" w:asciiTheme="minorEastAsia" w:hAnsiTheme="minorEastAsia" w:eastAsiaTheme="minorEastAsia"/>
          <w:b/>
          <w:bCs/>
          <w:sz w:val="24"/>
          <w:szCs w:val="24"/>
          <w:highlight w:val="none"/>
          <w:lang w:eastAsia="zh-CN"/>
        </w:rPr>
        <w:t xml:space="preserve">  </w:t>
      </w:r>
      <w:r>
        <w:rPr>
          <w:rFonts w:hint="eastAsia" w:cs="书宋-简" w:asciiTheme="minorEastAsia" w:hAnsiTheme="minorEastAsia" w:eastAsiaTheme="minorEastAsia"/>
          <w:b/>
          <w:bCs/>
          <w:sz w:val="24"/>
          <w:szCs w:val="24"/>
          <w:highlight w:val="none"/>
          <w:lang w:eastAsia="zh-CN"/>
        </w:rPr>
        <w:t>JS API接口要求</w:t>
      </w:r>
    </w:p>
    <w:p w14:paraId="38B0772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JavaScript API 2.0 (HOT) - [地图]需适配各种浏览器，包含地图显示/搜索/路线规划/地址解析/一键调起地图 APP 等功能。</w:t>
      </w:r>
    </w:p>
    <w:p w14:paraId="64D81D7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地图组件 - [地图]专为手机浏览器定制，通过URL形式调用，简单快速地实现位置标注/路线规划/周边搜索/地图选址的功能。</w:t>
      </w:r>
    </w:p>
    <w:p w14:paraId="51F003B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URI API - [地图]适用于原生 APP 以及手机浏览器，通过URL形式调用，包含标注/路径规划/ POI 检索/路线规划等功能。</w:t>
      </w:r>
    </w:p>
    <w:p w14:paraId="7FCBBCB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地铁图 JS API - [地图]适用于开发地铁图 H5 页面，包含地铁线路展示/路线查询/站点标注以及路线规划功能。</w:t>
      </w:r>
    </w:p>
    <w:p w14:paraId="46131FD4">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2.7.3</w:t>
      </w:r>
      <w:r>
        <w:rPr>
          <w:rFonts w:cs="书宋-简" w:asciiTheme="minorEastAsia" w:hAnsiTheme="minorEastAsia" w:eastAsiaTheme="minorEastAsia"/>
          <w:b/>
          <w:bCs/>
          <w:sz w:val="24"/>
          <w:szCs w:val="24"/>
          <w:highlight w:val="none"/>
          <w:lang w:eastAsia="zh-CN"/>
        </w:rPr>
        <w:t xml:space="preserve">  </w:t>
      </w:r>
      <w:r>
        <w:rPr>
          <w:rFonts w:hint="eastAsia" w:cs="书宋-简" w:asciiTheme="minorEastAsia" w:hAnsiTheme="minorEastAsia" w:eastAsiaTheme="minorEastAsia"/>
          <w:b/>
          <w:bCs/>
          <w:sz w:val="24"/>
          <w:szCs w:val="24"/>
          <w:highlight w:val="none"/>
          <w:lang w:eastAsia="zh-CN"/>
        </w:rPr>
        <w:t>Android 平台接口要求</w:t>
      </w:r>
    </w:p>
    <w:p w14:paraId="66B8EB2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Android 地图 SDK (HOT) - [地图]包含地图显示、室内外一体化地图查看、兴趣点搜索、地理编码、离线地图等功能。</w:t>
      </w:r>
    </w:p>
    <w:p w14:paraId="5F21D03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Android 定位 SDK (HOT) - [搜索]包含获取定位结果、逆地理编码（地址文字描述）、以及地理围栏功能。</w:t>
      </w:r>
    </w:p>
    <w:p w14:paraId="2F3CDB4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Android 导航 SDK (HOT) - [导航]包含路径规划、模拟导航、GPS 定位、自定义导航界面、获取导航播报信息等功能。</w:t>
      </w:r>
    </w:p>
    <w:p w14:paraId="4CB49605">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2.7.4</w:t>
      </w:r>
      <w:r>
        <w:rPr>
          <w:rFonts w:cs="书宋-简" w:asciiTheme="minorEastAsia" w:hAnsiTheme="minorEastAsia" w:eastAsiaTheme="minorEastAsia"/>
          <w:b/>
          <w:bCs/>
          <w:sz w:val="24"/>
          <w:szCs w:val="24"/>
          <w:highlight w:val="none"/>
          <w:lang w:eastAsia="zh-CN"/>
        </w:rPr>
        <w:t xml:space="preserve">  </w:t>
      </w:r>
      <w:r>
        <w:rPr>
          <w:rFonts w:hint="eastAsia" w:cs="书宋-简" w:asciiTheme="minorEastAsia" w:hAnsiTheme="minorEastAsia" w:eastAsiaTheme="minorEastAsia"/>
          <w:b/>
          <w:bCs/>
          <w:sz w:val="24"/>
          <w:szCs w:val="24"/>
          <w:highlight w:val="none"/>
          <w:lang w:eastAsia="zh-CN"/>
        </w:rPr>
        <w:t>iOS 平台接口要求</w:t>
      </w:r>
    </w:p>
    <w:p w14:paraId="46EC213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iOS 地图 SDK (HOT) - [地图]包含地图显示与操作、兴趣点搜索、地理编码、路线规划等功能。</w:t>
      </w:r>
    </w:p>
    <w:p w14:paraId="6BC4492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iOS 定位 SDK (HOT) - [搜索]包含单次定位、连续定位、逆地理信息、地理围栏等功能。</w:t>
      </w:r>
    </w:p>
    <w:p w14:paraId="643719C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iOS 导航 SDK (HOT) - [导航]包含路径规划（含实时交通）、模拟导航、GPS 定位、自定义导航界面、获取导航播报信息等功能</w:t>
      </w:r>
    </w:p>
    <w:p w14:paraId="30E50BE9">
      <w:pPr>
        <w:pStyle w:val="201"/>
        <w:spacing w:line="480" w:lineRule="exact"/>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三、</w:t>
      </w:r>
      <w:r>
        <w:rPr>
          <w:rStyle w:val="216"/>
          <w:rFonts w:hint="eastAsia" w:cs="宋体" w:asciiTheme="minorEastAsia" w:hAnsiTheme="minorEastAsia"/>
          <w:b/>
          <w:color w:val="000000"/>
          <w:sz w:val="24"/>
          <w:szCs w:val="24"/>
          <w:highlight w:val="none"/>
          <w:lang w:eastAsia="zh-CN"/>
        </w:rPr>
        <w:t>硬件设备清单及技术参数要求</w:t>
      </w:r>
    </w:p>
    <w:p w14:paraId="5E06C5F4">
      <w:pPr>
        <w:pStyle w:val="201"/>
        <w:spacing w:line="480" w:lineRule="exact"/>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（一）硬件设备清单</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6237"/>
        <w:gridCol w:w="1842"/>
      </w:tblGrid>
      <w:tr w14:paraId="44BC8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44E51973">
            <w:pPr>
              <w:pStyle w:val="201"/>
              <w:spacing w:line="480" w:lineRule="exact"/>
              <w:jc w:val="center"/>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序号</w:t>
            </w:r>
          </w:p>
        </w:tc>
        <w:tc>
          <w:tcPr>
            <w:tcW w:w="6237" w:type="dxa"/>
          </w:tcPr>
          <w:p w14:paraId="240E3BA1">
            <w:pPr>
              <w:pStyle w:val="201"/>
              <w:spacing w:line="480" w:lineRule="exact"/>
              <w:jc w:val="center"/>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产品名称</w:t>
            </w:r>
          </w:p>
        </w:tc>
        <w:tc>
          <w:tcPr>
            <w:tcW w:w="1842" w:type="dxa"/>
          </w:tcPr>
          <w:p w14:paraId="511243B6">
            <w:pPr>
              <w:pStyle w:val="201"/>
              <w:spacing w:line="480" w:lineRule="exact"/>
              <w:jc w:val="center"/>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备注</w:t>
            </w:r>
          </w:p>
        </w:tc>
      </w:tr>
      <w:tr w14:paraId="6351F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10A49EB8">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1</w:t>
            </w:r>
          </w:p>
        </w:tc>
        <w:tc>
          <w:tcPr>
            <w:tcW w:w="6237" w:type="dxa"/>
          </w:tcPr>
          <w:p w14:paraId="1669A474">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AI硬件终端适配</w:t>
            </w:r>
            <w:r>
              <w:rPr>
                <w:rFonts w:hint="eastAsia" w:cs="微软雅黑" w:asciiTheme="minorEastAsia" w:hAnsiTheme="minorEastAsia" w:eastAsiaTheme="minorEastAsia"/>
                <w:sz w:val="24"/>
                <w:szCs w:val="24"/>
                <w:highlight w:val="none"/>
                <w:lang w:eastAsia="zh-CN"/>
              </w:rPr>
              <w:t>1</w:t>
            </w:r>
          </w:p>
        </w:tc>
        <w:tc>
          <w:tcPr>
            <w:tcW w:w="1842" w:type="dxa"/>
          </w:tcPr>
          <w:p w14:paraId="6DD6C50A">
            <w:pPr>
              <w:pStyle w:val="201"/>
              <w:spacing w:line="480" w:lineRule="exact"/>
              <w:rPr>
                <w:rStyle w:val="216"/>
                <w:rFonts w:hint="eastAsia" w:cs="宋体" w:asciiTheme="minorEastAsia" w:hAnsiTheme="minorEastAsia"/>
                <w:color w:val="000000"/>
                <w:sz w:val="24"/>
                <w:szCs w:val="24"/>
                <w:highlight w:val="none"/>
                <w:lang w:eastAsia="zh-CN"/>
              </w:rPr>
            </w:pPr>
          </w:p>
        </w:tc>
      </w:tr>
      <w:tr w14:paraId="1B3EA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5A26C3E9">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2</w:t>
            </w:r>
          </w:p>
        </w:tc>
        <w:tc>
          <w:tcPr>
            <w:tcW w:w="6237" w:type="dxa"/>
          </w:tcPr>
          <w:p w14:paraId="1C36A5E7">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AI硬件终端适配</w:t>
            </w:r>
            <w:r>
              <w:rPr>
                <w:rFonts w:hint="eastAsia" w:cs="微软雅黑" w:asciiTheme="minorEastAsia" w:hAnsiTheme="minorEastAsia" w:eastAsiaTheme="minorEastAsia"/>
                <w:sz w:val="24"/>
                <w:szCs w:val="24"/>
                <w:highlight w:val="none"/>
                <w:lang w:eastAsia="zh-CN"/>
              </w:rPr>
              <w:t>2</w:t>
            </w:r>
          </w:p>
        </w:tc>
        <w:tc>
          <w:tcPr>
            <w:tcW w:w="1842" w:type="dxa"/>
          </w:tcPr>
          <w:p w14:paraId="778743BD">
            <w:pPr>
              <w:pStyle w:val="201"/>
              <w:spacing w:line="480" w:lineRule="exact"/>
              <w:rPr>
                <w:rStyle w:val="216"/>
                <w:rFonts w:hint="eastAsia" w:cs="宋体" w:asciiTheme="minorEastAsia" w:hAnsiTheme="minorEastAsia"/>
                <w:color w:val="000000"/>
                <w:sz w:val="24"/>
                <w:szCs w:val="24"/>
                <w:highlight w:val="none"/>
                <w:lang w:eastAsia="zh-CN"/>
              </w:rPr>
            </w:pPr>
          </w:p>
        </w:tc>
      </w:tr>
      <w:tr w14:paraId="372D4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4E5AB135">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3</w:t>
            </w:r>
          </w:p>
        </w:tc>
        <w:tc>
          <w:tcPr>
            <w:tcW w:w="6237" w:type="dxa"/>
          </w:tcPr>
          <w:p w14:paraId="084D133A">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北斗4G全网通车载定位终端</w:t>
            </w:r>
          </w:p>
        </w:tc>
        <w:tc>
          <w:tcPr>
            <w:tcW w:w="1842" w:type="dxa"/>
          </w:tcPr>
          <w:p w14:paraId="0FE74ACD">
            <w:pPr>
              <w:pStyle w:val="201"/>
              <w:spacing w:line="480" w:lineRule="exact"/>
              <w:rPr>
                <w:rStyle w:val="216"/>
                <w:rFonts w:hint="eastAsia" w:cs="宋体" w:asciiTheme="minorEastAsia" w:hAnsiTheme="minorEastAsia"/>
                <w:color w:val="000000"/>
                <w:sz w:val="24"/>
                <w:szCs w:val="24"/>
                <w:highlight w:val="none"/>
                <w:lang w:eastAsia="zh-CN"/>
              </w:rPr>
            </w:pPr>
          </w:p>
        </w:tc>
      </w:tr>
      <w:tr w14:paraId="03211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5FE916E3">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4</w:t>
            </w:r>
          </w:p>
        </w:tc>
        <w:tc>
          <w:tcPr>
            <w:tcW w:w="6237" w:type="dxa"/>
          </w:tcPr>
          <w:p w14:paraId="0C1FF34F">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安全认证网关</w:t>
            </w:r>
          </w:p>
        </w:tc>
        <w:tc>
          <w:tcPr>
            <w:tcW w:w="1842" w:type="dxa"/>
          </w:tcPr>
          <w:p w14:paraId="40C5E64E">
            <w:pPr>
              <w:pStyle w:val="201"/>
              <w:spacing w:line="480" w:lineRule="exact"/>
              <w:rPr>
                <w:rStyle w:val="216"/>
                <w:rFonts w:hint="eastAsia" w:cs="宋体" w:asciiTheme="minorEastAsia" w:hAnsiTheme="minorEastAsia"/>
                <w:color w:val="000000"/>
                <w:sz w:val="24"/>
                <w:szCs w:val="24"/>
                <w:highlight w:val="none"/>
                <w:lang w:eastAsia="zh-CN"/>
              </w:rPr>
            </w:pPr>
          </w:p>
        </w:tc>
      </w:tr>
      <w:tr w14:paraId="77C9D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27B7A760">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5</w:t>
            </w:r>
          </w:p>
        </w:tc>
        <w:tc>
          <w:tcPr>
            <w:tcW w:w="6237" w:type="dxa"/>
          </w:tcPr>
          <w:p w14:paraId="4B9CD2A9">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超员检测一体机</w:t>
            </w:r>
          </w:p>
        </w:tc>
        <w:tc>
          <w:tcPr>
            <w:tcW w:w="1842" w:type="dxa"/>
          </w:tcPr>
          <w:p w14:paraId="5A4A847F">
            <w:pPr>
              <w:pStyle w:val="201"/>
              <w:spacing w:line="480" w:lineRule="exact"/>
              <w:rPr>
                <w:rStyle w:val="216"/>
                <w:rFonts w:hint="eastAsia" w:cs="宋体" w:asciiTheme="minorEastAsia" w:hAnsiTheme="minorEastAsia"/>
                <w:color w:val="000000"/>
                <w:sz w:val="24"/>
                <w:szCs w:val="24"/>
                <w:highlight w:val="none"/>
                <w:lang w:eastAsia="zh-CN"/>
              </w:rPr>
            </w:pPr>
          </w:p>
        </w:tc>
      </w:tr>
      <w:tr w14:paraId="55E57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14C6ADA2">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6</w:t>
            </w:r>
          </w:p>
        </w:tc>
        <w:tc>
          <w:tcPr>
            <w:tcW w:w="6237" w:type="dxa"/>
          </w:tcPr>
          <w:p w14:paraId="24FFE3D0">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抓拍单元</w:t>
            </w:r>
          </w:p>
        </w:tc>
        <w:tc>
          <w:tcPr>
            <w:tcW w:w="1842" w:type="dxa"/>
          </w:tcPr>
          <w:p w14:paraId="07D372BD">
            <w:pPr>
              <w:pStyle w:val="201"/>
              <w:spacing w:line="480" w:lineRule="exact"/>
              <w:rPr>
                <w:rStyle w:val="216"/>
                <w:rFonts w:hint="eastAsia" w:cs="宋体" w:asciiTheme="minorEastAsia" w:hAnsiTheme="minorEastAsia"/>
                <w:color w:val="000000"/>
                <w:sz w:val="24"/>
                <w:szCs w:val="24"/>
                <w:highlight w:val="none"/>
                <w:lang w:eastAsia="zh-CN"/>
              </w:rPr>
            </w:pPr>
          </w:p>
        </w:tc>
      </w:tr>
      <w:tr w14:paraId="24FC0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6016E8D9">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7</w:t>
            </w:r>
          </w:p>
        </w:tc>
        <w:tc>
          <w:tcPr>
            <w:tcW w:w="6237" w:type="dxa"/>
          </w:tcPr>
          <w:p w14:paraId="69EFB774">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多合一补光灯</w:t>
            </w:r>
          </w:p>
        </w:tc>
        <w:tc>
          <w:tcPr>
            <w:tcW w:w="1842" w:type="dxa"/>
          </w:tcPr>
          <w:p w14:paraId="2C5DC930">
            <w:pPr>
              <w:pStyle w:val="201"/>
              <w:spacing w:line="480" w:lineRule="exact"/>
              <w:rPr>
                <w:rStyle w:val="216"/>
                <w:rFonts w:hint="eastAsia" w:cs="宋体" w:asciiTheme="minorEastAsia" w:hAnsiTheme="minorEastAsia"/>
                <w:color w:val="000000"/>
                <w:sz w:val="24"/>
                <w:szCs w:val="24"/>
                <w:highlight w:val="none"/>
                <w:lang w:eastAsia="zh-CN"/>
              </w:rPr>
            </w:pPr>
          </w:p>
        </w:tc>
      </w:tr>
      <w:tr w14:paraId="152D1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749C0A60">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8</w:t>
            </w:r>
          </w:p>
        </w:tc>
        <w:tc>
          <w:tcPr>
            <w:tcW w:w="6237" w:type="dxa"/>
          </w:tcPr>
          <w:p w14:paraId="214707C7">
            <w:pPr>
              <w:pStyle w:val="201"/>
              <w:spacing w:line="480" w:lineRule="exact"/>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预警屏</w:t>
            </w:r>
          </w:p>
        </w:tc>
        <w:tc>
          <w:tcPr>
            <w:tcW w:w="1842" w:type="dxa"/>
          </w:tcPr>
          <w:p w14:paraId="3D021D5B">
            <w:pPr>
              <w:pStyle w:val="201"/>
              <w:spacing w:line="480" w:lineRule="exact"/>
              <w:rPr>
                <w:rStyle w:val="216"/>
                <w:rFonts w:hint="eastAsia" w:cs="宋体" w:asciiTheme="minorEastAsia" w:hAnsiTheme="minorEastAsia"/>
                <w:color w:val="000000"/>
                <w:sz w:val="24"/>
                <w:szCs w:val="24"/>
                <w:highlight w:val="none"/>
                <w:lang w:eastAsia="zh-CN"/>
              </w:rPr>
            </w:pPr>
          </w:p>
        </w:tc>
      </w:tr>
    </w:tbl>
    <w:p w14:paraId="7D05A62D">
      <w:pPr>
        <w:pStyle w:val="201"/>
        <w:spacing w:line="480" w:lineRule="exact"/>
        <w:rPr>
          <w:rStyle w:val="216"/>
          <w:rFonts w:hint="eastAsia" w:cs="宋体" w:asciiTheme="minorEastAsia" w:hAnsiTheme="minorEastAsia"/>
          <w:b/>
          <w:color w:val="000000"/>
          <w:sz w:val="24"/>
          <w:szCs w:val="24"/>
          <w:highlight w:val="none"/>
          <w:lang w:eastAsia="zh-CN"/>
        </w:rPr>
      </w:pPr>
      <w:r>
        <w:rPr>
          <w:rStyle w:val="216"/>
          <w:rFonts w:hint="eastAsia" w:cs="宋体" w:asciiTheme="minorEastAsia" w:hAnsiTheme="minorEastAsia"/>
          <w:b/>
          <w:color w:val="000000"/>
          <w:sz w:val="24"/>
          <w:szCs w:val="24"/>
          <w:highlight w:val="none"/>
          <w:lang w:eastAsia="zh-CN"/>
        </w:rPr>
        <w:t>注：供应商根据上述硬件设备产品，提供符合要求的《关于符合本国产品标准的声明函》的，给予价格评审优惠，如不提供将不享受本国产品价格评审优惠。</w:t>
      </w:r>
    </w:p>
    <w:p w14:paraId="5CC51983">
      <w:pPr>
        <w:pStyle w:val="201"/>
        <w:spacing w:line="480" w:lineRule="exact"/>
        <w:rPr>
          <w:rStyle w:val="216"/>
          <w:rFonts w:hint="eastAsia" w:cs="宋体" w:asciiTheme="minorEastAsia" w:hAnsiTheme="minorEastAsia"/>
          <w:b/>
          <w:color w:val="000000"/>
          <w:sz w:val="24"/>
          <w:szCs w:val="24"/>
          <w:highlight w:val="none"/>
          <w:lang w:eastAsia="zh-CN"/>
        </w:rPr>
      </w:pPr>
      <w:r>
        <w:rPr>
          <w:rStyle w:val="216"/>
          <w:rFonts w:hint="eastAsia" w:cs="宋体" w:asciiTheme="minorEastAsia" w:hAnsiTheme="minorEastAsia"/>
          <w:b/>
          <w:color w:val="000000"/>
          <w:sz w:val="24"/>
          <w:szCs w:val="24"/>
          <w:highlight w:val="none"/>
          <w:lang w:eastAsia="zh-CN"/>
        </w:rPr>
        <w:t>（二）硬件设备技术参数要求</w:t>
      </w:r>
    </w:p>
    <w:p w14:paraId="10709886">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1</w:t>
      </w:r>
      <w:r>
        <w:rPr>
          <w:rFonts w:cs="微软雅黑" w:asciiTheme="minorEastAsia" w:hAnsiTheme="minorEastAsia" w:eastAsiaTheme="minorEastAsia"/>
          <w:b/>
          <w:sz w:val="24"/>
          <w:szCs w:val="24"/>
          <w:highlight w:val="none"/>
          <w:lang w:eastAsia="zh-CN"/>
        </w:rPr>
        <w:t>、</w:t>
      </w:r>
      <w:r>
        <w:rPr>
          <w:rFonts w:hint="eastAsia" w:cs="微软雅黑" w:asciiTheme="minorEastAsia" w:hAnsiTheme="minorEastAsia" w:eastAsiaTheme="minorEastAsia"/>
          <w:b/>
          <w:sz w:val="24"/>
          <w:szCs w:val="24"/>
          <w:highlight w:val="none"/>
          <w:lang w:eastAsia="zh-CN"/>
        </w:rPr>
        <w:t xml:space="preserve"> </w:t>
      </w:r>
      <w:r>
        <w:rPr>
          <w:rFonts w:cs="微软雅黑" w:asciiTheme="minorEastAsia" w:hAnsiTheme="minorEastAsia" w:eastAsiaTheme="minorEastAsia"/>
          <w:b/>
          <w:sz w:val="24"/>
          <w:szCs w:val="24"/>
          <w:highlight w:val="none"/>
          <w:lang w:eastAsia="zh-CN"/>
        </w:rPr>
        <w:t>AI硬件终端适配</w:t>
      </w:r>
      <w:r>
        <w:rPr>
          <w:rFonts w:hint="eastAsia" w:cs="微软雅黑" w:asciiTheme="minorEastAsia" w:hAnsiTheme="minorEastAsia" w:eastAsiaTheme="minorEastAsia"/>
          <w:b/>
          <w:sz w:val="24"/>
          <w:szCs w:val="24"/>
          <w:highlight w:val="none"/>
          <w:lang w:eastAsia="zh-CN"/>
        </w:rPr>
        <w:t>1</w:t>
      </w:r>
    </w:p>
    <w:p w14:paraId="4A980FAA">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asciiTheme="minorEastAsia" w:hAnsiTheme="minorEastAsia" w:eastAsiaTheme="minorEastAsia"/>
          <w:sz w:val="24"/>
          <w:szCs w:val="24"/>
          <w:highlight w:val="none"/>
          <w:lang w:eastAsia="zh-CN"/>
        </w:rPr>
        <w:t>CPU</w:t>
      </w:r>
      <w:r>
        <w:rPr>
          <w:rFonts w:hint="eastAsia" w:cs="微软雅黑" w:asciiTheme="minorEastAsia" w:hAnsiTheme="minorEastAsia" w:eastAsiaTheme="minorEastAsia"/>
          <w:sz w:val="24"/>
          <w:szCs w:val="24"/>
          <w:highlight w:val="none"/>
          <w:lang w:eastAsia="zh-CN"/>
        </w:rPr>
        <w:t>不低于</w:t>
      </w:r>
      <w:r>
        <w:rPr>
          <w:rFonts w:asciiTheme="minorEastAsia" w:hAnsiTheme="minorEastAsia" w:eastAsiaTheme="minorEastAsia"/>
          <w:sz w:val="24"/>
          <w:szCs w:val="24"/>
          <w:highlight w:val="none"/>
          <w:lang w:eastAsia="zh-CN"/>
        </w:rPr>
        <w:t>20</w:t>
      </w:r>
      <w:r>
        <w:rPr>
          <w:rFonts w:hint="eastAsia" w:cs="微软雅黑" w:asciiTheme="minorEastAsia" w:hAnsiTheme="minorEastAsia" w:eastAsiaTheme="minorEastAsia"/>
          <w:sz w:val="24"/>
          <w:szCs w:val="24"/>
          <w:highlight w:val="none"/>
          <w:lang w:eastAsia="zh-CN"/>
        </w:rPr>
        <w:t>核</w:t>
      </w:r>
      <w:r>
        <w:rPr>
          <w:rFonts w:asciiTheme="minorEastAsia" w:hAnsiTheme="minorEastAsia" w:eastAsiaTheme="minorEastAsia"/>
          <w:sz w:val="24"/>
          <w:szCs w:val="24"/>
          <w:highlight w:val="none"/>
          <w:lang w:eastAsia="zh-CN"/>
        </w:rPr>
        <w:t>ARM</w:t>
      </w:r>
      <w:r>
        <w:rPr>
          <w:rFonts w:hint="eastAsia" w:cs="微软雅黑" w:asciiTheme="minorEastAsia" w:hAnsiTheme="minorEastAsia" w:eastAsiaTheme="minorEastAsia"/>
          <w:sz w:val="24"/>
          <w:szCs w:val="24"/>
          <w:highlight w:val="none"/>
          <w:lang w:eastAsia="zh-CN"/>
        </w:rPr>
        <w:t>，内存</w:t>
      </w:r>
      <w:r>
        <w:rPr>
          <w:rFonts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显存不低于</w:t>
      </w:r>
      <w:r>
        <w:rPr>
          <w:rFonts w:asciiTheme="minorEastAsia" w:hAnsiTheme="minorEastAsia" w:eastAsiaTheme="minorEastAsia"/>
          <w:sz w:val="24"/>
          <w:szCs w:val="24"/>
          <w:highlight w:val="none"/>
          <w:lang w:eastAsia="zh-CN"/>
        </w:rPr>
        <w:t>128G</w:t>
      </w:r>
      <w:r>
        <w:rPr>
          <w:rFonts w:hint="eastAsia" w:cs="微软雅黑" w:asciiTheme="minorEastAsia" w:hAnsiTheme="minorEastAsia" w:eastAsiaTheme="minorEastAsia"/>
          <w:sz w:val="24"/>
          <w:szCs w:val="24"/>
          <w:highlight w:val="none"/>
          <w:lang w:eastAsia="zh-CN"/>
        </w:rPr>
        <w:t>，算力不低于</w:t>
      </w:r>
      <w:r>
        <w:rPr>
          <w:rFonts w:asciiTheme="minorEastAsia" w:hAnsiTheme="minorEastAsia" w:eastAsiaTheme="minorEastAsia"/>
          <w:sz w:val="24"/>
          <w:szCs w:val="24"/>
          <w:highlight w:val="none"/>
          <w:lang w:eastAsia="zh-CN"/>
        </w:rPr>
        <w:t>1000TOPS</w:t>
      </w: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 xml:space="preserve">1TB NVMe M.2 </w:t>
      </w:r>
      <w:r>
        <w:rPr>
          <w:rFonts w:hint="eastAsia" w:cs="微软雅黑" w:asciiTheme="minorEastAsia" w:hAnsiTheme="minorEastAsia" w:eastAsiaTheme="minorEastAsia"/>
          <w:sz w:val="24"/>
          <w:szCs w:val="24"/>
          <w:highlight w:val="none"/>
          <w:lang w:eastAsia="zh-CN"/>
        </w:rPr>
        <w:t>固态硬盘，网卡支持</w:t>
      </w:r>
      <w:r>
        <w:rPr>
          <w:rFonts w:asciiTheme="minorEastAsia" w:hAnsiTheme="minorEastAsia" w:eastAsiaTheme="minorEastAsia"/>
          <w:sz w:val="24"/>
          <w:szCs w:val="24"/>
          <w:highlight w:val="none"/>
          <w:lang w:eastAsia="zh-CN"/>
        </w:rPr>
        <w:t>10GbE</w:t>
      </w:r>
      <w:r>
        <w:rPr>
          <w:rFonts w:hint="eastAsia" w:cs="微软雅黑" w:asciiTheme="minorEastAsia" w:hAnsiTheme="minorEastAsia" w:eastAsiaTheme="minorEastAsia"/>
          <w:sz w:val="24"/>
          <w:szCs w:val="24"/>
          <w:highlight w:val="none"/>
          <w:lang w:eastAsia="zh-CN"/>
        </w:rPr>
        <w:t>以太网和</w:t>
      </w:r>
      <w:r>
        <w:rPr>
          <w:rFonts w:asciiTheme="minorEastAsia" w:hAnsiTheme="minorEastAsia" w:eastAsiaTheme="minorEastAsia"/>
          <w:sz w:val="24"/>
          <w:szCs w:val="24"/>
          <w:highlight w:val="none"/>
          <w:lang w:eastAsia="zh-CN"/>
        </w:rPr>
        <w:t>200GbE RDMA</w:t>
      </w:r>
      <w:r>
        <w:rPr>
          <w:rFonts w:hint="eastAsia" w:cs="微软雅黑" w:asciiTheme="minorEastAsia" w:hAnsiTheme="minorEastAsia" w:eastAsiaTheme="minorEastAsia"/>
          <w:sz w:val="24"/>
          <w:szCs w:val="24"/>
          <w:highlight w:val="none"/>
          <w:lang w:eastAsia="zh-CN"/>
        </w:rPr>
        <w:t>集群连接，标配</w:t>
      </w:r>
      <w:r>
        <w:rPr>
          <w:rFonts w:asciiTheme="minorEastAsia" w:hAnsiTheme="minorEastAsia" w:eastAsiaTheme="minorEastAsia"/>
          <w:sz w:val="24"/>
          <w:szCs w:val="24"/>
          <w:highlight w:val="none"/>
          <w:lang w:eastAsia="zh-CN"/>
        </w:rPr>
        <w:t>240W</w:t>
      </w:r>
      <w:r>
        <w:rPr>
          <w:rFonts w:hint="eastAsia" w:cs="微软雅黑" w:asciiTheme="minorEastAsia" w:hAnsiTheme="minorEastAsia" w:eastAsiaTheme="minorEastAsia"/>
          <w:sz w:val="24"/>
          <w:szCs w:val="24"/>
          <w:highlight w:val="none"/>
          <w:lang w:eastAsia="zh-CN"/>
        </w:rPr>
        <w:t>外置电源适配器供电</w:t>
      </w:r>
    </w:p>
    <w:p w14:paraId="469DD56F">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2</w:t>
      </w:r>
      <w:r>
        <w:rPr>
          <w:rFonts w:cs="微软雅黑" w:asciiTheme="minorEastAsia" w:hAnsiTheme="minorEastAsia" w:eastAsiaTheme="minorEastAsia"/>
          <w:b/>
          <w:sz w:val="24"/>
          <w:szCs w:val="24"/>
          <w:highlight w:val="none"/>
          <w:lang w:eastAsia="zh-CN"/>
        </w:rPr>
        <w:t>、</w:t>
      </w:r>
      <w:r>
        <w:rPr>
          <w:rFonts w:hint="eastAsia" w:cs="微软雅黑" w:asciiTheme="minorEastAsia" w:hAnsiTheme="minorEastAsia" w:eastAsiaTheme="minorEastAsia"/>
          <w:b/>
          <w:sz w:val="24"/>
          <w:szCs w:val="24"/>
          <w:highlight w:val="none"/>
          <w:lang w:eastAsia="zh-CN"/>
        </w:rPr>
        <w:t xml:space="preserve"> </w:t>
      </w:r>
      <w:r>
        <w:rPr>
          <w:rFonts w:cs="微软雅黑" w:asciiTheme="minorEastAsia" w:hAnsiTheme="minorEastAsia" w:eastAsiaTheme="minorEastAsia"/>
          <w:b/>
          <w:sz w:val="24"/>
          <w:szCs w:val="24"/>
          <w:highlight w:val="none"/>
          <w:lang w:eastAsia="zh-CN"/>
        </w:rPr>
        <w:t>AI硬件终端适配</w:t>
      </w:r>
      <w:r>
        <w:rPr>
          <w:rFonts w:hint="eastAsia" w:cs="微软雅黑" w:asciiTheme="minorEastAsia" w:hAnsiTheme="minorEastAsia" w:eastAsiaTheme="minorEastAsia"/>
          <w:b/>
          <w:sz w:val="24"/>
          <w:szCs w:val="24"/>
          <w:highlight w:val="none"/>
          <w:lang w:eastAsia="zh-CN"/>
        </w:rPr>
        <w:t>2</w:t>
      </w:r>
    </w:p>
    <w:p w14:paraId="3011D3A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asciiTheme="minorEastAsia" w:hAnsiTheme="minorEastAsia" w:eastAsiaTheme="minorEastAsia"/>
          <w:sz w:val="24"/>
          <w:szCs w:val="24"/>
          <w:highlight w:val="none"/>
          <w:lang w:eastAsia="zh-CN"/>
        </w:rPr>
        <w:t>CPU</w:t>
      </w:r>
      <w:r>
        <w:rPr>
          <w:rFonts w:hint="eastAsia" w:cs="微软雅黑" w:asciiTheme="minorEastAsia" w:hAnsiTheme="minorEastAsia" w:eastAsiaTheme="minorEastAsia"/>
          <w:sz w:val="24"/>
          <w:szCs w:val="24"/>
          <w:highlight w:val="none"/>
          <w:lang w:eastAsia="zh-CN"/>
        </w:rPr>
        <w:t>不低于</w:t>
      </w:r>
      <w:r>
        <w:rPr>
          <w:rFonts w:asciiTheme="minorEastAsia" w:hAnsiTheme="minorEastAsia" w:eastAsiaTheme="minorEastAsia"/>
          <w:sz w:val="24"/>
          <w:szCs w:val="24"/>
          <w:highlight w:val="none"/>
          <w:lang w:eastAsia="zh-CN"/>
        </w:rPr>
        <w:t>20</w:t>
      </w:r>
      <w:r>
        <w:rPr>
          <w:rFonts w:hint="eastAsia" w:cs="微软雅黑" w:asciiTheme="minorEastAsia" w:hAnsiTheme="minorEastAsia" w:eastAsiaTheme="minorEastAsia"/>
          <w:sz w:val="24"/>
          <w:szCs w:val="24"/>
          <w:highlight w:val="none"/>
          <w:lang w:eastAsia="zh-CN"/>
        </w:rPr>
        <w:t>核</w:t>
      </w:r>
      <w:r>
        <w:rPr>
          <w:rFonts w:asciiTheme="minorEastAsia" w:hAnsiTheme="minorEastAsia" w:eastAsiaTheme="minorEastAsia"/>
          <w:sz w:val="24"/>
          <w:szCs w:val="24"/>
          <w:highlight w:val="none"/>
          <w:lang w:eastAsia="zh-CN"/>
        </w:rPr>
        <w:t>ARM</w:t>
      </w:r>
      <w:r>
        <w:rPr>
          <w:rFonts w:hint="eastAsia" w:cs="微软雅黑" w:asciiTheme="minorEastAsia" w:hAnsiTheme="minorEastAsia" w:eastAsiaTheme="minorEastAsia"/>
          <w:sz w:val="24"/>
          <w:szCs w:val="24"/>
          <w:highlight w:val="none"/>
          <w:lang w:eastAsia="zh-CN"/>
        </w:rPr>
        <w:t>，内存</w:t>
      </w:r>
      <w:r>
        <w:rPr>
          <w:rFonts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显存不低于</w:t>
      </w:r>
      <w:r>
        <w:rPr>
          <w:rFonts w:asciiTheme="minorEastAsia" w:hAnsiTheme="minorEastAsia" w:eastAsiaTheme="minorEastAsia"/>
          <w:sz w:val="24"/>
          <w:szCs w:val="24"/>
          <w:highlight w:val="none"/>
          <w:lang w:eastAsia="zh-CN"/>
        </w:rPr>
        <w:t>128G</w:t>
      </w:r>
      <w:r>
        <w:rPr>
          <w:rFonts w:hint="eastAsia" w:cs="微软雅黑" w:asciiTheme="minorEastAsia" w:hAnsiTheme="minorEastAsia" w:eastAsiaTheme="minorEastAsia"/>
          <w:sz w:val="24"/>
          <w:szCs w:val="24"/>
          <w:highlight w:val="none"/>
          <w:lang w:eastAsia="zh-CN"/>
        </w:rPr>
        <w:t>，算力不低于</w:t>
      </w:r>
      <w:r>
        <w:rPr>
          <w:rFonts w:asciiTheme="minorEastAsia" w:hAnsiTheme="minorEastAsia" w:eastAsiaTheme="minorEastAsia"/>
          <w:sz w:val="24"/>
          <w:szCs w:val="24"/>
          <w:highlight w:val="none"/>
          <w:lang w:eastAsia="zh-CN"/>
        </w:rPr>
        <w:t>1000TOPS</w:t>
      </w: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 xml:space="preserve">4TB NVMe M.2 </w:t>
      </w:r>
      <w:r>
        <w:rPr>
          <w:rFonts w:hint="eastAsia" w:cs="微软雅黑" w:asciiTheme="minorEastAsia" w:hAnsiTheme="minorEastAsia" w:eastAsiaTheme="minorEastAsia"/>
          <w:sz w:val="24"/>
          <w:szCs w:val="24"/>
          <w:highlight w:val="none"/>
          <w:lang w:eastAsia="zh-CN"/>
        </w:rPr>
        <w:t>固态硬盘，网卡支持</w:t>
      </w:r>
      <w:r>
        <w:rPr>
          <w:rFonts w:asciiTheme="minorEastAsia" w:hAnsiTheme="minorEastAsia" w:eastAsiaTheme="minorEastAsia"/>
          <w:sz w:val="24"/>
          <w:szCs w:val="24"/>
          <w:highlight w:val="none"/>
          <w:lang w:eastAsia="zh-CN"/>
        </w:rPr>
        <w:t>10GbE</w:t>
      </w:r>
      <w:r>
        <w:rPr>
          <w:rFonts w:hint="eastAsia" w:cs="微软雅黑" w:asciiTheme="minorEastAsia" w:hAnsiTheme="minorEastAsia" w:eastAsiaTheme="minorEastAsia"/>
          <w:sz w:val="24"/>
          <w:szCs w:val="24"/>
          <w:highlight w:val="none"/>
          <w:lang w:eastAsia="zh-CN"/>
        </w:rPr>
        <w:t>以太网和</w:t>
      </w:r>
      <w:r>
        <w:rPr>
          <w:rFonts w:asciiTheme="minorEastAsia" w:hAnsiTheme="minorEastAsia" w:eastAsiaTheme="minorEastAsia"/>
          <w:sz w:val="24"/>
          <w:szCs w:val="24"/>
          <w:highlight w:val="none"/>
          <w:lang w:eastAsia="zh-CN"/>
        </w:rPr>
        <w:t>200GbE RDMA</w:t>
      </w:r>
      <w:r>
        <w:rPr>
          <w:rFonts w:hint="eastAsia" w:cs="微软雅黑" w:asciiTheme="minorEastAsia" w:hAnsiTheme="minorEastAsia" w:eastAsiaTheme="minorEastAsia"/>
          <w:sz w:val="24"/>
          <w:szCs w:val="24"/>
          <w:highlight w:val="none"/>
          <w:lang w:eastAsia="zh-CN"/>
        </w:rPr>
        <w:t>集群连接，标配</w:t>
      </w:r>
      <w:r>
        <w:rPr>
          <w:rFonts w:asciiTheme="minorEastAsia" w:hAnsiTheme="minorEastAsia" w:eastAsiaTheme="minorEastAsia"/>
          <w:sz w:val="24"/>
          <w:szCs w:val="24"/>
          <w:highlight w:val="none"/>
          <w:lang w:eastAsia="zh-CN"/>
        </w:rPr>
        <w:t>240W</w:t>
      </w:r>
      <w:r>
        <w:rPr>
          <w:rFonts w:hint="eastAsia" w:cs="微软雅黑" w:asciiTheme="minorEastAsia" w:hAnsiTheme="minorEastAsia" w:eastAsiaTheme="minorEastAsia"/>
          <w:sz w:val="24"/>
          <w:szCs w:val="24"/>
          <w:highlight w:val="none"/>
          <w:lang w:eastAsia="zh-CN"/>
        </w:rPr>
        <w:t>外置电源适配器供电</w:t>
      </w:r>
    </w:p>
    <w:p w14:paraId="36F1565B">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3、</w:t>
      </w:r>
      <w:r>
        <w:rPr>
          <w:rFonts w:cs="微软雅黑" w:asciiTheme="minorEastAsia" w:hAnsiTheme="minorEastAsia" w:eastAsiaTheme="minorEastAsia"/>
          <w:b/>
          <w:sz w:val="24"/>
          <w:szCs w:val="24"/>
          <w:highlight w:val="none"/>
          <w:lang w:eastAsia="zh-CN"/>
        </w:rPr>
        <w:t>北斗4G全网通车载定位终端</w:t>
      </w:r>
    </w:p>
    <w:p w14:paraId="638AACB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cs="微软雅黑"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）工作电压：</w:t>
      </w:r>
      <w:r>
        <w:rPr>
          <w:rFonts w:asciiTheme="minorEastAsia" w:hAnsiTheme="minorEastAsia" w:eastAsiaTheme="minorEastAsia"/>
          <w:sz w:val="24"/>
          <w:szCs w:val="24"/>
          <w:highlight w:val="none"/>
          <w:lang w:eastAsia="zh-CN"/>
        </w:rPr>
        <w:t>DC9V</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36V</w:t>
      </w:r>
    </w:p>
    <w:p w14:paraId="5A1193AB">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（2）定位天线：高灵敏度北斗专用外接天线</w:t>
      </w:r>
    </w:p>
    <w:p w14:paraId="6F5AEC1F">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（3）定位模块：北斗单模</w:t>
      </w:r>
    </w:p>
    <w:p w14:paraId="0E215BC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（4）灵敏度：不高于</w:t>
      </w:r>
      <w:r>
        <w:rPr>
          <w:rFonts w:asciiTheme="minorEastAsia" w:hAnsiTheme="minorEastAsia" w:eastAsiaTheme="minorEastAsia"/>
          <w:sz w:val="24"/>
          <w:szCs w:val="24"/>
          <w:highlight w:val="none"/>
          <w:lang w:eastAsia="zh-CN"/>
        </w:rPr>
        <w:t>-165DBM</w:t>
      </w:r>
    </w:p>
    <w:p w14:paraId="30CA6DCF">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（5）定位精度：误差</w:t>
      </w:r>
      <w:r>
        <w:rPr>
          <w:rFonts w:asciiTheme="minorEastAsia" w:hAnsiTheme="minorEastAsia" w:eastAsiaTheme="minorEastAsia"/>
          <w:sz w:val="24"/>
          <w:szCs w:val="24"/>
          <w:highlight w:val="none"/>
          <w:lang w:eastAsia="zh-CN"/>
        </w:rPr>
        <w:t>3</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5M</w:t>
      </w:r>
    </w:p>
    <w:p w14:paraId="60E35E7C">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4、</w:t>
      </w:r>
      <w:r>
        <w:rPr>
          <w:rFonts w:cs="微软雅黑" w:asciiTheme="minorEastAsia" w:hAnsiTheme="minorEastAsia" w:eastAsiaTheme="minorEastAsia"/>
          <w:b/>
          <w:sz w:val="24"/>
          <w:szCs w:val="24"/>
          <w:highlight w:val="none"/>
          <w:lang w:eastAsia="zh-CN"/>
        </w:rPr>
        <w:t>安全认证网关</w:t>
      </w:r>
    </w:p>
    <w:p w14:paraId="0DACB568">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标准机架式，不少于</w:t>
      </w:r>
      <w:r>
        <w:rPr>
          <w:rFonts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个千兆口，国芯</w:t>
      </w:r>
      <w:r>
        <w:rPr>
          <w:rFonts w:asciiTheme="minorEastAsia" w:hAnsiTheme="minorEastAsia" w:eastAsiaTheme="minorEastAsia"/>
          <w:sz w:val="24"/>
          <w:szCs w:val="24"/>
          <w:highlight w:val="none"/>
          <w:lang w:eastAsia="zh-CN"/>
        </w:rPr>
        <w:t>SJK19121-G</w:t>
      </w:r>
      <w:r>
        <w:rPr>
          <w:rFonts w:hint="eastAsia" w:cs="微软雅黑" w:asciiTheme="minorEastAsia" w:hAnsiTheme="minorEastAsia" w:eastAsiaTheme="minorEastAsia"/>
          <w:sz w:val="24"/>
          <w:szCs w:val="24"/>
          <w:highlight w:val="none"/>
          <w:lang w:eastAsia="zh-CN"/>
        </w:rPr>
        <w:t>加密卡，最大新建连接数</w:t>
      </w:r>
      <w:r>
        <w:rPr>
          <w:rFonts w:asciiTheme="minorEastAsia" w:hAnsiTheme="minorEastAsia" w:eastAsiaTheme="minorEastAsia"/>
          <w:sz w:val="24"/>
          <w:szCs w:val="24"/>
          <w:highlight w:val="none"/>
          <w:lang w:eastAsia="zh-CN"/>
        </w:rPr>
        <w:t>(RSA 2048</w:t>
      </w:r>
      <w:r>
        <w:rPr>
          <w:rFonts w:hint="eastAsia" w:cs="微软雅黑" w:asciiTheme="minorEastAsia" w:hAnsiTheme="minorEastAsia" w:eastAsiaTheme="minorEastAsia"/>
          <w:sz w:val="24"/>
          <w:szCs w:val="24"/>
          <w:highlight w:val="none"/>
          <w:lang w:eastAsia="zh-CN"/>
        </w:rPr>
        <w:t>位</w:t>
      </w:r>
      <w:r>
        <w:rPr>
          <w:rFonts w:asciiTheme="minorEastAsia" w:hAnsiTheme="minorEastAsia" w:eastAsiaTheme="minorEastAsia"/>
          <w:sz w:val="24"/>
          <w:szCs w:val="24"/>
          <w:highlight w:val="none"/>
          <w:lang w:eastAsia="zh-CN"/>
        </w:rPr>
        <w:t>)≥4000</w:t>
      </w:r>
      <w:r>
        <w:rPr>
          <w:rFonts w:hint="eastAsia" w:cs="微软雅黑" w:asciiTheme="minorEastAsia" w:hAnsiTheme="minorEastAsia" w:eastAsiaTheme="minorEastAsia"/>
          <w:sz w:val="24"/>
          <w:szCs w:val="24"/>
          <w:highlight w:val="none"/>
          <w:lang w:eastAsia="zh-CN"/>
        </w:rPr>
        <w:t>次</w:t>
      </w:r>
      <w:r>
        <w:rPr>
          <w:rFonts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秒，最大新建连接数</w:t>
      </w:r>
      <w:r>
        <w:rPr>
          <w:rFonts w:asciiTheme="minorEastAsia" w:hAnsiTheme="minorEastAsia" w:eastAsiaTheme="minorEastAsia"/>
          <w:sz w:val="24"/>
          <w:szCs w:val="24"/>
          <w:highlight w:val="none"/>
          <w:lang w:eastAsia="zh-CN"/>
        </w:rPr>
        <w:t>(SM2 256</w:t>
      </w:r>
      <w:r>
        <w:rPr>
          <w:rFonts w:hint="eastAsia" w:cs="微软雅黑" w:asciiTheme="minorEastAsia" w:hAnsiTheme="minorEastAsia" w:eastAsiaTheme="minorEastAsia"/>
          <w:sz w:val="24"/>
          <w:szCs w:val="24"/>
          <w:highlight w:val="none"/>
          <w:lang w:eastAsia="zh-CN"/>
        </w:rPr>
        <w:t>位</w:t>
      </w:r>
      <w:r>
        <w:rPr>
          <w:rFonts w:asciiTheme="minorEastAsia" w:hAnsiTheme="minorEastAsia" w:eastAsiaTheme="minorEastAsia"/>
          <w:sz w:val="24"/>
          <w:szCs w:val="24"/>
          <w:highlight w:val="none"/>
          <w:lang w:eastAsia="zh-CN"/>
        </w:rPr>
        <w:t>≥4000</w:t>
      </w:r>
      <w:r>
        <w:rPr>
          <w:rFonts w:hint="eastAsia" w:cs="微软雅黑" w:asciiTheme="minorEastAsia" w:hAnsiTheme="minorEastAsia" w:eastAsiaTheme="minorEastAsia"/>
          <w:sz w:val="24"/>
          <w:szCs w:val="24"/>
          <w:highlight w:val="none"/>
          <w:lang w:eastAsia="zh-CN"/>
        </w:rPr>
        <w:t>次</w:t>
      </w:r>
      <w:r>
        <w:rPr>
          <w:rFonts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秒，最大新建连接数</w:t>
      </w:r>
      <w:r>
        <w:rPr>
          <w:rFonts w:asciiTheme="minorEastAsia" w:hAnsiTheme="minorEastAsia" w:eastAsiaTheme="minorEastAsia"/>
          <w:sz w:val="24"/>
          <w:szCs w:val="24"/>
          <w:highlight w:val="none"/>
          <w:lang w:eastAsia="zh-CN"/>
        </w:rPr>
        <w:t>≥100000</w:t>
      </w:r>
      <w:r>
        <w:rPr>
          <w:rFonts w:hint="eastAsia" w:cs="微软雅黑" w:asciiTheme="minorEastAsia" w:hAnsiTheme="minorEastAsia" w:eastAsiaTheme="minorEastAsia"/>
          <w:sz w:val="24"/>
          <w:szCs w:val="24"/>
          <w:highlight w:val="none"/>
          <w:lang w:eastAsia="zh-CN"/>
        </w:rPr>
        <w:t>，最大流量</w:t>
      </w:r>
      <w:r>
        <w:rPr>
          <w:rFonts w:asciiTheme="minorEastAsia" w:hAnsiTheme="minorEastAsia" w:eastAsiaTheme="minorEastAsia"/>
          <w:sz w:val="24"/>
          <w:szCs w:val="24"/>
          <w:highlight w:val="none"/>
          <w:lang w:eastAsia="zh-CN"/>
        </w:rPr>
        <w:t>≥800Mbps</w:t>
      </w:r>
    </w:p>
    <w:p w14:paraId="35B82203">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5、</w:t>
      </w:r>
      <w:r>
        <w:rPr>
          <w:rFonts w:cs="微软雅黑" w:asciiTheme="minorEastAsia" w:hAnsiTheme="minorEastAsia" w:eastAsiaTheme="minorEastAsia"/>
          <w:b/>
          <w:sz w:val="24"/>
          <w:szCs w:val="24"/>
          <w:highlight w:val="none"/>
          <w:lang w:eastAsia="zh-CN"/>
        </w:rPr>
        <w:t>超员检测一体机</w:t>
      </w:r>
    </w:p>
    <w:p w14:paraId="73FD8EA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（1）一体化设计，内置摄像机、补光灯、存储终端服务器等设备，安装调试方便，稳定性好；</w:t>
      </w:r>
    </w:p>
    <w:p w14:paraId="61567408">
      <w:pPr>
        <w:pStyle w:val="201"/>
        <w:spacing w:line="480" w:lineRule="exact"/>
        <w:ind w:firstLine="480" w:firstLineChars="200"/>
        <w:rPr>
          <w:rFonts w:hint="eastAsia" w:cs="微软雅黑"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（2）</w:t>
      </w:r>
      <w:r>
        <w:rPr>
          <w:rFonts w:hint="eastAsia" w:cs="微软雅黑" w:asciiTheme="minorEastAsia" w:hAnsiTheme="minorEastAsia" w:eastAsiaTheme="minorEastAsia"/>
          <w:sz w:val="24"/>
          <w:szCs w:val="24"/>
          <w:highlight w:val="none"/>
          <w:lang w:eastAsia="zh-CN"/>
        </w:rPr>
        <w:t>摄像机技术参数要求：</w:t>
      </w:r>
    </w:p>
    <w:p w14:paraId="4CAE4F51">
      <w:pPr>
        <w:pStyle w:val="201"/>
        <w:numPr>
          <w:ilvl w:val="0"/>
          <w:numId w:val="2"/>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sz w:val="24"/>
          <w:szCs w:val="24"/>
          <w:highlight w:val="none"/>
          <w:lang w:eastAsia="zh-CN"/>
        </w:rPr>
        <w:t>不低于</w:t>
      </w:r>
      <w:r>
        <w:rPr>
          <w:rFonts w:hint="eastAsia" w:asciiTheme="minorEastAsia" w:hAnsiTheme="minorEastAsia" w:eastAsiaTheme="minorEastAsia"/>
          <w:sz w:val="24"/>
          <w:szCs w:val="24"/>
          <w:highlight w:val="none"/>
          <w:lang w:eastAsia="zh-CN"/>
        </w:rPr>
        <w:t>2/3</w:t>
      </w:r>
      <w:r>
        <w:rPr>
          <w:rFonts w:hint="eastAsia" w:cs="微软雅黑" w:asciiTheme="minorEastAsia" w:hAnsiTheme="minorEastAsia" w:eastAsiaTheme="minorEastAsia"/>
          <w:sz w:val="24"/>
          <w:szCs w:val="24"/>
          <w:highlight w:val="none"/>
          <w:lang w:eastAsia="zh-CN"/>
        </w:rPr>
        <w:t>英寸</w:t>
      </w:r>
      <w:r>
        <w:rPr>
          <w:rFonts w:hint="eastAsia" w:asciiTheme="minorEastAsia" w:hAnsiTheme="minorEastAsia" w:eastAsiaTheme="minorEastAsia"/>
          <w:sz w:val="24"/>
          <w:szCs w:val="24"/>
          <w:highlight w:val="none"/>
          <w:lang w:eastAsia="zh-CN"/>
        </w:rPr>
        <w:t>500</w:t>
      </w:r>
      <w:r>
        <w:rPr>
          <w:rFonts w:hint="eastAsia" w:cs="微软雅黑" w:asciiTheme="minorEastAsia" w:hAnsiTheme="minorEastAsia" w:eastAsiaTheme="minorEastAsia"/>
          <w:sz w:val="24"/>
          <w:szCs w:val="24"/>
          <w:highlight w:val="none"/>
          <w:lang w:eastAsia="zh-CN"/>
        </w:rPr>
        <w:t>万像素高帧率彩色全局曝光</w:t>
      </w:r>
      <w:r>
        <w:rPr>
          <w:rFonts w:hint="eastAsia" w:asciiTheme="minorEastAsia" w:hAnsiTheme="minorEastAsia" w:eastAsiaTheme="minorEastAsia"/>
          <w:sz w:val="24"/>
          <w:szCs w:val="24"/>
          <w:highlight w:val="none"/>
          <w:lang w:eastAsia="zh-CN"/>
        </w:rPr>
        <w:t>CMOS</w:t>
      </w:r>
      <w:r>
        <w:rPr>
          <w:rFonts w:hint="eastAsia" w:cs="微软雅黑" w:asciiTheme="minorEastAsia" w:hAnsiTheme="minorEastAsia" w:eastAsiaTheme="minorEastAsia"/>
          <w:sz w:val="24"/>
          <w:szCs w:val="24"/>
          <w:highlight w:val="none"/>
          <w:lang w:eastAsia="zh-CN"/>
        </w:rPr>
        <w:t>高清智能摄像机，最大分辨率不小于</w:t>
      </w:r>
      <w:r>
        <w:rPr>
          <w:rFonts w:hint="eastAsia" w:asciiTheme="minorEastAsia" w:hAnsiTheme="minorEastAsia" w:eastAsiaTheme="minorEastAsia"/>
          <w:sz w:val="24"/>
          <w:szCs w:val="24"/>
          <w:highlight w:val="none"/>
          <w:lang w:eastAsia="zh-CN"/>
        </w:rPr>
        <w:t>2448*2048</w:t>
      </w:r>
      <w:r>
        <w:rPr>
          <w:rFonts w:hint="eastAsia" w:cs="微软雅黑" w:asciiTheme="minorEastAsia" w:hAnsiTheme="minorEastAsia" w:eastAsiaTheme="minorEastAsia"/>
          <w:sz w:val="24"/>
          <w:szCs w:val="24"/>
          <w:highlight w:val="none"/>
          <w:lang w:eastAsia="zh-CN"/>
        </w:rPr>
        <w:t>；</w:t>
      </w:r>
    </w:p>
    <w:p w14:paraId="5625AC4B">
      <w:pPr>
        <w:pStyle w:val="201"/>
        <w:numPr>
          <w:ilvl w:val="0"/>
          <w:numId w:val="2"/>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视频采用</w:t>
      </w:r>
      <w:r>
        <w:rPr>
          <w:rFonts w:hint="eastAsia" w:asciiTheme="minorEastAsia" w:hAnsiTheme="minorEastAsia" w:eastAsiaTheme="minorEastAsia"/>
          <w:sz w:val="24"/>
          <w:szCs w:val="24"/>
          <w:highlight w:val="none"/>
          <w:lang w:eastAsia="zh-CN"/>
        </w:rPr>
        <w:t>H.265</w:t>
      </w:r>
      <w:r>
        <w:rPr>
          <w:rFonts w:hint="eastAsia" w:cs="微软雅黑"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H.264</w:t>
      </w:r>
      <w:r>
        <w:rPr>
          <w:rFonts w:hint="eastAsia" w:cs="微软雅黑" w:asciiTheme="minorEastAsia" w:hAnsiTheme="minorEastAsia" w:eastAsiaTheme="minorEastAsia"/>
          <w:sz w:val="24"/>
          <w:szCs w:val="24"/>
          <w:highlight w:val="none"/>
          <w:lang w:eastAsia="zh-CN"/>
        </w:rPr>
        <w:t>或</w:t>
      </w:r>
      <w:r>
        <w:rPr>
          <w:rFonts w:hint="eastAsia" w:asciiTheme="minorEastAsia" w:hAnsiTheme="minorEastAsia" w:eastAsiaTheme="minorEastAsia"/>
          <w:sz w:val="24"/>
          <w:szCs w:val="24"/>
          <w:highlight w:val="none"/>
          <w:lang w:eastAsia="zh-CN"/>
        </w:rPr>
        <w:t>MJPEG</w:t>
      </w:r>
      <w:r>
        <w:rPr>
          <w:rFonts w:hint="eastAsia" w:cs="微软雅黑" w:asciiTheme="minorEastAsia" w:hAnsiTheme="minorEastAsia" w:eastAsiaTheme="minorEastAsia"/>
          <w:sz w:val="24"/>
          <w:szCs w:val="24"/>
          <w:highlight w:val="none"/>
          <w:lang w:eastAsia="zh-CN"/>
        </w:rPr>
        <w:t>编码；</w:t>
      </w:r>
    </w:p>
    <w:p w14:paraId="7E4F993A">
      <w:pPr>
        <w:pStyle w:val="201"/>
        <w:numPr>
          <w:ilvl w:val="0"/>
          <w:numId w:val="2"/>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sz w:val="24"/>
          <w:szCs w:val="24"/>
          <w:highlight w:val="none"/>
          <w:lang w:eastAsia="zh-CN"/>
        </w:rPr>
        <w:t>需支持深度学习算法识别车辆乘员数，支持超员检测及抓拍；</w:t>
      </w:r>
    </w:p>
    <w:p w14:paraId="4EB63A0F">
      <w:pPr>
        <w:pStyle w:val="201"/>
        <w:spacing w:line="480" w:lineRule="exact"/>
        <w:ind w:firstLine="480" w:firstLineChars="200"/>
        <w:rPr>
          <w:rFonts w:hint="eastAsia" w:asciiTheme="minorEastAsia" w:hAnsiTheme="minorEastAsia" w:eastAsiaTheme="minorEastAsia"/>
          <w:bCs/>
          <w:sz w:val="24"/>
          <w:szCs w:val="24"/>
          <w:highlight w:val="none"/>
          <w:lang w:eastAsia="zh-CN"/>
        </w:rPr>
      </w:pPr>
      <w:r>
        <w:rPr>
          <w:rFonts w:hint="eastAsia" w:asciiTheme="minorEastAsia" w:hAnsiTheme="minorEastAsia" w:eastAsiaTheme="minorEastAsia"/>
          <w:bCs/>
          <w:sz w:val="24"/>
          <w:szCs w:val="24"/>
          <w:highlight w:val="none"/>
          <w:lang w:eastAsia="zh-CN"/>
        </w:rPr>
        <w:t>（3）存储终端服务器</w:t>
      </w:r>
      <w:r>
        <w:rPr>
          <w:rFonts w:hint="eastAsia" w:cs="微软雅黑" w:asciiTheme="minorEastAsia" w:hAnsiTheme="minorEastAsia" w:eastAsiaTheme="minorEastAsia"/>
          <w:sz w:val="24"/>
          <w:szCs w:val="24"/>
          <w:highlight w:val="none"/>
          <w:lang w:eastAsia="zh-CN"/>
        </w:rPr>
        <w:t>技术参数要求</w:t>
      </w:r>
      <w:r>
        <w:rPr>
          <w:rFonts w:hint="eastAsia" w:asciiTheme="minorEastAsia" w:hAnsiTheme="minorEastAsia" w:eastAsiaTheme="minorEastAsia"/>
          <w:bCs/>
          <w:sz w:val="24"/>
          <w:szCs w:val="24"/>
          <w:highlight w:val="none"/>
          <w:lang w:eastAsia="zh-CN"/>
        </w:rPr>
        <w:t>：</w:t>
      </w:r>
    </w:p>
    <w:p w14:paraId="3FDE322F">
      <w:pPr>
        <w:pStyle w:val="201"/>
        <w:numPr>
          <w:ilvl w:val="0"/>
          <w:numId w:val="3"/>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支持远程数据上传，</w:t>
      </w:r>
      <w:r>
        <w:rPr>
          <w:rFonts w:hint="eastAsia" w:asciiTheme="minorEastAsia" w:hAnsiTheme="minorEastAsia" w:eastAsiaTheme="minorEastAsia"/>
          <w:sz w:val="24"/>
          <w:szCs w:val="24"/>
          <w:highlight w:val="none"/>
          <w:lang w:eastAsia="zh-CN"/>
        </w:rPr>
        <w:t>GB/T 28181-2016</w:t>
      </w:r>
      <w:r>
        <w:rPr>
          <w:rFonts w:hint="eastAsia" w:cs="微软雅黑" w:asciiTheme="minorEastAsia" w:hAnsiTheme="minorEastAsia" w:eastAsiaTheme="minorEastAsia"/>
          <w:sz w:val="24"/>
          <w:szCs w:val="24"/>
          <w:highlight w:val="none"/>
          <w:lang w:eastAsia="zh-CN"/>
        </w:rPr>
        <w:t>视频联网标准、</w:t>
      </w:r>
      <w:r>
        <w:rPr>
          <w:rFonts w:hint="eastAsia" w:asciiTheme="minorEastAsia" w:hAnsiTheme="minorEastAsia" w:eastAsiaTheme="minorEastAsia"/>
          <w:sz w:val="24"/>
          <w:szCs w:val="24"/>
          <w:highlight w:val="none"/>
          <w:lang w:eastAsia="zh-CN"/>
        </w:rPr>
        <w:t>GA/T 1400</w:t>
      </w:r>
      <w:r>
        <w:rPr>
          <w:rFonts w:hint="eastAsia" w:cs="微软雅黑" w:asciiTheme="minorEastAsia" w:hAnsiTheme="minorEastAsia" w:eastAsiaTheme="minorEastAsia"/>
          <w:sz w:val="24"/>
          <w:szCs w:val="24"/>
          <w:highlight w:val="none"/>
          <w:lang w:eastAsia="zh-CN"/>
        </w:rPr>
        <w:t>视图库标准、</w:t>
      </w:r>
      <w:r>
        <w:rPr>
          <w:rFonts w:hint="eastAsia" w:asciiTheme="minorEastAsia" w:hAnsiTheme="minorEastAsia" w:eastAsiaTheme="minorEastAsia"/>
          <w:sz w:val="24"/>
          <w:szCs w:val="24"/>
          <w:highlight w:val="none"/>
          <w:lang w:eastAsia="zh-CN"/>
        </w:rPr>
        <w:t>FTP</w:t>
      </w:r>
      <w:r>
        <w:rPr>
          <w:rFonts w:hint="eastAsia" w:cs="微软雅黑" w:asciiTheme="minorEastAsia" w:hAnsiTheme="minorEastAsia" w:eastAsiaTheme="minorEastAsia"/>
          <w:sz w:val="24"/>
          <w:szCs w:val="24"/>
          <w:highlight w:val="none"/>
          <w:lang w:eastAsia="zh-CN"/>
        </w:rPr>
        <w:t>协议；</w:t>
      </w:r>
    </w:p>
    <w:p w14:paraId="4A37FBA8">
      <w:pPr>
        <w:pStyle w:val="201"/>
        <w:numPr>
          <w:ilvl w:val="0"/>
          <w:numId w:val="3"/>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支持不少于</w:t>
      </w:r>
      <w:r>
        <w:rPr>
          <w:rFonts w:hint="eastAsia" w:asciiTheme="minorEastAsia" w:hAnsiTheme="minorEastAsia" w:eastAsiaTheme="minorEastAsia"/>
          <w:sz w:val="24"/>
          <w:szCs w:val="24"/>
          <w:highlight w:val="none"/>
          <w:lang w:eastAsia="zh-CN"/>
        </w:rPr>
        <w:t>12</w:t>
      </w:r>
      <w:r>
        <w:rPr>
          <w:rFonts w:hint="eastAsia" w:cs="微软雅黑" w:asciiTheme="minorEastAsia" w:hAnsiTheme="minorEastAsia" w:eastAsiaTheme="minorEastAsia"/>
          <w:sz w:val="24"/>
          <w:szCs w:val="24"/>
          <w:highlight w:val="none"/>
          <w:lang w:eastAsia="zh-CN"/>
        </w:rPr>
        <w:t>个</w:t>
      </w:r>
      <w:r>
        <w:rPr>
          <w:rFonts w:hint="eastAsia" w:asciiTheme="minorEastAsia" w:hAnsiTheme="minorEastAsia" w:eastAsiaTheme="minorEastAsia"/>
          <w:sz w:val="24"/>
          <w:szCs w:val="24"/>
          <w:highlight w:val="none"/>
          <w:lang w:eastAsia="zh-CN"/>
        </w:rPr>
        <w:t>IP</w:t>
      </w:r>
      <w:r>
        <w:rPr>
          <w:rFonts w:hint="eastAsia" w:cs="微软雅黑" w:asciiTheme="minorEastAsia" w:hAnsiTheme="minorEastAsia" w:eastAsiaTheme="minorEastAsia"/>
          <w:sz w:val="24"/>
          <w:szCs w:val="24"/>
          <w:highlight w:val="none"/>
          <w:lang w:eastAsia="zh-CN"/>
        </w:rPr>
        <w:t>摄像机（单路码率</w:t>
      </w:r>
      <w:r>
        <w:rPr>
          <w:rFonts w:hint="eastAsia" w:asciiTheme="minorEastAsia" w:hAnsiTheme="minorEastAsia" w:eastAsiaTheme="minorEastAsia"/>
          <w:sz w:val="24"/>
          <w:szCs w:val="24"/>
          <w:highlight w:val="none"/>
          <w:lang w:eastAsia="zh-CN"/>
        </w:rPr>
        <w:t>10M</w:t>
      </w:r>
      <w:r>
        <w:rPr>
          <w:rFonts w:hint="eastAsia" w:cs="微软雅黑" w:asciiTheme="minorEastAsia" w:hAnsiTheme="minorEastAsia" w:eastAsiaTheme="minorEastAsia"/>
          <w:sz w:val="24"/>
          <w:szCs w:val="24"/>
          <w:highlight w:val="none"/>
          <w:lang w:eastAsia="zh-CN"/>
        </w:rPr>
        <w:t>）的过车记录存储、图片存储、视频存储、数据上传、视频流转发；</w:t>
      </w:r>
    </w:p>
    <w:p w14:paraId="60BE39EA">
      <w:pPr>
        <w:pStyle w:val="201"/>
        <w:numPr>
          <w:ilvl w:val="0"/>
          <w:numId w:val="3"/>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可混合接入普通监控用摄像机、智慧监控摄像机、卡口电子警察抓拍机、网络球机等多种前端设备；</w:t>
      </w:r>
    </w:p>
    <w:p w14:paraId="7CC0B6B2">
      <w:pPr>
        <w:pStyle w:val="201"/>
        <w:numPr>
          <w:ilvl w:val="0"/>
          <w:numId w:val="3"/>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坚固紧凑无风扇设计，体积小巧，适合在路边机柜及抱杆机柜使用，单面接口设计，更便于施工操作</w:t>
      </w:r>
    </w:p>
    <w:p w14:paraId="082DD210">
      <w:pPr>
        <w:pStyle w:val="201"/>
        <w:numPr>
          <w:ilvl w:val="0"/>
          <w:numId w:val="3"/>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支持不小于</w:t>
      </w:r>
      <w:r>
        <w:rPr>
          <w:rFonts w:hint="eastAsia" w:asciiTheme="minorEastAsia" w:hAnsiTheme="minorEastAsia" w:eastAsiaTheme="minorEastAsia"/>
          <w:sz w:val="24"/>
          <w:szCs w:val="24"/>
          <w:highlight w:val="none"/>
          <w:lang w:eastAsia="zh-CN"/>
        </w:rPr>
        <w:t>2TB</w:t>
      </w:r>
      <w:r>
        <w:rPr>
          <w:rFonts w:hint="eastAsia" w:cs="微软雅黑" w:asciiTheme="minorEastAsia" w:hAnsiTheme="minorEastAsia" w:eastAsiaTheme="minorEastAsia"/>
          <w:sz w:val="24"/>
          <w:szCs w:val="24"/>
          <w:highlight w:val="none"/>
          <w:lang w:eastAsia="zh-CN"/>
        </w:rPr>
        <w:t>硬盘存储，图片与录像可设置配额；</w:t>
      </w:r>
    </w:p>
    <w:p w14:paraId="60E06BFA">
      <w:pPr>
        <w:pStyle w:val="201"/>
        <w:spacing w:line="480" w:lineRule="exact"/>
        <w:ind w:firstLine="480" w:firstLineChars="200"/>
        <w:rPr>
          <w:rFonts w:hint="eastAsia" w:asciiTheme="minorEastAsia" w:hAnsiTheme="minorEastAsia" w:eastAsiaTheme="minorEastAsia"/>
          <w:bCs/>
          <w:sz w:val="24"/>
          <w:szCs w:val="24"/>
          <w:highlight w:val="none"/>
          <w:lang w:eastAsia="zh-CN"/>
        </w:rPr>
      </w:pPr>
      <w:r>
        <w:rPr>
          <w:rFonts w:hint="eastAsia" w:asciiTheme="minorEastAsia" w:hAnsiTheme="minorEastAsia" w:eastAsiaTheme="minorEastAsia"/>
          <w:bCs/>
          <w:sz w:val="24"/>
          <w:szCs w:val="24"/>
          <w:highlight w:val="none"/>
          <w:lang w:eastAsia="zh-CN"/>
        </w:rPr>
        <w:t>（4）补光灯</w:t>
      </w:r>
      <w:r>
        <w:rPr>
          <w:rFonts w:hint="eastAsia" w:cs="微软雅黑" w:asciiTheme="minorEastAsia" w:hAnsiTheme="minorEastAsia" w:eastAsiaTheme="minorEastAsia"/>
          <w:sz w:val="24"/>
          <w:szCs w:val="24"/>
          <w:highlight w:val="none"/>
          <w:lang w:eastAsia="zh-CN"/>
        </w:rPr>
        <w:t>技术参数要求</w:t>
      </w:r>
      <w:r>
        <w:rPr>
          <w:rFonts w:hint="eastAsia" w:asciiTheme="minorEastAsia" w:hAnsiTheme="minorEastAsia" w:eastAsiaTheme="minorEastAsia"/>
          <w:bCs/>
          <w:sz w:val="24"/>
          <w:szCs w:val="24"/>
          <w:highlight w:val="none"/>
          <w:lang w:eastAsia="zh-CN"/>
        </w:rPr>
        <w:t>：</w:t>
      </w:r>
    </w:p>
    <w:p w14:paraId="1C9B508E">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铝合金灯体，鳍片式散热结构，面罩采用特殊工艺的耐高温的</w:t>
      </w:r>
      <w:r>
        <w:rPr>
          <w:rFonts w:hint="eastAsia" w:asciiTheme="minorEastAsia" w:hAnsiTheme="minorEastAsia" w:eastAsiaTheme="minorEastAsia"/>
          <w:sz w:val="24"/>
          <w:szCs w:val="24"/>
          <w:highlight w:val="none"/>
          <w:lang w:eastAsia="zh-CN"/>
        </w:rPr>
        <w:t>PC</w:t>
      </w:r>
      <w:r>
        <w:rPr>
          <w:rFonts w:hint="eastAsia" w:cs="微软雅黑" w:asciiTheme="minorEastAsia" w:hAnsiTheme="minorEastAsia" w:eastAsiaTheme="minorEastAsia"/>
          <w:sz w:val="24"/>
          <w:szCs w:val="24"/>
          <w:highlight w:val="none"/>
          <w:lang w:eastAsia="zh-CN"/>
        </w:rPr>
        <w:t>材料，透光效果好；</w:t>
      </w:r>
    </w:p>
    <w:p w14:paraId="0D6E1F4C">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采用不少于</w:t>
      </w:r>
      <w:r>
        <w:rPr>
          <w:rFonts w:hint="eastAsia" w:asciiTheme="minorEastAsia" w:hAnsiTheme="minorEastAsia" w:eastAsiaTheme="minorEastAsia"/>
          <w:sz w:val="24"/>
          <w:szCs w:val="24"/>
          <w:highlight w:val="none"/>
          <w:lang w:eastAsia="zh-CN"/>
        </w:rPr>
        <w:t>24</w:t>
      </w:r>
      <w:r>
        <w:rPr>
          <w:rFonts w:hint="eastAsia" w:cs="微软雅黑" w:asciiTheme="minorEastAsia" w:hAnsiTheme="minorEastAsia" w:eastAsiaTheme="minorEastAsia"/>
          <w:sz w:val="24"/>
          <w:szCs w:val="24"/>
          <w:highlight w:val="none"/>
          <w:lang w:eastAsia="zh-CN"/>
        </w:rPr>
        <w:t>颗高亮度</w:t>
      </w:r>
      <w:r>
        <w:rPr>
          <w:rFonts w:hint="eastAsia"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w:t>
      </w:r>
    </w:p>
    <w:p w14:paraId="54B35391">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气体灯管采用氙气灯管；</w:t>
      </w:r>
    </w:p>
    <w:p w14:paraId="7E99BAE9">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气体光源回电时间小于</w:t>
      </w:r>
      <w:r>
        <w:rPr>
          <w:rFonts w:hint="eastAsia" w:asciiTheme="minorEastAsia" w:hAnsiTheme="minorEastAsia" w:eastAsiaTheme="minorEastAsia"/>
          <w:sz w:val="24"/>
          <w:szCs w:val="24"/>
          <w:highlight w:val="none"/>
          <w:lang w:eastAsia="zh-CN"/>
        </w:rPr>
        <w:t>67ms</w:t>
      </w:r>
      <w:r>
        <w:rPr>
          <w:rFonts w:hint="eastAsia" w:cs="微软雅黑" w:asciiTheme="minorEastAsia" w:hAnsiTheme="minorEastAsia" w:eastAsiaTheme="minorEastAsia"/>
          <w:sz w:val="24"/>
          <w:szCs w:val="24"/>
          <w:highlight w:val="none"/>
          <w:lang w:eastAsia="zh-CN"/>
        </w:rPr>
        <w:t>；</w:t>
      </w:r>
    </w:p>
    <w:p w14:paraId="6AA489A8">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气体补光控制具有峰值抑制功能；</w:t>
      </w:r>
    </w:p>
    <w:p w14:paraId="4541EC8A">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sz w:val="24"/>
          <w:szCs w:val="24"/>
          <w:highlight w:val="none"/>
          <w:lang w:eastAsia="zh-CN"/>
        </w:rPr>
        <w:t>支持</w:t>
      </w:r>
      <w:r>
        <w:rPr>
          <w:rFonts w:hint="eastAsia"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灯频闪、爆闪，气体爆闪；</w:t>
      </w:r>
    </w:p>
    <w:p w14:paraId="0D1C434D">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支持相机误触发保护功能，触发信号输入异常时自动保护、且自动恢复；</w:t>
      </w:r>
    </w:p>
    <w:p w14:paraId="104E9A4C">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不含有害金属铅、汞，绿色环保。</w:t>
      </w:r>
    </w:p>
    <w:p w14:paraId="3282075D">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6</w:t>
      </w:r>
      <w:r>
        <w:rPr>
          <w:rFonts w:cs="微软雅黑" w:asciiTheme="minorEastAsia" w:hAnsiTheme="minorEastAsia" w:eastAsiaTheme="minorEastAsia"/>
          <w:b/>
          <w:sz w:val="24"/>
          <w:szCs w:val="24"/>
          <w:highlight w:val="none"/>
          <w:lang w:eastAsia="zh-CN"/>
        </w:rPr>
        <w:t>、抓拍单元</w:t>
      </w:r>
    </w:p>
    <w:p w14:paraId="416145A4">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（1）▲</w:t>
      </w:r>
      <w:r>
        <w:rPr>
          <w:rFonts w:hint="eastAsia" w:cs="微软雅黑" w:asciiTheme="minorEastAsia" w:hAnsiTheme="minorEastAsia" w:eastAsiaTheme="minorEastAsia"/>
          <w:sz w:val="24"/>
          <w:szCs w:val="24"/>
          <w:highlight w:val="none"/>
          <w:lang w:eastAsia="zh-CN"/>
        </w:rPr>
        <w:t>内置摄像机采用不低于</w:t>
      </w:r>
      <w:r>
        <w:rPr>
          <w:rFonts w:hint="eastAsia" w:asciiTheme="minorEastAsia" w:hAnsiTheme="minorEastAsia" w:eastAsiaTheme="minorEastAsia"/>
          <w:sz w:val="24"/>
          <w:szCs w:val="24"/>
          <w:highlight w:val="none"/>
          <w:lang w:eastAsia="zh-CN"/>
        </w:rPr>
        <w:t>1.1</w:t>
      </w:r>
      <w:r>
        <w:rPr>
          <w:rFonts w:hint="eastAsia" w:cs="微软雅黑" w:asciiTheme="minorEastAsia" w:hAnsiTheme="minorEastAsia" w:eastAsiaTheme="minorEastAsia"/>
          <w:sz w:val="24"/>
          <w:szCs w:val="24"/>
          <w:highlight w:val="none"/>
          <w:lang w:eastAsia="zh-CN"/>
        </w:rPr>
        <w:t>英寸高帧率全局曝光</w:t>
      </w:r>
      <w:r>
        <w:rPr>
          <w:rFonts w:hint="eastAsia" w:asciiTheme="minorEastAsia" w:hAnsiTheme="minorEastAsia" w:eastAsiaTheme="minorEastAsia"/>
          <w:sz w:val="24"/>
          <w:szCs w:val="24"/>
          <w:highlight w:val="none"/>
          <w:lang w:eastAsia="zh-CN"/>
        </w:rPr>
        <w:t>CMOS</w:t>
      </w:r>
      <w:r>
        <w:rPr>
          <w:rFonts w:hint="eastAsia" w:cs="微软雅黑" w:asciiTheme="minorEastAsia" w:hAnsiTheme="minorEastAsia" w:eastAsiaTheme="minorEastAsia"/>
          <w:sz w:val="24"/>
          <w:szCs w:val="24"/>
          <w:highlight w:val="none"/>
          <w:lang w:eastAsia="zh-CN"/>
        </w:rPr>
        <w:t>传感器，分辨率不低于</w:t>
      </w:r>
      <w:r>
        <w:rPr>
          <w:rFonts w:hint="eastAsia" w:asciiTheme="minorEastAsia" w:hAnsiTheme="minorEastAsia" w:eastAsiaTheme="minorEastAsia"/>
          <w:sz w:val="24"/>
          <w:szCs w:val="24"/>
          <w:highlight w:val="none"/>
          <w:lang w:eastAsia="zh-CN"/>
        </w:rPr>
        <w:t>4112 × 3072</w:t>
      </w:r>
      <w:r>
        <w:rPr>
          <w:rFonts w:hint="eastAsia" w:cs="微软雅黑" w:asciiTheme="minorEastAsia" w:hAnsiTheme="minorEastAsia" w:eastAsiaTheme="minorEastAsia"/>
          <w:sz w:val="24"/>
          <w:szCs w:val="24"/>
          <w:highlight w:val="none"/>
          <w:lang w:eastAsia="zh-CN"/>
        </w:rPr>
        <w:t>。</w:t>
      </w:r>
    </w:p>
    <w:p w14:paraId="4BB969A9">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（2）</w:t>
      </w:r>
      <w:r>
        <w:rPr>
          <w:rFonts w:hint="eastAsia" w:cs="书宋-简"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sz w:val="24"/>
          <w:szCs w:val="24"/>
          <w:highlight w:val="none"/>
          <w:lang w:eastAsia="zh-CN"/>
        </w:rPr>
        <w:t>支持视频触发等多种触发模式并实现全结构化：支持深度学习算法，支持多目标混合场景应用，实时提取机动车、非机动车、行人、人脸等目标全结构化信息。</w:t>
      </w:r>
    </w:p>
    <w:p w14:paraId="2317645E">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（3）支持机动车的车牌，车身颜色，车型，子品牌，驾驶室人员等特征检测，支持机动车的过车记录和违章行为检测抓拍。</w:t>
      </w:r>
    </w:p>
    <w:p w14:paraId="53723A2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（4）支持非机动车和行人的抓拍和特征检测。</w:t>
      </w:r>
    </w:p>
    <w:p w14:paraId="602E838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（5）白天使用闪光灯补光，夜晚仅使用</w:t>
      </w:r>
      <w:r>
        <w:rPr>
          <w:rFonts w:hint="eastAsia"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频闪灯补光，抓拍图片可看清司乘人员人脸，并能够用于后端人脸比对。</w:t>
      </w:r>
    </w:p>
    <w:p w14:paraId="737887D7">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（6）▲</w:t>
      </w:r>
      <w:r>
        <w:rPr>
          <w:rFonts w:hint="eastAsia" w:cs="微软雅黑" w:asciiTheme="minorEastAsia" w:hAnsiTheme="minorEastAsia" w:eastAsiaTheme="minorEastAsia"/>
          <w:sz w:val="24"/>
          <w:szCs w:val="24"/>
          <w:highlight w:val="none"/>
          <w:lang w:eastAsia="zh-CN"/>
        </w:rPr>
        <w:t>人脸增强功能检查：具有</w:t>
      </w:r>
      <w:r>
        <w:rPr>
          <w:rFonts w:hint="eastAsia" w:asciiTheme="minorEastAsia" w:hAnsiTheme="minorEastAsia" w:eastAsiaTheme="minorEastAsia"/>
          <w:sz w:val="24"/>
          <w:szCs w:val="24"/>
          <w:highlight w:val="none"/>
          <w:lang w:eastAsia="zh-CN"/>
        </w:rPr>
        <w:t>AI</w:t>
      </w:r>
      <w:r>
        <w:rPr>
          <w:rFonts w:hint="eastAsia" w:cs="微软雅黑" w:asciiTheme="minorEastAsia" w:hAnsiTheme="minorEastAsia" w:eastAsiaTheme="minorEastAsia"/>
          <w:sz w:val="24"/>
          <w:szCs w:val="24"/>
          <w:highlight w:val="none"/>
          <w:lang w:eastAsia="zh-CN"/>
        </w:rPr>
        <w:t>人脸增强设置选项，开启后可去除白天车窗反光和彩条纹。</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支持人脸区域自动曝光，可根据人脸区域光照变化自动调节人脸区域曝光参数。</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支持前排主副驾驶人员的人脸检测功能，白天和夜晚图片中人脸信息清晰可辨，白天前排人脸抓拍率</w:t>
      </w:r>
      <w:r>
        <w:rPr>
          <w:rFonts w:cs="Arial"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99%</w:t>
      </w:r>
      <w:r>
        <w:rPr>
          <w:rFonts w:hint="eastAsia" w:cs="微软雅黑" w:asciiTheme="minorEastAsia" w:hAnsiTheme="minorEastAsia" w:eastAsiaTheme="minorEastAsia"/>
          <w:sz w:val="24"/>
          <w:szCs w:val="24"/>
          <w:highlight w:val="none"/>
          <w:lang w:eastAsia="zh-CN"/>
        </w:rPr>
        <w:t>；夜晚前排人脸抓拍率</w:t>
      </w:r>
      <w:r>
        <w:rPr>
          <w:rFonts w:cs="Arial"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99%</w:t>
      </w:r>
      <w:r>
        <w:rPr>
          <w:rFonts w:hint="eastAsia" w:cs="微软雅黑" w:asciiTheme="minorEastAsia" w:hAnsiTheme="minorEastAsia" w:eastAsiaTheme="minorEastAsia"/>
          <w:sz w:val="24"/>
          <w:szCs w:val="24"/>
          <w:highlight w:val="none"/>
          <w:lang w:eastAsia="zh-CN"/>
        </w:rPr>
        <w:t>。</w:t>
      </w:r>
    </w:p>
    <w:p w14:paraId="72002CFA">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（7）▲</w:t>
      </w:r>
      <w:r>
        <w:rPr>
          <w:rFonts w:hint="eastAsia" w:cs="微软雅黑" w:asciiTheme="minorEastAsia" w:hAnsiTheme="minorEastAsia" w:eastAsiaTheme="minorEastAsia"/>
          <w:sz w:val="24"/>
          <w:szCs w:val="24"/>
          <w:highlight w:val="none"/>
          <w:lang w:eastAsia="zh-CN"/>
        </w:rPr>
        <w:t>车型识别功能检查：支持识别</w:t>
      </w:r>
      <w:r>
        <w:rPr>
          <w:rFonts w:hint="eastAsia" w:asciiTheme="minorEastAsia" w:hAnsiTheme="minorEastAsia" w:eastAsiaTheme="minorEastAsia"/>
          <w:sz w:val="24"/>
          <w:szCs w:val="24"/>
          <w:highlight w:val="none"/>
          <w:lang w:eastAsia="zh-CN"/>
        </w:rPr>
        <w:t>43</w:t>
      </w:r>
      <w:r>
        <w:rPr>
          <w:rFonts w:hint="eastAsia" w:cs="微软雅黑" w:asciiTheme="minorEastAsia" w:hAnsiTheme="minorEastAsia" w:eastAsiaTheme="minorEastAsia"/>
          <w:sz w:val="24"/>
          <w:szCs w:val="24"/>
          <w:highlight w:val="none"/>
          <w:lang w:eastAsia="zh-CN"/>
        </w:rPr>
        <w:t>种车型</w:t>
      </w:r>
      <w:r>
        <w:rPr>
          <w:rFonts w:hint="eastAsia"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包括轻型普通货</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车、轻型厢式货车、轻型平板货车、微型</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轿车、小型轿车、小型客车、小型越野客</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车、小型面包车、中型罐式货车、中型仓</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栅式货车、中型普通货车、中型普通半挂</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车、中型普通客车、中型平板货车、中型</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牵引车、中型厢式货车、中型厢式半挂车、</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中型特殊结构货车、中型平板半挂车、重</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型特殊结构货车、重型罐式挂车、重型普</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通货车、重型牵引力车、重型多结构货车、</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重型厢式挂车、重型车辆运输车、重型集</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装箱车、重型集装箱车挂车、重型普通全</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挂车、重型厢式货车、大型无轨电车、大</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型普通客车、大型双层客车、大型专用校</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车、专用客车、大型专项作业车、轮式平</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地机械、轮式挖掘机械、轮式装载机械、</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普通二轮摩托车、轻便侧三轮摩托车、轻</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便正三轮载货摩托车、轻便正三轮载客摩托车。</w:t>
      </w:r>
    </w:p>
    <w:p w14:paraId="0BCA65F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（8）▲</w:t>
      </w:r>
      <w:r>
        <w:rPr>
          <w:rFonts w:hint="eastAsia" w:cs="微软雅黑" w:asciiTheme="minorEastAsia" w:hAnsiTheme="minorEastAsia" w:eastAsiaTheme="minorEastAsia"/>
          <w:sz w:val="24"/>
          <w:szCs w:val="24"/>
          <w:highlight w:val="none"/>
          <w:lang w:eastAsia="zh-CN"/>
        </w:rPr>
        <w:t>支持对改装的牛眼灯进行检测。</w:t>
      </w:r>
    </w:p>
    <w:p w14:paraId="6EB7556D">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7</w:t>
      </w:r>
      <w:r>
        <w:rPr>
          <w:rFonts w:cs="微软雅黑" w:asciiTheme="minorEastAsia" w:hAnsiTheme="minorEastAsia" w:eastAsiaTheme="minorEastAsia"/>
          <w:b/>
          <w:sz w:val="24"/>
          <w:szCs w:val="24"/>
          <w:highlight w:val="none"/>
          <w:lang w:eastAsia="zh-CN"/>
        </w:rPr>
        <w:t>、多合一补光灯</w:t>
      </w:r>
    </w:p>
    <w:p w14:paraId="0A55317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（1）铝合金灯体，鳍片式散热结构</w:t>
      </w:r>
    </w:p>
    <w:p w14:paraId="01581155">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（2）采用不少于</w:t>
      </w:r>
      <w:r>
        <w:rPr>
          <w:rFonts w:asciiTheme="minorEastAsia" w:hAnsiTheme="minorEastAsia" w:eastAsiaTheme="minorEastAsia"/>
          <w:sz w:val="24"/>
          <w:szCs w:val="24"/>
          <w:highlight w:val="none"/>
          <w:lang w:eastAsia="zh-CN"/>
        </w:rPr>
        <w:t>24</w:t>
      </w:r>
      <w:r>
        <w:rPr>
          <w:rFonts w:hint="eastAsia" w:cs="微软雅黑" w:asciiTheme="minorEastAsia" w:hAnsiTheme="minorEastAsia" w:eastAsiaTheme="minorEastAsia"/>
          <w:sz w:val="24"/>
          <w:szCs w:val="24"/>
          <w:highlight w:val="none"/>
          <w:lang w:eastAsia="zh-CN"/>
        </w:rPr>
        <w:t>颗高性能大功率高亮度</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光源</w:t>
      </w:r>
    </w:p>
    <w:p w14:paraId="2A9D8E98">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cs="微软雅黑"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）内置</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格栅，有效减少周边光污染</w:t>
      </w:r>
    </w:p>
    <w:p w14:paraId="79743735">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（4）气体灯管采用大尺寸高功率灯管</w:t>
      </w:r>
    </w:p>
    <w:p w14:paraId="7A76D75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（5）</w:t>
      </w:r>
      <w:r>
        <w:rPr>
          <w:rFonts w:hint="eastAsia" w:cs="书宋-简"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sz w:val="24"/>
          <w:szCs w:val="24"/>
          <w:highlight w:val="none"/>
          <w:lang w:eastAsia="zh-CN"/>
        </w:rPr>
        <w:t>气体光源回电时间小于</w:t>
      </w:r>
      <w:r>
        <w:rPr>
          <w:rFonts w:asciiTheme="minorEastAsia" w:hAnsiTheme="minorEastAsia" w:eastAsiaTheme="minorEastAsia"/>
          <w:sz w:val="24"/>
          <w:szCs w:val="24"/>
          <w:highlight w:val="none"/>
          <w:lang w:eastAsia="zh-CN"/>
        </w:rPr>
        <w:t>67ms</w:t>
      </w:r>
      <w:r>
        <w:rPr>
          <w:rFonts w:hint="eastAsia" w:cs="微软雅黑" w:asciiTheme="minorEastAsia" w:hAnsiTheme="minorEastAsia" w:eastAsiaTheme="minorEastAsia"/>
          <w:sz w:val="24"/>
          <w:szCs w:val="24"/>
          <w:highlight w:val="none"/>
          <w:lang w:eastAsia="zh-CN"/>
        </w:rPr>
        <w:t>，支持超速连拍</w:t>
      </w:r>
    </w:p>
    <w:p w14:paraId="3C30EA9E">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（6）支持</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灯频闪、</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爆闪、白光气体爆闪</w:t>
      </w:r>
    </w:p>
    <w:p w14:paraId="3BA59587">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（7）支持相机误触发保护功能，触发信号输入异常时自动保护、且自动恢复</w:t>
      </w:r>
    </w:p>
    <w:p w14:paraId="5A66259F">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（8）符合</w:t>
      </w:r>
      <w:r>
        <w:rPr>
          <w:rFonts w:asciiTheme="minorEastAsia" w:hAnsiTheme="minorEastAsia" w:eastAsiaTheme="minorEastAsia"/>
          <w:sz w:val="24"/>
          <w:szCs w:val="24"/>
          <w:highlight w:val="none"/>
          <w:lang w:eastAsia="zh-CN"/>
        </w:rPr>
        <w:t>GA/T 1202-2022</w:t>
      </w:r>
      <w:r>
        <w:rPr>
          <w:rFonts w:hint="eastAsia" w:cs="微软雅黑" w:asciiTheme="minorEastAsia" w:hAnsiTheme="minorEastAsia" w:eastAsiaTheme="minorEastAsia"/>
          <w:sz w:val="24"/>
          <w:szCs w:val="24"/>
          <w:highlight w:val="none"/>
          <w:lang w:eastAsia="zh-CN"/>
        </w:rPr>
        <w:t>《交通技术监控成像补光装置通用技术条件》</w:t>
      </w:r>
    </w:p>
    <w:p w14:paraId="1BBE2CD7">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（9）补光装置光源包括</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光源（一级频闪）、气体放电光源（一级脉冲）</w:t>
      </w:r>
    </w:p>
    <w:p w14:paraId="69CAF30B">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0</w:t>
      </w:r>
      <w:r>
        <w:rPr>
          <w:rFonts w:hint="eastAsia" w:cs="微软雅黑" w:asciiTheme="minorEastAsia" w:hAnsiTheme="minorEastAsia" w:eastAsiaTheme="minorEastAsia"/>
          <w:sz w:val="24"/>
          <w:szCs w:val="24"/>
          <w:highlight w:val="none"/>
          <w:lang w:eastAsia="zh-CN"/>
        </w:rPr>
        <w:t>）发光角度：</w:t>
      </w:r>
      <w:r>
        <w:rPr>
          <w:rFonts w:asciiTheme="minorEastAsia" w:hAnsiTheme="minorEastAsia" w:eastAsiaTheme="minorEastAsia"/>
          <w:sz w:val="24"/>
          <w:szCs w:val="24"/>
          <w:highlight w:val="none"/>
          <w:lang w:eastAsia="zh-CN"/>
        </w:rPr>
        <w:t>LED</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10°</w:t>
      </w:r>
      <w:r>
        <w:rPr>
          <w:rFonts w:hint="eastAsia" w:cs="微软雅黑" w:asciiTheme="minorEastAsia" w:hAnsiTheme="minorEastAsia" w:eastAsiaTheme="minorEastAsia"/>
          <w:sz w:val="24"/>
          <w:szCs w:val="24"/>
          <w:highlight w:val="none"/>
          <w:lang w:eastAsia="zh-CN"/>
        </w:rPr>
        <w:t>；气体灯</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10°</w:t>
      </w:r>
    </w:p>
    <w:p w14:paraId="29DADD04">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）色温：</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4000K</w:t>
      </w:r>
      <w:r>
        <w:rPr>
          <w:rFonts w:hint="eastAsia" w:cs="微软雅黑" w:asciiTheme="minorEastAsia" w:hAnsiTheme="minorEastAsia" w:eastAsiaTheme="minorEastAsia"/>
          <w:sz w:val="24"/>
          <w:szCs w:val="24"/>
          <w:highlight w:val="none"/>
          <w:lang w:eastAsia="zh-CN"/>
        </w:rPr>
        <w:t>，气体灯＜</w:t>
      </w:r>
      <w:r>
        <w:rPr>
          <w:rFonts w:asciiTheme="minorEastAsia" w:hAnsiTheme="minorEastAsia" w:eastAsiaTheme="minorEastAsia"/>
          <w:sz w:val="24"/>
          <w:szCs w:val="24"/>
          <w:highlight w:val="none"/>
          <w:lang w:eastAsia="zh-CN"/>
        </w:rPr>
        <w:t>7000K</w:t>
      </w:r>
    </w:p>
    <w:p w14:paraId="4C5DAB2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）补光距离：</w:t>
      </w:r>
      <w:r>
        <w:rPr>
          <w:rFonts w:asciiTheme="minorEastAsia" w:hAnsiTheme="minorEastAsia" w:eastAsiaTheme="minorEastAsia"/>
          <w:sz w:val="24"/>
          <w:szCs w:val="24"/>
          <w:highlight w:val="none"/>
          <w:lang w:eastAsia="zh-CN"/>
        </w:rPr>
        <w:t>16~25m</w:t>
      </w:r>
    </w:p>
    <w:p w14:paraId="407B1889">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）覆盖范围：单车道</w:t>
      </w:r>
      <w:r>
        <w:rPr>
          <w:rFonts w:asciiTheme="minorEastAsia" w:hAnsiTheme="minorEastAsia" w:eastAsiaTheme="minorEastAsia"/>
          <w:sz w:val="24"/>
          <w:szCs w:val="24"/>
          <w:highlight w:val="none"/>
          <w:lang w:eastAsia="zh-CN"/>
        </w:rPr>
        <w:t xml:space="preserve"> </w:t>
      </w:r>
    </w:p>
    <w:p w14:paraId="4D6909C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）响应时间：</w:t>
      </w:r>
      <w:r>
        <w:rPr>
          <w:rFonts w:asciiTheme="minorEastAsia" w:hAnsiTheme="minorEastAsia" w:eastAsiaTheme="minorEastAsia"/>
          <w:sz w:val="24"/>
          <w:szCs w:val="24"/>
          <w:highlight w:val="none"/>
          <w:lang w:eastAsia="zh-CN"/>
        </w:rPr>
        <w:t>LED≤20us</w:t>
      </w:r>
      <w:r>
        <w:rPr>
          <w:rFonts w:hint="eastAsia" w:cs="微软雅黑" w:asciiTheme="minorEastAsia" w:hAnsiTheme="minorEastAsia" w:eastAsiaTheme="minorEastAsia"/>
          <w:sz w:val="24"/>
          <w:szCs w:val="24"/>
          <w:highlight w:val="none"/>
          <w:lang w:eastAsia="zh-CN"/>
        </w:rPr>
        <w:t>，爆闪</w:t>
      </w:r>
      <w:r>
        <w:rPr>
          <w:rFonts w:asciiTheme="minorEastAsia" w:hAnsiTheme="minorEastAsia" w:eastAsiaTheme="minorEastAsia"/>
          <w:sz w:val="24"/>
          <w:szCs w:val="24"/>
          <w:highlight w:val="none"/>
          <w:lang w:eastAsia="zh-CN"/>
        </w:rPr>
        <w:t>≤47us</w:t>
      </w:r>
    </w:p>
    <w:p w14:paraId="51A9C2A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5</w:t>
      </w:r>
      <w:r>
        <w:rPr>
          <w:rFonts w:hint="eastAsia" w:cs="微软雅黑" w:asciiTheme="minorEastAsia" w:hAnsiTheme="minorEastAsia" w:eastAsiaTheme="minorEastAsia"/>
          <w:sz w:val="24"/>
          <w:szCs w:val="24"/>
          <w:highlight w:val="none"/>
          <w:lang w:eastAsia="zh-CN"/>
        </w:rPr>
        <w:t>）触发方式：电平量，可配置开关量</w:t>
      </w:r>
    </w:p>
    <w:p w14:paraId="789C8D6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6）LED</w:t>
      </w:r>
      <w:r>
        <w:rPr>
          <w:rFonts w:hint="eastAsia" w:cs="微软雅黑" w:asciiTheme="minorEastAsia" w:hAnsiTheme="minorEastAsia" w:eastAsiaTheme="minorEastAsia"/>
          <w:sz w:val="24"/>
          <w:szCs w:val="24"/>
          <w:highlight w:val="none"/>
          <w:lang w:eastAsia="zh-CN"/>
        </w:rPr>
        <w:t>触发频率：</w:t>
      </w:r>
      <w:r>
        <w:rPr>
          <w:rFonts w:asciiTheme="minorEastAsia" w:hAnsiTheme="minorEastAsia" w:eastAsiaTheme="minorEastAsia"/>
          <w:sz w:val="24"/>
          <w:szCs w:val="24"/>
          <w:highlight w:val="none"/>
          <w:lang w:eastAsia="zh-CN"/>
        </w:rPr>
        <w:t>1Hz~250Hz</w:t>
      </w:r>
    </w:p>
    <w:p w14:paraId="28EA80D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7）LED</w:t>
      </w:r>
      <w:r>
        <w:rPr>
          <w:rFonts w:hint="eastAsia" w:cs="微软雅黑" w:asciiTheme="minorEastAsia" w:hAnsiTheme="minorEastAsia" w:eastAsiaTheme="minorEastAsia"/>
          <w:sz w:val="24"/>
          <w:szCs w:val="24"/>
          <w:highlight w:val="none"/>
          <w:lang w:eastAsia="zh-CN"/>
        </w:rPr>
        <w:t>触发占空比：</w:t>
      </w:r>
      <w:r>
        <w:rPr>
          <w:rFonts w:asciiTheme="minorEastAsia" w:hAnsiTheme="minorEastAsia" w:eastAsiaTheme="minorEastAsia"/>
          <w:sz w:val="24"/>
          <w:szCs w:val="24"/>
          <w:highlight w:val="none"/>
          <w:lang w:eastAsia="zh-CN"/>
        </w:rPr>
        <w:t>1%~39%</w:t>
      </w:r>
      <w:r>
        <w:rPr>
          <w:rFonts w:hint="eastAsia" w:cs="微软雅黑" w:asciiTheme="minorEastAsia" w:hAnsiTheme="minorEastAsia" w:eastAsiaTheme="minorEastAsia"/>
          <w:sz w:val="24"/>
          <w:szCs w:val="24"/>
          <w:highlight w:val="none"/>
          <w:lang w:eastAsia="zh-CN"/>
        </w:rPr>
        <w:t>，当占空比大于等于</w:t>
      </w:r>
      <w:r>
        <w:rPr>
          <w:rFonts w:asciiTheme="minorEastAsia" w:hAnsiTheme="minorEastAsia" w:eastAsiaTheme="minorEastAsia"/>
          <w:sz w:val="24"/>
          <w:szCs w:val="24"/>
          <w:highlight w:val="none"/>
          <w:lang w:eastAsia="zh-CN"/>
        </w:rPr>
        <w:t>40%</w:t>
      </w:r>
      <w:r>
        <w:rPr>
          <w:rFonts w:hint="eastAsia" w:cs="微软雅黑" w:asciiTheme="minorEastAsia" w:hAnsiTheme="minorEastAsia" w:eastAsiaTheme="minorEastAsia"/>
          <w:sz w:val="24"/>
          <w:szCs w:val="24"/>
          <w:highlight w:val="none"/>
          <w:lang w:eastAsia="zh-CN"/>
        </w:rPr>
        <w:t>时进入自保护状态</w:t>
      </w:r>
    </w:p>
    <w:p w14:paraId="475E784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8</w:t>
      </w:r>
      <w:r>
        <w:rPr>
          <w:rFonts w:hint="eastAsia" w:cs="微软雅黑" w:asciiTheme="minorEastAsia" w:hAnsiTheme="minorEastAsia" w:eastAsiaTheme="minorEastAsia"/>
          <w:sz w:val="24"/>
          <w:szCs w:val="24"/>
          <w:highlight w:val="none"/>
          <w:lang w:eastAsia="zh-CN"/>
        </w:rPr>
        <w:t>）爆闪时长：</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300us</w:t>
      </w:r>
    </w:p>
    <w:p w14:paraId="0E38F50B">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9</w:t>
      </w:r>
      <w:r>
        <w:rPr>
          <w:rFonts w:hint="eastAsia" w:cs="微软雅黑" w:asciiTheme="minorEastAsia" w:hAnsiTheme="minorEastAsia" w:eastAsiaTheme="minorEastAsia"/>
          <w:sz w:val="24"/>
          <w:szCs w:val="24"/>
          <w:highlight w:val="none"/>
          <w:lang w:eastAsia="zh-CN"/>
        </w:rPr>
        <w:t>）气体闪光次数：＞</w:t>
      </w:r>
      <w:r>
        <w:rPr>
          <w:rFonts w:asciiTheme="minorEastAsia" w:hAnsiTheme="minorEastAsia" w:eastAsiaTheme="minorEastAsia"/>
          <w:sz w:val="24"/>
          <w:szCs w:val="24"/>
          <w:highlight w:val="none"/>
          <w:lang w:eastAsia="zh-CN"/>
        </w:rPr>
        <w:t>2000</w:t>
      </w:r>
      <w:r>
        <w:rPr>
          <w:rFonts w:hint="eastAsia" w:cs="微软雅黑" w:asciiTheme="minorEastAsia" w:hAnsiTheme="minorEastAsia" w:eastAsiaTheme="minorEastAsia"/>
          <w:sz w:val="24"/>
          <w:szCs w:val="24"/>
          <w:highlight w:val="none"/>
          <w:lang w:eastAsia="zh-CN"/>
        </w:rPr>
        <w:t>万次（</w:t>
      </w:r>
      <w:r>
        <w:rPr>
          <w:rFonts w:asciiTheme="minorEastAsia" w:hAnsiTheme="minorEastAsia" w:eastAsiaTheme="minorEastAsia"/>
          <w:sz w:val="24"/>
          <w:szCs w:val="24"/>
          <w:highlight w:val="none"/>
          <w:lang w:eastAsia="zh-CN"/>
        </w:rPr>
        <w:t>2S</w:t>
      </w:r>
      <w:r>
        <w:rPr>
          <w:rFonts w:hint="eastAsia" w:cs="微软雅黑" w:asciiTheme="minorEastAsia" w:hAnsiTheme="minorEastAsia" w:eastAsiaTheme="minorEastAsia"/>
          <w:sz w:val="24"/>
          <w:szCs w:val="24"/>
          <w:highlight w:val="none"/>
          <w:lang w:eastAsia="zh-CN"/>
        </w:rPr>
        <w:t>闪一次）</w:t>
      </w:r>
      <w:r>
        <w:rPr>
          <w:rFonts w:asciiTheme="minorEastAsia" w:hAnsiTheme="minorEastAsia" w:eastAsiaTheme="minorEastAsia"/>
          <w:sz w:val="24"/>
          <w:szCs w:val="24"/>
          <w:highlight w:val="none"/>
          <w:lang w:eastAsia="zh-CN"/>
        </w:rPr>
        <w:t xml:space="preserve"> </w:t>
      </w:r>
    </w:p>
    <w:p w14:paraId="3A1D51C8">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8</w:t>
      </w:r>
      <w:r>
        <w:rPr>
          <w:rFonts w:cs="微软雅黑" w:asciiTheme="minorEastAsia" w:hAnsiTheme="minorEastAsia" w:eastAsiaTheme="minorEastAsia"/>
          <w:b/>
          <w:sz w:val="24"/>
          <w:szCs w:val="24"/>
          <w:highlight w:val="none"/>
          <w:lang w:eastAsia="zh-CN"/>
        </w:rPr>
        <w:t>、预警屏</w:t>
      </w:r>
    </w:p>
    <w:p w14:paraId="11D734A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（1）声光一体预警，节目内容与语音内容可自定义，语音播放时段与音量可设置。</w:t>
      </w:r>
    </w:p>
    <w:p w14:paraId="080AEF9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（2）控制方式</w:t>
      </w:r>
      <w:r>
        <w:rPr>
          <w:rFonts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网络控制</w:t>
      </w:r>
    </w:p>
    <w:p w14:paraId="2695307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（3）通讯接口：</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个</w:t>
      </w:r>
      <w:r>
        <w:rPr>
          <w:rFonts w:asciiTheme="minorEastAsia" w:hAnsiTheme="minorEastAsia" w:eastAsiaTheme="minorEastAsia"/>
          <w:sz w:val="24"/>
          <w:szCs w:val="24"/>
          <w:highlight w:val="none"/>
          <w:lang w:eastAsia="zh-CN"/>
        </w:rPr>
        <w:t xml:space="preserve">RJ45 </w:t>
      </w:r>
    </w:p>
    <w:p w14:paraId="447043AE">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（4）外壳材质：铝板，表面喷塑</w:t>
      </w:r>
      <w:r>
        <w:rPr>
          <w:rFonts w:asciiTheme="minorEastAsia" w:hAnsiTheme="minorEastAsia" w:eastAsiaTheme="minorEastAsia"/>
          <w:sz w:val="24"/>
          <w:szCs w:val="24"/>
          <w:highlight w:val="none"/>
          <w:lang w:eastAsia="zh-CN"/>
        </w:rPr>
        <w:t xml:space="preserve"> </w:t>
      </w:r>
    </w:p>
    <w:p w14:paraId="21E141E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（5）工作温度：温度</w:t>
      </w:r>
      <w:r>
        <w:rPr>
          <w:rFonts w:asciiTheme="minorEastAsia" w:hAnsiTheme="minorEastAsia" w:eastAsiaTheme="minorEastAsia"/>
          <w:sz w:val="24"/>
          <w:szCs w:val="24"/>
          <w:highlight w:val="none"/>
          <w:lang w:eastAsia="zh-CN"/>
        </w:rPr>
        <w:t>-40</w:t>
      </w: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~80</w:t>
      </w:r>
      <w:r>
        <w:rPr>
          <w:rFonts w:hint="eastAsia" w:cs="微软雅黑" w:asciiTheme="minorEastAsia" w:hAnsiTheme="minorEastAsia" w:eastAsiaTheme="minorEastAsia"/>
          <w:sz w:val="24"/>
          <w:szCs w:val="24"/>
          <w:highlight w:val="none"/>
          <w:lang w:eastAsia="zh-CN"/>
        </w:rPr>
        <w:t>℃</w:t>
      </w:r>
    </w:p>
    <w:p w14:paraId="59A91C25">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（6）工作湿度：湿度</w:t>
      </w:r>
      <w:r>
        <w:rPr>
          <w:rFonts w:asciiTheme="minorEastAsia" w:hAnsiTheme="minorEastAsia" w:eastAsiaTheme="minorEastAsia"/>
          <w:sz w:val="24"/>
          <w:szCs w:val="24"/>
          <w:highlight w:val="none"/>
          <w:lang w:eastAsia="zh-CN"/>
        </w:rPr>
        <w:t>10%~95%</w:t>
      </w:r>
      <w:r>
        <w:rPr>
          <w:rFonts w:hint="eastAsia" w:cs="微软雅黑" w:asciiTheme="minorEastAsia" w:hAnsiTheme="minorEastAsia" w:eastAsiaTheme="minorEastAsia"/>
          <w:sz w:val="24"/>
          <w:szCs w:val="24"/>
          <w:highlight w:val="none"/>
          <w:lang w:eastAsia="zh-CN"/>
        </w:rPr>
        <w:t>，无凝结</w:t>
      </w:r>
    </w:p>
    <w:p w14:paraId="47A99540">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（7）防护等级：</w:t>
      </w:r>
      <w:r>
        <w:rPr>
          <w:rFonts w:asciiTheme="minorEastAsia" w:hAnsiTheme="minorEastAsia" w:eastAsiaTheme="minorEastAsia"/>
          <w:sz w:val="24"/>
          <w:szCs w:val="24"/>
          <w:highlight w:val="none"/>
          <w:lang w:eastAsia="zh-CN"/>
        </w:rPr>
        <w:t>IP53</w:t>
      </w:r>
    </w:p>
    <w:p w14:paraId="4FCFA1F9">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（8）音柱功率：</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50W</w:t>
      </w:r>
    </w:p>
    <w:p w14:paraId="6B85B29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9</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显示屏模组亮度：</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4500CD/</w:t>
      </w:r>
      <w:r>
        <w:rPr>
          <w:rFonts w:cs="Segoe UI Symbol" w:asciiTheme="minorEastAsia" w:hAnsiTheme="minorEastAsia" w:eastAsiaTheme="minorEastAsia"/>
          <w:sz w:val="24"/>
          <w:szCs w:val="24"/>
          <w:highlight w:val="none"/>
          <w:lang w:eastAsia="zh-CN"/>
        </w:rPr>
        <w:t>㎡</w:t>
      </w:r>
    </w:p>
    <w:p w14:paraId="0321ECC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0）LED</w:t>
      </w:r>
      <w:r>
        <w:rPr>
          <w:rFonts w:hint="eastAsia" w:cs="微软雅黑" w:asciiTheme="minorEastAsia" w:hAnsiTheme="minorEastAsia" w:eastAsiaTheme="minorEastAsia"/>
          <w:sz w:val="24"/>
          <w:szCs w:val="24"/>
          <w:highlight w:val="none"/>
          <w:lang w:eastAsia="zh-CN"/>
        </w:rPr>
        <w:t>显示屏像素组成：</w:t>
      </w:r>
      <w:r>
        <w:rPr>
          <w:rFonts w:asciiTheme="minorEastAsia" w:hAnsiTheme="minorEastAsia" w:eastAsiaTheme="minorEastAsia"/>
          <w:sz w:val="24"/>
          <w:szCs w:val="24"/>
          <w:highlight w:val="none"/>
          <w:lang w:eastAsia="zh-CN"/>
        </w:rPr>
        <w:t>1R1G</w:t>
      </w:r>
    </w:p>
    <w:p w14:paraId="4784791C">
      <w:pPr>
        <w:pStyle w:val="201"/>
        <w:spacing w:line="480" w:lineRule="exact"/>
        <w:rPr>
          <w:rStyle w:val="48"/>
          <w:rFonts w:hint="eastAsia" w:cs="宋体" w:asciiTheme="minorEastAsia" w:hAnsiTheme="minorEastAsia" w:eastAsiaTheme="minorEastAsia"/>
          <w:sz w:val="24"/>
          <w:szCs w:val="24"/>
          <w:highlight w:val="none"/>
          <w:shd w:val="clear" w:color="auto" w:fill="FFFFFF"/>
          <w:lang w:eastAsia="zh-CN"/>
        </w:rPr>
      </w:pPr>
      <w:r>
        <w:rPr>
          <w:rStyle w:val="48"/>
          <w:rFonts w:hint="eastAsia" w:cs="宋体" w:asciiTheme="minorEastAsia" w:hAnsiTheme="minorEastAsia" w:eastAsiaTheme="minorEastAsia"/>
          <w:sz w:val="24"/>
          <w:szCs w:val="24"/>
          <w:highlight w:val="none"/>
          <w:shd w:val="clear" w:color="auto" w:fill="FFFFFF"/>
          <w:lang w:eastAsia="zh-CN"/>
        </w:rPr>
        <w:t>四、一般技术服务要求</w:t>
      </w:r>
    </w:p>
    <w:p w14:paraId="40270E93">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投标单位在投标文件中必须对所有招标技术（服务）规格与要求逐一做出技术（服务）应答，如果有其中某些条款不响应时，应在投标文件中逐条列出，未列出的视同响应。</w:t>
      </w:r>
    </w:p>
    <w:p w14:paraId="3567015C">
      <w:pPr>
        <w:pStyle w:val="201"/>
        <w:spacing w:line="480" w:lineRule="exact"/>
        <w:rPr>
          <w:rStyle w:val="48"/>
          <w:rFonts w:hint="eastAsia" w:cs="宋体" w:asciiTheme="minorEastAsia" w:hAnsiTheme="minorEastAsia" w:eastAsiaTheme="minorEastAsia"/>
          <w:sz w:val="24"/>
          <w:szCs w:val="24"/>
          <w:highlight w:val="none"/>
          <w:shd w:val="clear" w:color="auto" w:fill="FFFFFF"/>
          <w:lang w:eastAsia="zh-CN"/>
        </w:rPr>
      </w:pPr>
      <w:r>
        <w:rPr>
          <w:rStyle w:val="48"/>
          <w:rFonts w:hint="eastAsia" w:cs="宋体" w:asciiTheme="minorEastAsia" w:hAnsiTheme="minorEastAsia" w:eastAsiaTheme="minorEastAsia"/>
          <w:sz w:val="24"/>
          <w:szCs w:val="24"/>
          <w:highlight w:val="none"/>
          <w:shd w:val="clear" w:color="auto" w:fill="FFFFFF"/>
          <w:lang w:eastAsia="zh-CN"/>
        </w:rPr>
        <w:t>五、商务条款</w:t>
      </w:r>
    </w:p>
    <w:p w14:paraId="4BABE5BC">
      <w:pPr>
        <w:pStyle w:val="201"/>
        <w:spacing w:line="480" w:lineRule="exact"/>
        <w:ind w:firstLine="482" w:firstLineChars="200"/>
        <w:rPr>
          <w:rFonts w:hint="eastAsia" w:cs="微软雅黑"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（一）服务期限</w:t>
      </w:r>
    </w:p>
    <w:p w14:paraId="1C9949CC">
      <w:pPr>
        <w:pStyle w:val="201"/>
        <w:spacing w:line="480" w:lineRule="exact"/>
        <w:ind w:firstLine="480" w:firstLineChars="200"/>
        <w:rPr>
          <w:rFonts w:hint="eastAsia" w:cs="微软雅黑"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sz w:val="24"/>
          <w:szCs w:val="24"/>
          <w:highlight w:val="none"/>
          <w:lang w:eastAsia="zh-CN"/>
        </w:rPr>
        <w:t>4个月完成项目，验收结束后，进入三年的免费维保期。</w:t>
      </w:r>
    </w:p>
    <w:p w14:paraId="3FB0CB2F">
      <w:pPr>
        <w:pStyle w:val="201"/>
        <w:spacing w:line="480" w:lineRule="exact"/>
        <w:ind w:firstLine="482" w:firstLineChars="200"/>
        <w:rPr>
          <w:rFonts w:hint="eastAsia" w:cs="Times New Roman"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bCs/>
          <w:sz w:val="24"/>
          <w:szCs w:val="24"/>
          <w:highlight w:val="none"/>
          <w:lang w:eastAsia="zh-CN"/>
        </w:rPr>
        <w:t>（二）培训服务</w:t>
      </w:r>
    </w:p>
    <w:p w14:paraId="7C6FAD20">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中标供应商需提供系统的操作培训服务，确保太仓市公安局及相关用户能够熟练使用系统。</w:t>
      </w:r>
    </w:p>
    <w:p w14:paraId="6351A9C5">
      <w:pPr>
        <w:pStyle w:val="201"/>
        <w:spacing w:line="480" w:lineRule="exact"/>
        <w:ind w:firstLine="482" w:firstLineChars="200"/>
        <w:rPr>
          <w:rFonts w:hint="eastAsia" w:cs="Times New Roman"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（三）运维服务</w:t>
      </w:r>
    </w:p>
    <w:p w14:paraId="4EEAE23A">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本项目验收合格后，承建方需提供三年的免费运维服务期，服务内容包括系统故障排除、性能优化等。后续软件系统为有偿运维服务，运维服务费用将参考当年的市场经济情况由承建单位与建设单位协商确定。</w:t>
      </w:r>
    </w:p>
    <w:p w14:paraId="23F5A7FC">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免费运维服务期内，承建单位需配合完成后续新增监测设备的数据接入、系统集成，以及根据要求提供对外数据安全共享服务。</w:t>
      </w:r>
    </w:p>
    <w:p w14:paraId="223A2B04">
      <w:pPr>
        <w:pStyle w:val="201"/>
        <w:spacing w:line="480" w:lineRule="exact"/>
        <w:ind w:firstLine="482" w:firstLineChars="200"/>
        <w:rPr>
          <w:rFonts w:hint="eastAsia" w:cs="Times New Roman"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（四）安全保障</w:t>
      </w:r>
    </w:p>
    <w:p w14:paraId="2C910255">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中标单位在项目实施期间需按质量管理体系，对工程建设各阶段进行严格的质量监督与控制。在项目实施过程中要引入质量管理、文档管理等管理办法，加强问题跟踪管理，严格按照双方确定的计划进度保质保量完成工作。中标单位应严格遵守国家相关法律法规，确保项目实施过程中的数据安全和系统安全，防止信息泄露和恶意攻击。</w:t>
      </w:r>
    </w:p>
    <w:p w14:paraId="52135477">
      <w:pPr>
        <w:pStyle w:val="201"/>
        <w:spacing w:line="480" w:lineRule="exact"/>
        <w:ind w:firstLine="482" w:firstLineChars="200"/>
        <w:rPr>
          <w:rFonts w:hint="eastAsia" w:cs="Times New Roman"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（五）付款进度及方式</w:t>
      </w:r>
    </w:p>
    <w:p w14:paraId="4A9C2E0D">
      <w:pPr>
        <w:pStyle w:val="201"/>
        <w:spacing w:line="480" w:lineRule="exact"/>
        <w:ind w:firstLine="480" w:firstLineChars="200"/>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1、合同签订后，甲方向乙方支付不少于合同总金额</w:t>
      </w:r>
      <w:r>
        <w:rPr>
          <w:rFonts w:cs="Times New Roman" w:asciiTheme="minorEastAsia" w:hAnsiTheme="minorEastAsia" w:eastAsiaTheme="minorEastAsia"/>
          <w:sz w:val="24"/>
          <w:szCs w:val="24"/>
          <w:highlight w:val="none"/>
          <w:lang w:eastAsia="zh-CN"/>
        </w:rPr>
        <w:t>30%</w:t>
      </w:r>
      <w:r>
        <w:rPr>
          <w:rFonts w:hint="eastAsia" w:cs="微软雅黑" w:asciiTheme="minorEastAsia" w:hAnsiTheme="minorEastAsia" w:eastAsiaTheme="minorEastAsia"/>
          <w:sz w:val="24"/>
          <w:szCs w:val="24"/>
          <w:highlight w:val="none"/>
          <w:lang w:eastAsia="zh-CN"/>
        </w:rPr>
        <w:t>的预付款；</w:t>
      </w:r>
    </w:p>
    <w:p w14:paraId="649F73E0">
      <w:pPr>
        <w:pStyle w:val="201"/>
        <w:spacing w:line="480" w:lineRule="exact"/>
        <w:ind w:firstLine="480" w:firstLineChars="200"/>
        <w:rPr>
          <w:rFonts w:hint="eastAsia" w:cs="微软雅黑"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项目上线经甲方审核通过后</w:t>
      </w:r>
      <w:r>
        <w:rPr>
          <w:rFonts w:cs="Times New Roman"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个月内，甲方向乙方累计支付不少于合同总金额的</w:t>
      </w:r>
      <w:r>
        <w:rPr>
          <w:rFonts w:cs="Times New Roman" w:asciiTheme="minorEastAsia" w:hAnsiTheme="minorEastAsia" w:eastAsiaTheme="minorEastAsia"/>
          <w:sz w:val="24"/>
          <w:szCs w:val="24"/>
          <w:highlight w:val="none"/>
          <w:lang w:eastAsia="zh-CN"/>
        </w:rPr>
        <w:t>60%</w:t>
      </w:r>
      <w:r>
        <w:rPr>
          <w:rFonts w:hint="eastAsia" w:cs="微软雅黑" w:asciiTheme="minorEastAsia" w:hAnsiTheme="minorEastAsia" w:eastAsiaTheme="minorEastAsia"/>
          <w:sz w:val="24"/>
          <w:szCs w:val="24"/>
          <w:highlight w:val="none"/>
          <w:lang w:eastAsia="zh-CN"/>
        </w:rPr>
        <w:t>；</w:t>
      </w:r>
    </w:p>
    <w:p w14:paraId="542D3955">
      <w:pPr>
        <w:pStyle w:val="201"/>
        <w:spacing w:line="480" w:lineRule="exact"/>
        <w:ind w:firstLine="480" w:firstLineChars="200"/>
        <w:rPr>
          <w:rFonts w:hint="eastAsia" w:cs="微软雅黑"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项目经甲方最终验收合格后</w:t>
      </w:r>
      <w:r>
        <w:rPr>
          <w:rFonts w:cs="Times New Roman"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个月内，甲方向乙方累计支付不少于合同总金额的</w:t>
      </w:r>
      <w:r>
        <w:rPr>
          <w:rFonts w:cs="Times New Roman" w:asciiTheme="minorEastAsia" w:hAnsiTheme="minorEastAsia" w:eastAsiaTheme="minorEastAsia"/>
          <w:sz w:val="24"/>
          <w:szCs w:val="24"/>
          <w:highlight w:val="none"/>
          <w:lang w:eastAsia="zh-CN"/>
        </w:rPr>
        <w:t>90%</w:t>
      </w:r>
      <w:r>
        <w:rPr>
          <w:rFonts w:hint="eastAsia" w:cs="微软雅黑" w:asciiTheme="minorEastAsia" w:hAnsiTheme="minorEastAsia" w:eastAsiaTheme="minorEastAsia"/>
          <w:sz w:val="24"/>
          <w:szCs w:val="24"/>
          <w:highlight w:val="none"/>
          <w:lang w:eastAsia="zh-CN"/>
        </w:rPr>
        <w:t>；</w:t>
      </w:r>
    </w:p>
    <w:p w14:paraId="65FD4D5D">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项目一年免费维护服务期结束后</w:t>
      </w:r>
      <w:r>
        <w:rPr>
          <w:rFonts w:cs="Times New Roman"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个月内，甲方向乙方支付合同剩余金额。</w:t>
      </w:r>
    </w:p>
    <w:p w14:paraId="418DE0AC">
      <w:pPr>
        <w:pStyle w:val="201"/>
        <w:spacing w:line="480" w:lineRule="exact"/>
        <w:ind w:firstLine="482" w:firstLineChars="200"/>
        <w:rPr>
          <w:rFonts w:hint="eastAsia" w:cs="Times New Roman"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（六）项目验收要求</w:t>
      </w:r>
    </w:p>
    <w:p w14:paraId="7AF0F1EF">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中标供应商应按照采购人要求，完成本项目所涉及的数据整合、系统开发集成、用户培训全部建设任务，并完成</w:t>
      </w:r>
      <w:r>
        <w:rPr>
          <w:rFonts w:hint="eastAsia" w:cs="Times New Roman"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个月试运行，提交有关文件材料，可向业主方书面申请验收付款。如无合理理由，采购人应接到中标供应商书面验收申请</w:t>
      </w:r>
      <w:r>
        <w:rPr>
          <w:rFonts w:cs="Times New Roman" w:asciiTheme="minorEastAsia" w:hAnsiTheme="minorEastAsia" w:eastAsiaTheme="minorEastAsia"/>
          <w:sz w:val="24"/>
          <w:szCs w:val="24"/>
          <w:highlight w:val="none"/>
          <w:lang w:eastAsia="zh-CN"/>
        </w:rPr>
        <w:t>7</w:t>
      </w:r>
      <w:r>
        <w:rPr>
          <w:rFonts w:hint="eastAsia" w:cs="微软雅黑" w:asciiTheme="minorEastAsia" w:hAnsiTheme="minorEastAsia" w:eastAsiaTheme="minorEastAsia"/>
          <w:sz w:val="24"/>
          <w:szCs w:val="24"/>
          <w:highlight w:val="none"/>
          <w:lang w:eastAsia="zh-CN"/>
        </w:rPr>
        <w:t>个工作日内应组织本项目内容进行验收确认。</w:t>
      </w:r>
    </w:p>
    <w:p w14:paraId="087E5AA9">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采购人应组织其各使用单位与管理单位提供必要的场地和部署工作条件。应组织各使用单位与管理单位责任人及时配合培训与验收工作。</w:t>
      </w:r>
    </w:p>
    <w:p w14:paraId="7268AA2E">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验收标准按照国家、地区相关标准，招投标文件、合同条款具体执行。</w:t>
      </w:r>
    </w:p>
    <w:p w14:paraId="3455AE08">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（七）需要投标人提供的服务方案要求</w:t>
      </w:r>
    </w:p>
    <w:p w14:paraId="5602448B">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1、项目需求理解及分析</w:t>
      </w:r>
    </w:p>
    <w:p w14:paraId="300C67F5">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投标人针对本项目实际提供需求理解及分析方案，方案包括：</w:t>
      </w:r>
    </w:p>
    <w:p w14:paraId="66FCE53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①本项目总体架构：熟悉太仓市智慧城市新型基础设施软硬件配套项目整体架构，能详细说明本次新增软硬件与原架构的关系；</w:t>
      </w:r>
    </w:p>
    <w:p w14:paraId="0EF24633">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②各系统建设的架构、功能、特色亮点：根据对本项目的理解，详细阐述各自的系统架构和功能特点；</w:t>
      </w:r>
    </w:p>
    <w:p w14:paraId="7F7BD67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③各系统及业务软件方案特点和关键性技术：根据对本项目的理解，详细阐述各自的方案特点和采用的关键性技术。</w:t>
      </w:r>
    </w:p>
    <w:p w14:paraId="4CE04995">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asciiTheme="minorEastAsia" w:hAnsiTheme="minorEastAsia" w:eastAsiaTheme="minorEastAsia"/>
          <w:b/>
          <w:bCs/>
          <w:sz w:val="24"/>
          <w:szCs w:val="24"/>
          <w:highlight w:val="none"/>
          <w:lang w:eastAsia="zh-CN"/>
        </w:rPr>
        <w:t>2、</w:t>
      </w:r>
      <w:r>
        <w:rPr>
          <w:rFonts w:hint="eastAsia" w:asciiTheme="minorEastAsia" w:hAnsiTheme="minorEastAsia" w:eastAsiaTheme="minorEastAsia"/>
          <w:b/>
          <w:bCs/>
          <w:sz w:val="24"/>
          <w:szCs w:val="24"/>
          <w:highlight w:val="none"/>
          <w:lang w:eastAsia="zh-CN"/>
        </w:rPr>
        <w:t>遮阳棚和风雨连廊施工方案</w:t>
      </w:r>
    </w:p>
    <w:p w14:paraId="5373C0C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投标人针对本项目实际提供遮阳棚和风雨连廊施工方案，方案包括</w:t>
      </w:r>
    </w:p>
    <w:p w14:paraId="1AB68DF9">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①提供遮阳棚设计方案：根据招标文件要求，投标人需提供遮阳棚的详细设计方案；</w:t>
      </w:r>
    </w:p>
    <w:p w14:paraId="68714579">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②根据每个路口实际情况提供遮阳棚施工图和施工方案：根据招标技术要求，结合现场情况提供详细施工图和施工方案；</w:t>
      </w:r>
    </w:p>
    <w:p w14:paraId="5C831FC0">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③提供风雨连廊设计方案：根据招标文件要求，投标人需提供风雨连廊的详细设计方案；</w:t>
      </w:r>
    </w:p>
    <w:p w14:paraId="2D65FF10">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④根据实际情况提供风雨连廊施工图和施工方案:根据招标技术要求，结合现场情况提供详细设计方案和施工方案。</w:t>
      </w:r>
    </w:p>
    <w:p w14:paraId="3CF6DB62">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asciiTheme="minorEastAsia" w:hAnsiTheme="minorEastAsia" w:eastAsiaTheme="minorEastAsia"/>
          <w:b/>
          <w:bCs/>
          <w:sz w:val="24"/>
          <w:szCs w:val="24"/>
          <w:highlight w:val="none"/>
          <w:lang w:eastAsia="zh-CN"/>
        </w:rPr>
        <w:t>3、</w:t>
      </w:r>
      <w:r>
        <w:rPr>
          <w:rFonts w:hint="eastAsia" w:asciiTheme="minorEastAsia" w:hAnsiTheme="minorEastAsia" w:eastAsiaTheme="minorEastAsia"/>
          <w:b/>
          <w:bCs/>
          <w:sz w:val="24"/>
          <w:szCs w:val="24"/>
          <w:highlight w:val="none"/>
          <w:lang w:eastAsia="zh-CN"/>
        </w:rPr>
        <w:t>交通信控综合指挥平台实施方案</w:t>
      </w:r>
    </w:p>
    <w:p w14:paraId="654B1EE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投标人针对本项目实际提供交通信控综合指挥平台实施方案，方案包括:</w:t>
      </w:r>
    </w:p>
    <w:p w14:paraId="0DECAD9B">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信号控制系统对接</w:t>
      </w:r>
      <w:r>
        <w:rPr>
          <w:rFonts w:hint="eastAsia" w:asciiTheme="minorEastAsia" w:hAnsiTheme="minorEastAsia" w:eastAsiaTheme="minorEastAsia"/>
          <w:sz w:val="24"/>
          <w:szCs w:val="24"/>
          <w:highlight w:val="none"/>
          <w:lang w:eastAsia="zh-CN"/>
        </w:rPr>
        <w:t>方案：</w:t>
      </w:r>
      <w:r>
        <w:rPr>
          <w:rFonts w:asciiTheme="minorEastAsia" w:hAnsiTheme="minorEastAsia" w:eastAsiaTheme="minorEastAsia"/>
          <w:sz w:val="24"/>
          <w:szCs w:val="24"/>
          <w:highlight w:val="none"/>
          <w:lang w:eastAsia="zh-CN"/>
        </w:rPr>
        <w:t>与</w:t>
      </w:r>
      <w:r>
        <w:rPr>
          <w:rFonts w:hint="eastAsia" w:asciiTheme="minorEastAsia" w:hAnsiTheme="minorEastAsia" w:eastAsiaTheme="minorEastAsia"/>
          <w:sz w:val="24"/>
          <w:szCs w:val="24"/>
          <w:highlight w:val="none"/>
          <w:lang w:eastAsia="zh-CN"/>
        </w:rPr>
        <w:t>甲方</w:t>
      </w:r>
      <w:r>
        <w:rPr>
          <w:rFonts w:asciiTheme="minorEastAsia" w:hAnsiTheme="minorEastAsia" w:eastAsiaTheme="minorEastAsia"/>
          <w:sz w:val="24"/>
          <w:szCs w:val="24"/>
          <w:highlight w:val="none"/>
          <w:lang w:eastAsia="zh-CN"/>
        </w:rPr>
        <w:t>现有的信号控制系统对接</w:t>
      </w:r>
      <w:r>
        <w:rPr>
          <w:rFonts w:hint="eastAsia" w:asciiTheme="minorEastAsia" w:hAnsiTheme="minorEastAsia" w:eastAsiaTheme="minorEastAsia"/>
          <w:sz w:val="24"/>
          <w:szCs w:val="24"/>
          <w:highlight w:val="none"/>
          <w:lang w:eastAsia="zh-CN"/>
        </w:rPr>
        <w:t>方案；</w:t>
      </w:r>
    </w:p>
    <w:p w14:paraId="4BCCBD31">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流量采集平台对接</w:t>
      </w:r>
      <w:r>
        <w:rPr>
          <w:rFonts w:hint="eastAsia" w:asciiTheme="minorEastAsia" w:hAnsiTheme="minorEastAsia" w:eastAsiaTheme="minorEastAsia"/>
          <w:sz w:val="24"/>
          <w:szCs w:val="24"/>
          <w:highlight w:val="none"/>
          <w:lang w:eastAsia="zh-CN"/>
        </w:rPr>
        <w:t>方案：</w:t>
      </w:r>
      <w:r>
        <w:rPr>
          <w:rFonts w:asciiTheme="minorEastAsia" w:hAnsiTheme="minorEastAsia" w:eastAsiaTheme="minorEastAsia"/>
          <w:sz w:val="24"/>
          <w:szCs w:val="24"/>
          <w:highlight w:val="none"/>
          <w:lang w:eastAsia="zh-CN"/>
        </w:rPr>
        <w:t>与</w:t>
      </w:r>
      <w:r>
        <w:rPr>
          <w:rFonts w:hint="eastAsia" w:asciiTheme="minorEastAsia" w:hAnsiTheme="minorEastAsia" w:eastAsiaTheme="minorEastAsia"/>
          <w:sz w:val="24"/>
          <w:szCs w:val="24"/>
          <w:highlight w:val="none"/>
          <w:lang w:eastAsia="zh-CN"/>
        </w:rPr>
        <w:t>甲方</w:t>
      </w:r>
      <w:r>
        <w:rPr>
          <w:rFonts w:asciiTheme="minorEastAsia" w:hAnsiTheme="minorEastAsia" w:eastAsiaTheme="minorEastAsia"/>
          <w:sz w:val="24"/>
          <w:szCs w:val="24"/>
          <w:highlight w:val="none"/>
          <w:lang w:eastAsia="zh-CN"/>
        </w:rPr>
        <w:t>现有的流量采集平台对接</w:t>
      </w:r>
      <w:r>
        <w:rPr>
          <w:rFonts w:hint="eastAsia" w:asciiTheme="minorEastAsia" w:hAnsiTheme="minorEastAsia" w:eastAsiaTheme="minorEastAsia"/>
          <w:sz w:val="24"/>
          <w:szCs w:val="24"/>
          <w:highlight w:val="none"/>
          <w:lang w:eastAsia="zh-CN"/>
        </w:rPr>
        <w:t>方案；</w:t>
      </w:r>
    </w:p>
    <w:p w14:paraId="0882EF40">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态势监控：至少包括拥堵排名、实时路况、异常交通拥堵、交通流热力等展示内容；</w:t>
      </w:r>
    </w:p>
    <w:p w14:paraId="222113B0">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日常管控：至少包括实时监视、远程监视、分组管控等内容；</w:t>
      </w:r>
    </w:p>
    <w:p w14:paraId="69FD0B92">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协调控制：至少包括绿波带配置方案、协调相位差推荐、绿波方案加载等内容；</w:t>
      </w:r>
    </w:p>
    <w:p w14:paraId="2BB1C891">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管控预案：至少包括预案编制、预案执行、预案监视等内容；</w:t>
      </w:r>
    </w:p>
    <w:p w14:paraId="5E682510">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数据分析：至少包括交通参量分析、交通服务因子分析、交通状态分析等内容；</w:t>
      </w:r>
    </w:p>
    <w:p w14:paraId="5C62AE1A">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智能优化方案：至少包括路口均衡优化控制、路径协调优化控制、溢出应急联动控制、混合交通自适应控制等内容。</w:t>
      </w:r>
    </w:p>
    <w:p w14:paraId="50BE0CBC">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asciiTheme="minorEastAsia" w:hAnsiTheme="minorEastAsia" w:eastAsiaTheme="minorEastAsia"/>
          <w:b/>
          <w:bCs/>
          <w:sz w:val="24"/>
          <w:szCs w:val="24"/>
          <w:highlight w:val="none"/>
          <w:lang w:eastAsia="zh-CN"/>
        </w:rPr>
        <w:t>4、</w:t>
      </w:r>
      <w:r>
        <w:rPr>
          <w:rFonts w:hint="eastAsia" w:asciiTheme="minorEastAsia" w:hAnsiTheme="minorEastAsia" w:eastAsiaTheme="minorEastAsia"/>
          <w:b/>
          <w:bCs/>
          <w:sz w:val="24"/>
          <w:szCs w:val="24"/>
          <w:highlight w:val="none"/>
          <w:lang w:eastAsia="zh-CN"/>
        </w:rPr>
        <w:t>项目实施管理方案</w:t>
      </w:r>
    </w:p>
    <w:p w14:paraId="25FB7AB7">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投标人针对本项目实际提供项目实施管理方案，方案包括:</w:t>
      </w:r>
    </w:p>
    <w:p w14:paraId="3B9F7FF8">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①项目实施组织部署方案；组织架构合理，人员配置贴合实际需求，具有详细实施方案、资源供应计划和各方协调组织方案，能确保项目顺利通过验收；</w:t>
      </w:r>
    </w:p>
    <w:p w14:paraId="70FD1D7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②进度计划及保证措施；工期安排合理，关键里程碑节点明确，工期保障有力</w:t>
      </w:r>
    </w:p>
    <w:p w14:paraId="396140CB">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③质量及安全文明保障措施；有严格的质量和安全文明管控制度，配备专职质量和安全控管理人员，详细的管理措施，能确保项目质量和安全符合要求。</w:t>
      </w:r>
    </w:p>
    <w:p w14:paraId="62FF734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④突发事件应急处置方案：提供的突发事件发生可能性高、应对预案完整，应急服务时间及人员、应急备品备件符合规范要求、具有针对性及可操作性。</w:t>
      </w:r>
    </w:p>
    <w:p w14:paraId="7CF73CB7">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5、服务方案</w:t>
      </w:r>
    </w:p>
    <w:p w14:paraId="33E14054">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投标人针对本项目实际提供服务方案，方案包括:</w:t>
      </w:r>
    </w:p>
    <w:p w14:paraId="636D962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①售后服务保障；包括从产品质量、专业团队、响应时效及技术支持多维度搭建完善售后保障体系，全方位保障本项目稳定使用等</w:t>
      </w:r>
    </w:p>
    <w:p w14:paraId="7E2551FE">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②售后服务流程；包括多渠道报修受理、工单响应核查、故障落地处理、客户验收确认、售后回访归档到争议投诉处理的全流程标准化、可追溯售后服务机制等</w:t>
      </w:r>
    </w:p>
    <w:p w14:paraId="78C76D9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③售后服务内容；包括提供技术咨询、备品备件、日常巡检、故障维修、保养维护、产品升级及专属增值服务等全方位售后支持</w:t>
      </w:r>
    </w:p>
    <w:p w14:paraId="15C41E7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④售后服务时间。包括提供7×24小时全天候响应，服务响应及时，保障常规问题及时处理、紧急故障全天候抢修响应等</w:t>
      </w:r>
    </w:p>
    <w:p w14:paraId="1FD252CA">
      <w:pPr>
        <w:pStyle w:val="201"/>
        <w:spacing w:line="480" w:lineRule="exact"/>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六</w:t>
      </w:r>
      <w:r>
        <w:rPr>
          <w:rFonts w:cs="微软雅黑" w:asciiTheme="minorEastAsia" w:hAnsiTheme="minorEastAsia" w:eastAsiaTheme="minorEastAsia"/>
          <w:b/>
          <w:sz w:val="24"/>
          <w:szCs w:val="24"/>
          <w:highlight w:val="none"/>
          <w:lang w:eastAsia="zh-CN"/>
        </w:rPr>
        <w:t>、综合说明</w:t>
      </w:r>
    </w:p>
    <w:p w14:paraId="62BEDDC2">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、中标人对服务缺陷不予更正，招标人有权另请其他单位更正，所发生的费用由中标单位承担。</w:t>
      </w:r>
    </w:p>
    <w:p w14:paraId="4F4E352A">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、如遇招标人有重大基建等特殊情况（工作量减少或增加幅度较大时），招标人将提前一个月告知中标单位，合同内容经双方协商调整。</w:t>
      </w:r>
    </w:p>
    <w:p w14:paraId="065A765C">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为保证采购人软件平台功能和服务的质量保障，确保业务工作开展的稳定运行，投标单位研发的软件和数据接口应至少能满足具备较高的技术成熟度和行业认可程度，且不得低于业内技术要求，否则直接影响其评标结果。评标小组针对投标单位提供的服务产品情况有权认定其是否实质性响应招标文件要求。</w:t>
      </w:r>
    </w:p>
    <w:p w14:paraId="577B62B0">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p>
    <w:p w14:paraId="3385EDC7">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5</w:t>
      </w:r>
      <w:r>
        <w:rPr>
          <w:rFonts w:hint="eastAsia" w:cs="微软雅黑" w:asciiTheme="minorEastAsia" w:hAnsiTheme="minorEastAsia" w:eastAsiaTheme="minorEastAsia"/>
          <w:sz w:val="24"/>
          <w:szCs w:val="24"/>
          <w:highlight w:val="none"/>
          <w:lang w:eastAsia="zh-CN"/>
        </w:rPr>
        <w:t>、采购单位保留在投标单位中标后，委托第三方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p>
    <w:p w14:paraId="33FFBE17">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6</w:t>
      </w:r>
      <w:r>
        <w:rPr>
          <w:rFonts w:hint="eastAsia" w:cs="微软雅黑" w:asciiTheme="minorEastAsia" w:hAnsiTheme="minorEastAsia" w:eastAsiaTheme="minorEastAsia"/>
          <w:sz w:val="24"/>
          <w:szCs w:val="24"/>
          <w:highlight w:val="none"/>
          <w:lang w:eastAsia="zh-CN"/>
        </w:rPr>
        <w:t>、投标人应在投标文件中说明，如能中标，在服务过程中需要招标人配合的工作和需要提供的条件。</w:t>
      </w:r>
    </w:p>
    <w:p w14:paraId="752C472D">
      <w:pPr>
        <w:pStyle w:val="201"/>
        <w:spacing w:line="480" w:lineRule="exact"/>
        <w:rPr>
          <w:rFonts w:hint="eastAsia" w:asciiTheme="minorEastAsia" w:hAnsiTheme="minorEastAsia" w:eastAsiaTheme="minorEastAsia"/>
          <w:sz w:val="24"/>
          <w:szCs w:val="24"/>
          <w:highlight w:val="none"/>
          <w:lang w:eastAsia="zh-CN"/>
        </w:rPr>
      </w:pPr>
    </w:p>
    <w:p w14:paraId="3EB38CD9">
      <w:pPr>
        <w:pStyle w:val="201"/>
        <w:spacing w:line="460" w:lineRule="exact"/>
        <w:rPr>
          <w:rFonts w:hint="eastAsia" w:ascii="宋体" w:hAnsi="宋体" w:eastAsia="宋体" w:cs="宋体"/>
          <w:b/>
          <w:sz w:val="24"/>
          <w:szCs w:val="24"/>
          <w:highlight w:val="none"/>
          <w:lang w:eastAsia="zh-CN"/>
        </w:rPr>
      </w:pPr>
    </w:p>
    <w:p w14:paraId="092F3248">
      <w:pPr>
        <w:pStyle w:val="201"/>
        <w:spacing w:line="460" w:lineRule="exact"/>
        <w:rPr>
          <w:rFonts w:hint="eastAsia" w:ascii="宋体" w:hAnsi="宋体" w:eastAsia="宋体" w:cs="宋体"/>
          <w:b/>
          <w:sz w:val="24"/>
          <w:szCs w:val="24"/>
          <w:highlight w:val="none"/>
          <w:lang w:eastAsia="zh-CN"/>
        </w:rPr>
      </w:pPr>
    </w:p>
    <w:p w14:paraId="72A8B8A3">
      <w:pPr>
        <w:pStyle w:val="201"/>
        <w:spacing w:line="460" w:lineRule="exact"/>
        <w:rPr>
          <w:rFonts w:hint="eastAsia" w:ascii="宋体" w:hAnsi="宋体" w:eastAsia="宋体" w:cs="宋体"/>
          <w:b/>
          <w:sz w:val="24"/>
          <w:szCs w:val="24"/>
          <w:highlight w:val="none"/>
          <w:lang w:eastAsia="zh-CN"/>
        </w:rPr>
      </w:pPr>
    </w:p>
    <w:p w14:paraId="4DC0462A">
      <w:pPr>
        <w:pStyle w:val="201"/>
        <w:spacing w:line="460" w:lineRule="exact"/>
        <w:rPr>
          <w:rFonts w:hint="eastAsia" w:ascii="宋体" w:hAnsi="宋体" w:eastAsia="宋体" w:cs="宋体"/>
          <w:b/>
          <w:sz w:val="24"/>
          <w:szCs w:val="24"/>
          <w:highlight w:val="none"/>
          <w:lang w:eastAsia="zh-CN"/>
        </w:rPr>
      </w:pPr>
    </w:p>
    <w:p w14:paraId="6450AA53">
      <w:pPr>
        <w:pStyle w:val="201"/>
        <w:spacing w:line="460" w:lineRule="exact"/>
        <w:rPr>
          <w:rFonts w:hint="eastAsia" w:ascii="宋体" w:hAnsi="宋体" w:eastAsia="宋体" w:cs="宋体"/>
          <w:b/>
          <w:sz w:val="24"/>
          <w:szCs w:val="24"/>
          <w:highlight w:val="none"/>
          <w:lang w:eastAsia="zh-CN"/>
        </w:rPr>
      </w:pPr>
    </w:p>
    <w:p w14:paraId="05A30FAB">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r>
    </w:p>
    <w:p w14:paraId="5B9CBA9B">
      <w:pPr>
        <w:pStyle w:val="201"/>
        <w:spacing w:line="460" w:lineRule="exact"/>
        <w:rPr>
          <w:rFonts w:hint="eastAsia" w:ascii="宋体" w:hAnsi="宋体" w:eastAsia="宋体" w:cs="宋体"/>
          <w:b/>
          <w:sz w:val="24"/>
          <w:szCs w:val="24"/>
          <w:highlight w:val="none"/>
          <w:lang w:eastAsia="zh-CN"/>
        </w:rPr>
      </w:pPr>
    </w:p>
    <w:p w14:paraId="26AFC1F3">
      <w:pPr>
        <w:spacing w:line="50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附件1：服务类项目履约验收方案</w:t>
      </w:r>
      <w:r>
        <w:rPr>
          <w:rFonts w:hint="eastAsia" w:ascii="宋体" w:hAnsi="宋体" w:eastAsia="宋体" w:cs="宋体"/>
          <w:sz w:val="24"/>
          <w:szCs w:val="24"/>
          <w:highlight w:val="none"/>
          <w:lang w:eastAsia="zh-CN"/>
        </w:rPr>
        <w:t>（模板，具体验收方案以本项目管理考核办法为准）</w:t>
      </w:r>
    </w:p>
    <w:p w14:paraId="3FB0417F">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一、项目概况</w:t>
      </w:r>
    </w:p>
    <w:p w14:paraId="67CD8425">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w:t>
      </w:r>
    </w:p>
    <w:p w14:paraId="52536591">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p>
    <w:p w14:paraId="646C5B9E">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供应商名称：</w:t>
      </w:r>
    </w:p>
    <w:p w14:paraId="2C03A47A">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合同金额：</w:t>
      </w:r>
    </w:p>
    <w:p w14:paraId="22C99B43">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验收主体：</w:t>
      </w:r>
    </w:p>
    <w:p w14:paraId="2B5622FF">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二、验收目的</w:t>
      </w:r>
    </w:p>
    <w:p w14:paraId="22895952">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0A34599D">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三、验收依据</w:t>
      </w:r>
    </w:p>
    <w:p w14:paraId="155E7FB4">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6555E18C">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四、验收责任主体</w:t>
      </w:r>
    </w:p>
    <w:p w14:paraId="2ABAAAC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56374660">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五、验收准备</w:t>
      </w:r>
    </w:p>
    <w:p w14:paraId="2193AACB">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5.1、验收准备</w:t>
      </w:r>
    </w:p>
    <w:p w14:paraId="390BE006">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5.1.1、政府采购合同约定的履约验收条件达到，采购人应当在5个工作 日内启动履约验收工作，并向供应商发出政府采购履约验收通知单。</w:t>
      </w:r>
    </w:p>
    <w:p w14:paraId="179E1B73">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5.1.2、供应商应当配合采购人、采购代理机构做好项目验收工作，及时提供与项目验收相关的生产、技术、服务、数量、质量、安全、合格证明及验收所必须具备的其他材料。</w:t>
      </w:r>
    </w:p>
    <w:p w14:paraId="278FD961">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5.2、验收小组</w:t>
      </w:r>
    </w:p>
    <w:p w14:paraId="5493267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C37A755">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6E1B2445">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5.3、参与验收人员</w:t>
      </w:r>
    </w:p>
    <w:p w14:paraId="224B545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5.3.1、技术复杂或专业性强的政府采购项目，可以邀请有资质的第三方专业机构参加验收并出具专业意见。</w:t>
      </w:r>
    </w:p>
    <w:p w14:paraId="3EEF6F63">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5.3.2、对于采购人和使用人分离的采购项目，采购人或其委托的采购代理机构应当邀请实际使用人参与验收。</w:t>
      </w:r>
    </w:p>
    <w:p w14:paraId="02910462">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5.3.3、政府向社会公众提供的公共服务项目，验收时应当邀请服务对象进行公共服务项目满意度评价，评价结果作为履约验收的参考依据。</w:t>
      </w:r>
    </w:p>
    <w:p w14:paraId="1061C7CC">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六、验收方式(形式)</w:t>
      </w:r>
    </w:p>
    <w:p w14:paraId="123A8653">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6.1、日常考核、分段验收</w:t>
      </w:r>
    </w:p>
    <w:p w14:paraId="6A3FE4E2">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303C9DED">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七、验收内容：</w:t>
      </w:r>
    </w:p>
    <w:p w14:paraId="20834F30">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7.1、验收内容</w:t>
      </w:r>
    </w:p>
    <w:p w14:paraId="68819FDA">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p>
    <w:p w14:paraId="4FDE6FF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7.1.2、项目验收范围应当完整，与采购合同一致，不得省略、遗漏和缺失，也不得擅自扩大范围。</w:t>
      </w:r>
    </w:p>
    <w:p w14:paraId="237A6E03">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7.1.3、项目验收标准应包括所有客观、量化指标，符合采购合同约定，未进行相应约定的，应当符合法律法规、政策要求、国家标准、行业标准，地方标准或企业标准等有关标准。</w:t>
      </w:r>
    </w:p>
    <w:p w14:paraId="2ADB38AA">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7.1.4、项目验收意见应当客观真实。验收小组成员意见不一致时，按照少数服从多数的原则作出验收意见。</w:t>
      </w:r>
    </w:p>
    <w:p w14:paraId="3719A7DA">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7.2、验收记录</w:t>
      </w:r>
    </w:p>
    <w:p w14:paraId="6E4924B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7.2.1、验收小组应当要求参与验收的供应商、专业机构、专家和服务对象等出具书面意见，作为验收书的重要组成部分。</w:t>
      </w:r>
    </w:p>
    <w:p w14:paraId="07128E79">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6DF07386">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3C8CC508">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八、验收结果</w:t>
      </w:r>
    </w:p>
    <w:p w14:paraId="7F6F865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8.1采购人、供应商应当对验收小组出具的验收意见进行确认，并形成政府采购履约验收书。对验收意见存在异议的，采购人与供应商双方可以协商解决，或通过法律途径解决。</w:t>
      </w:r>
    </w:p>
    <w:p w14:paraId="7482A26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8.2项目履约验收合格的，采购人应当根据政府采购合同约定及时向供应商支付采购资金、退还履约保证金，不得拖延、拖欠或非法扣留。</w:t>
      </w:r>
    </w:p>
    <w:p w14:paraId="529D5D1A">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8.3项目验收不合格的，采购人应当停止支付采购资金，并按照政府采购合同约定追究供应商违约责任。</w:t>
      </w:r>
    </w:p>
    <w:p w14:paraId="7A0988E1">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8.4涉及分期（分段）验收的项目，采购人应当开展阶段性验收，并出具阶段性验收意见，最后形成总验收意见。</w:t>
      </w:r>
    </w:p>
    <w:p w14:paraId="5AD52928">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九、验收资料归档</w:t>
      </w:r>
    </w:p>
    <w:p w14:paraId="3E98C277">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项目履约验收完结后，采购人应当将验收小组名单、验收方案、验收原始记录、验收结果等资料作为采购项目档案 妥善保管，不得伪造、编造、隐匿或者违规销毁。</w:t>
      </w:r>
    </w:p>
    <w:p w14:paraId="05692E65">
      <w:pPr>
        <w:pStyle w:val="201"/>
        <w:spacing w:line="460" w:lineRule="exact"/>
        <w:rPr>
          <w:rFonts w:hint="eastAsia" w:ascii="宋体" w:hAnsi="宋体" w:eastAsia="宋体" w:cs="宋体"/>
          <w:spacing w:val="9"/>
          <w:sz w:val="24"/>
          <w:szCs w:val="24"/>
          <w:highlight w:val="none"/>
          <w:lang w:eastAsia="zh-CN"/>
        </w:rPr>
      </w:pPr>
    </w:p>
    <w:p w14:paraId="2F258008">
      <w:pPr>
        <w:pStyle w:val="201"/>
        <w:spacing w:line="460" w:lineRule="exact"/>
        <w:rPr>
          <w:rFonts w:hint="eastAsia" w:ascii="宋体" w:hAnsi="宋体" w:eastAsia="宋体" w:cs="宋体"/>
          <w:spacing w:val="9"/>
          <w:sz w:val="24"/>
          <w:szCs w:val="24"/>
          <w:highlight w:val="none"/>
          <w:lang w:eastAsia="zh-CN"/>
        </w:rPr>
      </w:pPr>
    </w:p>
    <w:p w14:paraId="4CAD743E">
      <w:pPr>
        <w:pStyle w:val="201"/>
        <w:spacing w:line="460" w:lineRule="exact"/>
        <w:rPr>
          <w:rFonts w:hint="eastAsia" w:ascii="宋体" w:hAnsi="宋体" w:eastAsia="宋体" w:cs="宋体"/>
          <w:spacing w:val="9"/>
          <w:sz w:val="24"/>
          <w:szCs w:val="24"/>
          <w:highlight w:val="none"/>
          <w:lang w:eastAsia="zh-CN"/>
        </w:rPr>
      </w:pPr>
    </w:p>
    <w:p w14:paraId="35515759">
      <w:pPr>
        <w:pStyle w:val="201"/>
        <w:spacing w:line="460" w:lineRule="exact"/>
        <w:rPr>
          <w:rFonts w:hint="eastAsia" w:ascii="宋体" w:hAnsi="宋体" w:eastAsia="宋体" w:cs="宋体"/>
          <w:spacing w:val="9"/>
          <w:sz w:val="24"/>
          <w:szCs w:val="24"/>
          <w:highlight w:val="none"/>
          <w:lang w:eastAsia="zh-CN"/>
        </w:rPr>
      </w:pPr>
    </w:p>
    <w:p w14:paraId="0C90CF98">
      <w:pPr>
        <w:pStyle w:val="201"/>
        <w:spacing w:line="460" w:lineRule="exact"/>
        <w:rPr>
          <w:rFonts w:hint="eastAsia" w:ascii="宋体" w:hAnsi="宋体" w:eastAsia="宋体" w:cs="宋体"/>
          <w:spacing w:val="9"/>
          <w:sz w:val="24"/>
          <w:szCs w:val="24"/>
          <w:highlight w:val="none"/>
          <w:lang w:eastAsia="zh-CN"/>
        </w:rPr>
      </w:pPr>
    </w:p>
    <w:p w14:paraId="2A78C107">
      <w:pPr>
        <w:spacing w:after="0" w:line="240" w:lineRule="auto"/>
        <w:rPr>
          <w:rFonts w:hint="eastAsia"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r>
    </w:p>
    <w:p w14:paraId="7591F5F8">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hint="eastAsia" w:ascii="宋体" w:hAnsi="宋体" w:eastAsia="宋体" w:cs="宋体"/>
          <w:b/>
          <w:sz w:val="44"/>
          <w:highlight w:val="none"/>
          <w:lang w:eastAsia="zh-CN"/>
        </w:rPr>
      </w:pPr>
      <w:r>
        <w:rPr>
          <w:rFonts w:hint="eastAsia" w:ascii="宋体" w:hAnsi="宋体" w:eastAsia="宋体" w:cs="宋体"/>
          <w:b/>
          <w:spacing w:val="9"/>
          <w:sz w:val="36"/>
          <w:szCs w:val="36"/>
          <w:highlight w:val="none"/>
          <w:lang w:eastAsia="zh-CN"/>
        </w:rPr>
        <w:t>政府采购履约验收书(服务类）</w:t>
      </w:r>
    </w:p>
    <w:tbl>
      <w:tblPr>
        <w:tblStyle w:val="4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4409C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B960F6B">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46DA8477">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4818A82A">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74F8326A">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0B30092">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1E29C8D1">
            <w:pPr>
              <w:spacing w:line="300" w:lineRule="exact"/>
              <w:jc w:val="center"/>
              <w:rPr>
                <w:rFonts w:hint="eastAsia" w:ascii="宋体" w:hAnsi="宋体" w:eastAsia="宋体" w:cs="宋体"/>
                <w:sz w:val="18"/>
                <w:szCs w:val="18"/>
                <w:highlight w:val="none"/>
                <w:lang w:bidi="ar"/>
              </w:rPr>
            </w:pPr>
          </w:p>
        </w:tc>
      </w:tr>
      <w:tr w14:paraId="585767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59B3411">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6E295999">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435F323A">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3616A76C">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1E21B799">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0E8D2880">
            <w:pPr>
              <w:spacing w:line="300" w:lineRule="exact"/>
              <w:jc w:val="center"/>
              <w:rPr>
                <w:rFonts w:hint="eastAsia" w:ascii="宋体" w:hAnsi="宋体" w:eastAsia="宋体" w:cs="宋体"/>
                <w:sz w:val="18"/>
                <w:szCs w:val="18"/>
                <w:highlight w:val="none"/>
                <w:lang w:bidi="ar"/>
              </w:rPr>
            </w:pPr>
          </w:p>
        </w:tc>
      </w:tr>
      <w:tr w14:paraId="15A68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C305181">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54B3818D">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057DE733">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4A1B555C">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共分   期（段），此为第   期（段）验收</w:t>
            </w:r>
          </w:p>
        </w:tc>
      </w:tr>
      <w:tr w14:paraId="190A2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1D63CDF">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02EA144D">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691986EA">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1359C104">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54E602F">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5ACCF1F2">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□自行简易验收</w:t>
            </w:r>
          </w:p>
          <w:p w14:paraId="036AA8F5">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□验收小组验收</w:t>
            </w:r>
          </w:p>
          <w:p w14:paraId="2DE082E4">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□采购代理机构验收</w:t>
            </w:r>
          </w:p>
        </w:tc>
      </w:tr>
      <w:tr w14:paraId="30402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3694D481">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06A92C6A">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23197FEE">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244D8163">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4C69881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079674A9">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32062181">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合同履约时间、 地点、方式</w:t>
            </w:r>
          </w:p>
        </w:tc>
      </w:tr>
      <w:tr w14:paraId="7888D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295224A2">
            <w:pPr>
              <w:spacing w:line="300" w:lineRule="exact"/>
              <w:jc w:val="center"/>
              <w:rPr>
                <w:rFonts w:hint="eastAsia" w:ascii="宋体" w:hAnsi="宋体" w:eastAsia="宋体" w:cs="宋体"/>
                <w:sz w:val="18"/>
                <w:szCs w:val="18"/>
                <w:highlight w:val="none"/>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4F54209C">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6973DEA1">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1D30BE27">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p>
          <w:p w14:paraId="71FB94B7">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5B85134F">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1B42AE05">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681AB401">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6378816C">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109FE21">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1766EF10">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62EDFFB1">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F77230F">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r>
      <w:tr w14:paraId="50EA9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49FCD90">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719DE1C1">
            <w:pPr>
              <w:spacing w:line="300" w:lineRule="exact"/>
              <w:jc w:val="center"/>
              <w:rPr>
                <w:rFonts w:hint="eastAsia" w:ascii="宋体" w:hAnsi="宋体" w:eastAsia="宋体" w:cs="宋体"/>
                <w:sz w:val="18"/>
                <w:szCs w:val="18"/>
                <w:highlight w:val="none"/>
                <w:lang w:eastAsia="zh-CN" w:bidi="ar"/>
              </w:rPr>
            </w:pPr>
          </w:p>
        </w:tc>
      </w:tr>
      <w:tr w14:paraId="2FA36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3C20D84">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存在问题</w:t>
            </w:r>
          </w:p>
          <w:p w14:paraId="568D6881">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9EEF7C1">
            <w:pPr>
              <w:spacing w:line="300" w:lineRule="exact"/>
              <w:jc w:val="center"/>
              <w:rPr>
                <w:rFonts w:hint="eastAsia" w:ascii="宋体" w:hAnsi="宋体" w:eastAsia="宋体" w:cs="宋体"/>
                <w:sz w:val="18"/>
                <w:szCs w:val="18"/>
                <w:highlight w:val="none"/>
                <w:lang w:bidi="ar"/>
              </w:rPr>
            </w:pPr>
          </w:p>
        </w:tc>
      </w:tr>
      <w:tr w14:paraId="4EF9EA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ABCEEAC">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2D1D0FF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  格□                              不合格□</w:t>
            </w:r>
          </w:p>
        </w:tc>
      </w:tr>
      <w:tr w14:paraId="33245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4B2325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验收小组成员</w:t>
            </w:r>
          </w:p>
          <w:p w14:paraId="2341E1FD">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31876B19">
            <w:pPr>
              <w:spacing w:line="300" w:lineRule="exact"/>
              <w:jc w:val="center"/>
              <w:rPr>
                <w:rFonts w:hint="eastAsia" w:ascii="宋体" w:hAnsi="宋体" w:eastAsia="宋体" w:cs="宋体"/>
                <w:sz w:val="18"/>
                <w:szCs w:val="18"/>
                <w:highlight w:val="none"/>
                <w:lang w:bidi="ar"/>
              </w:rPr>
            </w:pPr>
          </w:p>
        </w:tc>
      </w:tr>
      <w:tr w14:paraId="112E89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1508D93A">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0F8234C1">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采购人意见</w:t>
            </w:r>
          </w:p>
        </w:tc>
      </w:tr>
      <w:tr w14:paraId="2ED85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41699ECB">
            <w:pPr>
              <w:spacing w:line="300" w:lineRule="exact"/>
              <w:rPr>
                <w:rFonts w:hint="eastAsia" w:ascii="宋体" w:hAnsi="宋体" w:eastAsia="宋体" w:cs="宋体"/>
                <w:sz w:val="18"/>
                <w:szCs w:val="18"/>
                <w:highlight w:val="none"/>
                <w:lang w:eastAsia="zh-CN" w:bidi="ar"/>
              </w:rPr>
            </w:pPr>
          </w:p>
          <w:p w14:paraId="0BFDAE5C">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1E16C662">
            <w:pPr>
              <w:spacing w:line="300" w:lineRule="exact"/>
              <w:rPr>
                <w:rFonts w:hint="eastAsia" w:ascii="宋体" w:hAnsi="宋体" w:eastAsia="宋体" w:cs="宋体"/>
                <w:sz w:val="18"/>
                <w:szCs w:val="18"/>
                <w:highlight w:val="none"/>
                <w:lang w:eastAsia="zh-CN" w:bidi="ar"/>
              </w:rPr>
            </w:pPr>
          </w:p>
          <w:p w14:paraId="6AC55199">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（采购人公章）</w:t>
            </w:r>
          </w:p>
        </w:tc>
      </w:tr>
      <w:tr w14:paraId="4B42D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3D75DEE3">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供应商确认：</w:t>
            </w:r>
          </w:p>
          <w:p w14:paraId="6DF48247">
            <w:pPr>
              <w:spacing w:line="300" w:lineRule="exact"/>
              <w:rPr>
                <w:rFonts w:hint="eastAsia" w:ascii="宋体" w:hAnsi="宋体" w:eastAsia="宋体" w:cs="宋体"/>
                <w:sz w:val="18"/>
                <w:szCs w:val="18"/>
                <w:highlight w:val="none"/>
                <w:lang w:eastAsia="zh-CN" w:bidi="ar"/>
              </w:rPr>
            </w:pPr>
          </w:p>
          <w:p w14:paraId="5836D980">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（单位公章或授权代表签字）</w:t>
            </w:r>
          </w:p>
        </w:tc>
      </w:tr>
    </w:tbl>
    <w:p w14:paraId="5E912B85">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tbl>
      <w:tblPr>
        <w:tblStyle w:val="45"/>
        <w:tblW w:w="4714" w:type="pct"/>
        <w:tblInd w:w="174" w:type="dxa"/>
        <w:tblLayout w:type="autofit"/>
        <w:tblCellMar>
          <w:top w:w="0" w:type="dxa"/>
          <w:left w:w="108" w:type="dxa"/>
          <w:bottom w:w="0" w:type="dxa"/>
          <w:right w:w="108" w:type="dxa"/>
        </w:tblCellMar>
      </w:tblPr>
      <w:tblGrid>
        <w:gridCol w:w="3844"/>
        <w:gridCol w:w="751"/>
        <w:gridCol w:w="2655"/>
        <w:gridCol w:w="1774"/>
      </w:tblGrid>
      <w:tr w14:paraId="556AFAF2">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023F674F">
            <w:pPr>
              <w:jc w:val="center"/>
              <w:textAlignment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bidi="ar"/>
              </w:rPr>
              <w:t>政府采购履约验收通知单</w:t>
            </w:r>
          </w:p>
        </w:tc>
      </w:tr>
      <w:tr w14:paraId="4A4A49B6">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noWrap/>
            <w:vAlign w:val="center"/>
          </w:tcPr>
          <w:p w14:paraId="0429E711">
            <w:pP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供应商：</w:t>
            </w:r>
          </w:p>
        </w:tc>
        <w:tc>
          <w:tcPr>
            <w:tcW w:w="416" w:type="pct"/>
            <w:tcBorders>
              <w:top w:val="nil"/>
              <w:left w:val="nil"/>
              <w:bottom w:val="nil"/>
              <w:right w:val="nil"/>
            </w:tcBorders>
            <w:noWrap/>
            <w:vAlign w:val="center"/>
          </w:tcPr>
          <w:p w14:paraId="569236CA">
            <w:pPr>
              <w:jc w:val="center"/>
              <w:rPr>
                <w:rFonts w:hint="eastAsia" w:ascii="宋体" w:hAnsi="宋体" w:eastAsia="宋体" w:cs="宋体"/>
                <w:sz w:val="24"/>
                <w:szCs w:val="24"/>
                <w:highlight w:val="none"/>
              </w:rPr>
            </w:pPr>
          </w:p>
        </w:tc>
        <w:tc>
          <w:tcPr>
            <w:tcW w:w="1471" w:type="pct"/>
            <w:tcBorders>
              <w:top w:val="nil"/>
              <w:left w:val="nil"/>
              <w:bottom w:val="nil"/>
              <w:right w:val="nil"/>
            </w:tcBorders>
            <w:noWrap/>
            <w:vAlign w:val="center"/>
          </w:tcPr>
          <w:p w14:paraId="424CC564">
            <w:pPr>
              <w:jc w:val="center"/>
              <w:rPr>
                <w:rFonts w:hint="eastAsia" w:ascii="宋体" w:hAnsi="宋体" w:eastAsia="宋体" w:cs="宋体"/>
                <w:sz w:val="24"/>
                <w:szCs w:val="24"/>
                <w:highlight w:val="none"/>
              </w:rPr>
            </w:pPr>
          </w:p>
        </w:tc>
        <w:tc>
          <w:tcPr>
            <w:tcW w:w="981" w:type="pct"/>
            <w:tcBorders>
              <w:top w:val="nil"/>
              <w:left w:val="nil"/>
              <w:bottom w:val="nil"/>
              <w:right w:val="nil"/>
            </w:tcBorders>
            <w:noWrap/>
            <w:vAlign w:val="center"/>
          </w:tcPr>
          <w:p w14:paraId="163D5749">
            <w:pPr>
              <w:jc w:val="center"/>
              <w:rPr>
                <w:rFonts w:hint="eastAsia" w:ascii="宋体" w:hAnsi="宋体" w:eastAsia="宋体" w:cs="宋体"/>
                <w:sz w:val="24"/>
                <w:szCs w:val="24"/>
                <w:highlight w:val="none"/>
              </w:rPr>
            </w:pPr>
          </w:p>
        </w:tc>
      </w:tr>
      <w:tr w14:paraId="02A57B95">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1EFA9BD1">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0F386C75">
            <w:pPr>
              <w:jc w:val="center"/>
              <w:rPr>
                <w:rFonts w:hint="eastAsia" w:ascii="宋体" w:hAnsi="宋体" w:eastAsia="宋体" w:cs="宋体"/>
                <w:sz w:val="24"/>
                <w:szCs w:val="24"/>
                <w:highlight w:val="none"/>
              </w:rPr>
            </w:pPr>
          </w:p>
        </w:tc>
      </w:tr>
      <w:tr w14:paraId="6F54CC3C">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182A3A6">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2BCCEAB4">
            <w:pPr>
              <w:jc w:val="center"/>
              <w:rPr>
                <w:rFonts w:hint="eastAsia" w:ascii="宋体" w:hAnsi="宋体" w:eastAsia="宋体" w:cs="宋体"/>
                <w:sz w:val="24"/>
                <w:szCs w:val="24"/>
                <w:highlight w:val="none"/>
              </w:rPr>
            </w:pPr>
          </w:p>
        </w:tc>
      </w:tr>
      <w:tr w14:paraId="414CA52A">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32C19A0">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6DDFE477">
            <w:pPr>
              <w:jc w:val="center"/>
              <w:rPr>
                <w:rFonts w:hint="eastAsia" w:ascii="宋体" w:hAnsi="宋体" w:eastAsia="宋体" w:cs="宋体"/>
                <w:sz w:val="24"/>
                <w:szCs w:val="24"/>
                <w:highlight w:val="none"/>
              </w:rPr>
            </w:pPr>
          </w:p>
        </w:tc>
      </w:tr>
      <w:tr w14:paraId="64B11DD6">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34690085">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3B45B400">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7C173AFD">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223EF7B2">
            <w:pPr>
              <w:jc w:val="center"/>
              <w:rPr>
                <w:rFonts w:hint="eastAsia" w:ascii="宋体" w:hAnsi="宋体" w:eastAsia="宋体" w:cs="宋体"/>
                <w:sz w:val="24"/>
                <w:szCs w:val="24"/>
                <w:highlight w:val="none"/>
              </w:rPr>
            </w:pPr>
          </w:p>
        </w:tc>
      </w:tr>
      <w:tr w14:paraId="586057DB">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79D28117">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1BAF5435">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303E2AAE">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5BF81C3E">
            <w:pPr>
              <w:jc w:val="center"/>
              <w:rPr>
                <w:rFonts w:hint="eastAsia" w:ascii="宋体" w:hAnsi="宋体" w:eastAsia="宋体" w:cs="宋体"/>
                <w:sz w:val="24"/>
                <w:szCs w:val="24"/>
                <w:highlight w:val="none"/>
              </w:rPr>
            </w:pPr>
          </w:p>
        </w:tc>
      </w:tr>
      <w:tr w14:paraId="7125420A">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03174487">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2EACABF6">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314DC9B2">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103F8D88">
            <w:pPr>
              <w:jc w:val="center"/>
              <w:rPr>
                <w:rFonts w:hint="eastAsia" w:ascii="宋体" w:hAnsi="宋体" w:eastAsia="宋体" w:cs="宋体"/>
                <w:sz w:val="24"/>
                <w:szCs w:val="24"/>
                <w:highlight w:val="none"/>
              </w:rPr>
            </w:pPr>
          </w:p>
        </w:tc>
      </w:tr>
      <w:tr w14:paraId="2CC73299">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3D637D35">
            <w:pPr>
              <w:jc w:val="center"/>
              <w:textAlignment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履约验收方案及工作要求</w:t>
            </w:r>
          </w:p>
        </w:tc>
      </w:tr>
      <w:tr w14:paraId="7BBFEBB3">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70ECD0F9">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w:t>
            </w:r>
          </w:p>
          <w:p w14:paraId="4819E5E7">
            <w:pPr>
              <w:jc w:val="center"/>
              <w:textAlignment w:val="center"/>
              <w:rPr>
                <w:rFonts w:hint="eastAsia" w:ascii="宋体" w:hAnsi="宋体" w:eastAsia="宋体" w:cs="宋体"/>
                <w:sz w:val="24"/>
                <w:szCs w:val="24"/>
                <w:highlight w:val="none"/>
                <w:lang w:eastAsia="zh-CN" w:bidi="ar"/>
              </w:rPr>
            </w:pPr>
          </w:p>
          <w:p w14:paraId="2495BC17">
            <w:pPr>
              <w:jc w:val="center"/>
              <w:textAlignment w:val="center"/>
              <w:rPr>
                <w:rFonts w:hint="eastAsia" w:ascii="宋体" w:hAnsi="宋体" w:eastAsia="宋体" w:cs="宋体"/>
                <w:sz w:val="24"/>
                <w:szCs w:val="24"/>
                <w:highlight w:val="none"/>
                <w:lang w:eastAsia="zh-CN" w:bidi="ar"/>
              </w:rPr>
            </w:pPr>
          </w:p>
          <w:p w14:paraId="1F5D8AC9">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单位公章</w:t>
            </w:r>
          </w:p>
          <w:p w14:paraId="62A1FEFC">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         年 月 日</w:t>
            </w:r>
          </w:p>
        </w:tc>
      </w:tr>
      <w:tr w14:paraId="10C3168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CC23049">
            <w:pPr>
              <w:jc w:val="center"/>
              <w:rPr>
                <w:rFonts w:hint="eastAsia" w:ascii="宋体" w:hAnsi="宋体" w:eastAsia="宋体" w:cs="宋体"/>
                <w:sz w:val="24"/>
                <w:szCs w:val="24"/>
                <w:highlight w:val="none"/>
              </w:rPr>
            </w:pPr>
          </w:p>
        </w:tc>
      </w:tr>
      <w:tr w14:paraId="105D936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744AAEA">
            <w:pPr>
              <w:jc w:val="center"/>
              <w:rPr>
                <w:rFonts w:hint="eastAsia" w:ascii="宋体" w:hAnsi="宋体" w:eastAsia="宋体" w:cs="宋体"/>
                <w:sz w:val="24"/>
                <w:szCs w:val="24"/>
                <w:highlight w:val="none"/>
              </w:rPr>
            </w:pPr>
          </w:p>
        </w:tc>
      </w:tr>
      <w:tr w14:paraId="155FD56E">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0EB7E79">
            <w:pPr>
              <w:jc w:val="center"/>
              <w:rPr>
                <w:rFonts w:hint="eastAsia" w:ascii="宋体" w:hAnsi="宋体" w:eastAsia="宋体" w:cs="宋体"/>
                <w:sz w:val="24"/>
                <w:szCs w:val="24"/>
                <w:highlight w:val="none"/>
              </w:rPr>
            </w:pPr>
          </w:p>
        </w:tc>
      </w:tr>
      <w:tr w14:paraId="3F5E914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88B9EFA">
            <w:pPr>
              <w:jc w:val="center"/>
              <w:rPr>
                <w:rFonts w:hint="eastAsia" w:ascii="宋体" w:hAnsi="宋体" w:eastAsia="宋体" w:cs="宋体"/>
                <w:sz w:val="24"/>
                <w:szCs w:val="24"/>
                <w:highlight w:val="none"/>
              </w:rPr>
            </w:pPr>
          </w:p>
        </w:tc>
      </w:tr>
      <w:tr w14:paraId="25E3552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9F7E39A">
            <w:pPr>
              <w:jc w:val="center"/>
              <w:rPr>
                <w:rFonts w:hint="eastAsia" w:ascii="宋体" w:hAnsi="宋体" w:eastAsia="宋体" w:cs="宋体"/>
                <w:sz w:val="24"/>
                <w:szCs w:val="24"/>
                <w:highlight w:val="none"/>
              </w:rPr>
            </w:pPr>
          </w:p>
        </w:tc>
      </w:tr>
      <w:tr w14:paraId="0E41A08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D457FB9">
            <w:pPr>
              <w:jc w:val="center"/>
              <w:rPr>
                <w:rFonts w:hint="eastAsia" w:ascii="宋体" w:hAnsi="宋体" w:eastAsia="宋体" w:cs="宋体"/>
                <w:sz w:val="24"/>
                <w:szCs w:val="24"/>
                <w:highlight w:val="none"/>
              </w:rPr>
            </w:pPr>
          </w:p>
        </w:tc>
      </w:tr>
      <w:tr w14:paraId="78D6A1A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6B8C127">
            <w:pPr>
              <w:jc w:val="center"/>
              <w:rPr>
                <w:rFonts w:hint="eastAsia" w:ascii="宋体" w:hAnsi="宋体" w:eastAsia="宋体" w:cs="宋体"/>
                <w:sz w:val="24"/>
                <w:szCs w:val="24"/>
                <w:highlight w:val="none"/>
              </w:rPr>
            </w:pPr>
          </w:p>
        </w:tc>
      </w:tr>
      <w:tr w14:paraId="2D674FAB">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D053FA4">
            <w:pPr>
              <w:jc w:val="center"/>
              <w:rPr>
                <w:rFonts w:hint="eastAsia" w:ascii="宋体" w:hAnsi="宋体" w:eastAsia="宋体" w:cs="宋体"/>
                <w:sz w:val="24"/>
                <w:szCs w:val="24"/>
                <w:highlight w:val="none"/>
              </w:rPr>
            </w:pPr>
          </w:p>
        </w:tc>
      </w:tr>
      <w:tr w14:paraId="0A668CF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F682BD5">
            <w:pPr>
              <w:jc w:val="center"/>
              <w:rPr>
                <w:rFonts w:hint="eastAsia" w:ascii="宋体" w:hAnsi="宋体" w:eastAsia="宋体" w:cs="宋体"/>
                <w:sz w:val="24"/>
                <w:szCs w:val="24"/>
                <w:highlight w:val="none"/>
              </w:rPr>
            </w:pPr>
          </w:p>
        </w:tc>
      </w:tr>
      <w:tr w14:paraId="4BA2793C">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B3B43BD">
            <w:pPr>
              <w:jc w:val="center"/>
              <w:rPr>
                <w:rFonts w:hint="eastAsia" w:ascii="宋体" w:hAnsi="宋体" w:eastAsia="宋体" w:cs="宋体"/>
                <w:sz w:val="24"/>
                <w:szCs w:val="24"/>
                <w:highlight w:val="none"/>
              </w:rPr>
            </w:pPr>
          </w:p>
        </w:tc>
      </w:tr>
    </w:tbl>
    <w:p w14:paraId="3311C8E4">
      <w:pPr>
        <w:rPr>
          <w:rFonts w:hint="eastAsia" w:ascii="宋体" w:hAnsi="宋体" w:eastAsia="宋体" w:cs="宋体"/>
          <w:highlight w:val="none"/>
          <w:lang w:eastAsia="zh-CN"/>
        </w:rPr>
      </w:pPr>
    </w:p>
    <w:p w14:paraId="4C54A15A">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p w14:paraId="65BEE152">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p w14:paraId="66D6E8A5">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p w14:paraId="5DA7E452">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第四部分 投标文件格式</w:t>
      </w:r>
    </w:p>
    <w:p w14:paraId="0CEF0A97">
      <w:pPr>
        <w:pBdr>
          <w:top w:val="none" w:color="000000" w:sz="0" w:space="0"/>
          <w:left w:val="none" w:color="000000" w:sz="0" w:space="0"/>
          <w:bottom w:val="none" w:color="000000" w:sz="0" w:space="0"/>
          <w:right w:val="none" w:color="000000" w:sz="0" w:space="0"/>
        </w:pBdr>
        <w:spacing w:after="0" w:line="380" w:lineRule="atLeast"/>
        <w:jc w:val="center"/>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4975EC7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BFC7D9F">
      <w:pPr>
        <w:pBdr>
          <w:top w:val="none" w:color="000000" w:sz="0" w:space="0"/>
          <w:left w:val="none" w:color="000000" w:sz="0" w:space="0"/>
          <w:bottom w:val="none" w:color="000000" w:sz="0" w:space="0"/>
          <w:right w:val="none" w:color="000000" w:sz="0" w:space="0"/>
        </w:pBdr>
        <w:spacing w:after="0" w:line="85" w:lineRule="atLeast"/>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说明：</w:t>
      </w:r>
    </w:p>
    <w:p w14:paraId="306C1D0C">
      <w:pPr>
        <w:pBdr>
          <w:top w:val="none" w:color="000000" w:sz="0" w:space="0"/>
          <w:left w:val="none" w:color="000000" w:sz="0" w:space="0"/>
          <w:bottom w:val="none" w:color="000000" w:sz="0" w:space="0"/>
          <w:right w:val="none" w:color="000000" w:sz="0" w:space="0"/>
        </w:pBdr>
        <w:spacing w:after="0" w:line="85" w:lineRule="atLeast"/>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对本章所有的投标书格式，投标方可根据自身情况进行补充和修改，但补充和修改不得造成与本格式内容有实质性的违背。</w:t>
      </w:r>
    </w:p>
    <w:p w14:paraId="3EA3187F">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11EF9063">
      <w:pPr>
        <w:pBdr>
          <w:top w:val="none" w:color="000000" w:sz="0" w:space="0"/>
          <w:left w:val="none" w:color="000000" w:sz="0" w:space="0"/>
          <w:bottom w:val="none" w:color="000000" w:sz="0" w:space="0"/>
          <w:right w:val="none" w:color="000000" w:sz="0" w:space="0"/>
        </w:pBdr>
        <w:spacing w:after="0" w:line="85"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w:t>
      </w:r>
      <w:r>
        <w:rPr>
          <w:rFonts w:hint="eastAsia" w:ascii="宋体" w:hAnsi="宋体" w:eastAsia="宋体" w:cs="宋体"/>
          <w:b/>
          <w:color w:val="000000"/>
          <w:sz w:val="28"/>
          <w:highlight w:val="none"/>
          <w:lang w:eastAsia="zh-CN"/>
        </w:rPr>
        <w:t>关于资格文件的声明函</w:t>
      </w:r>
    </w:p>
    <w:p w14:paraId="2E82EE0C">
      <w:pPr>
        <w:pBdr>
          <w:top w:val="none" w:color="000000" w:sz="0" w:space="0"/>
          <w:left w:val="none" w:color="000000" w:sz="0" w:space="0"/>
          <w:bottom w:val="none" w:color="000000" w:sz="0" w:space="0"/>
          <w:right w:val="none" w:color="000000" w:sz="0" w:space="0"/>
        </w:pBdr>
        <w:spacing w:after="0"/>
        <w:ind w:left="1260" w:firstLine="42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6FF31228">
      <w:pPr>
        <w:pBdr>
          <w:top w:val="none" w:color="000000" w:sz="0" w:space="0"/>
          <w:left w:val="none" w:color="000000" w:sz="0" w:space="0"/>
          <w:bottom w:val="none" w:color="000000" w:sz="0" w:space="0"/>
          <w:right w:val="none" w:color="000000" w:sz="0" w:space="0"/>
        </w:pBdr>
        <w:spacing w:after="0"/>
        <w:ind w:left="1260" w:firstLine="42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5B0C7387">
      <w:pPr>
        <w:pBdr>
          <w:top w:val="none" w:color="000000" w:sz="0" w:space="0"/>
          <w:left w:val="none" w:color="000000" w:sz="0" w:space="0"/>
          <w:bottom w:val="none" w:color="000000" w:sz="0" w:space="0"/>
          <w:right w:val="none" w:color="000000" w:sz="0" w:space="0"/>
        </w:pBdr>
        <w:spacing w:after="0"/>
        <w:ind w:left="1260" w:firstLine="177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关于资格文件的声明函</w:t>
      </w:r>
    </w:p>
    <w:p w14:paraId="07B8EA92">
      <w:pPr>
        <w:pBdr>
          <w:top w:val="none" w:color="000000" w:sz="0" w:space="0"/>
          <w:left w:val="none" w:color="000000" w:sz="0" w:space="0"/>
          <w:bottom w:val="none" w:color="000000" w:sz="0" w:space="0"/>
          <w:right w:val="none" w:color="000000" w:sz="0" w:space="0"/>
        </w:pBdr>
        <w:spacing w:after="0"/>
        <w:ind w:left="1260" w:firstLine="420"/>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C0BA56D">
      <w:pPr>
        <w:pBdr>
          <w:top w:val="none" w:color="000000" w:sz="0" w:space="0"/>
          <w:left w:val="none" w:color="000000" w:sz="0" w:space="0"/>
          <w:bottom w:val="none" w:color="000000" w:sz="0" w:space="0"/>
          <w:right w:val="none" w:color="000000" w:sz="0" w:space="0"/>
        </w:pBdr>
        <w:spacing w:after="0" w:line="499" w:lineRule="atLeast"/>
        <w:ind w:firstLine="240"/>
        <w:jc w:val="both"/>
        <w:rPr>
          <w:rFonts w:hint="eastAsia" w:ascii="宋体" w:hAnsi="宋体" w:eastAsia="宋体" w:cs="宋体"/>
          <w:highlight w:val="none"/>
          <w:lang w:eastAsia="zh-CN"/>
        </w:rPr>
      </w:pPr>
      <w:r>
        <w:rPr>
          <w:rFonts w:hint="eastAsia" w:ascii="宋体" w:hAnsi="宋体" w:eastAsia="宋体" w:cs="宋体"/>
          <w:color w:val="000000"/>
          <w:sz w:val="24"/>
          <w:highlight w:val="none"/>
          <w:u w:val="single"/>
          <w:lang w:eastAsia="zh-CN"/>
        </w:rPr>
        <w:t>苏州市公共资源交易中心太仓分中心</w:t>
      </w:r>
      <w:r>
        <w:rPr>
          <w:rFonts w:hint="eastAsia" w:ascii="宋体" w:hAnsi="宋体" w:eastAsia="宋体" w:cs="宋体"/>
          <w:color w:val="000000"/>
          <w:sz w:val="24"/>
          <w:highlight w:val="none"/>
          <w:lang w:eastAsia="zh-CN"/>
        </w:rPr>
        <w:t>：</w:t>
      </w:r>
    </w:p>
    <w:p w14:paraId="45D61DE4">
      <w:pPr>
        <w:pBdr>
          <w:top w:val="none" w:color="000000" w:sz="0" w:space="0"/>
          <w:left w:val="none" w:color="000000" w:sz="0" w:space="0"/>
          <w:bottom w:val="none" w:color="000000" w:sz="0" w:space="0"/>
          <w:right w:val="none" w:color="000000" w:sz="0" w:space="0"/>
        </w:pBdr>
        <w:spacing w:after="0" w:line="499" w:lineRule="atLeast"/>
        <w:ind w:left="283" w:right="445" w:firstLine="54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JSZC-320585-JZCG-G2026-0081</w:t>
      </w:r>
      <w:r>
        <w:rPr>
          <w:rFonts w:hint="eastAsia" w:ascii="宋体" w:hAnsi="宋体" w:eastAsia="宋体" w:cs="宋体"/>
          <w:color w:val="000000"/>
          <w:sz w:val="24"/>
          <w:highlight w:val="none"/>
          <w:lang w:eastAsia="zh-CN"/>
        </w:rPr>
        <w:t>号的招标活动进行投标。本公司所提交的投标文件中所有关于投标资格的文件、证明和陈述均是真实的、准确的。若与真实情况不符，本公司愿意承担由此而产生的一切后果。</w:t>
      </w:r>
    </w:p>
    <w:p w14:paraId="42457EC2">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F1CA486">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8E0B6E6">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2FD53FBE">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22FB199E">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161281B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F070F9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CEED47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15A0903">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61896E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860E09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795238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F80B2A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751BA5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567163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3ECD128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5C4D96B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279CE9F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49C874A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2A2F44C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726DEBD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7DFD92B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03F32B6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22D5316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67D47F6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5E2957F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8"/>
          <w:highlight w:val="none"/>
          <w:lang w:eastAsia="zh-CN"/>
        </w:rPr>
        <w:t>2、投标承诺函</w:t>
      </w:r>
    </w:p>
    <w:p w14:paraId="73211AC9">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投标承诺函</w:t>
      </w:r>
    </w:p>
    <w:p w14:paraId="580D92B8">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u w:val="single"/>
          <w:lang w:eastAsia="zh-CN"/>
        </w:rPr>
        <w:t xml:space="preserve">苏州市公共资源交易中心太仓分中心 </w:t>
      </w:r>
      <w:r>
        <w:rPr>
          <w:rFonts w:hint="eastAsia" w:ascii="宋体" w:hAnsi="宋体" w:eastAsia="宋体" w:cs="宋体"/>
          <w:color w:val="000000"/>
          <w:sz w:val="24"/>
          <w:highlight w:val="none"/>
          <w:lang w:eastAsia="zh-CN"/>
        </w:rPr>
        <w:t xml:space="preserve">：       </w:t>
      </w:r>
    </w:p>
    <w:p w14:paraId="1BC286DF">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0BCCD5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我们收到贵单位</w:t>
      </w:r>
      <w:r>
        <w:rPr>
          <w:rFonts w:hint="eastAsia" w:ascii="宋体" w:hAnsi="宋体" w:eastAsia="宋体" w:cs="宋体"/>
          <w:b/>
          <w:color w:val="000000"/>
          <w:sz w:val="24"/>
          <w:highlight w:val="none"/>
          <w:u w:val="single"/>
          <w:lang w:eastAsia="zh-CN"/>
        </w:rPr>
        <w:t xml:space="preserve"> </w:t>
      </w:r>
      <w:r>
        <w:rPr>
          <w:rFonts w:hint="eastAsia" w:ascii="宋体" w:hAnsi="宋体" w:eastAsia="宋体" w:cs="宋体"/>
          <w:b/>
          <w:sz w:val="24"/>
          <w:szCs w:val="24"/>
          <w:highlight w:val="none"/>
          <w:u w:val="single"/>
          <w:lang w:eastAsia="zh-CN"/>
        </w:rPr>
        <w:t>太仓市智慧城市新型基础设施建设（第二批）</w:t>
      </w:r>
      <w:r>
        <w:rPr>
          <w:rFonts w:hint="eastAsia" w:ascii="宋体" w:hAnsi="宋体" w:eastAsia="宋体" w:cs="宋体"/>
          <w:color w:val="000000"/>
          <w:sz w:val="24"/>
          <w:highlight w:val="none"/>
          <w:lang w:eastAsia="zh-CN"/>
        </w:rPr>
        <w:t>招标文件（项目编号：</w:t>
      </w:r>
      <w:r>
        <w:rPr>
          <w:rFonts w:hint="eastAsia" w:ascii="宋体" w:hAnsi="宋体" w:eastAsia="宋体" w:cs="宋体"/>
          <w:b/>
          <w:sz w:val="24"/>
          <w:szCs w:val="24"/>
          <w:highlight w:val="none"/>
          <w:u w:val="single"/>
          <w:lang w:eastAsia="zh-CN"/>
        </w:rPr>
        <w:t>JSZC-320585-JZCG-G2026-0081</w:t>
      </w:r>
      <w:r>
        <w:rPr>
          <w:rFonts w:hint="eastAsia" w:ascii="宋体" w:hAnsi="宋体" w:eastAsia="宋体" w:cs="宋体"/>
          <w:color w:val="000000"/>
          <w:sz w:val="24"/>
          <w:highlight w:val="none"/>
          <w:lang w:eastAsia="zh-CN"/>
        </w:rPr>
        <w:t>），经仔细阅读和研究，我们决定参加投标。</w:t>
      </w:r>
    </w:p>
    <w:p w14:paraId="361D47A9">
      <w:pPr>
        <w:pBdr>
          <w:top w:val="none" w:color="000000" w:sz="0" w:space="0"/>
          <w:left w:val="none" w:color="000000" w:sz="0" w:space="0"/>
          <w:bottom w:val="none" w:color="000000" w:sz="0" w:space="0"/>
          <w:right w:val="none" w:color="000000" w:sz="0" w:space="0"/>
        </w:pBdr>
        <w:spacing w:after="0" w:line="439" w:lineRule="atLeast"/>
        <w:ind w:firstLine="24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1、我们愿意按照招标文件的一切要求，提供包括完成该项目全部内容的材料及人工、机械、保险、劳保、各种税费以及质保期间的一切费用。</w:t>
      </w:r>
    </w:p>
    <w:p w14:paraId="1C52F0D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2、如果我们的投标书被接受，我们将严格履行招标文件中规定的每一项要求，按期、按质、按量履行合同的义务。</w:t>
      </w:r>
    </w:p>
    <w:p w14:paraId="34ED544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3、我们同意按招标文件中的规定，本投标书的有效期限为开标后</w:t>
      </w:r>
      <w:r>
        <w:rPr>
          <w:rFonts w:hint="eastAsia" w:ascii="宋体" w:hAnsi="宋体" w:eastAsia="宋体" w:cs="宋体"/>
          <w:b/>
          <w:color w:val="000000"/>
          <w:sz w:val="24"/>
          <w:highlight w:val="none"/>
          <w:u w:val="single"/>
          <w:lang w:eastAsia="zh-CN"/>
        </w:rPr>
        <w:t>90</w:t>
      </w:r>
      <w:r>
        <w:rPr>
          <w:rFonts w:hint="eastAsia" w:ascii="宋体" w:hAnsi="宋体" w:eastAsia="宋体" w:cs="宋体"/>
          <w:color w:val="000000"/>
          <w:sz w:val="24"/>
          <w:highlight w:val="none"/>
          <w:lang w:eastAsia="zh-CN"/>
        </w:rPr>
        <w:t>天。</w:t>
      </w:r>
    </w:p>
    <w:p w14:paraId="0FC6CCD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4、我们愿意提供招标方在招标文件中要求的所有资料。</w:t>
      </w:r>
    </w:p>
    <w:p w14:paraId="58ABF0B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5、我们认为你们有权决定中标者，还认为你们有权接受或拒绝所有的投标者。</w:t>
      </w:r>
    </w:p>
    <w:p w14:paraId="573DD227">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6、我们完全理解贵方不一定要接受最低报价的投标或收到的任何投标。</w:t>
      </w:r>
    </w:p>
    <w:p w14:paraId="79B3F4D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7、我们承诺该项投标在开标后的全过程中保持有效，不作任何更改和变动。</w:t>
      </w:r>
    </w:p>
    <w:p w14:paraId="07C3B6D1">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w:t>
      </w:r>
      <w:r>
        <w:rPr>
          <w:rFonts w:hint="eastAsia" w:ascii="宋体" w:hAnsi="宋体" w:eastAsia="宋体" w:cs="宋体"/>
          <w:b/>
          <w:color w:val="000000"/>
          <w:sz w:val="24"/>
          <w:highlight w:val="none"/>
          <w:lang w:eastAsia="zh-CN"/>
        </w:rPr>
        <w:t>如果中标，我们同意并知晓中标通知书发出方式及发出时间，遵守招标文件和中标通知书规定，在指定时间和地点和采购人签订合同。</w:t>
      </w:r>
    </w:p>
    <w:p w14:paraId="7A492F16">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9、综合说明：</w:t>
      </w:r>
    </w:p>
    <w:p w14:paraId="64A063EA">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（1）伴随服务及配合措施；</w:t>
      </w:r>
    </w:p>
    <w:p w14:paraId="7825EAD6">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（2）要求甲方提供的配合；</w:t>
      </w:r>
    </w:p>
    <w:p w14:paraId="61AF03FC">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（3）对招标文件有不同意见的偏离说明；</w:t>
      </w:r>
    </w:p>
    <w:p w14:paraId="1238B849">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（4）其它说明。</w:t>
      </w:r>
    </w:p>
    <w:p w14:paraId="250284EA">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所有有关标书的函电，请按下列地址联系：</w:t>
      </w:r>
    </w:p>
    <w:p w14:paraId="6CB1C7EB">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单位：联系人：</w:t>
      </w:r>
    </w:p>
    <w:p w14:paraId="7B4F6413">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地址：邮政编码：</w:t>
      </w:r>
    </w:p>
    <w:p w14:paraId="2FBF27B6">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联系电话：传真：</w:t>
      </w:r>
    </w:p>
    <w:p w14:paraId="53633FDE">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195FDD1">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1237106C">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657DBC6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23B0911C">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47BB97AB">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3、参加政府采购活动前三年内，在经营活动中没有重大违法记录声明</w:t>
      </w:r>
    </w:p>
    <w:p w14:paraId="02B65351">
      <w:pPr>
        <w:pBdr>
          <w:top w:val="none" w:color="000000" w:sz="0" w:space="0"/>
          <w:left w:val="none" w:color="000000" w:sz="0" w:space="0"/>
          <w:bottom w:val="none" w:color="000000" w:sz="0" w:space="0"/>
          <w:right w:val="none" w:color="000000" w:sz="0" w:space="0"/>
        </w:pBdr>
        <w:spacing w:after="0" w:line="85" w:lineRule="atLeast"/>
        <w:ind w:left="-210" w:right="-21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27A6F5E3">
      <w:pPr>
        <w:pBdr>
          <w:top w:val="none" w:color="000000" w:sz="0" w:space="0"/>
          <w:left w:val="none" w:color="000000" w:sz="0" w:space="0"/>
          <w:bottom w:val="none" w:color="000000" w:sz="0" w:space="0"/>
          <w:right w:val="none" w:color="000000" w:sz="0" w:space="0"/>
        </w:pBdr>
        <w:spacing w:after="0" w:line="85" w:lineRule="atLeast"/>
        <w:jc w:val="center"/>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参加政府采购活动前三年内，在经营活动中没有重大违法记录声明</w:t>
      </w:r>
    </w:p>
    <w:p w14:paraId="4B33C66E">
      <w:pPr>
        <w:pBdr>
          <w:top w:val="none" w:color="000000" w:sz="0" w:space="0"/>
          <w:left w:val="none" w:color="000000" w:sz="0" w:space="0"/>
          <w:bottom w:val="none" w:color="000000" w:sz="0" w:space="0"/>
          <w:right w:val="none" w:color="000000" w:sz="0" w:space="0"/>
        </w:pBdr>
        <w:spacing w:after="0" w:line="85"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C5046F3">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致：苏州市公共资源交易中心太仓分中心：</w:t>
      </w:r>
    </w:p>
    <w:p w14:paraId="4EBE9BB6">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我单位</w:t>
      </w:r>
      <w:r>
        <w:rPr>
          <w:rFonts w:hint="eastAsia" w:ascii="宋体" w:hAnsi="宋体" w:eastAsia="宋体" w:cs="宋体"/>
          <w:sz w:val="24"/>
          <w:highlight w:val="none"/>
          <w:u w:val="single"/>
          <w:lang w:eastAsia="zh-CN"/>
        </w:rPr>
        <w:t>         </w:t>
      </w:r>
      <w:r>
        <w:rPr>
          <w:rFonts w:hint="eastAsia" w:ascii="宋体" w:hAnsi="宋体" w:eastAsia="宋体" w:cs="宋体"/>
          <w:sz w:val="24"/>
          <w:highlight w:val="none"/>
          <w:lang w:eastAsia="zh-CN"/>
        </w:rPr>
        <w:t>（供应商名称）在参加政府采购活动前三年内，没有重大违法记录，特此声明。</w:t>
      </w:r>
    </w:p>
    <w:p w14:paraId="0168813E">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若采购代理机构在本项目采购过程中发现我单位近三年内在经营活动中有重大违法记录，我单位将无条件退出本项目的招标，并承担因此引起的一起后果。</w:t>
      </w:r>
    </w:p>
    <w:p w14:paraId="2132DF1F">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w:t>
      </w:r>
    </w:p>
    <w:p w14:paraId="37A67990">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供应商名称（单位公章）：</w:t>
      </w:r>
    </w:p>
    <w:p w14:paraId="08924B5E">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法定代表人（负责人）或代理人（签字或盖章）：</w:t>
      </w:r>
    </w:p>
    <w:p w14:paraId="6F61F9DC">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投标日期： 年 月 日</w:t>
      </w:r>
    </w:p>
    <w:p w14:paraId="1CBB6D47">
      <w:pPr>
        <w:pBdr>
          <w:top w:val="none" w:color="000000" w:sz="0" w:space="0"/>
          <w:left w:val="none" w:color="000000" w:sz="0" w:space="0"/>
          <w:bottom w:val="none" w:color="000000" w:sz="0" w:space="0"/>
          <w:right w:val="none" w:color="000000" w:sz="0" w:space="0"/>
        </w:pBdr>
        <w:spacing w:after="0" w:line="400"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5D5BF61D">
      <w:pPr>
        <w:pBdr>
          <w:top w:val="none" w:color="000000" w:sz="0" w:space="0"/>
          <w:left w:val="none" w:color="000000" w:sz="0" w:space="0"/>
          <w:bottom w:val="none" w:color="000000" w:sz="0" w:space="0"/>
          <w:right w:val="none" w:color="000000" w:sz="0" w:space="0"/>
        </w:pBdr>
        <w:spacing w:after="0" w:line="400" w:lineRule="atLeast"/>
        <w:jc w:val="both"/>
        <w:rPr>
          <w:rFonts w:hint="eastAsia" w:ascii="宋体" w:hAnsi="宋体" w:eastAsia="宋体" w:cs="宋体"/>
          <w:highlight w:val="none"/>
          <w:lang w:eastAsia="zh-CN"/>
        </w:rPr>
      </w:pPr>
      <w:r>
        <w:rPr>
          <w:rFonts w:hint="eastAsia" w:ascii="宋体" w:hAnsi="宋体" w:eastAsia="宋体" w:cs="宋体"/>
          <w:b/>
          <w:color w:val="000000"/>
          <w:sz w:val="28"/>
          <w:highlight w:val="none"/>
          <w:lang w:eastAsia="zh-CN"/>
        </w:rPr>
        <w:t>4、投标单位情况表</w:t>
      </w:r>
    </w:p>
    <w:p w14:paraId="2BFD8EA7">
      <w:pPr>
        <w:pBdr>
          <w:top w:val="none" w:color="000000" w:sz="0" w:space="0"/>
          <w:left w:val="none" w:color="000000" w:sz="0" w:space="0"/>
          <w:bottom w:val="none" w:color="000000" w:sz="0" w:space="0"/>
          <w:right w:val="none" w:color="000000" w:sz="0" w:space="0"/>
        </w:pBdr>
        <w:spacing w:after="0"/>
        <w:ind w:left="1260" w:firstLine="2175"/>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投标单位情况表</w:t>
      </w:r>
    </w:p>
    <w:p w14:paraId="39566786">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单位名称（盖章）：</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6FE6DE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2CE44C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E30D8CF">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2FA7396">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D311B08">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21F613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E21C0E">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5AEB87">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A0A547C">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580CF6">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         万元</w:t>
            </w:r>
          </w:p>
        </w:tc>
      </w:tr>
      <w:tr w14:paraId="0C5FB3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848CA0D">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7C5899">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6A11AA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737899">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EE6662A">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7EA3845">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F7D6ED4">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2EA4C8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D8611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112193">
            <w:pPr>
              <w:pBdr>
                <w:top w:val="none" w:color="000000" w:sz="0" w:space="0"/>
                <w:left w:val="none" w:color="000000" w:sz="0" w:space="0"/>
                <w:bottom w:val="none" w:color="000000" w:sz="0" w:space="0"/>
                <w:right w:val="none" w:color="000000" w:sz="0" w:space="0"/>
              </w:pBdr>
              <w:spacing w:after="0" w:line="240" w:lineRule="auto"/>
              <w:ind w:firstLine="120"/>
              <w:jc w:val="both"/>
              <w:rPr>
                <w:rFonts w:hint="eastAsia" w:ascii="宋体" w:hAnsi="宋体" w:eastAsia="宋体" w:cs="宋体"/>
                <w:highlight w:val="none"/>
              </w:rPr>
            </w:pPr>
            <w:r>
              <w:rPr>
                <w:rFonts w:hint="eastAsia" w:ascii="宋体" w:hAnsi="宋体" w:eastAsia="宋体" w:cs="宋体"/>
                <w:color w:val="000000"/>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641A7B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CB2058">
            <w:pPr>
              <w:pBdr>
                <w:top w:val="none" w:color="000000" w:sz="0" w:space="0"/>
                <w:left w:val="none" w:color="000000" w:sz="0" w:space="0"/>
                <w:bottom w:val="none" w:color="000000" w:sz="0" w:space="0"/>
                <w:right w:val="none" w:color="000000" w:sz="0" w:space="0"/>
              </w:pBdr>
              <w:spacing w:after="0" w:line="240" w:lineRule="auto"/>
              <w:ind w:left="1260"/>
              <w:jc w:val="center"/>
              <w:rPr>
                <w:rFonts w:hint="eastAsia" w:ascii="宋体" w:hAnsi="宋体" w:eastAsia="宋体" w:cs="宋体"/>
                <w:highlight w:val="none"/>
              </w:rPr>
            </w:pPr>
            <w:r>
              <w:rPr>
                <w:rFonts w:hint="eastAsia" w:ascii="宋体" w:hAnsi="宋体" w:eastAsia="宋体" w:cs="宋体"/>
                <w:color w:val="000000"/>
                <w:sz w:val="24"/>
                <w:highlight w:val="none"/>
              </w:rPr>
              <w:t>  万元</w:t>
            </w:r>
          </w:p>
        </w:tc>
      </w:tr>
      <w:tr w14:paraId="7F6D7F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9F6780">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852391F">
            <w:pPr>
              <w:pBdr>
                <w:top w:val="none" w:color="000000" w:sz="0" w:space="0"/>
                <w:left w:val="none" w:color="000000" w:sz="0" w:space="0"/>
                <w:bottom w:val="none" w:color="000000" w:sz="0" w:space="0"/>
                <w:right w:val="none" w:color="000000" w:sz="0" w:space="0"/>
              </w:pBdr>
              <w:spacing w:after="0" w:line="240" w:lineRule="auto"/>
              <w:ind w:firstLine="960"/>
              <w:jc w:val="both"/>
              <w:rPr>
                <w:rFonts w:hint="eastAsia" w:ascii="宋体" w:hAnsi="宋体" w:eastAsia="宋体" w:cs="宋体"/>
                <w:highlight w:val="none"/>
              </w:rPr>
            </w:pPr>
            <w:r>
              <w:rPr>
                <w:rFonts w:hint="eastAsia" w:ascii="宋体" w:hAnsi="宋体" w:eastAsia="宋体" w:cs="宋体"/>
                <w:color w:val="000000"/>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6626C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EA0923">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b/>
                <w:color w:val="000000"/>
                <w:sz w:val="24"/>
                <w:highlight w:val="none"/>
                <w:lang w:eastAsia="zh-CN"/>
              </w:rPr>
              <w:t>2025</w:t>
            </w:r>
            <w:r>
              <w:rPr>
                <w:rFonts w:hint="eastAsia" w:ascii="宋体" w:hAnsi="宋体" w:eastAsia="宋体" w:cs="宋体"/>
                <w:b/>
                <w:color w:val="000000"/>
                <w:sz w:val="24"/>
                <w:highlight w:val="none"/>
              </w:rPr>
              <w:t>年 万元</w:t>
            </w:r>
          </w:p>
        </w:tc>
      </w:tr>
      <w:tr w14:paraId="45F0AB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AFC89A">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AF7C4F">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b/>
                <w:color w:val="000000"/>
                <w:sz w:val="24"/>
                <w:highlight w:val="none"/>
                <w:lang w:eastAsia="zh-CN"/>
              </w:rPr>
              <w:t>2025</w:t>
            </w:r>
            <w:r>
              <w:rPr>
                <w:rFonts w:hint="eastAsia" w:ascii="宋体" w:hAnsi="宋体" w:eastAsia="宋体" w:cs="宋体"/>
                <w:b/>
                <w:color w:val="000000"/>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740BDAA">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9B8E9DD">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6C413E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CF36D56">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1B65FE5">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lang w:eastAsia="zh-CN"/>
              </w:rPr>
              <w:t>    </w:t>
            </w:r>
            <w:r>
              <w:rPr>
                <w:rFonts w:hint="eastAsia" w:ascii="宋体" w:hAnsi="宋体" w:eastAsia="宋体" w:cs="宋体"/>
                <w:color w:val="000000"/>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89C45C">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C3ED40A">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自有面积    平方米</w:t>
            </w:r>
          </w:p>
          <w:p w14:paraId="51595C92">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承租面积    平方米</w:t>
            </w:r>
          </w:p>
        </w:tc>
      </w:tr>
      <w:tr w14:paraId="72FE14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FB4F3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19D49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3984CB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75A10A">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3AFC77C">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64B1A8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67F8CE5">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4D0B27">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249989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E98BA25">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429D9E9">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1FCB5F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13DB74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7AC8086">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30AFE4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284F56">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D7871BB">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3BB2C4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DC27F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F5B879">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4A40B6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3AE463">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588DB1">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bl>
    <w:p w14:paraId="2FA3B95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highlight w:val="none"/>
        </w:rPr>
        <w:br w:type="page" w:clear="all"/>
      </w:r>
    </w:p>
    <w:p w14:paraId="3709D92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5、法定代表人授权委托书 （如有）</w:t>
      </w:r>
    </w:p>
    <w:p w14:paraId="0FDBAC5F">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97062C5">
      <w:pPr>
        <w:pBdr>
          <w:top w:val="none" w:color="000000" w:sz="0" w:space="0"/>
          <w:left w:val="none" w:color="000000" w:sz="0" w:space="0"/>
          <w:bottom w:val="none" w:color="000000" w:sz="0" w:space="0"/>
          <w:right w:val="none" w:color="000000" w:sz="0" w:space="0"/>
        </w:pBdr>
        <w:spacing w:after="0"/>
        <w:ind w:firstLine="420"/>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78A0A7D">
      <w:pPr>
        <w:pBdr>
          <w:top w:val="none" w:color="000000" w:sz="0" w:space="0"/>
          <w:left w:val="none" w:color="000000" w:sz="0" w:space="0"/>
          <w:bottom w:val="none" w:color="000000" w:sz="0" w:space="0"/>
          <w:right w:val="none" w:color="000000" w:sz="0" w:space="0"/>
        </w:pBdr>
        <w:spacing w:after="0"/>
        <w:ind w:firstLine="420"/>
        <w:jc w:val="center"/>
        <w:rPr>
          <w:rFonts w:hint="eastAsia" w:ascii="宋体" w:hAnsi="宋体" w:eastAsia="宋体" w:cs="宋体"/>
          <w:highlight w:val="none"/>
          <w:lang w:eastAsia="zh-CN"/>
        </w:rPr>
      </w:pPr>
      <w:r>
        <w:rPr>
          <w:rFonts w:hint="eastAsia" w:ascii="宋体" w:hAnsi="宋体" w:eastAsia="宋体" w:cs="宋体"/>
          <w:color w:val="000000"/>
          <w:sz w:val="32"/>
          <w:highlight w:val="none"/>
          <w:lang w:eastAsia="zh-CN"/>
        </w:rPr>
        <w:t>授权委托书</w:t>
      </w:r>
    </w:p>
    <w:p w14:paraId="35C13F0B">
      <w:pPr>
        <w:pBdr>
          <w:top w:val="none" w:color="000000" w:sz="0" w:space="0"/>
          <w:left w:val="none" w:color="000000" w:sz="0" w:space="0"/>
          <w:bottom w:val="none" w:color="000000" w:sz="0" w:space="0"/>
          <w:right w:val="none" w:color="000000" w:sz="0" w:space="0"/>
        </w:pBdr>
        <w:spacing w:after="0"/>
        <w:ind w:firstLine="4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19C5679">
      <w:pPr>
        <w:pBdr>
          <w:top w:val="none" w:color="000000" w:sz="0" w:space="0"/>
          <w:left w:val="none" w:color="000000" w:sz="0" w:space="0"/>
          <w:bottom w:val="none" w:color="000000" w:sz="0" w:space="0"/>
          <w:right w:val="none" w:color="000000" w:sz="0" w:space="0"/>
        </w:pBdr>
        <w:spacing w:after="0"/>
        <w:ind w:firstLine="4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5AE32C0">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本授权委托书声明：我</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系</w:t>
      </w:r>
      <w:r>
        <w:rPr>
          <w:rFonts w:hint="eastAsia" w:ascii="宋体" w:hAnsi="宋体" w:eastAsia="宋体" w:cs="宋体"/>
          <w:color w:val="000000"/>
          <w:sz w:val="24"/>
          <w:highlight w:val="none"/>
          <w:u w:val="single"/>
          <w:lang w:eastAsia="zh-CN"/>
        </w:rPr>
        <w:t>（投标单位名称）</w:t>
      </w:r>
      <w:r>
        <w:rPr>
          <w:rFonts w:hint="eastAsia" w:ascii="宋体" w:hAnsi="宋体" w:eastAsia="宋体" w:cs="宋体"/>
          <w:color w:val="000000"/>
          <w:sz w:val="24"/>
          <w:highlight w:val="none"/>
          <w:lang w:eastAsia="zh-CN"/>
        </w:rPr>
        <w:t>的法定代表人，现授权委托</w:t>
      </w:r>
      <w:r>
        <w:rPr>
          <w:rFonts w:hint="eastAsia" w:ascii="宋体" w:hAnsi="宋体" w:eastAsia="宋体" w:cs="宋体"/>
          <w:color w:val="000000"/>
          <w:sz w:val="24"/>
          <w:highlight w:val="none"/>
          <w:u w:val="single"/>
          <w:lang w:eastAsia="zh-CN"/>
        </w:rPr>
        <w:t>（单位名称）</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为我公司代理人，以本公司的名义参加</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JSZC-320585-JZCG-G2026-0081</w:t>
      </w:r>
      <w:r>
        <w:rPr>
          <w:rFonts w:hint="eastAsia" w:ascii="宋体" w:hAnsi="宋体" w:eastAsia="宋体" w:cs="宋体"/>
          <w:color w:val="000000"/>
          <w:sz w:val="24"/>
          <w:highlight w:val="none"/>
          <w:lang w:eastAsia="zh-CN"/>
        </w:rPr>
        <w:t>号的招标活动。代理人在开标、评标、合同谈判过程中所签署的一切文件和处理与这有关的一切事务，我均予以承认。</w:t>
      </w:r>
    </w:p>
    <w:p w14:paraId="36DDE4F0">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代理人在授权委托书有效期内签署的所有文件不因授权委托的撤销而失效，除非有撤销授权委托的书面通知，本授权委托书自投标开始至合同履行完毕止。</w:t>
      </w:r>
    </w:p>
    <w:p w14:paraId="79A4A852">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代理人无转委托权。特此委托！</w:t>
      </w:r>
    </w:p>
    <w:p w14:paraId="3CDA4986">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D437DB6">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投标单位：（盖章）</w:t>
      </w:r>
    </w:p>
    <w:p w14:paraId="413A7566">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法定代表人：（签字或盖章）</w:t>
      </w:r>
    </w:p>
    <w:p w14:paraId="7AB6B26D">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授权代理人：（签字或盖章）</w:t>
      </w:r>
    </w:p>
    <w:p w14:paraId="4DE800C6">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58728B76">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3D5D1E69">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6、开标一览表</w:t>
      </w:r>
    </w:p>
    <w:p w14:paraId="3864753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1"/>
          <w:highlight w:val="none"/>
          <w:lang w:eastAsia="zh-CN"/>
        </w:rPr>
        <w:t> </w:t>
      </w:r>
    </w:p>
    <w:p w14:paraId="00F28FDD">
      <w:pPr>
        <w:pBdr>
          <w:top w:val="none" w:color="000000" w:sz="0" w:space="0"/>
          <w:left w:val="none" w:color="000000" w:sz="0" w:space="0"/>
          <w:bottom w:val="none" w:color="000000" w:sz="0" w:space="0"/>
          <w:right w:val="none" w:color="000000" w:sz="0" w:space="0"/>
        </w:pBdr>
        <w:spacing w:after="0"/>
        <w:jc w:val="center"/>
        <w:rPr>
          <w:rFonts w:hint="eastAsia" w:ascii="宋体" w:hAnsi="宋体" w:eastAsia="宋体" w:cs="宋体"/>
          <w:highlight w:val="none"/>
          <w:lang w:eastAsia="zh-CN"/>
        </w:rPr>
      </w:pPr>
      <w:r>
        <w:rPr>
          <w:rFonts w:hint="eastAsia" w:ascii="宋体" w:hAnsi="宋体" w:eastAsia="宋体" w:cs="宋体"/>
          <w:color w:val="000000"/>
          <w:sz w:val="21"/>
          <w:highlight w:val="none"/>
          <w:lang w:eastAsia="zh-CN"/>
        </w:rPr>
        <w:t> </w:t>
      </w:r>
    </w:p>
    <w:p w14:paraId="7485B792">
      <w:pPr>
        <w:pBdr>
          <w:top w:val="none" w:color="000000" w:sz="0" w:space="0"/>
          <w:left w:val="none" w:color="000000" w:sz="0" w:space="0"/>
          <w:bottom w:val="none" w:color="000000" w:sz="0" w:space="0"/>
          <w:right w:val="none" w:color="000000" w:sz="0" w:space="0"/>
        </w:pBdr>
        <w:spacing w:after="0"/>
        <w:jc w:val="center"/>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开标一览表</w:t>
      </w:r>
    </w:p>
    <w:p w14:paraId="48E0554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1343FC3">
      <w:pPr>
        <w:pBdr>
          <w:top w:val="none" w:color="000000" w:sz="0" w:space="0"/>
          <w:left w:val="none" w:color="000000" w:sz="0" w:space="0"/>
          <w:bottom w:val="none" w:color="000000" w:sz="0" w:space="0"/>
          <w:right w:val="none" w:color="000000" w:sz="0" w:space="0"/>
        </w:pBdr>
        <w:spacing w:after="0"/>
        <w:ind w:firstLine="7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投标人全称（加盖公章）：供应商名称</w:t>
      </w:r>
    </w:p>
    <w:p w14:paraId="2C7EF3CF">
      <w:pPr>
        <w:pBdr>
          <w:top w:val="none" w:color="000000" w:sz="0" w:space="0"/>
          <w:left w:val="none" w:color="000000" w:sz="0" w:space="0"/>
          <w:bottom w:val="none" w:color="000000" w:sz="0" w:space="0"/>
          <w:right w:val="none" w:color="000000" w:sz="0" w:space="0"/>
        </w:pBdr>
        <w:spacing w:after="0"/>
        <w:ind w:firstLine="7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项目编号：</w:t>
      </w:r>
      <w:r>
        <w:rPr>
          <w:rFonts w:hint="eastAsia" w:ascii="宋体" w:hAnsi="宋体" w:eastAsia="宋体" w:cs="宋体"/>
          <w:b/>
          <w:sz w:val="24"/>
          <w:szCs w:val="24"/>
          <w:highlight w:val="none"/>
          <w:lang w:eastAsia="zh-CN"/>
        </w:rPr>
        <w:t>JSZC-320585-JZCG-G2026-0081</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388E22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D5C091E">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ED69139">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投标总价</w:t>
            </w:r>
          </w:p>
        </w:tc>
      </w:tr>
      <w:tr w14:paraId="607C0C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DEDB9A">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lang w:eastAsia="zh-CN"/>
              </w:rPr>
            </w:pPr>
            <w:r>
              <w:rPr>
                <w:rFonts w:hint="eastAsia" w:ascii="宋体" w:hAnsi="宋体" w:eastAsia="宋体" w:cs="宋体"/>
                <w:b/>
                <w:bCs/>
                <w:color w:val="000000"/>
                <w:sz w:val="24"/>
                <w:highlight w:val="none"/>
                <w:lang w:eastAsia="zh-CN"/>
              </w:rPr>
              <w:t>太仓市智慧城市新型基础设施建设（第二批）</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39B864C">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highlight w:val="none"/>
              </w:rPr>
            </w:pPr>
            <w:r>
              <w:rPr>
                <w:rFonts w:hint="eastAsia" w:ascii="宋体" w:hAnsi="宋体" w:eastAsia="宋体" w:cs="宋体"/>
                <w:color w:val="000000"/>
                <w:sz w:val="24"/>
                <w:highlight w:val="none"/>
              </w:rPr>
              <w:t>小写          （元人民币）</w:t>
            </w:r>
          </w:p>
        </w:tc>
      </w:tr>
      <w:tr w14:paraId="20E4E5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EF73CF">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A3A7D47">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highlight w:val="none"/>
              </w:rPr>
            </w:pPr>
            <w:r>
              <w:rPr>
                <w:rFonts w:hint="eastAsia" w:ascii="宋体" w:hAnsi="宋体" w:eastAsia="宋体" w:cs="宋体"/>
                <w:color w:val="000000"/>
                <w:sz w:val="24"/>
                <w:highlight w:val="none"/>
              </w:rPr>
              <w:t>金额大写：</w:t>
            </w:r>
          </w:p>
        </w:tc>
      </w:tr>
    </w:tbl>
    <w:p w14:paraId="084B4835">
      <w:pPr>
        <w:pBdr>
          <w:top w:val="none" w:color="000000" w:sz="0" w:space="0"/>
          <w:left w:val="none" w:color="000000" w:sz="0" w:space="0"/>
          <w:bottom w:val="none" w:color="000000" w:sz="0" w:space="0"/>
          <w:right w:val="none" w:color="000000" w:sz="0" w:space="0"/>
        </w:pBdr>
        <w:spacing w:after="0"/>
        <w:ind w:firstLine="723"/>
        <w:jc w:val="both"/>
        <w:rPr>
          <w:rFonts w:hint="eastAsia" w:ascii="宋体" w:hAnsi="宋体" w:eastAsia="宋体" w:cs="宋体"/>
          <w:highlight w:val="none"/>
        </w:rPr>
      </w:pPr>
      <w:r>
        <w:rPr>
          <w:rFonts w:hint="eastAsia" w:ascii="宋体" w:hAnsi="宋体" w:eastAsia="宋体" w:cs="宋体"/>
          <w:b/>
          <w:color w:val="000000"/>
          <w:sz w:val="24"/>
          <w:highlight w:val="none"/>
        </w:rPr>
        <w:t> </w:t>
      </w:r>
    </w:p>
    <w:p w14:paraId="4B1DDB7D">
      <w:pPr>
        <w:pBdr>
          <w:top w:val="none" w:color="000000" w:sz="0" w:space="0"/>
          <w:left w:val="none" w:color="000000" w:sz="0" w:space="0"/>
          <w:bottom w:val="none" w:color="000000" w:sz="0" w:space="0"/>
          <w:right w:val="none" w:color="000000" w:sz="0" w:space="0"/>
        </w:pBdr>
        <w:spacing w:after="0" w:line="460" w:lineRule="atLeast"/>
        <w:ind w:firstLine="3360"/>
        <w:jc w:val="both"/>
        <w:rPr>
          <w:rFonts w:hint="eastAsia" w:ascii="宋体" w:hAnsi="宋体" w:eastAsia="宋体" w:cs="宋体"/>
          <w:highlight w:val="none"/>
        </w:rPr>
      </w:pPr>
      <w:r>
        <w:rPr>
          <w:rFonts w:hint="eastAsia" w:ascii="宋体" w:hAnsi="宋体" w:eastAsia="宋体" w:cs="宋体"/>
          <w:color w:val="000000"/>
          <w:sz w:val="24"/>
          <w:highlight w:val="none"/>
        </w:rPr>
        <w:t>日期：年月日</w:t>
      </w:r>
    </w:p>
    <w:p w14:paraId="537A3A21">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rPr>
      </w:pPr>
      <w:r>
        <w:rPr>
          <w:rFonts w:hint="eastAsia" w:ascii="宋体" w:hAnsi="宋体" w:eastAsia="宋体" w:cs="宋体"/>
          <w:b/>
          <w:color w:val="000000"/>
          <w:sz w:val="24"/>
          <w:highlight w:val="none"/>
        </w:rPr>
        <w:t> </w:t>
      </w:r>
    </w:p>
    <w:p w14:paraId="1314D72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highlight w:val="none"/>
        </w:rPr>
        <w:br w:type="page" w:clear="all"/>
      </w:r>
    </w:p>
    <w:p w14:paraId="218F0B33">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b/>
          <w:color w:val="000000"/>
          <w:sz w:val="28"/>
          <w:highlight w:val="none"/>
        </w:rPr>
        <w:t>7、投标报价明细表</w:t>
      </w:r>
    </w:p>
    <w:p w14:paraId="07AD6C10">
      <w:pPr>
        <w:pBdr>
          <w:top w:val="none" w:color="000000" w:sz="0" w:space="0"/>
          <w:left w:val="none" w:color="000000" w:sz="0" w:space="0"/>
          <w:bottom w:val="none" w:color="000000" w:sz="0" w:space="0"/>
          <w:right w:val="none" w:color="000000" w:sz="0" w:space="0"/>
        </w:pBdr>
        <w:spacing w:after="0"/>
        <w:ind w:firstLine="3012"/>
        <w:jc w:val="both"/>
        <w:rPr>
          <w:rFonts w:hint="eastAsia" w:ascii="宋体" w:hAnsi="宋体" w:eastAsia="宋体" w:cs="宋体"/>
          <w:highlight w:val="none"/>
        </w:rPr>
      </w:pPr>
      <w:r>
        <w:rPr>
          <w:rFonts w:hint="eastAsia" w:ascii="宋体" w:hAnsi="宋体" w:eastAsia="宋体" w:cs="宋体"/>
          <w:b/>
          <w:color w:val="000000"/>
          <w:sz w:val="30"/>
          <w:highlight w:val="none"/>
        </w:rPr>
        <w:t> </w:t>
      </w:r>
    </w:p>
    <w:p w14:paraId="23174EB2">
      <w:pPr>
        <w:pBdr>
          <w:top w:val="none" w:color="000000" w:sz="0" w:space="0"/>
          <w:left w:val="none" w:color="000000" w:sz="0" w:space="0"/>
          <w:bottom w:val="none" w:color="000000" w:sz="0" w:space="0"/>
          <w:right w:val="none" w:color="000000" w:sz="0" w:space="0"/>
        </w:pBdr>
        <w:ind w:firstLine="2811"/>
        <w:rPr>
          <w:highlight w:val="none"/>
        </w:rPr>
      </w:pPr>
      <w:bookmarkStart w:id="122" w:name="OLE_LINK57"/>
      <w:r>
        <w:rPr>
          <w:rFonts w:ascii="宋体" w:hAnsi="宋体" w:cs="宋体"/>
          <w:b/>
          <w:sz w:val="28"/>
          <w:highlight w:val="none"/>
        </w:rPr>
        <w:t>（一）投标报价明细表</w:t>
      </w:r>
    </w:p>
    <w:p w14:paraId="5032D4EF">
      <w:pPr>
        <w:pBdr>
          <w:top w:val="none" w:color="000000" w:sz="0" w:space="0"/>
          <w:left w:val="none" w:color="000000" w:sz="0" w:space="0"/>
          <w:bottom w:val="none" w:color="000000" w:sz="0" w:space="0"/>
          <w:right w:val="none" w:color="000000" w:sz="0" w:space="0"/>
        </w:pBdr>
        <w:ind w:firstLine="3012"/>
        <w:rPr>
          <w:highlight w:val="none"/>
        </w:rPr>
      </w:pPr>
      <w:r>
        <w:rPr>
          <w:rFonts w:ascii="宋体" w:hAnsi="宋体" w:cs="宋体"/>
          <w:b/>
          <w:sz w:val="30"/>
          <w:highlight w:val="none"/>
        </w:rPr>
        <w:t> </w:t>
      </w:r>
    </w:p>
    <w:tbl>
      <w:tblPr>
        <w:tblStyle w:val="45"/>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3529D0F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491FBF99">
            <w:pPr>
              <w:jc w:val="center"/>
              <w:rPr>
                <w:bCs/>
                <w:sz w:val="24"/>
                <w:highlight w:val="none"/>
              </w:rPr>
            </w:pPr>
            <w:r>
              <w:rPr>
                <w:rFonts w:hAnsi="宋体"/>
                <w:bCs/>
                <w:sz w:val="24"/>
                <w:highlight w:val="none"/>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62062433">
            <w:pPr>
              <w:jc w:val="center"/>
              <w:rPr>
                <w:bCs/>
                <w:sz w:val="24"/>
                <w:highlight w:val="none"/>
              </w:rPr>
            </w:pPr>
            <w:r>
              <w:rPr>
                <w:rFonts w:hAnsi="宋体"/>
                <w:bCs/>
                <w:sz w:val="24"/>
                <w:highlight w:val="none"/>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20A7ADA4">
            <w:pPr>
              <w:jc w:val="center"/>
              <w:rPr>
                <w:bCs/>
                <w:sz w:val="24"/>
                <w:highlight w:val="none"/>
                <w:lang w:eastAsia="zh-CN"/>
              </w:rPr>
            </w:pPr>
            <w:r>
              <w:rPr>
                <w:rFonts w:hAnsi="宋体"/>
                <w:bCs/>
                <w:sz w:val="24"/>
                <w:highlight w:val="none"/>
                <w:lang w:eastAsia="zh-CN"/>
              </w:rPr>
              <w:t>品牌、规格、型号</w:t>
            </w:r>
            <w:r>
              <w:rPr>
                <w:rFonts w:hint="eastAsia" w:hAnsi="宋体"/>
                <w:bCs/>
                <w:sz w:val="24"/>
                <w:highlight w:val="none"/>
                <w:lang w:eastAsia="zh-CN"/>
              </w:rPr>
              <w:t>/服务说明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5BBD42BF">
            <w:pPr>
              <w:jc w:val="center"/>
              <w:rPr>
                <w:bCs/>
                <w:sz w:val="24"/>
                <w:highlight w:val="none"/>
              </w:rPr>
            </w:pPr>
            <w:r>
              <w:rPr>
                <w:rFonts w:hAnsi="宋体"/>
                <w:bCs/>
                <w:sz w:val="24"/>
                <w:highlight w:val="none"/>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06B66EE2">
            <w:pPr>
              <w:jc w:val="center"/>
              <w:rPr>
                <w:bCs/>
                <w:sz w:val="24"/>
                <w:highlight w:val="none"/>
              </w:rPr>
            </w:pPr>
            <w:r>
              <w:rPr>
                <w:rFonts w:hAnsi="宋体"/>
                <w:bCs/>
                <w:sz w:val="24"/>
                <w:highlight w:val="none"/>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1FC8913F">
            <w:pPr>
              <w:jc w:val="center"/>
              <w:rPr>
                <w:bCs/>
                <w:sz w:val="24"/>
                <w:highlight w:val="none"/>
              </w:rPr>
            </w:pPr>
            <w:r>
              <w:rPr>
                <w:rFonts w:hAnsi="宋体"/>
                <w:bCs/>
                <w:sz w:val="24"/>
                <w:highlight w:val="none"/>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6C78D9C1">
            <w:pPr>
              <w:jc w:val="center"/>
              <w:rPr>
                <w:bCs/>
                <w:sz w:val="24"/>
                <w:highlight w:val="none"/>
              </w:rPr>
            </w:pPr>
            <w:r>
              <w:rPr>
                <w:rFonts w:hAnsi="宋体"/>
                <w:bCs/>
                <w:sz w:val="24"/>
                <w:highlight w:val="none"/>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73469FF8">
            <w:pPr>
              <w:jc w:val="center"/>
              <w:rPr>
                <w:bCs/>
                <w:sz w:val="24"/>
                <w:highlight w:val="none"/>
              </w:rPr>
            </w:pPr>
            <w:r>
              <w:rPr>
                <w:rFonts w:hAnsi="宋体"/>
                <w:bCs/>
                <w:sz w:val="24"/>
                <w:highlight w:val="none"/>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7773EBCB">
            <w:pPr>
              <w:jc w:val="center"/>
              <w:rPr>
                <w:bCs/>
                <w:sz w:val="24"/>
                <w:highlight w:val="none"/>
              </w:rPr>
            </w:pPr>
            <w:r>
              <w:rPr>
                <w:rFonts w:hAnsi="宋体"/>
                <w:bCs/>
                <w:sz w:val="24"/>
                <w:highlight w:val="none"/>
              </w:rPr>
              <w:t>备注</w:t>
            </w:r>
          </w:p>
        </w:tc>
      </w:tr>
      <w:tr w14:paraId="6F9BCE7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204193AE">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0ECB43CB">
            <w:pPr>
              <w:ind w:right="-209"/>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26F48476">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0D8A61CF">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10D70BDB">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24EE993E">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0799A57">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0422EC00">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4AC48129">
            <w:pPr>
              <w:jc w:val="center"/>
              <w:rPr>
                <w:bCs/>
                <w:sz w:val="24"/>
                <w:highlight w:val="none"/>
              </w:rPr>
            </w:pPr>
          </w:p>
        </w:tc>
      </w:tr>
      <w:tr w14:paraId="37067DA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474CC3DC">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6702A8E9">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6C16D240">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428CD8C3">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30647FE4">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1A8B1982">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655E553C">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6EF8C3CC">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587C639E">
            <w:pPr>
              <w:jc w:val="center"/>
              <w:rPr>
                <w:bCs/>
                <w:sz w:val="24"/>
                <w:highlight w:val="none"/>
              </w:rPr>
            </w:pPr>
          </w:p>
        </w:tc>
      </w:tr>
      <w:tr w14:paraId="6DBE30C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0F0EBCDF">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437064A5">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49D1D92B">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12852E8D">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1A57883A">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2B11EAF8">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696FF406">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06F17269">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77BECCA8">
            <w:pPr>
              <w:jc w:val="center"/>
              <w:rPr>
                <w:bCs/>
                <w:sz w:val="24"/>
                <w:highlight w:val="none"/>
              </w:rPr>
            </w:pPr>
          </w:p>
        </w:tc>
      </w:tr>
      <w:tr w14:paraId="2FAB82A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4633EB4">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5E696092">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0BAAB16F">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2E65B47C">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0EC9C5A0">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6DAF5706">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AAA8174">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7A353E24">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679DE6C8">
            <w:pPr>
              <w:jc w:val="center"/>
              <w:rPr>
                <w:bCs/>
                <w:sz w:val="24"/>
                <w:highlight w:val="none"/>
              </w:rPr>
            </w:pPr>
          </w:p>
        </w:tc>
      </w:tr>
      <w:tr w14:paraId="7E67D69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1C07ED6">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30CEB1BB">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0485328C">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04F0CFA6">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255ABBEB">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24E7EB15">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0324DC2">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54DDF01B">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6151138C">
            <w:pPr>
              <w:jc w:val="center"/>
              <w:rPr>
                <w:bCs/>
                <w:sz w:val="24"/>
                <w:highlight w:val="none"/>
              </w:rPr>
            </w:pPr>
          </w:p>
        </w:tc>
      </w:tr>
      <w:tr w14:paraId="116816D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70A08545">
            <w:pPr>
              <w:rPr>
                <w:bCs/>
                <w:sz w:val="24"/>
                <w:highlight w:val="none"/>
              </w:rPr>
            </w:pPr>
            <w:r>
              <w:rPr>
                <w:rFonts w:hAnsi="宋体"/>
                <w:bCs/>
                <w:sz w:val="24"/>
                <w:highlight w:val="none"/>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5925923D">
            <w:pPr>
              <w:rPr>
                <w:bCs/>
                <w:sz w:val="24"/>
                <w:highlight w:val="none"/>
              </w:rPr>
            </w:pPr>
            <w:r>
              <w:rPr>
                <w:rFonts w:hAnsi="宋体"/>
                <w:bCs/>
                <w:sz w:val="24"/>
                <w:highlight w:val="none"/>
              </w:rPr>
              <w:t>大写：元</w:t>
            </w:r>
            <w:r>
              <w:rPr>
                <w:rFonts w:hint="eastAsia" w:hAnsi="宋体"/>
                <w:bCs/>
                <w:sz w:val="24"/>
                <w:highlight w:val="none"/>
              </w:rPr>
              <w:t>； 小写：               元</w:t>
            </w:r>
          </w:p>
        </w:tc>
      </w:tr>
      <w:tr w14:paraId="10E0BB3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306" w:hRule="atLeast"/>
          <w:jc w:val="center"/>
        </w:trPr>
        <w:tc>
          <w:tcPr>
            <w:tcW w:w="9175" w:type="dxa"/>
            <w:gridSpan w:val="10"/>
            <w:tcBorders>
              <w:top w:val="single" w:color="auto" w:sz="6" w:space="0"/>
              <w:left w:val="single" w:color="auto" w:sz="6" w:space="0"/>
              <w:bottom w:val="single" w:color="auto" w:sz="6" w:space="0"/>
              <w:right w:val="single" w:color="auto" w:sz="6" w:space="0"/>
            </w:tcBorders>
            <w:vAlign w:val="center"/>
          </w:tcPr>
          <w:p w14:paraId="6140E010">
            <w:pPr>
              <w:rPr>
                <w:rFonts w:hAnsi="宋体"/>
                <w:b/>
                <w:bCs/>
                <w:sz w:val="24"/>
                <w:highlight w:val="none"/>
                <w:lang w:eastAsia="zh-CN"/>
              </w:rPr>
            </w:pPr>
            <w:r>
              <w:rPr>
                <w:rFonts w:hint="eastAsia" w:ascii="宋体" w:hAnsi="宋体" w:cs="宋体"/>
                <w:b/>
                <w:color w:val="000000"/>
                <w:sz w:val="24"/>
                <w:highlight w:val="none"/>
                <w:lang w:eastAsia="zh-CN"/>
              </w:rPr>
              <w:t>本采购包中提供的符合本国产品标准的产品成本之和占该采购包提供的全部产品成本之和的比例为</w:t>
            </w:r>
            <w:r>
              <w:rPr>
                <w:rFonts w:ascii="宋体" w:hAnsi="宋体" w:cs="宋体"/>
                <w:b/>
                <w:color w:val="000000"/>
                <w:sz w:val="24"/>
                <w:highlight w:val="none"/>
                <w:u w:val="single"/>
                <w:lang w:eastAsia="zh-CN"/>
              </w:rPr>
              <w:t xml:space="preserve">      </w:t>
            </w:r>
            <w:r>
              <w:rPr>
                <w:rFonts w:hint="eastAsia" w:ascii="宋体" w:hAnsi="宋体" w:cs="宋体"/>
                <w:b/>
                <w:color w:val="000000"/>
                <w:sz w:val="24"/>
                <w:highlight w:val="none"/>
                <w:lang w:eastAsia="zh-CN"/>
              </w:rPr>
              <w:t>%。</w:t>
            </w:r>
          </w:p>
        </w:tc>
      </w:tr>
    </w:tbl>
    <w:p w14:paraId="187B6BC0">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lang w:eastAsia="zh-CN"/>
        </w:rPr>
      </w:pPr>
      <w:r>
        <w:rPr>
          <w:rFonts w:ascii="宋体" w:hAnsi="宋体" w:cs="宋体"/>
          <w:sz w:val="24"/>
          <w:highlight w:val="none"/>
          <w:lang w:eastAsia="zh-CN"/>
        </w:rPr>
        <w:t>注：</w:t>
      </w:r>
    </w:p>
    <w:p w14:paraId="51E169C2">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sz w:val="24"/>
          <w:highlight w:val="none"/>
          <w:lang w:eastAsia="zh-CN"/>
        </w:rPr>
      </w:pPr>
      <w:r>
        <w:rPr>
          <w:rFonts w:hint="eastAsia" w:ascii="宋体" w:hAnsi="宋体" w:cs="宋体"/>
          <w:sz w:val="24"/>
          <w:highlight w:val="none"/>
          <w:lang w:eastAsia="zh-CN"/>
        </w:rPr>
        <w:t>1、</w:t>
      </w:r>
      <w:r>
        <w:rPr>
          <w:rFonts w:ascii="宋体" w:hAnsi="宋体" w:cs="宋体"/>
          <w:sz w:val="24"/>
          <w:highlight w:val="none"/>
          <w:lang w:eastAsia="zh-CN"/>
        </w:rPr>
        <w:t>本表报价的合计金额应与开标一览表报价一致</w:t>
      </w:r>
    </w:p>
    <w:p w14:paraId="4FA31C7B">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sz w:val="24"/>
          <w:highlight w:val="none"/>
          <w:lang w:eastAsia="zh-CN"/>
        </w:rPr>
      </w:pPr>
      <w:r>
        <w:rPr>
          <w:rFonts w:hint="eastAsia" w:ascii="宋体" w:hAnsi="宋体" w:cs="宋体"/>
          <w:sz w:val="24"/>
          <w:highlight w:val="none"/>
          <w:lang w:eastAsia="zh-CN"/>
        </w:rPr>
        <w:t>2、本表中货物内容根据标的物填写品牌、型号、规格等信息，若涉及服务内容的，根据服务内容填写</w:t>
      </w:r>
    </w:p>
    <w:p w14:paraId="3F886ED4">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b/>
          <w:sz w:val="24"/>
          <w:highlight w:val="none"/>
          <w:lang w:eastAsia="zh-CN"/>
        </w:rPr>
      </w:pPr>
      <w:r>
        <w:rPr>
          <w:rFonts w:ascii="宋体" w:hAnsi="宋体" w:cs="宋体"/>
          <w:b/>
          <w:sz w:val="24"/>
          <w:highlight w:val="none"/>
          <w:lang w:eastAsia="zh-CN"/>
        </w:rPr>
        <w:t>3</w:t>
      </w:r>
      <w:r>
        <w:rPr>
          <w:rFonts w:hint="eastAsia" w:ascii="宋体" w:hAnsi="宋体" w:cs="宋体"/>
          <w:b/>
          <w:sz w:val="24"/>
          <w:highlight w:val="none"/>
          <w:lang w:eastAsia="zh-CN"/>
        </w:rPr>
        <w:t>、</w:t>
      </w:r>
      <w:r>
        <w:rPr>
          <w:rFonts w:hint="eastAsia" w:ascii="宋体" w:hAnsi="宋体"/>
          <w:b/>
          <w:sz w:val="24"/>
          <w:szCs w:val="21"/>
          <w:highlight w:val="none"/>
          <w:lang w:eastAsia="zh-CN"/>
        </w:rPr>
        <w:t>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sz w:val="24"/>
          <w:highlight w:val="none"/>
          <w:lang w:eastAsia="zh-CN"/>
        </w:rPr>
        <w:t>。</w:t>
      </w:r>
    </w:p>
    <w:p w14:paraId="7010942D">
      <w:pPr>
        <w:pBdr>
          <w:top w:val="none" w:color="000000" w:sz="0" w:space="0"/>
          <w:left w:val="none" w:color="000000" w:sz="0" w:space="0"/>
          <w:bottom w:val="none" w:color="000000" w:sz="0" w:space="0"/>
          <w:right w:val="none" w:color="000000" w:sz="0" w:space="0"/>
        </w:pBdr>
        <w:spacing w:line="499" w:lineRule="atLeast"/>
        <w:rPr>
          <w:highlight w:val="none"/>
          <w:lang w:eastAsia="zh-CN"/>
        </w:rPr>
      </w:pPr>
      <w:r>
        <w:rPr>
          <w:rFonts w:ascii="宋体" w:hAnsi="宋体" w:cs="宋体"/>
          <w:sz w:val="24"/>
          <w:highlight w:val="none"/>
          <w:lang w:eastAsia="zh-CN"/>
        </w:rPr>
        <w:t>投标单位：（公章）</w:t>
      </w:r>
    </w:p>
    <w:p w14:paraId="47118865">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lang w:eastAsia="zh-CN"/>
        </w:rPr>
      </w:pPr>
      <w:r>
        <w:rPr>
          <w:rFonts w:ascii="宋体" w:hAnsi="宋体" w:cs="宋体"/>
          <w:sz w:val="24"/>
          <w:highlight w:val="none"/>
          <w:lang w:eastAsia="zh-CN"/>
        </w:rPr>
        <w:t xml:space="preserve">法定代表人或委托代理人（签字或盖章）： </w:t>
      </w:r>
    </w:p>
    <w:p w14:paraId="06AA62E3">
      <w:pPr>
        <w:pBdr>
          <w:top w:val="none" w:color="000000" w:sz="0" w:space="0"/>
          <w:left w:val="none" w:color="000000" w:sz="0" w:space="0"/>
          <w:bottom w:val="none" w:color="000000" w:sz="0" w:space="0"/>
          <w:right w:val="none" w:color="000000" w:sz="0" w:space="0"/>
        </w:pBdr>
        <w:spacing w:line="499" w:lineRule="atLeast"/>
        <w:rPr>
          <w:rFonts w:ascii="Times New Roman" w:hAnsi="Times New Roman" w:eastAsia="Times New Roman"/>
          <w:szCs w:val="21"/>
          <w:highlight w:val="none"/>
          <w:lang w:eastAsia="zh-CN"/>
        </w:rPr>
      </w:pPr>
      <w:r>
        <w:rPr>
          <w:rFonts w:ascii="宋体" w:hAnsi="宋体" w:cs="宋体"/>
          <w:sz w:val="24"/>
          <w:highlight w:val="none"/>
          <w:lang w:eastAsia="zh-CN"/>
        </w:rPr>
        <w:t>投标日期： 年 月 日</w:t>
      </w:r>
    </w:p>
    <w:p w14:paraId="51A049EC">
      <w:pPr>
        <w:ind w:firstLine="1506" w:firstLineChars="500"/>
        <w:rPr>
          <w:rFonts w:hint="eastAsia" w:ascii="宋体" w:hAnsi="宋体" w:eastAsia="宋体" w:cs="宋体"/>
          <w:b/>
          <w:sz w:val="30"/>
          <w:szCs w:val="30"/>
          <w:highlight w:val="none"/>
          <w:lang w:eastAsia="zh-CN"/>
        </w:rPr>
      </w:pPr>
    </w:p>
    <w:p w14:paraId="0D40CA10">
      <w:pPr>
        <w:ind w:firstLine="1506" w:firstLineChars="500"/>
        <w:rPr>
          <w:rFonts w:hint="eastAsia" w:ascii="宋体" w:hAnsi="宋体" w:eastAsia="宋体" w:cs="宋体"/>
          <w:b/>
          <w:sz w:val="30"/>
          <w:szCs w:val="30"/>
          <w:highlight w:val="none"/>
          <w:lang w:eastAsia="zh-CN"/>
        </w:rPr>
      </w:pPr>
    </w:p>
    <w:p w14:paraId="09948DCD">
      <w:pPr>
        <w:ind w:firstLine="1506" w:firstLineChars="500"/>
        <w:rPr>
          <w:rFonts w:hint="eastAsia" w:ascii="宋体" w:hAnsi="宋体" w:eastAsia="宋体" w:cs="宋体"/>
          <w:b/>
          <w:sz w:val="30"/>
          <w:szCs w:val="30"/>
          <w:highlight w:val="none"/>
          <w:lang w:eastAsia="zh-CN"/>
        </w:rPr>
      </w:pPr>
    </w:p>
    <w:p w14:paraId="2310979D">
      <w:pPr>
        <w:ind w:firstLine="1506" w:firstLineChars="500"/>
        <w:rPr>
          <w:rFonts w:hint="eastAsia" w:ascii="宋体" w:hAnsi="宋体" w:eastAsia="宋体" w:cs="宋体"/>
          <w:b/>
          <w:bCs/>
          <w:sz w:val="24"/>
          <w:szCs w:val="24"/>
          <w:highlight w:val="none"/>
          <w:lang w:eastAsia="zh-CN"/>
        </w:rPr>
      </w:pPr>
      <w:r>
        <w:rPr>
          <w:rFonts w:hint="eastAsia" w:ascii="宋体" w:hAnsi="宋体" w:eastAsia="宋体" w:cs="宋体"/>
          <w:b/>
          <w:sz w:val="30"/>
          <w:szCs w:val="30"/>
          <w:highlight w:val="none"/>
          <w:lang w:eastAsia="zh-CN"/>
        </w:rPr>
        <w:t>（二）投标报价合理性说明（如有）</w:t>
      </w:r>
    </w:p>
    <w:p w14:paraId="4E9526F8">
      <w:pPr>
        <w:spacing w:line="420" w:lineRule="exact"/>
        <w:rPr>
          <w:rFonts w:hint="eastAsia" w:ascii="宋体" w:hAnsi="宋体" w:eastAsia="宋体" w:cs="宋体"/>
          <w:b/>
          <w:sz w:val="24"/>
          <w:szCs w:val="24"/>
          <w:highlight w:val="none"/>
          <w:lang w:eastAsia="zh-CN"/>
        </w:rPr>
      </w:pPr>
    </w:p>
    <w:p w14:paraId="4B04D621">
      <w:pPr>
        <w:spacing w:line="420" w:lineRule="exact"/>
        <w:rPr>
          <w:rFonts w:ascii="宋体" w:hAnsi="宋体"/>
          <w:b/>
          <w:highlight w:val="none"/>
          <w:lang w:eastAsia="zh-CN"/>
        </w:rPr>
      </w:pPr>
    </w:p>
    <w:p w14:paraId="13978842">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注：根据</w:t>
      </w:r>
      <w:r>
        <w:rPr>
          <w:rFonts w:hint="eastAsia" w:cs="微软雅黑" w:asciiTheme="minorEastAsia" w:hAnsiTheme="minorEastAsia" w:eastAsiaTheme="minorEastAsia"/>
          <w:b/>
          <w:sz w:val="24"/>
          <w:szCs w:val="24"/>
          <w:highlight w:val="none"/>
          <w:lang w:eastAsia="zh-CN"/>
        </w:rPr>
        <w:t>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w:t>
      </w:r>
      <w:r>
        <w:rPr>
          <w:rFonts w:hint="eastAsia" w:ascii="宋体" w:hAnsi="宋体" w:cs="宋体"/>
          <w:b/>
          <w:sz w:val="24"/>
          <w:highlight w:val="none"/>
          <w:lang w:eastAsia="zh-CN"/>
        </w:rPr>
        <w:t xml:space="preserve"> ，若投标人的投标（响应）报价满足以下任一条件：</w:t>
      </w:r>
    </w:p>
    <w:p w14:paraId="3752FE67">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1）</w:t>
      </w:r>
      <w:r>
        <w:rPr>
          <w:rFonts w:ascii="宋体" w:hAnsi="宋体" w:eastAsia="宋体" w:cs="宋体"/>
          <w:b/>
          <w:bCs/>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lang w:eastAsia="zh-CN"/>
        </w:rPr>
        <w:br w:type="textWrapping"/>
      </w:r>
      <w:r>
        <w:rPr>
          <w:rFonts w:hint="eastAsia" w:ascii="宋体" w:hAnsi="宋体" w:cs="宋体"/>
          <w:b/>
          <w:sz w:val="24"/>
          <w:highlight w:val="none"/>
          <w:lang w:eastAsia="zh-CN"/>
        </w:rPr>
        <w:t>；</w:t>
      </w:r>
    </w:p>
    <w:p w14:paraId="05F698A0">
      <w:pPr>
        <w:spacing w:line="420" w:lineRule="exact"/>
        <w:ind w:firstLine="480" w:firstLineChars="200"/>
        <w:rPr>
          <w:rFonts w:hint="eastAsia" w:ascii="宋体" w:hAnsi="宋体" w:eastAsia="宋体" w:cs="宋体"/>
          <w:b/>
          <w:sz w:val="24"/>
          <w:highlight w:val="none"/>
          <w:lang w:eastAsia="zh-CN"/>
        </w:rPr>
      </w:pPr>
      <w:r>
        <w:rPr>
          <w:rFonts w:hint="eastAsia" w:ascii="宋体" w:hAnsi="宋体" w:cs="宋体"/>
          <w:b/>
          <w:sz w:val="24"/>
          <w:highlight w:val="none"/>
          <w:lang w:eastAsia="zh-CN"/>
        </w:rPr>
        <w:t>2）</w:t>
      </w:r>
      <w:r>
        <w:rPr>
          <w:rFonts w:ascii="宋体" w:hAnsi="宋体" w:eastAsia="宋体" w:cs="宋体"/>
          <w:b/>
          <w:bCs/>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w:t>
      </w:r>
    </w:p>
    <w:p w14:paraId="6049F87B">
      <w:pPr>
        <w:spacing w:line="420" w:lineRule="exact"/>
        <w:ind w:firstLine="480" w:firstLineChars="200"/>
        <w:rPr>
          <w:rFonts w:ascii="宋体" w:hAnsi="宋体" w:cs="宋体"/>
          <w:b/>
          <w:sz w:val="24"/>
          <w:highlight w:val="none"/>
          <w:lang w:eastAsia="zh-CN"/>
        </w:rPr>
      </w:pPr>
      <w:r>
        <w:rPr>
          <w:rFonts w:hint="eastAsia" w:ascii="宋体" w:hAnsi="宋体" w:cs="宋体"/>
          <w:b/>
          <w:bCs/>
          <w:sz w:val="24"/>
          <w:highlight w:val="none"/>
          <w:lang w:eastAsia="zh-CN"/>
        </w:rPr>
        <w:t>3）</w:t>
      </w:r>
      <w:r>
        <w:rPr>
          <w:rFonts w:ascii="宋体" w:hAnsi="宋体" w:eastAsia="宋体" w:cs="宋体"/>
          <w:b/>
          <w:bCs/>
          <w:sz w:val="24"/>
          <w:highlight w:val="none"/>
          <w:lang w:eastAsia="zh-CN"/>
        </w:rPr>
        <w:t>投标（响应）报价低于采购项目最高限价45%的，即投标（响应）报价&lt;采购项目最高限价×45%；</w:t>
      </w:r>
      <w:r>
        <w:rPr>
          <w:rFonts w:ascii="宋体" w:hAnsi="宋体" w:eastAsia="宋体" w:cs="宋体"/>
          <w:b/>
          <w:bCs/>
          <w:sz w:val="24"/>
          <w:highlight w:val="none"/>
          <w:lang w:eastAsia="zh-CN"/>
        </w:rPr>
        <w:br w:type="textWrapping"/>
      </w:r>
      <w:r>
        <w:rPr>
          <w:rFonts w:hint="eastAsia" w:ascii="宋体" w:hAnsi="宋体" w:eastAsia="宋体" w:cs="宋体"/>
          <w:b/>
          <w:bCs/>
          <w:sz w:val="24"/>
          <w:highlight w:val="none"/>
          <w:lang w:eastAsia="zh-CN"/>
        </w:rPr>
        <w:t xml:space="preserve">   </w:t>
      </w:r>
      <w:r>
        <w:rPr>
          <w:rFonts w:hint="eastAsia" w:ascii="宋体" w:hAnsi="宋体" w:cs="宋体"/>
          <w:b/>
          <w:bCs/>
          <w:sz w:val="24"/>
          <w:highlight w:val="none"/>
          <w:lang w:eastAsia="zh-CN"/>
        </w:rPr>
        <w:t>4）</w:t>
      </w:r>
      <w:r>
        <w:rPr>
          <w:rFonts w:ascii="宋体" w:hAnsi="宋体" w:eastAsia="宋体" w:cs="宋体"/>
          <w:b/>
          <w:bCs/>
          <w:sz w:val="24"/>
          <w:highlight w:val="none"/>
          <w:lang w:eastAsia="zh-CN"/>
        </w:rPr>
        <w:t>评审委员会基于专业判断，认为供应商报价过低，有可能影响产品质量或者不能诚信履约的其他情形。</w:t>
      </w:r>
      <w:r>
        <w:rPr>
          <w:rFonts w:ascii="宋体" w:hAnsi="宋体" w:eastAsia="宋体" w:cs="宋体"/>
          <w:b/>
          <w:bCs/>
          <w:sz w:val="24"/>
          <w:highlight w:val="none"/>
          <w:lang w:eastAsia="zh-CN"/>
        </w:rPr>
        <w:br w:type="textWrapping"/>
      </w:r>
      <w:r>
        <w:rPr>
          <w:rFonts w:hint="eastAsia" w:ascii="宋体" w:hAnsi="宋体" w:cs="宋体"/>
          <w:b/>
          <w:bCs/>
          <w:sz w:val="24"/>
          <w:highlight w:val="none"/>
          <w:lang w:eastAsia="zh-CN"/>
        </w:rPr>
        <w:t xml:space="preserve">    </w:t>
      </w:r>
      <w:r>
        <w:rPr>
          <w:rFonts w:ascii="宋体" w:hAnsi="宋体" w:eastAsia="宋体" w:cs="宋体"/>
          <w:b/>
          <w:bCs/>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lang w:eastAsia="zh-CN"/>
        </w:rPr>
        <w:br w:type="textWrapping"/>
      </w:r>
    </w:p>
    <w:p w14:paraId="10CE7608">
      <w:pPr>
        <w:spacing w:line="420" w:lineRule="exact"/>
        <w:rPr>
          <w:rFonts w:ascii="宋体" w:hAnsi="宋体"/>
          <w:b/>
          <w:highlight w:val="none"/>
          <w:lang w:eastAsia="zh-CN"/>
        </w:rPr>
      </w:pPr>
    </w:p>
    <w:p w14:paraId="5B92C13C">
      <w:pPr>
        <w:spacing w:line="420" w:lineRule="exact"/>
        <w:rPr>
          <w:rFonts w:ascii="宋体" w:hAnsi="宋体"/>
          <w:b/>
          <w:highlight w:val="none"/>
          <w:lang w:eastAsia="zh-CN"/>
        </w:rPr>
      </w:pPr>
    </w:p>
    <w:p w14:paraId="280BFAB5">
      <w:pPr>
        <w:adjustRightInd w:val="0"/>
        <w:spacing w:line="500" w:lineRule="exact"/>
        <w:textAlignment w:val="baseline"/>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投标单位：（公章）</w:t>
      </w:r>
    </w:p>
    <w:p w14:paraId="6E9DB869">
      <w:pPr>
        <w:adjustRightInd w:val="0"/>
        <w:spacing w:line="500" w:lineRule="exact"/>
        <w:textAlignment w:val="baseline"/>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p>
    <w:p w14:paraId="33B87900">
      <w:pPr>
        <w:pStyle w:val="20"/>
        <w:ind w:firstLine="0"/>
        <w:rPr>
          <w:rFonts w:hint="eastAsia" w:hAnsi="宋体" w:eastAsia="宋体" w:cs="宋体"/>
          <w:highlight w:val="none"/>
          <w:lang w:eastAsia="zh-CN"/>
        </w:rPr>
      </w:pPr>
      <w:r>
        <w:rPr>
          <w:rFonts w:hint="eastAsia" w:hAnsi="宋体" w:eastAsia="宋体" w:cs="宋体"/>
          <w:sz w:val="24"/>
          <w:highlight w:val="none"/>
          <w:lang w:eastAsia="zh-CN"/>
        </w:rPr>
        <w:t>日期：      年     月     日</w:t>
      </w:r>
      <w:bookmarkEnd w:id="122"/>
    </w:p>
    <w:p w14:paraId="4706BB5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684E8166">
      <w:pPr>
        <w:pBdr>
          <w:top w:val="none" w:color="000000" w:sz="0" w:space="0"/>
          <w:left w:val="none" w:color="000000" w:sz="0" w:space="0"/>
          <w:bottom w:val="none" w:color="000000" w:sz="0" w:space="0"/>
          <w:right w:val="none" w:color="000000" w:sz="0" w:space="0"/>
        </w:pBdr>
        <w:spacing w:after="0"/>
        <w:jc w:val="both"/>
        <w:outlineLvl w:val="1"/>
        <w:rPr>
          <w:highlight w:val="none"/>
          <w:lang w:eastAsia="zh-CN"/>
        </w:rPr>
      </w:pPr>
      <w:r>
        <w:rPr>
          <w:rFonts w:hint="eastAsia" w:ascii="宋体" w:hAnsi="宋体" w:eastAsia="宋体" w:cs="宋体"/>
          <w:b/>
          <w:color w:val="000000"/>
          <w:sz w:val="32"/>
          <w:highlight w:val="none"/>
          <w:lang w:eastAsia="zh-CN"/>
        </w:rPr>
        <w:t>8、</w:t>
      </w:r>
      <w:r>
        <w:rPr>
          <w:rFonts w:ascii="宋体" w:hAnsi="宋体" w:eastAsia="宋体" w:cs="宋体"/>
          <w:b/>
          <w:sz w:val="32"/>
          <w:highlight w:val="none"/>
          <w:lang w:eastAsia="zh-CN"/>
        </w:rPr>
        <w:t>服务要求偏离表</w:t>
      </w:r>
    </w:p>
    <w:p w14:paraId="26C7231D">
      <w:pPr>
        <w:jc w:val="center"/>
        <w:rPr>
          <w:rFonts w:hint="eastAsia" w:ascii="宋体" w:hAnsi="宋体" w:eastAsia="宋体" w:cs="宋体"/>
          <w:b/>
          <w:sz w:val="30"/>
          <w:szCs w:val="30"/>
          <w:highlight w:val="none"/>
          <w:lang w:eastAsia="zh-CN"/>
        </w:rPr>
      </w:pPr>
    </w:p>
    <w:p w14:paraId="409AC915">
      <w:pPr>
        <w:jc w:val="center"/>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服务要求偏离表</w:t>
      </w:r>
    </w:p>
    <w:p w14:paraId="0D20F14A">
      <w:pPr>
        <w:pStyle w:val="18"/>
        <w:spacing w:after="0" w:line="360" w:lineRule="auto"/>
        <w:ind w:left="2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招标文件编号： </w:t>
      </w:r>
    </w:p>
    <w:tbl>
      <w:tblPr>
        <w:tblStyle w:val="45"/>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19404992">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vAlign w:val="center"/>
          </w:tcPr>
          <w:p w14:paraId="43D5626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 </w:t>
            </w:r>
          </w:p>
        </w:tc>
        <w:tc>
          <w:tcPr>
            <w:tcW w:w="1417" w:type="dxa"/>
            <w:tcBorders>
              <w:top w:val="single" w:color="auto" w:sz="4" w:space="0"/>
              <w:left w:val="nil"/>
              <w:bottom w:val="single" w:color="auto" w:sz="4" w:space="0"/>
              <w:right w:val="single" w:color="auto" w:sz="4" w:space="0"/>
            </w:tcBorders>
            <w:vAlign w:val="center"/>
          </w:tcPr>
          <w:p w14:paraId="6C2BC31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标的名称</w:t>
            </w:r>
          </w:p>
        </w:tc>
        <w:tc>
          <w:tcPr>
            <w:tcW w:w="1560" w:type="dxa"/>
            <w:tcBorders>
              <w:top w:val="single" w:color="auto" w:sz="4" w:space="0"/>
              <w:left w:val="nil"/>
              <w:bottom w:val="single" w:color="auto" w:sz="4" w:space="0"/>
              <w:right w:val="single" w:color="auto" w:sz="4" w:space="0"/>
            </w:tcBorders>
            <w:vAlign w:val="center"/>
          </w:tcPr>
          <w:p w14:paraId="65E7DE0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招标文件</w:t>
            </w:r>
          </w:p>
          <w:p w14:paraId="0B3DDE3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技术要求</w:t>
            </w:r>
          </w:p>
        </w:tc>
        <w:tc>
          <w:tcPr>
            <w:tcW w:w="1417" w:type="dxa"/>
            <w:tcBorders>
              <w:top w:val="single" w:color="auto" w:sz="4" w:space="0"/>
              <w:left w:val="nil"/>
              <w:bottom w:val="single" w:color="auto" w:sz="4" w:space="0"/>
              <w:right w:val="single" w:color="auto" w:sz="4" w:space="0"/>
            </w:tcBorders>
            <w:vAlign w:val="center"/>
          </w:tcPr>
          <w:p w14:paraId="5F82500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w:t>
            </w:r>
          </w:p>
          <w:p w14:paraId="2545D06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响应要求</w:t>
            </w:r>
          </w:p>
        </w:tc>
        <w:tc>
          <w:tcPr>
            <w:tcW w:w="1985" w:type="dxa"/>
            <w:tcBorders>
              <w:top w:val="single" w:color="auto" w:sz="4" w:space="0"/>
              <w:left w:val="nil"/>
              <w:bottom w:val="single" w:color="auto" w:sz="4" w:space="0"/>
              <w:right w:val="single" w:color="auto" w:sz="4" w:space="0"/>
            </w:tcBorders>
            <w:vAlign w:val="center"/>
          </w:tcPr>
          <w:p w14:paraId="0259A6F0">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偏离情况(正偏离/无偏离/负偏离)</w:t>
            </w:r>
          </w:p>
        </w:tc>
        <w:tc>
          <w:tcPr>
            <w:tcW w:w="1843" w:type="dxa"/>
            <w:tcBorders>
              <w:top w:val="single" w:color="auto" w:sz="4" w:space="0"/>
              <w:left w:val="nil"/>
              <w:bottom w:val="single" w:color="auto" w:sz="4" w:space="0"/>
              <w:right w:val="single" w:color="auto" w:sz="4" w:space="0"/>
            </w:tcBorders>
            <w:vAlign w:val="center"/>
          </w:tcPr>
          <w:p w14:paraId="446607A6">
            <w:pPr>
              <w:rPr>
                <w:rFonts w:hint="eastAsia" w:ascii="宋体" w:hAnsi="宋体" w:eastAsia="宋体" w:cs="宋体"/>
                <w:sz w:val="24"/>
                <w:szCs w:val="24"/>
                <w:highlight w:val="none"/>
              </w:rPr>
            </w:pPr>
            <w:r>
              <w:rPr>
                <w:rFonts w:hint="eastAsia" w:ascii="宋体" w:hAnsi="宋体" w:eastAsia="宋体" w:cs="宋体"/>
                <w:sz w:val="24"/>
                <w:szCs w:val="24"/>
                <w:highlight w:val="none"/>
              </w:rPr>
              <w:t>备注(证明材料位置)</w:t>
            </w:r>
          </w:p>
        </w:tc>
      </w:tr>
      <w:tr w14:paraId="278B8E66">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52531D7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599F07C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44F9F5B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445475E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773CD60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73EB5E3F">
            <w:pPr>
              <w:jc w:val="center"/>
              <w:rPr>
                <w:rFonts w:hint="eastAsia" w:ascii="宋体" w:hAnsi="宋体" w:eastAsia="宋体" w:cs="宋体"/>
                <w:sz w:val="24"/>
                <w:szCs w:val="24"/>
                <w:highlight w:val="none"/>
              </w:rPr>
            </w:pPr>
          </w:p>
        </w:tc>
      </w:tr>
      <w:tr w14:paraId="5E7E105E">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2FE2AE1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263E0D7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3598396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2BDFA2E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3D783F8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4929AA7B">
            <w:pPr>
              <w:jc w:val="center"/>
              <w:rPr>
                <w:rFonts w:hint="eastAsia" w:ascii="宋体" w:hAnsi="宋体" w:eastAsia="宋体" w:cs="宋体"/>
                <w:sz w:val="24"/>
                <w:szCs w:val="24"/>
                <w:highlight w:val="none"/>
              </w:rPr>
            </w:pPr>
          </w:p>
        </w:tc>
      </w:tr>
      <w:tr w14:paraId="174D1467">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2546BE4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25FE018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1C8E900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24386EE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24027DC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0E9F7B62">
            <w:pPr>
              <w:jc w:val="center"/>
              <w:rPr>
                <w:rFonts w:hint="eastAsia" w:ascii="宋体" w:hAnsi="宋体" w:eastAsia="宋体" w:cs="宋体"/>
                <w:sz w:val="24"/>
                <w:szCs w:val="24"/>
                <w:highlight w:val="none"/>
              </w:rPr>
            </w:pPr>
          </w:p>
        </w:tc>
      </w:tr>
      <w:tr w14:paraId="5540F3E9">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031476E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4323553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3D87EC4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2280487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2E68F3E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0B624D6D">
            <w:pPr>
              <w:jc w:val="center"/>
              <w:rPr>
                <w:rFonts w:hint="eastAsia" w:ascii="宋体" w:hAnsi="宋体" w:eastAsia="宋体" w:cs="宋体"/>
                <w:sz w:val="24"/>
                <w:szCs w:val="24"/>
                <w:highlight w:val="none"/>
              </w:rPr>
            </w:pPr>
          </w:p>
        </w:tc>
      </w:tr>
      <w:tr w14:paraId="6E635F47">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37DA1D0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4598077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7462E7A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115DA47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507B6F6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2A6E8EA7">
            <w:pPr>
              <w:jc w:val="center"/>
              <w:rPr>
                <w:rFonts w:hint="eastAsia" w:ascii="宋体" w:hAnsi="宋体" w:eastAsia="宋体" w:cs="宋体"/>
                <w:sz w:val="24"/>
                <w:szCs w:val="24"/>
                <w:highlight w:val="none"/>
              </w:rPr>
            </w:pPr>
          </w:p>
        </w:tc>
      </w:tr>
    </w:tbl>
    <w:p w14:paraId="754B12FD">
      <w:pPr>
        <w:rPr>
          <w:rFonts w:hint="eastAsia" w:ascii="宋体" w:hAnsi="宋体" w:eastAsia="宋体" w:cs="宋体"/>
          <w:b/>
          <w:sz w:val="24"/>
          <w:szCs w:val="24"/>
          <w:highlight w:val="none"/>
        </w:rPr>
      </w:pPr>
    </w:p>
    <w:p w14:paraId="5C2458D6">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注：</w:t>
      </w:r>
    </w:p>
    <w:p w14:paraId="7970FD5A">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应在本表中对照招标文件技术要求（包括服务要求）与实际投标技术要求（包括服务要求）逐项对应列出，并在“偏离说明”项下填写以下内容：优于的，填写“正偏离”；符合的，填写“无偏离”；低于的，填写“负偏离”。</w:t>
      </w:r>
    </w:p>
    <w:p w14:paraId="7EB4704F">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6B458866">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3.上表所指证明材料为项目需求中要求提供的检测报告、截图、各类证书或其他形式的材料，证明材料附后。</w:t>
      </w:r>
    </w:p>
    <w:p w14:paraId="658E9B14">
      <w:pPr>
        <w:rPr>
          <w:rFonts w:hint="eastAsia" w:ascii="宋体" w:hAnsi="宋体" w:eastAsia="宋体" w:cs="宋体"/>
          <w:sz w:val="24"/>
          <w:szCs w:val="24"/>
          <w:highlight w:val="none"/>
          <w:lang w:eastAsia="zh-CN"/>
        </w:rPr>
      </w:pPr>
    </w:p>
    <w:p w14:paraId="2AE02901">
      <w:pPr>
        <w:rPr>
          <w:rFonts w:hint="eastAsia" w:ascii="宋体" w:hAnsi="宋体" w:eastAsia="宋体" w:cs="宋体"/>
          <w:sz w:val="24"/>
          <w:szCs w:val="24"/>
          <w:highlight w:val="none"/>
          <w:lang w:eastAsia="zh-CN"/>
        </w:rPr>
      </w:pPr>
    </w:p>
    <w:p w14:paraId="7491E3ED">
      <w:pPr>
        <w:rPr>
          <w:rFonts w:hint="eastAsia" w:ascii="宋体" w:hAnsi="宋体" w:eastAsia="宋体" w:cs="宋体"/>
          <w:sz w:val="24"/>
          <w:szCs w:val="24"/>
          <w:highlight w:val="none"/>
          <w:lang w:eastAsia="zh-CN"/>
        </w:rPr>
      </w:pPr>
    </w:p>
    <w:p w14:paraId="1BE1EFC3">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投标单位：（单位盖章）</w:t>
      </w:r>
    </w:p>
    <w:p w14:paraId="45B7DEA3">
      <w:pP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39E4E20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投标日期：   年   月   日</w:t>
      </w:r>
    </w:p>
    <w:p w14:paraId="1CC076C5">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p>
    <w:p w14:paraId="1E9934F1">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690BF10">
      <w:pPr>
        <w:snapToGrid w:val="0"/>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9、商务要求偏离表</w:t>
      </w:r>
    </w:p>
    <w:p w14:paraId="29FECDE3">
      <w:pPr>
        <w:snapToGrid w:val="0"/>
        <w:spacing w:line="360" w:lineRule="auto"/>
        <w:jc w:val="center"/>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商务要求偏离表</w:t>
      </w:r>
    </w:p>
    <w:tbl>
      <w:tblPr>
        <w:tblStyle w:val="4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24261E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2F2D47B8">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772537E8">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69DEA5DB">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1D8DB607">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608CDA7F">
            <w:pPr>
              <w:snapToGrid w:val="0"/>
              <w:spacing w:line="360" w:lineRule="auto"/>
              <w:jc w:val="center"/>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16A71D92">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备注</w:t>
            </w:r>
          </w:p>
        </w:tc>
      </w:tr>
      <w:tr w14:paraId="0C562A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57DC02A">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vAlign w:val="center"/>
          </w:tcPr>
          <w:p w14:paraId="24420970">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tcPr>
          <w:p w14:paraId="1470E309">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49C27F79">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5A12F6E">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3A56D12">
            <w:pPr>
              <w:snapToGrid w:val="0"/>
              <w:spacing w:line="360" w:lineRule="auto"/>
              <w:rPr>
                <w:rFonts w:hint="eastAsia" w:ascii="宋体" w:hAnsi="宋体" w:eastAsia="宋体" w:cs="宋体"/>
                <w:sz w:val="24"/>
                <w:szCs w:val="24"/>
                <w:highlight w:val="none"/>
              </w:rPr>
            </w:pPr>
          </w:p>
        </w:tc>
      </w:tr>
      <w:tr w14:paraId="4872CF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0B3C299">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vAlign w:val="center"/>
          </w:tcPr>
          <w:p w14:paraId="6B3D4B29">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29794D18">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D8F6C75">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2409D11">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33D689D7">
            <w:pPr>
              <w:snapToGrid w:val="0"/>
              <w:spacing w:line="360" w:lineRule="auto"/>
              <w:rPr>
                <w:rFonts w:hint="eastAsia" w:ascii="宋体" w:hAnsi="宋体" w:eastAsia="宋体" w:cs="宋体"/>
                <w:sz w:val="24"/>
                <w:szCs w:val="24"/>
                <w:highlight w:val="none"/>
              </w:rPr>
            </w:pPr>
          </w:p>
        </w:tc>
      </w:tr>
      <w:tr w14:paraId="6D8FD5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79E9FBD">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vAlign w:val="center"/>
          </w:tcPr>
          <w:p w14:paraId="1B631929">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43C90B57">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2C4F375">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8BC83BB">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316678F">
            <w:pPr>
              <w:snapToGrid w:val="0"/>
              <w:spacing w:line="360" w:lineRule="auto"/>
              <w:rPr>
                <w:rFonts w:hint="eastAsia" w:ascii="宋体" w:hAnsi="宋体" w:eastAsia="宋体" w:cs="宋体"/>
                <w:sz w:val="24"/>
                <w:szCs w:val="24"/>
                <w:highlight w:val="none"/>
              </w:rPr>
            </w:pPr>
          </w:p>
        </w:tc>
      </w:tr>
      <w:tr w14:paraId="375AD3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20C0488">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vAlign w:val="center"/>
          </w:tcPr>
          <w:p w14:paraId="6216A474">
            <w:pPr>
              <w:snapToGrid w:val="0"/>
              <w:spacing w:line="360" w:lineRule="auto"/>
              <w:rPr>
                <w:rFonts w:hint="eastAsia" w:ascii="宋体" w:hAnsi="宋体" w:eastAsia="宋体" w:cs="宋体"/>
                <w:bCs/>
                <w:sz w:val="24"/>
                <w:szCs w:val="24"/>
                <w:highlight w:val="none"/>
              </w:rPr>
            </w:pPr>
            <w:r>
              <w:rPr>
                <w:rFonts w:hint="eastAsia" w:ascii="宋体" w:hAnsi="宋体" w:eastAsia="宋体" w:cs="宋体"/>
                <w:sz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19AFE82F">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C6B1816">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0387C2A3">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A429500">
            <w:pPr>
              <w:snapToGrid w:val="0"/>
              <w:spacing w:line="360" w:lineRule="auto"/>
              <w:rPr>
                <w:rFonts w:hint="eastAsia" w:ascii="宋体" w:hAnsi="宋体" w:eastAsia="宋体" w:cs="宋体"/>
                <w:sz w:val="24"/>
                <w:szCs w:val="24"/>
                <w:highlight w:val="none"/>
              </w:rPr>
            </w:pPr>
          </w:p>
        </w:tc>
      </w:tr>
      <w:tr w14:paraId="0F682D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27C3F28">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638FB9A5">
            <w:pPr>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1BD1E029">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D9149FA">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9CFE7CB">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7FC26C5">
            <w:pPr>
              <w:snapToGrid w:val="0"/>
              <w:spacing w:line="360" w:lineRule="auto"/>
              <w:rPr>
                <w:rFonts w:hint="eastAsia" w:ascii="宋体" w:hAnsi="宋体" w:eastAsia="宋体" w:cs="宋体"/>
                <w:sz w:val="24"/>
                <w:szCs w:val="24"/>
                <w:highlight w:val="none"/>
              </w:rPr>
            </w:pPr>
          </w:p>
        </w:tc>
      </w:tr>
      <w:tr w14:paraId="73404B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A9740F9">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07A453F9">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46361DD2">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522DB21">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53D52A9">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C98F6C8">
            <w:pPr>
              <w:snapToGrid w:val="0"/>
              <w:spacing w:line="360" w:lineRule="auto"/>
              <w:rPr>
                <w:rFonts w:hint="eastAsia" w:ascii="宋体" w:hAnsi="宋体" w:eastAsia="宋体" w:cs="宋体"/>
                <w:sz w:val="24"/>
                <w:szCs w:val="24"/>
                <w:highlight w:val="none"/>
              </w:rPr>
            </w:pPr>
          </w:p>
        </w:tc>
      </w:tr>
      <w:tr w14:paraId="28EDC1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4937BA5">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28FB0EA2">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426D1E57">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F31C000">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29FBC61">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50AC329">
            <w:pPr>
              <w:snapToGrid w:val="0"/>
              <w:spacing w:line="360" w:lineRule="auto"/>
              <w:rPr>
                <w:rFonts w:hint="eastAsia" w:ascii="宋体" w:hAnsi="宋体" w:eastAsia="宋体" w:cs="宋体"/>
                <w:sz w:val="24"/>
                <w:szCs w:val="24"/>
                <w:highlight w:val="none"/>
              </w:rPr>
            </w:pPr>
          </w:p>
        </w:tc>
      </w:tr>
      <w:tr w14:paraId="08B051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41CA246">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198A3D56">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75FC0EA">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F78C572">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73B8A98">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240BD71">
            <w:pPr>
              <w:snapToGrid w:val="0"/>
              <w:spacing w:line="360" w:lineRule="auto"/>
              <w:rPr>
                <w:rFonts w:hint="eastAsia" w:ascii="宋体" w:hAnsi="宋体" w:eastAsia="宋体" w:cs="宋体"/>
                <w:sz w:val="24"/>
                <w:szCs w:val="24"/>
                <w:highlight w:val="none"/>
              </w:rPr>
            </w:pPr>
          </w:p>
        </w:tc>
      </w:tr>
      <w:tr w14:paraId="1300E8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F3FC0DA">
            <w:pPr>
              <w:snapToGrid w:val="0"/>
              <w:spacing w:line="360" w:lineRule="auto"/>
              <w:jc w:val="center"/>
              <w:rPr>
                <w:rFonts w:hint="eastAsia" w:ascii="宋体" w:hAnsi="宋体" w:eastAsia="宋体" w:cs="宋体"/>
                <w:bCs/>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7BD65AAD">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9619AB4">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078CEF8">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5A8E94C">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C0ABCFD">
            <w:pPr>
              <w:snapToGrid w:val="0"/>
              <w:spacing w:line="360" w:lineRule="auto"/>
              <w:rPr>
                <w:rFonts w:hint="eastAsia" w:ascii="宋体" w:hAnsi="宋体" w:eastAsia="宋体" w:cs="宋体"/>
                <w:sz w:val="24"/>
                <w:szCs w:val="24"/>
                <w:highlight w:val="none"/>
              </w:rPr>
            </w:pPr>
          </w:p>
        </w:tc>
      </w:tr>
    </w:tbl>
    <w:p w14:paraId="24D56ED6">
      <w:pPr>
        <w:snapToGrid w:val="0"/>
        <w:spacing w:line="360" w:lineRule="auto"/>
        <w:ind w:firstLine="482" w:firstLineChars="200"/>
        <w:rPr>
          <w:rFonts w:hint="eastAsia" w:ascii="宋体" w:hAnsi="宋体" w:eastAsia="宋体" w:cs="宋体"/>
          <w:b/>
          <w:sz w:val="24"/>
          <w:szCs w:val="24"/>
          <w:highlight w:val="none"/>
        </w:rPr>
      </w:pPr>
    </w:p>
    <w:p w14:paraId="2B09DA77">
      <w:pPr>
        <w:autoSpaceDE w:val="0"/>
        <w:autoSpaceDN w:val="0"/>
        <w:adjustRightInd w:val="0"/>
        <w:snapToGrid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注：</w:t>
      </w:r>
      <w:r>
        <w:rPr>
          <w:rFonts w:hint="eastAsia" w:ascii="宋体" w:hAnsi="宋体" w:eastAsia="宋体" w:cs="宋体"/>
          <w:sz w:val="24"/>
          <w:szCs w:val="24"/>
          <w:highlight w:val="none"/>
          <w:lang w:eastAsia="zh-CN"/>
        </w:rPr>
        <w:t>1.供应商应在本表中把招标文件商务要求与实际投标商务要求逐项对应列出，并在“偏离说明”项下填写以下内容：优于的，填写“正偏离”；符合的，填写“无偏离”；低于的，填写“负偏离”。</w:t>
      </w:r>
    </w:p>
    <w:p w14:paraId="340ECF16">
      <w:pPr>
        <w:pStyle w:val="14"/>
        <w:overflowPunct w:val="0"/>
        <w:spacing w:line="360" w:lineRule="auto"/>
        <w:ind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372B6040">
      <w:pPr>
        <w:adjustRightInd w:val="0"/>
        <w:snapToGrid w:val="0"/>
        <w:spacing w:line="360" w:lineRule="auto"/>
        <w:ind w:firstLine="480" w:firstLineChars="200"/>
        <w:rPr>
          <w:rFonts w:hint="eastAsia" w:ascii="宋体" w:hAnsi="宋体" w:eastAsia="宋体" w:cs="宋体"/>
          <w:sz w:val="24"/>
          <w:szCs w:val="24"/>
          <w:highlight w:val="none"/>
          <w:lang w:eastAsia="zh-CN"/>
        </w:rPr>
      </w:pPr>
    </w:p>
    <w:p w14:paraId="16184840">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供应商：（公章）</w:t>
      </w:r>
    </w:p>
    <w:p w14:paraId="3C98804A">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417E63D6">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投标日期:  年  月   日</w:t>
      </w:r>
    </w:p>
    <w:p w14:paraId="28C8D12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10、项目技术方案及服务方案</w:t>
      </w:r>
    </w:p>
    <w:p w14:paraId="3B0B7DE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2EB1456">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投标人根据项目需求编写针对本项目的技术方案及服务方案</w:t>
      </w:r>
    </w:p>
    <w:p w14:paraId="4F78114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C3B385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16EE3FC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D1054C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06925B8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7CED53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14D754A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11、项目实施方案及进度方案</w:t>
      </w:r>
    </w:p>
    <w:p w14:paraId="23D7A68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31C0EF7">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投标人根据项目需求编写针对本项目的实施方案及进度方案</w:t>
      </w:r>
    </w:p>
    <w:p w14:paraId="0676DA9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8ADC4C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D62D6E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3DBB9E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0F78C10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2691A353">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12、项目质量保证措施及承诺</w:t>
      </w:r>
    </w:p>
    <w:p w14:paraId="3C337E1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E7846FE">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投标人根据项目需求编写针对本项目的质量保证措施及承诺</w:t>
      </w:r>
    </w:p>
    <w:p w14:paraId="0748389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8AEF8A6">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B8600AC">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0ED4B6CE">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1175BB1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13、项目售后服务方案</w:t>
      </w:r>
    </w:p>
    <w:p w14:paraId="6C97AC1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11B29BF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投标人根据项目需求编写针对本项目的售后服务方案</w:t>
      </w:r>
    </w:p>
    <w:p w14:paraId="0C154A7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7D5750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2F6FB7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181AA68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51727043">
      <w:pPr>
        <w:snapToGrid w:val="0"/>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lang w:eastAsia="zh-CN"/>
        </w:rPr>
        <w:t>14、</w:t>
      </w:r>
      <w:r>
        <w:rPr>
          <w:rFonts w:hint="eastAsia" w:ascii="宋体" w:hAnsi="宋体" w:eastAsia="宋体" w:cs="宋体"/>
          <w:b/>
          <w:sz w:val="32"/>
          <w:szCs w:val="32"/>
          <w:highlight w:val="none"/>
          <w:lang w:eastAsia="zh-CN"/>
        </w:rPr>
        <w:t>企业类似业绩一览表</w:t>
      </w:r>
    </w:p>
    <w:p w14:paraId="2E49AC88">
      <w:pPr>
        <w:spacing w:line="360" w:lineRule="auto"/>
        <w:jc w:val="center"/>
        <w:rPr>
          <w:rFonts w:hint="eastAsia" w:ascii="宋体" w:hAnsi="宋体" w:eastAsia="宋体" w:cs="宋体"/>
          <w:b/>
          <w:sz w:val="28"/>
          <w:szCs w:val="28"/>
          <w:highlight w:val="none"/>
          <w:lang w:eastAsia="zh-CN"/>
        </w:rPr>
      </w:pPr>
    </w:p>
    <w:p w14:paraId="5B6CB05A">
      <w:pPr>
        <w:spacing w:line="360" w:lineRule="auto"/>
        <w:jc w:val="center"/>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企业类似业绩一览表</w:t>
      </w:r>
    </w:p>
    <w:tbl>
      <w:tblPr>
        <w:tblStyle w:val="4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04F1D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3B64974">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356" w:type="dxa"/>
            <w:vAlign w:val="center"/>
          </w:tcPr>
          <w:p w14:paraId="332CE26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327" w:type="dxa"/>
            <w:vAlign w:val="center"/>
          </w:tcPr>
          <w:p w14:paraId="5BF63540">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项目时间</w:t>
            </w:r>
          </w:p>
        </w:tc>
        <w:tc>
          <w:tcPr>
            <w:tcW w:w="1347" w:type="dxa"/>
            <w:vAlign w:val="center"/>
          </w:tcPr>
          <w:p w14:paraId="0F65BC0F">
            <w:pPr>
              <w:tabs>
                <w:tab w:val="left" w:pos="6252"/>
              </w:tabs>
              <w:jc w:val="center"/>
              <w:rPr>
                <w:rFonts w:hint="eastAsia" w:ascii="宋体" w:hAnsi="宋体" w:eastAsia="宋体" w:cs="宋体"/>
                <w:sz w:val="24"/>
                <w:highlight w:val="none"/>
              </w:rPr>
            </w:pPr>
            <w:r>
              <w:rPr>
                <w:rFonts w:hint="eastAsia" w:ascii="宋体" w:hAnsi="宋体" w:eastAsia="宋体" w:cs="宋体"/>
                <w:sz w:val="24"/>
                <w:highlight w:val="none"/>
              </w:rPr>
              <w:t>合同金额</w:t>
            </w:r>
          </w:p>
          <w:p w14:paraId="4CEC3CD4">
            <w:pPr>
              <w:tabs>
                <w:tab w:val="left" w:pos="6252"/>
              </w:tabs>
              <w:jc w:val="center"/>
              <w:rPr>
                <w:rFonts w:hint="eastAsia" w:ascii="宋体" w:hAnsi="宋体" w:eastAsia="宋体" w:cs="宋体"/>
                <w:sz w:val="24"/>
                <w:highlight w:val="none"/>
              </w:rPr>
            </w:pPr>
            <w:r>
              <w:rPr>
                <w:rFonts w:hint="eastAsia" w:ascii="宋体" w:hAnsi="宋体" w:eastAsia="宋体" w:cs="宋体"/>
                <w:sz w:val="24"/>
                <w:highlight w:val="none"/>
              </w:rPr>
              <w:t>（人民币）</w:t>
            </w:r>
          </w:p>
        </w:tc>
        <w:tc>
          <w:tcPr>
            <w:tcW w:w="1965" w:type="dxa"/>
            <w:vAlign w:val="center"/>
          </w:tcPr>
          <w:p w14:paraId="1DE65F65">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业主单位</w:t>
            </w:r>
          </w:p>
        </w:tc>
        <w:tc>
          <w:tcPr>
            <w:tcW w:w="1274" w:type="dxa"/>
            <w:vAlign w:val="center"/>
          </w:tcPr>
          <w:p w14:paraId="29E65905">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14:paraId="275E5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D0D7ADB">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356" w:type="dxa"/>
            <w:vAlign w:val="center"/>
          </w:tcPr>
          <w:p w14:paraId="192EF10A">
            <w:pPr>
              <w:spacing w:line="360" w:lineRule="auto"/>
              <w:jc w:val="center"/>
              <w:rPr>
                <w:rFonts w:hint="eastAsia" w:ascii="宋体" w:hAnsi="宋体" w:eastAsia="宋体" w:cs="宋体"/>
                <w:sz w:val="24"/>
                <w:highlight w:val="none"/>
              </w:rPr>
            </w:pPr>
          </w:p>
        </w:tc>
        <w:tc>
          <w:tcPr>
            <w:tcW w:w="1327" w:type="dxa"/>
          </w:tcPr>
          <w:p w14:paraId="38E1B911">
            <w:pPr>
              <w:spacing w:line="360" w:lineRule="auto"/>
              <w:jc w:val="center"/>
              <w:rPr>
                <w:rFonts w:hint="eastAsia" w:ascii="宋体" w:hAnsi="宋体" w:eastAsia="宋体" w:cs="宋体"/>
                <w:sz w:val="24"/>
                <w:highlight w:val="none"/>
              </w:rPr>
            </w:pPr>
          </w:p>
        </w:tc>
        <w:tc>
          <w:tcPr>
            <w:tcW w:w="1347" w:type="dxa"/>
            <w:vAlign w:val="center"/>
          </w:tcPr>
          <w:p w14:paraId="46859000">
            <w:pPr>
              <w:spacing w:line="360" w:lineRule="auto"/>
              <w:jc w:val="center"/>
              <w:rPr>
                <w:rFonts w:hint="eastAsia" w:ascii="宋体" w:hAnsi="宋体" w:eastAsia="宋体" w:cs="宋体"/>
                <w:sz w:val="24"/>
                <w:highlight w:val="none"/>
              </w:rPr>
            </w:pPr>
          </w:p>
        </w:tc>
        <w:tc>
          <w:tcPr>
            <w:tcW w:w="1965" w:type="dxa"/>
            <w:vAlign w:val="center"/>
          </w:tcPr>
          <w:p w14:paraId="0CF22D24">
            <w:pPr>
              <w:spacing w:line="360" w:lineRule="auto"/>
              <w:jc w:val="center"/>
              <w:rPr>
                <w:rFonts w:hint="eastAsia" w:ascii="宋体" w:hAnsi="宋体" w:eastAsia="宋体" w:cs="宋体"/>
                <w:sz w:val="24"/>
                <w:highlight w:val="none"/>
              </w:rPr>
            </w:pPr>
          </w:p>
        </w:tc>
        <w:tc>
          <w:tcPr>
            <w:tcW w:w="1274" w:type="dxa"/>
            <w:vAlign w:val="center"/>
          </w:tcPr>
          <w:p w14:paraId="41BA6916">
            <w:pPr>
              <w:spacing w:line="360" w:lineRule="auto"/>
              <w:jc w:val="center"/>
              <w:rPr>
                <w:rFonts w:hint="eastAsia" w:ascii="宋体" w:hAnsi="宋体" w:eastAsia="宋体" w:cs="宋体"/>
                <w:sz w:val="24"/>
                <w:highlight w:val="none"/>
              </w:rPr>
            </w:pPr>
          </w:p>
        </w:tc>
      </w:tr>
      <w:tr w14:paraId="7F788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8EACDB8">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356" w:type="dxa"/>
            <w:vAlign w:val="center"/>
          </w:tcPr>
          <w:p w14:paraId="12E2FC77">
            <w:pPr>
              <w:spacing w:line="360" w:lineRule="auto"/>
              <w:jc w:val="center"/>
              <w:rPr>
                <w:rFonts w:hint="eastAsia" w:ascii="宋体" w:hAnsi="宋体" w:eastAsia="宋体" w:cs="宋体"/>
                <w:sz w:val="24"/>
                <w:highlight w:val="none"/>
              </w:rPr>
            </w:pPr>
          </w:p>
        </w:tc>
        <w:tc>
          <w:tcPr>
            <w:tcW w:w="1327" w:type="dxa"/>
          </w:tcPr>
          <w:p w14:paraId="28FC14EF">
            <w:pPr>
              <w:spacing w:line="360" w:lineRule="auto"/>
              <w:jc w:val="center"/>
              <w:rPr>
                <w:rFonts w:hint="eastAsia" w:ascii="宋体" w:hAnsi="宋体" w:eastAsia="宋体" w:cs="宋体"/>
                <w:sz w:val="24"/>
                <w:highlight w:val="none"/>
              </w:rPr>
            </w:pPr>
          </w:p>
        </w:tc>
        <w:tc>
          <w:tcPr>
            <w:tcW w:w="1347" w:type="dxa"/>
            <w:vAlign w:val="center"/>
          </w:tcPr>
          <w:p w14:paraId="69BBD509">
            <w:pPr>
              <w:spacing w:line="360" w:lineRule="auto"/>
              <w:jc w:val="center"/>
              <w:rPr>
                <w:rFonts w:hint="eastAsia" w:ascii="宋体" w:hAnsi="宋体" w:eastAsia="宋体" w:cs="宋体"/>
                <w:sz w:val="24"/>
                <w:highlight w:val="none"/>
              </w:rPr>
            </w:pPr>
          </w:p>
        </w:tc>
        <w:tc>
          <w:tcPr>
            <w:tcW w:w="1965" w:type="dxa"/>
            <w:vAlign w:val="center"/>
          </w:tcPr>
          <w:p w14:paraId="65E8ADA8">
            <w:pPr>
              <w:spacing w:line="360" w:lineRule="auto"/>
              <w:jc w:val="center"/>
              <w:rPr>
                <w:rFonts w:hint="eastAsia" w:ascii="宋体" w:hAnsi="宋体" w:eastAsia="宋体" w:cs="宋体"/>
                <w:sz w:val="24"/>
                <w:highlight w:val="none"/>
              </w:rPr>
            </w:pPr>
          </w:p>
        </w:tc>
        <w:tc>
          <w:tcPr>
            <w:tcW w:w="1274" w:type="dxa"/>
            <w:vAlign w:val="center"/>
          </w:tcPr>
          <w:p w14:paraId="2A5AFBBF">
            <w:pPr>
              <w:spacing w:line="360" w:lineRule="auto"/>
              <w:jc w:val="center"/>
              <w:rPr>
                <w:rFonts w:hint="eastAsia" w:ascii="宋体" w:hAnsi="宋体" w:eastAsia="宋体" w:cs="宋体"/>
                <w:sz w:val="24"/>
                <w:highlight w:val="none"/>
              </w:rPr>
            </w:pPr>
          </w:p>
        </w:tc>
      </w:tr>
      <w:tr w14:paraId="4300E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F28D54A">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356" w:type="dxa"/>
            <w:vAlign w:val="center"/>
          </w:tcPr>
          <w:p w14:paraId="6C8B5E75">
            <w:pPr>
              <w:spacing w:line="360" w:lineRule="auto"/>
              <w:jc w:val="center"/>
              <w:rPr>
                <w:rFonts w:hint="eastAsia" w:ascii="宋体" w:hAnsi="宋体" w:eastAsia="宋体" w:cs="宋体"/>
                <w:sz w:val="24"/>
                <w:highlight w:val="none"/>
              </w:rPr>
            </w:pPr>
          </w:p>
        </w:tc>
        <w:tc>
          <w:tcPr>
            <w:tcW w:w="1327" w:type="dxa"/>
          </w:tcPr>
          <w:p w14:paraId="39B3A1E5">
            <w:pPr>
              <w:spacing w:line="360" w:lineRule="auto"/>
              <w:jc w:val="center"/>
              <w:rPr>
                <w:rFonts w:hint="eastAsia" w:ascii="宋体" w:hAnsi="宋体" w:eastAsia="宋体" w:cs="宋体"/>
                <w:sz w:val="24"/>
                <w:highlight w:val="none"/>
              </w:rPr>
            </w:pPr>
          </w:p>
        </w:tc>
        <w:tc>
          <w:tcPr>
            <w:tcW w:w="1347" w:type="dxa"/>
            <w:vAlign w:val="center"/>
          </w:tcPr>
          <w:p w14:paraId="3B569D8B">
            <w:pPr>
              <w:spacing w:line="360" w:lineRule="auto"/>
              <w:jc w:val="center"/>
              <w:rPr>
                <w:rFonts w:hint="eastAsia" w:ascii="宋体" w:hAnsi="宋体" w:eastAsia="宋体" w:cs="宋体"/>
                <w:sz w:val="24"/>
                <w:highlight w:val="none"/>
              </w:rPr>
            </w:pPr>
          </w:p>
        </w:tc>
        <w:tc>
          <w:tcPr>
            <w:tcW w:w="1965" w:type="dxa"/>
            <w:vAlign w:val="center"/>
          </w:tcPr>
          <w:p w14:paraId="04E69EB0">
            <w:pPr>
              <w:spacing w:line="360" w:lineRule="auto"/>
              <w:jc w:val="center"/>
              <w:rPr>
                <w:rFonts w:hint="eastAsia" w:ascii="宋体" w:hAnsi="宋体" w:eastAsia="宋体" w:cs="宋体"/>
                <w:sz w:val="24"/>
                <w:highlight w:val="none"/>
              </w:rPr>
            </w:pPr>
          </w:p>
        </w:tc>
        <w:tc>
          <w:tcPr>
            <w:tcW w:w="1274" w:type="dxa"/>
            <w:vAlign w:val="center"/>
          </w:tcPr>
          <w:p w14:paraId="1E627A77">
            <w:pPr>
              <w:spacing w:line="360" w:lineRule="auto"/>
              <w:jc w:val="center"/>
              <w:rPr>
                <w:rFonts w:hint="eastAsia" w:ascii="宋体" w:hAnsi="宋体" w:eastAsia="宋体" w:cs="宋体"/>
                <w:sz w:val="24"/>
                <w:highlight w:val="none"/>
              </w:rPr>
            </w:pPr>
          </w:p>
        </w:tc>
      </w:tr>
      <w:tr w14:paraId="01592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4B8ED93">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356" w:type="dxa"/>
            <w:vAlign w:val="center"/>
          </w:tcPr>
          <w:p w14:paraId="157ECD83">
            <w:pPr>
              <w:spacing w:line="360" w:lineRule="auto"/>
              <w:jc w:val="center"/>
              <w:rPr>
                <w:rFonts w:hint="eastAsia" w:ascii="宋体" w:hAnsi="宋体" w:eastAsia="宋体" w:cs="宋体"/>
                <w:sz w:val="24"/>
                <w:highlight w:val="none"/>
              </w:rPr>
            </w:pPr>
          </w:p>
        </w:tc>
        <w:tc>
          <w:tcPr>
            <w:tcW w:w="1327" w:type="dxa"/>
          </w:tcPr>
          <w:p w14:paraId="3C9EDB67">
            <w:pPr>
              <w:spacing w:line="360" w:lineRule="auto"/>
              <w:jc w:val="center"/>
              <w:rPr>
                <w:rFonts w:hint="eastAsia" w:ascii="宋体" w:hAnsi="宋体" w:eastAsia="宋体" w:cs="宋体"/>
                <w:sz w:val="24"/>
                <w:highlight w:val="none"/>
              </w:rPr>
            </w:pPr>
          </w:p>
        </w:tc>
        <w:tc>
          <w:tcPr>
            <w:tcW w:w="1347" w:type="dxa"/>
            <w:vAlign w:val="center"/>
          </w:tcPr>
          <w:p w14:paraId="3553DCD4">
            <w:pPr>
              <w:spacing w:line="360" w:lineRule="auto"/>
              <w:jc w:val="center"/>
              <w:rPr>
                <w:rFonts w:hint="eastAsia" w:ascii="宋体" w:hAnsi="宋体" w:eastAsia="宋体" w:cs="宋体"/>
                <w:sz w:val="24"/>
                <w:highlight w:val="none"/>
              </w:rPr>
            </w:pPr>
          </w:p>
        </w:tc>
        <w:tc>
          <w:tcPr>
            <w:tcW w:w="1965" w:type="dxa"/>
            <w:vAlign w:val="center"/>
          </w:tcPr>
          <w:p w14:paraId="6D4B85C2">
            <w:pPr>
              <w:spacing w:line="360" w:lineRule="auto"/>
              <w:jc w:val="center"/>
              <w:rPr>
                <w:rFonts w:hint="eastAsia" w:ascii="宋体" w:hAnsi="宋体" w:eastAsia="宋体" w:cs="宋体"/>
                <w:sz w:val="24"/>
                <w:highlight w:val="none"/>
              </w:rPr>
            </w:pPr>
          </w:p>
        </w:tc>
        <w:tc>
          <w:tcPr>
            <w:tcW w:w="1274" w:type="dxa"/>
            <w:vAlign w:val="center"/>
          </w:tcPr>
          <w:p w14:paraId="05574E07">
            <w:pPr>
              <w:spacing w:line="360" w:lineRule="auto"/>
              <w:jc w:val="center"/>
              <w:rPr>
                <w:rFonts w:hint="eastAsia" w:ascii="宋体" w:hAnsi="宋体" w:eastAsia="宋体" w:cs="宋体"/>
                <w:sz w:val="24"/>
                <w:highlight w:val="none"/>
              </w:rPr>
            </w:pPr>
          </w:p>
        </w:tc>
      </w:tr>
      <w:tr w14:paraId="4AF9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3637BD4">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1356" w:type="dxa"/>
            <w:vAlign w:val="center"/>
          </w:tcPr>
          <w:p w14:paraId="2A92672F">
            <w:pPr>
              <w:spacing w:line="360" w:lineRule="auto"/>
              <w:jc w:val="center"/>
              <w:rPr>
                <w:rFonts w:hint="eastAsia" w:ascii="宋体" w:hAnsi="宋体" w:eastAsia="宋体" w:cs="宋体"/>
                <w:sz w:val="24"/>
                <w:highlight w:val="none"/>
              </w:rPr>
            </w:pPr>
          </w:p>
        </w:tc>
        <w:tc>
          <w:tcPr>
            <w:tcW w:w="1327" w:type="dxa"/>
          </w:tcPr>
          <w:p w14:paraId="4D8D3BFB">
            <w:pPr>
              <w:spacing w:line="360" w:lineRule="auto"/>
              <w:jc w:val="center"/>
              <w:rPr>
                <w:rFonts w:hint="eastAsia" w:ascii="宋体" w:hAnsi="宋体" w:eastAsia="宋体" w:cs="宋体"/>
                <w:sz w:val="24"/>
                <w:highlight w:val="none"/>
              </w:rPr>
            </w:pPr>
          </w:p>
        </w:tc>
        <w:tc>
          <w:tcPr>
            <w:tcW w:w="1347" w:type="dxa"/>
            <w:vAlign w:val="center"/>
          </w:tcPr>
          <w:p w14:paraId="3E42F815">
            <w:pPr>
              <w:spacing w:line="360" w:lineRule="auto"/>
              <w:jc w:val="center"/>
              <w:rPr>
                <w:rFonts w:hint="eastAsia" w:ascii="宋体" w:hAnsi="宋体" w:eastAsia="宋体" w:cs="宋体"/>
                <w:sz w:val="24"/>
                <w:highlight w:val="none"/>
              </w:rPr>
            </w:pPr>
          </w:p>
        </w:tc>
        <w:tc>
          <w:tcPr>
            <w:tcW w:w="1965" w:type="dxa"/>
            <w:vAlign w:val="center"/>
          </w:tcPr>
          <w:p w14:paraId="2A3406B0">
            <w:pPr>
              <w:spacing w:line="360" w:lineRule="auto"/>
              <w:jc w:val="center"/>
              <w:rPr>
                <w:rFonts w:hint="eastAsia" w:ascii="宋体" w:hAnsi="宋体" w:eastAsia="宋体" w:cs="宋体"/>
                <w:sz w:val="24"/>
                <w:highlight w:val="none"/>
              </w:rPr>
            </w:pPr>
          </w:p>
        </w:tc>
        <w:tc>
          <w:tcPr>
            <w:tcW w:w="1274" w:type="dxa"/>
            <w:vAlign w:val="center"/>
          </w:tcPr>
          <w:p w14:paraId="28F1453C">
            <w:pPr>
              <w:spacing w:line="360" w:lineRule="auto"/>
              <w:jc w:val="center"/>
              <w:rPr>
                <w:rFonts w:hint="eastAsia" w:ascii="宋体" w:hAnsi="宋体" w:eastAsia="宋体" w:cs="宋体"/>
                <w:sz w:val="24"/>
                <w:highlight w:val="none"/>
              </w:rPr>
            </w:pPr>
          </w:p>
        </w:tc>
      </w:tr>
      <w:tr w14:paraId="31F2F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0A9438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6</w:t>
            </w:r>
          </w:p>
        </w:tc>
        <w:tc>
          <w:tcPr>
            <w:tcW w:w="1356" w:type="dxa"/>
            <w:vAlign w:val="center"/>
          </w:tcPr>
          <w:p w14:paraId="28904D03">
            <w:pPr>
              <w:spacing w:line="360" w:lineRule="auto"/>
              <w:jc w:val="center"/>
              <w:rPr>
                <w:rFonts w:hint="eastAsia" w:ascii="宋体" w:hAnsi="宋体" w:eastAsia="宋体" w:cs="宋体"/>
                <w:sz w:val="24"/>
                <w:highlight w:val="none"/>
              </w:rPr>
            </w:pPr>
          </w:p>
        </w:tc>
        <w:tc>
          <w:tcPr>
            <w:tcW w:w="1327" w:type="dxa"/>
          </w:tcPr>
          <w:p w14:paraId="42E74421">
            <w:pPr>
              <w:spacing w:line="360" w:lineRule="auto"/>
              <w:jc w:val="center"/>
              <w:rPr>
                <w:rFonts w:hint="eastAsia" w:ascii="宋体" w:hAnsi="宋体" w:eastAsia="宋体" w:cs="宋体"/>
                <w:sz w:val="24"/>
                <w:highlight w:val="none"/>
              </w:rPr>
            </w:pPr>
          </w:p>
        </w:tc>
        <w:tc>
          <w:tcPr>
            <w:tcW w:w="1347" w:type="dxa"/>
            <w:vAlign w:val="center"/>
          </w:tcPr>
          <w:p w14:paraId="3D2D903D">
            <w:pPr>
              <w:spacing w:line="360" w:lineRule="auto"/>
              <w:jc w:val="center"/>
              <w:rPr>
                <w:rFonts w:hint="eastAsia" w:ascii="宋体" w:hAnsi="宋体" w:eastAsia="宋体" w:cs="宋体"/>
                <w:sz w:val="24"/>
                <w:highlight w:val="none"/>
              </w:rPr>
            </w:pPr>
          </w:p>
        </w:tc>
        <w:tc>
          <w:tcPr>
            <w:tcW w:w="1965" w:type="dxa"/>
            <w:vAlign w:val="center"/>
          </w:tcPr>
          <w:p w14:paraId="18033D5E">
            <w:pPr>
              <w:spacing w:line="360" w:lineRule="auto"/>
              <w:jc w:val="center"/>
              <w:rPr>
                <w:rFonts w:hint="eastAsia" w:ascii="宋体" w:hAnsi="宋体" w:eastAsia="宋体" w:cs="宋体"/>
                <w:sz w:val="24"/>
                <w:highlight w:val="none"/>
              </w:rPr>
            </w:pPr>
          </w:p>
        </w:tc>
        <w:tc>
          <w:tcPr>
            <w:tcW w:w="1274" w:type="dxa"/>
            <w:vAlign w:val="center"/>
          </w:tcPr>
          <w:p w14:paraId="4F560462">
            <w:pPr>
              <w:spacing w:line="360" w:lineRule="auto"/>
              <w:jc w:val="center"/>
              <w:rPr>
                <w:rFonts w:hint="eastAsia" w:ascii="宋体" w:hAnsi="宋体" w:eastAsia="宋体" w:cs="宋体"/>
                <w:sz w:val="24"/>
                <w:highlight w:val="none"/>
              </w:rPr>
            </w:pPr>
          </w:p>
        </w:tc>
      </w:tr>
      <w:tr w14:paraId="1F75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100349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1356" w:type="dxa"/>
            <w:vAlign w:val="center"/>
          </w:tcPr>
          <w:p w14:paraId="0FEE38C9">
            <w:pPr>
              <w:spacing w:line="360" w:lineRule="auto"/>
              <w:jc w:val="center"/>
              <w:rPr>
                <w:rFonts w:hint="eastAsia" w:ascii="宋体" w:hAnsi="宋体" w:eastAsia="宋体" w:cs="宋体"/>
                <w:sz w:val="24"/>
                <w:highlight w:val="none"/>
              </w:rPr>
            </w:pPr>
          </w:p>
        </w:tc>
        <w:tc>
          <w:tcPr>
            <w:tcW w:w="1327" w:type="dxa"/>
          </w:tcPr>
          <w:p w14:paraId="410525C6">
            <w:pPr>
              <w:spacing w:line="360" w:lineRule="auto"/>
              <w:jc w:val="center"/>
              <w:rPr>
                <w:rFonts w:hint="eastAsia" w:ascii="宋体" w:hAnsi="宋体" w:eastAsia="宋体" w:cs="宋体"/>
                <w:sz w:val="24"/>
                <w:highlight w:val="none"/>
              </w:rPr>
            </w:pPr>
          </w:p>
        </w:tc>
        <w:tc>
          <w:tcPr>
            <w:tcW w:w="1347" w:type="dxa"/>
            <w:vAlign w:val="center"/>
          </w:tcPr>
          <w:p w14:paraId="7D8703F4">
            <w:pPr>
              <w:spacing w:line="360" w:lineRule="auto"/>
              <w:jc w:val="center"/>
              <w:rPr>
                <w:rFonts w:hint="eastAsia" w:ascii="宋体" w:hAnsi="宋体" w:eastAsia="宋体" w:cs="宋体"/>
                <w:sz w:val="24"/>
                <w:highlight w:val="none"/>
              </w:rPr>
            </w:pPr>
          </w:p>
        </w:tc>
        <w:tc>
          <w:tcPr>
            <w:tcW w:w="1965" w:type="dxa"/>
            <w:vAlign w:val="center"/>
          </w:tcPr>
          <w:p w14:paraId="3FAF9E7A">
            <w:pPr>
              <w:spacing w:line="360" w:lineRule="auto"/>
              <w:jc w:val="center"/>
              <w:rPr>
                <w:rFonts w:hint="eastAsia" w:ascii="宋体" w:hAnsi="宋体" w:eastAsia="宋体" w:cs="宋体"/>
                <w:sz w:val="24"/>
                <w:highlight w:val="none"/>
              </w:rPr>
            </w:pPr>
          </w:p>
        </w:tc>
        <w:tc>
          <w:tcPr>
            <w:tcW w:w="1274" w:type="dxa"/>
            <w:vAlign w:val="center"/>
          </w:tcPr>
          <w:p w14:paraId="4F5F8B75">
            <w:pPr>
              <w:spacing w:line="360" w:lineRule="auto"/>
              <w:jc w:val="center"/>
              <w:rPr>
                <w:rFonts w:hint="eastAsia" w:ascii="宋体" w:hAnsi="宋体" w:eastAsia="宋体" w:cs="宋体"/>
                <w:sz w:val="24"/>
                <w:highlight w:val="none"/>
              </w:rPr>
            </w:pPr>
          </w:p>
        </w:tc>
      </w:tr>
    </w:tbl>
    <w:p w14:paraId="070DED42">
      <w:pPr>
        <w:spacing w:line="440" w:lineRule="exact"/>
        <w:ind w:firstLine="240" w:firstLineChars="1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附：按照招标文件要求及评分标准提供相应证明材料</w:t>
      </w:r>
    </w:p>
    <w:p w14:paraId="3C53B553">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725FFB67">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673C9ED8">
      <w:pPr>
        <w:ind w:firstLine="480" w:firstLineChars="200"/>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日期：         年         月       日</w:t>
      </w:r>
    </w:p>
    <w:p w14:paraId="1BA6AB33">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64027820">
      <w:pPr>
        <w:snapToGrid w:val="0"/>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15、拟投入本项目的专业技术（服务）人员情况一览表</w:t>
      </w:r>
    </w:p>
    <w:p w14:paraId="4DC75118">
      <w:pPr>
        <w:pStyle w:val="205"/>
        <w:ind w:firstLine="1043" w:firstLineChars="371"/>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拟投入本项目的专业技术（服务）人员情况一览表</w:t>
      </w:r>
    </w:p>
    <w:tbl>
      <w:tblPr>
        <w:tblStyle w:val="4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5F4B0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727EEE04">
            <w:pPr>
              <w:jc w:val="center"/>
              <w:rPr>
                <w:rFonts w:hint="eastAsia" w:ascii="宋体" w:hAnsi="宋体" w:eastAsia="宋体" w:cs="宋体"/>
                <w:b/>
                <w:highlight w:val="none"/>
              </w:rPr>
            </w:pPr>
            <w:r>
              <w:rPr>
                <w:rFonts w:hint="eastAsia" w:ascii="宋体" w:hAnsi="宋体" w:eastAsia="宋体" w:cs="宋体"/>
                <w:b/>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0A7E09AA">
            <w:pPr>
              <w:jc w:val="center"/>
              <w:rPr>
                <w:rFonts w:hint="eastAsia" w:ascii="宋体" w:hAnsi="宋体" w:eastAsia="宋体" w:cs="宋体"/>
                <w:b/>
                <w:highlight w:val="none"/>
              </w:rPr>
            </w:pPr>
            <w:r>
              <w:rPr>
                <w:rFonts w:hint="eastAsia" w:ascii="宋体" w:hAnsi="宋体" w:eastAsia="宋体" w:cs="宋体"/>
                <w:b/>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20457C20">
            <w:pPr>
              <w:jc w:val="center"/>
              <w:rPr>
                <w:rFonts w:hint="eastAsia" w:ascii="宋体" w:hAnsi="宋体" w:eastAsia="宋体" w:cs="宋体"/>
                <w:b/>
                <w:highlight w:val="none"/>
              </w:rPr>
            </w:pPr>
            <w:r>
              <w:rPr>
                <w:rFonts w:hint="eastAsia" w:ascii="宋体" w:hAnsi="宋体" w:eastAsia="宋体" w:cs="宋体"/>
                <w:b/>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24B7A866">
            <w:pPr>
              <w:jc w:val="center"/>
              <w:rPr>
                <w:rFonts w:hint="eastAsia" w:ascii="宋体" w:hAnsi="宋体" w:eastAsia="宋体" w:cs="宋体"/>
                <w:b/>
                <w:highlight w:val="none"/>
              </w:rPr>
            </w:pPr>
            <w:r>
              <w:rPr>
                <w:rFonts w:hint="eastAsia" w:ascii="宋体" w:hAnsi="宋体" w:eastAsia="宋体" w:cs="宋体"/>
                <w:b/>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34C4238D">
            <w:pPr>
              <w:jc w:val="center"/>
              <w:rPr>
                <w:rFonts w:hint="eastAsia" w:ascii="宋体" w:hAnsi="宋体" w:eastAsia="宋体" w:cs="宋体"/>
                <w:b/>
                <w:highlight w:val="none"/>
              </w:rPr>
            </w:pPr>
            <w:r>
              <w:rPr>
                <w:rFonts w:hint="eastAsia" w:ascii="宋体" w:hAnsi="宋体" w:eastAsia="宋体" w:cs="宋体"/>
                <w:b/>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6394B189">
            <w:pPr>
              <w:jc w:val="center"/>
              <w:rPr>
                <w:rFonts w:hint="eastAsia" w:ascii="宋体" w:hAnsi="宋体" w:eastAsia="宋体" w:cs="宋体"/>
                <w:b/>
                <w:highlight w:val="none"/>
              </w:rPr>
            </w:pPr>
            <w:r>
              <w:rPr>
                <w:rFonts w:hint="eastAsia" w:ascii="宋体" w:hAnsi="宋体" w:eastAsia="宋体" w:cs="宋体"/>
                <w:b/>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5A6BC263">
            <w:pPr>
              <w:jc w:val="center"/>
              <w:rPr>
                <w:rFonts w:hint="eastAsia" w:ascii="宋体" w:hAnsi="宋体" w:eastAsia="宋体" w:cs="宋体"/>
                <w:b/>
                <w:highlight w:val="none"/>
              </w:rPr>
            </w:pPr>
            <w:r>
              <w:rPr>
                <w:rFonts w:hint="eastAsia" w:ascii="宋体" w:hAnsi="宋体" w:eastAsia="宋体" w:cs="宋体"/>
                <w:b/>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730D4633">
            <w:pPr>
              <w:ind w:firstLine="221" w:firstLineChars="100"/>
              <w:rPr>
                <w:rFonts w:hint="eastAsia" w:ascii="宋体" w:hAnsi="宋体" w:eastAsia="宋体" w:cs="宋体"/>
                <w:b/>
                <w:highlight w:val="none"/>
              </w:rPr>
            </w:pPr>
            <w:r>
              <w:rPr>
                <w:rFonts w:hint="eastAsia" w:ascii="宋体" w:hAnsi="宋体" w:eastAsia="宋体" w:cs="宋体"/>
                <w:b/>
                <w:highlight w:val="none"/>
              </w:rPr>
              <w:t>备注</w:t>
            </w:r>
          </w:p>
        </w:tc>
      </w:tr>
      <w:tr w14:paraId="44B5F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BF83A40">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5CDF9957">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090A949F">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75F44E75">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872CF46">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7867225">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6BD5B461">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075DD43">
            <w:pPr>
              <w:snapToGrid w:val="0"/>
              <w:ind w:firstLine="480"/>
              <w:jc w:val="center"/>
              <w:rPr>
                <w:rFonts w:hint="eastAsia" w:ascii="宋体" w:hAnsi="宋体" w:eastAsia="宋体" w:cs="宋体"/>
                <w:highlight w:val="none"/>
              </w:rPr>
            </w:pPr>
          </w:p>
        </w:tc>
      </w:tr>
      <w:tr w14:paraId="2C62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3A0EF17">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2000F05E">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F1203AA">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1236F77">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77818D9">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355E16E6">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5A135C4">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4989398">
            <w:pPr>
              <w:snapToGrid w:val="0"/>
              <w:ind w:firstLine="480"/>
              <w:jc w:val="center"/>
              <w:rPr>
                <w:rFonts w:hint="eastAsia" w:ascii="宋体" w:hAnsi="宋体" w:eastAsia="宋体" w:cs="宋体"/>
                <w:highlight w:val="none"/>
              </w:rPr>
            </w:pPr>
          </w:p>
        </w:tc>
      </w:tr>
      <w:tr w14:paraId="41081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CA68B39">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4C380AF5">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D093F95">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6D90429">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E8141E1">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FC93C4A">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61ABDC5">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AEF1511">
            <w:pPr>
              <w:snapToGrid w:val="0"/>
              <w:ind w:firstLine="480"/>
              <w:jc w:val="center"/>
              <w:rPr>
                <w:rFonts w:hint="eastAsia" w:ascii="宋体" w:hAnsi="宋体" w:eastAsia="宋体" w:cs="宋体"/>
                <w:highlight w:val="none"/>
              </w:rPr>
            </w:pPr>
          </w:p>
        </w:tc>
      </w:tr>
      <w:tr w14:paraId="41DBB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ECAD620">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768577C4">
            <w:pPr>
              <w:snapToGrid w:val="0"/>
              <w:ind w:firstLine="480"/>
              <w:rPr>
                <w:rFonts w:hint="eastAsia" w:ascii="宋体" w:hAnsi="宋体" w:eastAsia="宋体" w:cs="宋体"/>
                <w:highlight w:val="none"/>
              </w:rPr>
            </w:pPr>
            <w:r>
              <w:rPr>
                <w:rFonts w:hint="eastAsia" w:ascii="宋体" w:hAnsi="宋体" w:eastAsia="宋体" w:cs="宋体"/>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79509B00">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457587F">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5EABF9A">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9C54B03">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0DBAAA7">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62E861D">
            <w:pPr>
              <w:snapToGrid w:val="0"/>
              <w:ind w:firstLine="480"/>
              <w:rPr>
                <w:rFonts w:hint="eastAsia" w:ascii="宋体" w:hAnsi="宋体" w:eastAsia="宋体" w:cs="宋体"/>
                <w:highlight w:val="none"/>
              </w:rPr>
            </w:pPr>
          </w:p>
        </w:tc>
      </w:tr>
      <w:tr w14:paraId="0C744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52B65E2">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0CF04979">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793F6D89">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15A2505">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A4AFB38">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39947B58">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04CBD4F">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B07271C">
            <w:pPr>
              <w:snapToGrid w:val="0"/>
              <w:ind w:firstLine="480"/>
              <w:rPr>
                <w:rFonts w:hint="eastAsia" w:ascii="宋体" w:hAnsi="宋体" w:eastAsia="宋体" w:cs="宋体"/>
                <w:highlight w:val="none"/>
              </w:rPr>
            </w:pPr>
          </w:p>
        </w:tc>
      </w:tr>
      <w:tr w14:paraId="1A413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48E5BE2">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4467D2B4">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E0B28EB">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D2D9DEE">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A109625">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395CC576">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710064D">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CCE87EB">
            <w:pPr>
              <w:snapToGrid w:val="0"/>
              <w:ind w:firstLine="480"/>
              <w:rPr>
                <w:rFonts w:hint="eastAsia" w:ascii="宋体" w:hAnsi="宋体" w:eastAsia="宋体" w:cs="宋体"/>
                <w:highlight w:val="none"/>
              </w:rPr>
            </w:pPr>
          </w:p>
        </w:tc>
      </w:tr>
      <w:tr w14:paraId="5F85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38CFFC5">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633CF9A3">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541D096">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8EBD353">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A16DFE8">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A98AF6E">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E8EFB3B">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E48F254">
            <w:pPr>
              <w:snapToGrid w:val="0"/>
              <w:ind w:firstLine="480"/>
              <w:rPr>
                <w:rFonts w:hint="eastAsia" w:ascii="宋体" w:hAnsi="宋体" w:eastAsia="宋体" w:cs="宋体"/>
                <w:highlight w:val="none"/>
              </w:rPr>
            </w:pPr>
          </w:p>
        </w:tc>
      </w:tr>
      <w:tr w14:paraId="4050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D24017D">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0959CDD6">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53A51C6">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95FFA43">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210B44F">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5E1F79E">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8E535BA">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5C4AE56E">
            <w:pPr>
              <w:snapToGrid w:val="0"/>
              <w:ind w:firstLine="480"/>
              <w:rPr>
                <w:rFonts w:hint="eastAsia" w:ascii="宋体" w:hAnsi="宋体" w:eastAsia="宋体" w:cs="宋体"/>
                <w:highlight w:val="none"/>
              </w:rPr>
            </w:pPr>
          </w:p>
        </w:tc>
      </w:tr>
      <w:tr w14:paraId="08AA9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BE5DCED">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6C596EE0">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DFF6E1A">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B2FB67D">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078811F">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9FE6670">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FACD145">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3E52434">
            <w:pPr>
              <w:snapToGrid w:val="0"/>
              <w:ind w:firstLine="480"/>
              <w:rPr>
                <w:rFonts w:hint="eastAsia" w:ascii="宋体" w:hAnsi="宋体" w:eastAsia="宋体" w:cs="宋体"/>
                <w:highlight w:val="none"/>
              </w:rPr>
            </w:pPr>
          </w:p>
        </w:tc>
      </w:tr>
    </w:tbl>
    <w:p w14:paraId="13000ED9">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附：1、按照招标文件要求提供相应资质证明材料。</w:t>
      </w:r>
    </w:p>
    <w:p w14:paraId="0446622B">
      <w:pPr>
        <w:spacing w:line="420" w:lineRule="exact"/>
        <w:rPr>
          <w:rFonts w:hint="eastAsia" w:ascii="宋体" w:hAnsi="宋体" w:eastAsia="宋体" w:cs="宋体"/>
          <w:sz w:val="24"/>
          <w:highlight w:val="none"/>
          <w:lang w:eastAsia="zh-CN"/>
        </w:rPr>
      </w:pPr>
    </w:p>
    <w:p w14:paraId="1B30BC1A">
      <w:pPr>
        <w:pStyle w:val="20"/>
        <w:rPr>
          <w:rFonts w:hint="eastAsia" w:hAnsi="宋体" w:eastAsia="宋体" w:cs="宋体"/>
          <w:highlight w:val="none"/>
          <w:lang w:eastAsia="zh-CN"/>
        </w:rPr>
      </w:pPr>
    </w:p>
    <w:p w14:paraId="37ACF8EE">
      <w:pPr>
        <w:pStyle w:val="20"/>
        <w:rPr>
          <w:rFonts w:hint="eastAsia" w:hAnsi="宋体" w:eastAsia="宋体" w:cs="宋体"/>
          <w:highlight w:val="none"/>
          <w:lang w:eastAsia="zh-CN"/>
        </w:rPr>
      </w:pPr>
    </w:p>
    <w:p w14:paraId="01D680E1">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1D1AF6FB">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2E81BA5A">
      <w:pPr>
        <w:pStyle w:val="20"/>
        <w:rPr>
          <w:rFonts w:hint="eastAsia" w:hAnsi="宋体" w:eastAsia="宋体" w:cs="宋体"/>
          <w:sz w:val="24"/>
          <w:highlight w:val="none"/>
          <w:lang w:eastAsia="zh-CN"/>
        </w:rPr>
      </w:pPr>
      <w:r>
        <w:rPr>
          <w:rFonts w:hint="eastAsia" w:hAnsi="宋体" w:eastAsia="宋体" w:cs="宋体"/>
          <w:sz w:val="24"/>
          <w:szCs w:val="24"/>
          <w:highlight w:val="none"/>
          <w:lang w:eastAsia="zh-CN"/>
        </w:rPr>
        <w:t>日期：    年    月    日</w:t>
      </w:r>
    </w:p>
    <w:p w14:paraId="41D6DDE5">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6B0B73CE">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316688F8">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45A1518F">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58C2AF04">
      <w:pPr>
        <w:spacing w:line="360" w:lineRule="auto"/>
        <w:rPr>
          <w:rFonts w:hint="eastAsia" w:ascii="宋体" w:hAnsi="宋体" w:eastAsia="宋体" w:cs="宋体"/>
          <w:b/>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p>
    <w:p w14:paraId="3FC12503">
      <w:pPr>
        <w:autoSpaceDE w:val="0"/>
        <w:autoSpaceDN w:val="0"/>
        <w:adjustRightInd w:val="0"/>
        <w:spacing w:line="400" w:lineRule="exact"/>
        <w:rPr>
          <w:rFonts w:hint="eastAsia"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中小企业声明函（服务）</w:t>
      </w:r>
    </w:p>
    <w:p w14:paraId="6FB5C7E4">
      <w:pPr>
        <w:spacing w:line="44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太仓市公安局  </w:t>
      </w:r>
      <w:r>
        <w:rPr>
          <w:rFonts w:hint="eastAsia" w:ascii="宋体" w:hAnsi="宋体" w:eastAsia="宋体" w:cs="宋体"/>
          <w:sz w:val="24"/>
          <w:highlight w:val="none"/>
          <w:lang w:eastAsia="zh-CN"/>
        </w:rPr>
        <w:t>的</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太仓市智慧城市新型基础设施建设（第二批）</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JSZC-320585-JZCG-G2026-0081</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号采购活动，服务全部由符合政策要求的中小企业承接。相关企业的具体情况如下：</w:t>
      </w:r>
    </w:p>
    <w:p w14:paraId="2BC273EF">
      <w:pPr>
        <w:numPr>
          <w:ilvl w:val="0"/>
          <w:numId w:val="6"/>
        </w:num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（标的名称）</w:t>
      </w:r>
      <w:r>
        <w:rPr>
          <w:rFonts w:hint="eastAsia" w:ascii="宋体" w:hAnsi="宋体" w:eastAsia="宋体" w:cs="宋体"/>
          <w:sz w:val="24"/>
          <w:szCs w:val="24"/>
          <w:highlight w:val="none"/>
          <w:lang w:eastAsia="zh-CN"/>
        </w:rPr>
        <w:t>，属于</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bCs/>
          <w:sz w:val="24"/>
          <w:highlight w:val="none"/>
          <w:u w:val="single"/>
          <w:lang w:eastAsia="zh-CN"/>
        </w:rPr>
        <w:t>软件和信息服务业</w:t>
      </w:r>
      <w:r>
        <w:rPr>
          <w:rFonts w:hint="eastAsia" w:ascii="宋体" w:hAnsi="宋体" w:eastAsia="宋体" w:cs="宋体"/>
          <w:b/>
          <w:bCs/>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i/>
          <w:sz w:val="24"/>
          <w:szCs w:val="24"/>
          <w:highlight w:val="none"/>
          <w:lang w:eastAsia="zh-CN"/>
        </w:rPr>
        <w:t>行业</w:t>
      </w:r>
      <w:r>
        <w:rPr>
          <w:rFonts w:hint="eastAsia" w:ascii="宋体" w:hAnsi="宋体" w:eastAsia="宋体" w:cs="宋体"/>
          <w:sz w:val="24"/>
          <w:szCs w:val="24"/>
          <w:highlight w:val="none"/>
          <w:lang w:eastAsia="zh-CN"/>
        </w:rPr>
        <w:t>；承接企业为</w:t>
      </w:r>
      <w:r>
        <w:rPr>
          <w:rFonts w:hint="eastAsia" w:ascii="宋体" w:hAnsi="宋体" w:eastAsia="宋体" w:cs="宋体"/>
          <w:i/>
          <w:sz w:val="24"/>
          <w:szCs w:val="24"/>
          <w:highlight w:val="none"/>
          <w:u w:val="single"/>
          <w:lang w:eastAsia="zh-CN"/>
        </w:rPr>
        <w:t>（企业名称）</w:t>
      </w:r>
      <w:r>
        <w:rPr>
          <w:rFonts w:hint="eastAsia" w:ascii="宋体" w:hAnsi="宋体" w:eastAsia="宋体" w:cs="宋体"/>
          <w:sz w:val="24"/>
          <w:szCs w:val="24"/>
          <w:highlight w:val="none"/>
          <w:lang w:eastAsia="zh-CN"/>
        </w:rPr>
        <w:t>，从业人员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w:t>
      </w:r>
      <w:r>
        <w:rPr>
          <w:rFonts w:hint="eastAsia"/>
          <w:highlight w:val="none"/>
        </w:rPr>
        <w:fldChar w:fldCharType="begin"/>
      </w:r>
      <w:r>
        <w:rPr>
          <w:highlight w:val="none"/>
          <w:lang w:eastAsia="zh-CN"/>
        </w:rPr>
        <w:instrText xml:space="preserve"> HYPERLINK \l "_bookmark1" </w:instrText>
      </w:r>
      <w:r>
        <w:rPr>
          <w:rFonts w:hint="eastAsia"/>
          <w:highlight w:val="none"/>
        </w:rPr>
        <w:fldChar w:fldCharType="separate"/>
      </w:r>
      <w:r>
        <w:rPr>
          <w:rFonts w:hint="eastAsia" w:ascii="宋体" w:hAnsi="宋体" w:eastAsia="宋体" w:cs="宋体"/>
          <w:position w:val="16"/>
          <w:sz w:val="24"/>
          <w:szCs w:val="24"/>
          <w:highlight w:val="none"/>
          <w:lang w:eastAsia="zh-CN"/>
        </w:rPr>
        <w:t>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i/>
          <w:sz w:val="24"/>
          <w:szCs w:val="24"/>
          <w:highlight w:val="none"/>
          <w:lang w:eastAsia="zh-CN"/>
        </w:rPr>
        <w:t>（中型企业、小型企业、微型企业，</w:t>
      </w:r>
      <w:r>
        <w:rPr>
          <w:rFonts w:hint="eastAsia" w:ascii="宋体" w:hAnsi="宋体" w:eastAsia="宋体" w:cs="宋体"/>
          <w:b/>
          <w:bCs/>
          <w:i/>
          <w:sz w:val="24"/>
          <w:szCs w:val="24"/>
          <w:highlight w:val="none"/>
          <w:lang w:eastAsia="zh-CN"/>
        </w:rPr>
        <w:t>三者选一填写</w:t>
      </w:r>
      <w:r>
        <w:rPr>
          <w:rFonts w:hint="eastAsia" w:ascii="宋体" w:hAnsi="宋体" w:eastAsia="宋体" w:cs="宋体"/>
          <w:i/>
          <w:sz w:val="24"/>
          <w:szCs w:val="24"/>
          <w:highlight w:val="none"/>
          <w:lang w:eastAsia="zh-CN"/>
        </w:rPr>
        <w:t>）</w:t>
      </w:r>
      <w:r>
        <w:rPr>
          <w:rFonts w:hint="eastAsia" w:ascii="宋体" w:hAnsi="宋体" w:eastAsia="宋体" w:cs="宋体"/>
          <w:sz w:val="24"/>
          <w:szCs w:val="24"/>
          <w:highlight w:val="none"/>
          <w:lang w:eastAsia="zh-CN"/>
        </w:rPr>
        <w:t>；</w:t>
      </w:r>
    </w:p>
    <w:p w14:paraId="5DE66646">
      <w:pPr>
        <w:spacing w:line="440" w:lineRule="exact"/>
        <w:ind w:firstLine="480" w:firstLineChars="200"/>
        <w:rPr>
          <w:rFonts w:ascii="宋体" w:hAnsi="宋体"/>
          <w:sz w:val="24"/>
          <w:highlight w:val="none"/>
          <w:lang w:eastAsia="zh-CN"/>
        </w:rPr>
      </w:pPr>
      <w:r>
        <w:rPr>
          <w:rFonts w:ascii="宋体" w:hAnsi="宋体"/>
          <w:sz w:val="24"/>
          <w:highlight w:val="none"/>
          <w:lang w:eastAsia="zh-CN"/>
        </w:rPr>
        <w:t>……</w:t>
      </w:r>
    </w:p>
    <w:p w14:paraId="6AEE6C16">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以上企业，不属于大企业的分支机构，不存在控股股东为大企业的情形，也不存在与大企业的负责人为同一人的情形。</w:t>
      </w:r>
    </w:p>
    <w:p w14:paraId="57B56DF8">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本企业对上述声明内容的真实性负责。如有虚假，将依法承担相应责任。</w:t>
      </w:r>
    </w:p>
    <w:p w14:paraId="6648A52C">
      <w:pPr>
        <w:spacing w:line="440" w:lineRule="exact"/>
        <w:ind w:right="960" w:firstLine="4800" w:firstLineChars="2000"/>
        <w:rPr>
          <w:rFonts w:ascii="宋体" w:hAnsi="宋体"/>
          <w:sz w:val="24"/>
          <w:highlight w:val="none"/>
          <w:lang w:eastAsia="zh-CN"/>
        </w:rPr>
      </w:pPr>
      <w:r>
        <w:rPr>
          <w:rFonts w:hint="eastAsia" w:ascii="宋体" w:hAnsi="宋体"/>
          <w:sz w:val="24"/>
          <w:highlight w:val="none"/>
          <w:lang w:eastAsia="zh-CN"/>
        </w:rPr>
        <w:t>企业名称（盖章）：</w:t>
      </w:r>
    </w:p>
    <w:p w14:paraId="0BF58046">
      <w:pPr>
        <w:spacing w:line="440" w:lineRule="exact"/>
        <w:ind w:right="1120" w:firstLine="4800" w:firstLineChars="2000"/>
        <w:rPr>
          <w:rFonts w:ascii="宋体" w:hAnsi="宋体"/>
          <w:sz w:val="24"/>
          <w:highlight w:val="none"/>
          <w:lang w:eastAsia="zh-CN"/>
        </w:rPr>
      </w:pPr>
      <w:r>
        <w:rPr>
          <w:rFonts w:hint="eastAsia" w:ascii="宋体" w:hAnsi="宋体"/>
          <w:sz w:val="24"/>
          <w:highlight w:val="none"/>
          <w:lang w:eastAsia="zh-CN"/>
        </w:rPr>
        <w:t>日期：</w:t>
      </w:r>
    </w:p>
    <w:p w14:paraId="6446B77F">
      <w:pPr>
        <w:spacing w:after="0" w:line="440" w:lineRule="exact"/>
        <w:ind w:firstLine="480" w:firstLineChars="200"/>
        <w:rPr>
          <w:rFonts w:hint="eastAsia" w:ascii="宋体" w:hAnsi="宋体" w:eastAsia="宋体" w:cs="宋体"/>
          <w:sz w:val="24"/>
          <w:szCs w:val="24"/>
          <w:highlight w:val="none"/>
          <w:lang w:eastAsia="zh-CN"/>
        </w:rPr>
      </w:pPr>
      <w:r>
        <w:rPr>
          <w:rFonts w:hint="eastAsia" w:ascii="宋体" w:hAnsi="宋体"/>
          <w:sz w:val="24"/>
          <w:highlight w:val="none"/>
          <w:lang w:eastAsia="zh-CN"/>
        </w:rPr>
        <w:t>从</w:t>
      </w:r>
      <w:r>
        <w:rPr>
          <w:rFonts w:hint="eastAsia" w:ascii="宋体" w:hAnsi="宋体" w:eastAsia="宋体" w:cs="宋体"/>
          <w:sz w:val="24"/>
          <w:szCs w:val="24"/>
          <w:highlight w:val="none"/>
          <w:lang w:eastAsia="zh-CN"/>
        </w:rPr>
        <w:t>业人员、营业收入、资产总额填报上一年度数据，无上一年度数据的新成立企业可不填报。</w:t>
      </w:r>
    </w:p>
    <w:p w14:paraId="07FA7A93">
      <w:pPr>
        <w:spacing w:after="0"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备注：</w:t>
      </w:r>
    </w:p>
    <w:p w14:paraId="2F3D2169">
      <w:pPr>
        <w:spacing w:line="440" w:lineRule="exact"/>
        <w:ind w:firstLine="480"/>
        <w:rPr>
          <w:rFonts w:ascii="宋体" w:hAnsi="宋体" w:cs="宋体"/>
          <w:sz w:val="24"/>
          <w:highlight w:val="none"/>
          <w:lang w:eastAsia="zh-CN"/>
        </w:rPr>
      </w:pPr>
    </w:p>
    <w:p w14:paraId="573781F9">
      <w:pPr>
        <w:spacing w:line="360" w:lineRule="exact"/>
        <w:ind w:firstLine="480"/>
        <w:rPr>
          <w:rFonts w:ascii="宋体" w:hAnsi="宋体" w:cs="Calibri"/>
          <w:sz w:val="24"/>
          <w:highlight w:val="none"/>
          <w:lang w:eastAsia="zh-CN"/>
        </w:rPr>
      </w:pPr>
      <w:r>
        <w:rPr>
          <w:rFonts w:hint="eastAsia" w:ascii="宋体" w:hAnsi="宋体" w:cs="Calibri"/>
          <w:sz w:val="24"/>
          <w:highlight w:val="none"/>
          <w:lang w:eastAsia="zh-CN"/>
        </w:rPr>
        <w:t>1、投标人参加政府采购活动，应当出具《中小企业声明函》，否则不得享受相关中小企业扶持政策。</w:t>
      </w:r>
    </w:p>
    <w:p w14:paraId="07821C94">
      <w:pPr>
        <w:spacing w:line="360" w:lineRule="exact"/>
        <w:ind w:firstLine="480"/>
        <w:rPr>
          <w:rFonts w:ascii="宋体" w:hAnsi="宋体" w:cs="Calibri"/>
          <w:sz w:val="24"/>
          <w:highlight w:val="none"/>
          <w:lang w:eastAsia="zh-CN"/>
        </w:rPr>
      </w:pPr>
      <w:r>
        <w:rPr>
          <w:rFonts w:hint="eastAsia" w:ascii="宋体" w:hAnsi="宋体" w:cs="Calibri"/>
          <w:sz w:val="24"/>
          <w:highlight w:val="none"/>
          <w:lang w:eastAsia="zh-CN"/>
        </w:rPr>
        <w:t>2、投标人提供的中小企业声明函必须包含本项目所有服务及其服务承接企业，并按照声明函格式填写完整、明确，否则不得享受相关中小企业扶持政策。</w:t>
      </w:r>
    </w:p>
    <w:p w14:paraId="258F1B8E">
      <w:pPr>
        <w:pBdr>
          <w:top w:val="none" w:color="000000" w:sz="0" w:space="0"/>
          <w:left w:val="none" w:color="000000" w:sz="0" w:space="0"/>
          <w:bottom w:val="none" w:color="000000" w:sz="0" w:space="0"/>
          <w:right w:val="none" w:color="000000" w:sz="0" w:space="0"/>
        </w:pBdr>
        <w:spacing w:line="439" w:lineRule="atLeast"/>
        <w:ind w:firstLine="480" w:firstLineChars="200"/>
        <w:rPr>
          <w:rFonts w:ascii="宋体" w:hAnsi="宋体" w:cs="宋体"/>
          <w:b/>
          <w:sz w:val="32"/>
          <w:highlight w:val="none"/>
          <w:lang w:eastAsia="zh-CN"/>
        </w:rPr>
      </w:pPr>
      <w:r>
        <w:rPr>
          <w:rFonts w:hint="eastAsia" w:ascii="宋体" w:hAnsi="宋体" w:cs="Calibri"/>
          <w:sz w:val="24"/>
          <w:highlight w:val="none"/>
          <w:lang w:eastAsia="zh-CN"/>
        </w:rPr>
        <w:t>3、中标、成交供应商享受规定的中小企业扶持政策的，《中小企业声明函》应当随中标、成交结果同时公告，接受社会监督。</w:t>
      </w:r>
      <w:r>
        <w:rPr>
          <w:rFonts w:hint="eastAsia" w:ascii="宋体" w:hAnsi="宋体" w:cs="宋体"/>
          <w:b/>
          <w:sz w:val="32"/>
          <w:highlight w:val="none"/>
          <w:lang w:eastAsia="zh-CN"/>
        </w:rPr>
        <w:t> </w:t>
      </w:r>
    </w:p>
    <w:p w14:paraId="7E20DC7E">
      <w:pPr>
        <w:adjustRightInd w:val="0"/>
        <w:snapToGrid w:val="0"/>
        <w:spacing w:line="400" w:lineRule="exact"/>
        <w:ind w:firstLine="480" w:firstLineChars="200"/>
        <w:rPr>
          <w:rFonts w:hint="eastAsia" w:ascii="仿宋" w:hAnsi="仿宋" w:eastAsia="仿宋" w:cs="仿宋"/>
          <w:sz w:val="24"/>
          <w:szCs w:val="24"/>
          <w:highlight w:val="none"/>
          <w:lang w:eastAsia="zh-CN"/>
        </w:rPr>
      </w:pPr>
    </w:p>
    <w:p w14:paraId="4DB7B9AB">
      <w:pPr>
        <w:spacing w:after="0" w:line="440" w:lineRule="exact"/>
        <w:ind w:firstLine="480" w:firstLineChars="200"/>
        <w:rPr>
          <w:rFonts w:hint="eastAsia" w:ascii="宋体" w:hAnsi="宋体" w:eastAsia="宋体" w:cs="宋体"/>
          <w:sz w:val="24"/>
          <w:szCs w:val="24"/>
          <w:highlight w:val="none"/>
          <w:lang w:eastAsia="zh-CN"/>
        </w:rPr>
      </w:pPr>
    </w:p>
    <w:p w14:paraId="1C5AC48B">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w:t>
      </w:r>
    </w:p>
    <w:p w14:paraId="6132BFCB">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p>
    <w:p w14:paraId="72F4AA88">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p>
    <w:p w14:paraId="2F3F10CE">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bCs/>
          <w:sz w:val="32"/>
          <w:szCs w:val="32"/>
          <w:highlight w:val="none"/>
          <w:lang w:eastAsia="zh-CN"/>
        </w:rPr>
      </w:pPr>
      <w:r>
        <w:rPr>
          <w:rFonts w:hint="eastAsia" w:ascii="宋体" w:hAnsi="宋体" w:eastAsia="宋体" w:cs="宋体"/>
          <w:b/>
          <w:color w:val="000000"/>
          <w:sz w:val="32"/>
          <w:highlight w:val="none"/>
          <w:lang w:eastAsia="zh-CN"/>
        </w:rPr>
        <w:t>17、</w:t>
      </w:r>
      <w:r>
        <w:rPr>
          <w:rFonts w:hint="eastAsia" w:ascii="宋体" w:hAnsi="宋体" w:eastAsia="宋体" w:cs="宋体"/>
          <w:b/>
          <w:sz w:val="32"/>
          <w:highlight w:val="none"/>
          <w:lang w:eastAsia="zh-CN"/>
        </w:rPr>
        <w:t>残疾人福利性单位声明函（如有）</w:t>
      </w:r>
    </w:p>
    <w:p w14:paraId="217469CF">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b/>
          <w:sz w:val="32"/>
          <w:highlight w:val="none"/>
          <w:lang w:eastAsia="zh-CN"/>
        </w:rPr>
        <w:t> </w:t>
      </w:r>
    </w:p>
    <w:p w14:paraId="0A0BDBCE">
      <w:pPr>
        <w:pBdr>
          <w:top w:val="none" w:color="000000" w:sz="0" w:space="0"/>
          <w:left w:val="none" w:color="000000" w:sz="0" w:space="0"/>
          <w:bottom w:val="none" w:color="000000" w:sz="0" w:space="0"/>
          <w:right w:val="none" w:color="000000" w:sz="0" w:space="0"/>
        </w:pBdr>
        <w:spacing w:after="0" w:line="479" w:lineRule="atLeast"/>
        <w:ind w:firstLine="2560"/>
        <w:rPr>
          <w:rFonts w:hint="eastAsia" w:ascii="宋体" w:hAnsi="宋体" w:eastAsia="宋体" w:cs="宋体"/>
          <w:highlight w:val="none"/>
          <w:lang w:eastAsia="zh-CN"/>
        </w:rPr>
      </w:pPr>
      <w:r>
        <w:rPr>
          <w:rFonts w:hint="eastAsia" w:ascii="宋体" w:hAnsi="宋体" w:eastAsia="宋体" w:cs="宋体"/>
          <w:sz w:val="32"/>
          <w:highlight w:val="none"/>
          <w:lang w:eastAsia="zh-CN"/>
        </w:rPr>
        <w:t>残疾人福利性单位声明函</w:t>
      </w:r>
    </w:p>
    <w:p w14:paraId="03FC2AC2">
      <w:pPr>
        <w:pBdr>
          <w:top w:val="none" w:color="000000" w:sz="0" w:space="0"/>
          <w:left w:val="none" w:color="000000" w:sz="0" w:space="0"/>
          <w:bottom w:val="none" w:color="000000" w:sz="0" w:space="0"/>
          <w:right w:val="none" w:color="000000" w:sz="0" w:space="0"/>
        </w:pBdr>
        <w:spacing w:after="0" w:line="479" w:lineRule="atLeast"/>
        <w:ind w:firstLine="1928"/>
        <w:rPr>
          <w:rFonts w:hint="eastAsia" w:ascii="宋体" w:hAnsi="宋体" w:eastAsia="宋体" w:cs="宋体"/>
          <w:highlight w:val="none"/>
          <w:lang w:eastAsia="zh-CN"/>
        </w:rPr>
      </w:pPr>
      <w:r>
        <w:rPr>
          <w:rFonts w:hint="eastAsia" w:ascii="宋体" w:hAnsi="宋体" w:eastAsia="宋体" w:cs="宋体"/>
          <w:b/>
          <w:sz w:val="32"/>
          <w:highlight w:val="none"/>
          <w:lang w:eastAsia="zh-CN"/>
        </w:rPr>
        <w:t> </w:t>
      </w:r>
    </w:p>
    <w:p w14:paraId="7C00FB70">
      <w:pPr>
        <w:pBdr>
          <w:top w:val="none" w:color="000000" w:sz="0" w:space="0"/>
          <w:left w:val="none" w:color="000000" w:sz="0" w:space="0"/>
          <w:bottom w:val="none" w:color="000000" w:sz="0" w:space="0"/>
          <w:right w:val="none" w:color="000000" w:sz="0" w:space="0"/>
        </w:pBdr>
        <w:spacing w:after="0" w:line="479" w:lineRule="atLeast"/>
        <w:ind w:firstLine="480"/>
        <w:rPr>
          <w:rFonts w:hint="eastAsia" w:ascii="宋体" w:hAnsi="宋体" w:eastAsia="宋体" w:cs="宋体"/>
          <w:highlight w:val="none"/>
          <w:lang w:eastAsia="zh-CN"/>
        </w:rPr>
      </w:pPr>
      <w:r>
        <w:rPr>
          <w:rFonts w:hint="eastAsia" w:ascii="宋体" w:hAnsi="宋体" w:eastAsia="宋体" w:cs="宋体"/>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CBAE2E9">
      <w:pPr>
        <w:pBdr>
          <w:top w:val="none" w:color="000000" w:sz="0" w:space="0"/>
          <w:left w:val="none" w:color="000000" w:sz="0" w:space="0"/>
          <w:bottom w:val="none" w:color="000000" w:sz="0" w:space="0"/>
          <w:right w:val="none" w:color="000000" w:sz="0" w:space="0"/>
        </w:pBdr>
        <w:spacing w:after="0" w:line="479" w:lineRule="atLeast"/>
        <w:ind w:firstLine="480"/>
        <w:rPr>
          <w:rFonts w:hint="eastAsia" w:ascii="宋体" w:hAnsi="宋体" w:eastAsia="宋体" w:cs="宋体"/>
          <w:highlight w:val="none"/>
          <w:lang w:eastAsia="zh-CN"/>
        </w:rPr>
      </w:pPr>
      <w:r>
        <w:rPr>
          <w:rFonts w:hint="eastAsia" w:ascii="宋体" w:hAnsi="宋体" w:eastAsia="宋体" w:cs="宋体"/>
          <w:sz w:val="24"/>
          <w:highlight w:val="none"/>
          <w:lang w:eastAsia="zh-CN"/>
        </w:rPr>
        <w:t>本单位对上述声明的真实性负责。如有虚假，将依法承担相应责任。</w:t>
      </w:r>
    </w:p>
    <w:p w14:paraId="389FDBC9">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67BF915F">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3B38E42C">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单位名称（盖章）：</w:t>
      </w:r>
    </w:p>
    <w:p w14:paraId="10962CBA">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p>
    <w:p w14:paraId="6C3E8CA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36A6952C">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p>
    <w:p w14:paraId="2FB57CF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087201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3AE6D37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444B7683">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1E0E6A3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2A0D85A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3CDA1B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2C3182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7183062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4A9012E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143146BD">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417383F2">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0799B91A">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2F5EDA49">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18、监狱企业证明文件（如有）</w:t>
      </w:r>
    </w:p>
    <w:p w14:paraId="64E8F311">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57C1B721">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3D9B52AB">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监狱企业证明文件</w:t>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0ABF3042">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color w:val="000000"/>
          <w:sz w:val="24"/>
          <w:highlight w:val="none"/>
          <w:lang w:eastAsia="zh-CN"/>
        </w:rPr>
      </w:pPr>
    </w:p>
    <w:p w14:paraId="63AB080D">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3360BDC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15D5A14">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555827E">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C7BCB5B">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43522A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57F03D0">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74C1FD4E">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511F82C2">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40E83C32">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85A1D56">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424378C">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C73BE64">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F5BD593">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11D3AAD">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7960C341">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02F8E9A">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B7E5256">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8295D0D">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35E36ADA">
      <w:pPr>
        <w:pStyle w:val="236"/>
        <w:spacing w:line="520" w:lineRule="exact"/>
        <w:rPr>
          <w:highlight w:val="none"/>
          <w:lang w:eastAsia="zh-CN"/>
        </w:rPr>
      </w:pPr>
      <w:r>
        <w:rPr>
          <w:rFonts w:hint="eastAsia" w:eastAsia="宋体"/>
          <w:b/>
          <w:sz w:val="32"/>
          <w:highlight w:val="none"/>
          <w:lang w:eastAsia="zh-CN"/>
        </w:rPr>
        <w:t>19</w:t>
      </w:r>
      <w:r>
        <w:rPr>
          <w:rFonts w:hint="eastAsia"/>
          <w:b/>
          <w:sz w:val="32"/>
          <w:highlight w:val="none"/>
          <w:lang w:eastAsia="zh-CN"/>
        </w:rPr>
        <w:t>、关于符合本国产品标准的声明函</w:t>
      </w:r>
    </w:p>
    <w:p w14:paraId="708710B3">
      <w:pPr>
        <w:pStyle w:val="236"/>
        <w:spacing w:line="520" w:lineRule="exact"/>
        <w:jc w:val="center"/>
        <w:rPr>
          <w:sz w:val="24"/>
          <w:highlight w:val="none"/>
          <w:lang w:eastAsia="zh-CN"/>
        </w:rPr>
      </w:pPr>
      <w:r>
        <w:rPr>
          <w:rFonts w:hint="eastAsia" w:ascii="宋体" w:hAnsi="宋体" w:cs="宋体"/>
          <w:color w:val="000000"/>
          <w:sz w:val="32"/>
          <w:highlight w:val="none"/>
          <w:lang w:eastAsia="zh-CN"/>
        </w:rPr>
        <w:t>关于符合本国产品标准的声明函</w:t>
      </w:r>
    </w:p>
    <w:p w14:paraId="08988543">
      <w:pPr>
        <w:pStyle w:val="236"/>
        <w:spacing w:line="520" w:lineRule="exact"/>
        <w:ind w:firstLine="480" w:firstLineChars="200"/>
        <w:rPr>
          <w:color w:val="000000" w:themeColor="text1"/>
          <w:sz w:val="24"/>
          <w:highlight w:val="none"/>
          <w:lang w:eastAsia="zh-CN"/>
          <w14:textFill>
            <w14:solidFill>
              <w14:schemeClr w14:val="tx1"/>
            </w14:solidFill>
          </w14:textFill>
        </w:rPr>
      </w:pPr>
      <w:r>
        <w:rPr>
          <w:rFonts w:hint="eastAsia"/>
          <w:sz w:val="24"/>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5E3D13E9">
      <w:pPr>
        <w:pStyle w:val="236"/>
        <w:spacing w:line="520" w:lineRule="exact"/>
        <w:ind w:firstLine="480" w:firstLineChars="200"/>
        <w:rPr>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1.</w:t>
      </w:r>
      <w:r>
        <w:rPr>
          <w:rFonts w:hint="eastAsia" w:ascii="宋体" w:hAnsi="宋体" w:cs="宋体"/>
          <w:i/>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（产品名称1）</w:t>
      </w:r>
      <w:r>
        <w:rPr>
          <w:rFonts w:hint="eastAsia"/>
          <w:color w:val="000000" w:themeColor="text1"/>
          <w:sz w:val="24"/>
          <w:highlight w:val="none"/>
          <w:vertAlign w:val="superscript"/>
          <w:lang w:eastAsia="zh-CN"/>
          <w14:textFill>
            <w14:solidFill>
              <w14:schemeClr w14:val="tx1"/>
            </w14:solidFill>
          </w14:textFill>
        </w:rPr>
        <w:t>1</w:t>
      </w:r>
      <w:r>
        <w:rPr>
          <w:rFonts w:hint="eastAsia"/>
          <w:color w:val="000000" w:themeColor="text1"/>
          <w:sz w:val="24"/>
          <w:highlight w:val="none"/>
          <w:lang w:eastAsia="zh-CN"/>
          <w14:textFill>
            <w14:solidFill>
              <w14:schemeClr w14:val="tx1"/>
            </w14:solidFill>
          </w14:textFill>
        </w:rPr>
        <w:t xml:space="preserve">，生产厂为 </w:t>
      </w:r>
      <w:r>
        <w:rPr>
          <w:rStyle w:val="50"/>
          <w:rFonts w:hint="eastAsia" w:ascii="宋体" w:hAnsi="宋体" w:cs="宋体"/>
          <w:i w:val="0"/>
          <w:color w:val="000000"/>
          <w:sz w:val="24"/>
          <w:highlight w:val="none"/>
          <w:u w:val="single"/>
          <w:shd w:val="clear" w:color="auto" w:fill="FFFFFF"/>
          <w:lang w:eastAsia="zh-CN"/>
        </w:rPr>
        <w:t xml:space="preserve">（厂 名） </w:t>
      </w:r>
      <w:r>
        <w:rPr>
          <w:rFonts w:hint="eastAsia"/>
          <w:color w:val="000000" w:themeColor="text1"/>
          <w:sz w:val="24"/>
          <w:highlight w:val="none"/>
          <w:vertAlign w:val="superscript"/>
          <w:lang w:eastAsia="zh-CN"/>
          <w14:textFill>
            <w14:solidFill>
              <w14:schemeClr w14:val="tx1"/>
            </w14:solidFill>
          </w14:textFill>
        </w:rPr>
        <w:t>2</w:t>
      </w:r>
      <w:r>
        <w:rPr>
          <w:rFonts w:hint="eastAsia"/>
          <w:color w:val="000000" w:themeColor="text1"/>
          <w:sz w:val="24"/>
          <w:highlight w:val="none"/>
          <w:lang w:eastAsia="zh-CN"/>
          <w14:textFill>
            <w14:solidFill>
              <w14:schemeClr w14:val="tx1"/>
            </w14:solidFill>
          </w14:textFill>
        </w:rPr>
        <w:t>，厂址为</w:t>
      </w:r>
      <w:r>
        <w:rPr>
          <w:rStyle w:val="50"/>
          <w:rFonts w:hint="eastAsia" w:ascii="宋体" w:hAnsi="宋体" w:cs="宋体"/>
          <w:i w:val="0"/>
          <w:color w:val="000000"/>
          <w:sz w:val="24"/>
          <w:highlight w:val="none"/>
          <w:u w:val="single"/>
          <w:shd w:val="clear" w:color="auto" w:fill="FFFFFF"/>
          <w:lang w:eastAsia="zh-CN"/>
        </w:rPr>
        <w:t xml:space="preserve">（生产厂址） </w:t>
      </w:r>
      <w:r>
        <w:rPr>
          <w:rFonts w:hint="eastAsia"/>
          <w:color w:val="000000" w:themeColor="text1"/>
          <w:sz w:val="24"/>
          <w:highlight w:val="none"/>
          <w:lang w:eastAsia="zh-CN"/>
          <w14:textFill>
            <w14:solidFill>
              <w14:schemeClr w14:val="tx1"/>
            </w14:solidFill>
          </w14:textFill>
        </w:rPr>
        <w:t xml:space="preserve">。 </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lang w:eastAsia="zh-CN"/>
          <w14:textFill>
            <w14:solidFill>
              <w14:schemeClr w14:val="tx1"/>
            </w14:solidFill>
          </w14:textFill>
        </w:rPr>
        <w:t>的中国境内生产的组件成本占比≥</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vertAlign w:val="superscript"/>
          <w:lang w:eastAsia="zh-CN"/>
          <w14:textFill>
            <w14:solidFill>
              <w14:schemeClr w14:val="tx1"/>
            </w14:solidFill>
          </w14:textFill>
        </w:rPr>
        <w:t>3</w:t>
      </w:r>
      <w:r>
        <w:rPr>
          <w:rFonts w:hint="eastAsia"/>
          <w:color w:val="000000" w:themeColor="text1"/>
          <w:sz w:val="24"/>
          <w:highlight w:val="none"/>
          <w:lang w:eastAsia="zh-CN"/>
          <w14:textFill>
            <w14:solidFill>
              <w14:schemeClr w14:val="tx1"/>
            </w14:solidFill>
          </w14:textFill>
        </w:rPr>
        <w:t>。</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lang w:eastAsia="zh-CN"/>
          <w14:textFill>
            <w14:solidFill>
              <w14:schemeClr w14:val="tx1"/>
            </w14:solidFill>
          </w14:textFill>
        </w:rPr>
        <w:t>的</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vertAlign w:val="superscript"/>
          <w:lang w:eastAsia="zh-CN"/>
          <w14:textFill>
            <w14:solidFill>
              <w14:schemeClr w14:val="tx1"/>
            </w14:solidFill>
          </w14:textFill>
        </w:rPr>
        <w:t>4</w:t>
      </w:r>
      <w:r>
        <w:rPr>
          <w:rFonts w:hint="eastAsia"/>
          <w:color w:val="000000" w:themeColor="text1"/>
          <w:sz w:val="24"/>
          <w:highlight w:val="none"/>
          <w:lang w:eastAsia="zh-CN"/>
          <w14:textFill>
            <w14:solidFill>
              <w14:schemeClr w14:val="tx1"/>
            </w14:solidFill>
          </w14:textFill>
        </w:rPr>
        <w:t>在中国境内生产。</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lang w:eastAsia="zh-CN"/>
          <w14:textFill>
            <w14:solidFill>
              <w14:schemeClr w14:val="tx1"/>
            </w14:solidFill>
          </w14:textFill>
        </w:rPr>
        <w:t>的</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vertAlign w:val="superscript"/>
          <w:lang w:eastAsia="zh-CN"/>
          <w14:textFill>
            <w14:solidFill>
              <w14:schemeClr w14:val="tx1"/>
            </w14:solidFill>
          </w14:textFill>
        </w:rPr>
        <w:t>5</w:t>
      </w:r>
      <w:r>
        <w:rPr>
          <w:rFonts w:hint="eastAsia"/>
          <w:color w:val="000000" w:themeColor="text1"/>
          <w:sz w:val="24"/>
          <w:highlight w:val="none"/>
          <w:lang w:eastAsia="zh-CN"/>
          <w14:textFill>
            <w14:solidFill>
              <w14:schemeClr w14:val="tx1"/>
            </w14:solidFill>
          </w14:textFill>
        </w:rPr>
        <w:t>在中国境内完成。</w:t>
      </w:r>
    </w:p>
    <w:p w14:paraId="6831B0CD">
      <w:pPr>
        <w:pStyle w:val="236"/>
        <w:spacing w:line="520" w:lineRule="exact"/>
        <w:ind w:firstLine="480" w:firstLineChars="200"/>
        <w:rPr>
          <w:color w:val="000000" w:themeColor="text1"/>
          <w:sz w:val="24"/>
          <w:highlight w:val="none"/>
          <w:lang w:eastAsia="zh-CN"/>
          <w14:textFill>
            <w14:solidFill>
              <w14:schemeClr w14:val="tx1"/>
            </w14:solidFill>
          </w14:textFill>
        </w:rPr>
      </w:pPr>
      <w:r>
        <w:rPr>
          <w:color w:val="000000" w:themeColor="text1"/>
          <w:sz w:val="24"/>
          <w:highlight w:val="none"/>
          <w:lang w:eastAsia="zh-CN"/>
          <w14:textFill>
            <w14:solidFill>
              <w14:schemeClr w14:val="tx1"/>
            </w14:solidFill>
          </w14:textFill>
        </w:rPr>
        <w:t>2</w:t>
      </w:r>
      <w:r>
        <w:rPr>
          <w:rFonts w:hint="eastAsia"/>
          <w:color w:val="000000" w:themeColor="text1"/>
          <w:sz w:val="24"/>
          <w:highlight w:val="none"/>
          <w:lang w:eastAsia="zh-CN"/>
          <w14:textFill>
            <w14:solidFill>
              <w14:schemeClr w14:val="tx1"/>
            </w14:solidFill>
          </w14:textFill>
        </w:rPr>
        <w:t>.</w:t>
      </w:r>
      <w:r>
        <w:rPr>
          <w:rFonts w:hint="eastAsia" w:ascii="宋体" w:hAnsi="宋体" w:cs="宋体"/>
          <w:i/>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（产品名称2）</w:t>
      </w:r>
      <w:r>
        <w:rPr>
          <w:rFonts w:hint="eastAsia"/>
          <w:color w:val="000000" w:themeColor="text1"/>
          <w:sz w:val="24"/>
          <w:highlight w:val="none"/>
          <w:vertAlign w:val="superscript"/>
          <w:lang w:eastAsia="zh-CN"/>
          <w14:textFill>
            <w14:solidFill>
              <w14:schemeClr w14:val="tx1"/>
            </w14:solidFill>
          </w14:textFill>
        </w:rPr>
        <w:t>1</w:t>
      </w:r>
      <w:r>
        <w:rPr>
          <w:rFonts w:hint="eastAsia"/>
          <w:color w:val="000000" w:themeColor="text1"/>
          <w:sz w:val="24"/>
          <w:highlight w:val="none"/>
          <w:lang w:eastAsia="zh-CN"/>
          <w14:textFill>
            <w14:solidFill>
              <w14:schemeClr w14:val="tx1"/>
            </w14:solidFill>
          </w14:textFill>
        </w:rPr>
        <w:t xml:space="preserve">，生产厂为 </w:t>
      </w:r>
      <w:r>
        <w:rPr>
          <w:rStyle w:val="50"/>
          <w:rFonts w:hint="eastAsia" w:ascii="宋体" w:hAnsi="宋体" w:cs="宋体"/>
          <w:i w:val="0"/>
          <w:color w:val="000000"/>
          <w:sz w:val="24"/>
          <w:highlight w:val="none"/>
          <w:u w:val="single"/>
          <w:shd w:val="clear" w:color="auto" w:fill="FFFFFF"/>
          <w:lang w:eastAsia="zh-CN"/>
        </w:rPr>
        <w:t xml:space="preserve">（厂 名） </w:t>
      </w:r>
      <w:r>
        <w:rPr>
          <w:rFonts w:hint="eastAsia"/>
          <w:color w:val="000000" w:themeColor="text1"/>
          <w:sz w:val="24"/>
          <w:highlight w:val="none"/>
          <w:vertAlign w:val="superscript"/>
          <w:lang w:eastAsia="zh-CN"/>
          <w14:textFill>
            <w14:solidFill>
              <w14:schemeClr w14:val="tx1"/>
            </w14:solidFill>
          </w14:textFill>
        </w:rPr>
        <w:t>2</w:t>
      </w:r>
      <w:r>
        <w:rPr>
          <w:rFonts w:hint="eastAsia"/>
          <w:color w:val="000000" w:themeColor="text1"/>
          <w:sz w:val="24"/>
          <w:highlight w:val="none"/>
          <w:lang w:eastAsia="zh-CN"/>
          <w14:textFill>
            <w14:solidFill>
              <w14:schemeClr w14:val="tx1"/>
            </w14:solidFill>
          </w14:textFill>
        </w:rPr>
        <w:t>，厂址为</w:t>
      </w:r>
      <w:r>
        <w:rPr>
          <w:rStyle w:val="50"/>
          <w:rFonts w:hint="eastAsia" w:ascii="宋体" w:hAnsi="宋体" w:cs="宋体"/>
          <w:i w:val="0"/>
          <w:color w:val="000000"/>
          <w:sz w:val="24"/>
          <w:highlight w:val="none"/>
          <w:u w:val="single"/>
          <w:shd w:val="clear" w:color="auto" w:fill="FFFFFF"/>
          <w:lang w:eastAsia="zh-CN"/>
        </w:rPr>
        <w:t xml:space="preserve">（生产厂址） </w:t>
      </w:r>
      <w:r>
        <w:rPr>
          <w:rFonts w:hint="eastAsia"/>
          <w:color w:val="000000" w:themeColor="text1"/>
          <w:sz w:val="24"/>
          <w:highlight w:val="none"/>
          <w:lang w:eastAsia="zh-CN"/>
          <w14:textFill>
            <w14:solidFill>
              <w14:schemeClr w14:val="tx1"/>
            </w14:solidFill>
          </w14:textFill>
        </w:rPr>
        <w:t xml:space="preserve">。 </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lang w:eastAsia="zh-CN"/>
          <w14:textFill>
            <w14:solidFill>
              <w14:schemeClr w14:val="tx1"/>
            </w14:solidFill>
          </w14:textFill>
        </w:rPr>
        <w:t>的中国境内生产的组件成本占比≥</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vertAlign w:val="superscript"/>
          <w:lang w:eastAsia="zh-CN"/>
          <w14:textFill>
            <w14:solidFill>
              <w14:schemeClr w14:val="tx1"/>
            </w14:solidFill>
          </w14:textFill>
        </w:rPr>
        <w:t>3</w:t>
      </w:r>
      <w:r>
        <w:rPr>
          <w:rFonts w:hint="eastAsia"/>
          <w:color w:val="000000" w:themeColor="text1"/>
          <w:sz w:val="24"/>
          <w:highlight w:val="none"/>
          <w:lang w:eastAsia="zh-CN"/>
          <w14:textFill>
            <w14:solidFill>
              <w14:schemeClr w14:val="tx1"/>
            </w14:solidFill>
          </w14:textFill>
        </w:rPr>
        <w:t>。</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lang w:eastAsia="zh-CN"/>
          <w14:textFill>
            <w14:solidFill>
              <w14:schemeClr w14:val="tx1"/>
            </w14:solidFill>
          </w14:textFill>
        </w:rPr>
        <w:t>的</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vertAlign w:val="superscript"/>
          <w:lang w:eastAsia="zh-CN"/>
          <w14:textFill>
            <w14:solidFill>
              <w14:schemeClr w14:val="tx1"/>
            </w14:solidFill>
          </w14:textFill>
        </w:rPr>
        <w:t>4</w:t>
      </w:r>
      <w:r>
        <w:rPr>
          <w:rFonts w:hint="eastAsia"/>
          <w:color w:val="000000" w:themeColor="text1"/>
          <w:sz w:val="24"/>
          <w:highlight w:val="none"/>
          <w:lang w:eastAsia="zh-CN"/>
          <w14:textFill>
            <w14:solidFill>
              <w14:schemeClr w14:val="tx1"/>
            </w14:solidFill>
          </w14:textFill>
        </w:rPr>
        <w:t>在中国境内生产。</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lang w:eastAsia="zh-CN"/>
          <w14:textFill>
            <w14:solidFill>
              <w14:schemeClr w14:val="tx1"/>
            </w14:solidFill>
          </w14:textFill>
        </w:rPr>
        <w:t>的</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vertAlign w:val="superscript"/>
          <w:lang w:eastAsia="zh-CN"/>
          <w14:textFill>
            <w14:solidFill>
              <w14:schemeClr w14:val="tx1"/>
            </w14:solidFill>
          </w14:textFill>
        </w:rPr>
        <w:t>5</w:t>
      </w:r>
      <w:r>
        <w:rPr>
          <w:rFonts w:hint="eastAsia"/>
          <w:color w:val="000000" w:themeColor="text1"/>
          <w:sz w:val="24"/>
          <w:highlight w:val="none"/>
          <w:lang w:eastAsia="zh-CN"/>
          <w14:textFill>
            <w14:solidFill>
              <w14:schemeClr w14:val="tx1"/>
            </w14:solidFill>
          </w14:textFill>
        </w:rPr>
        <w:t>在中国境内完成。</w:t>
      </w:r>
    </w:p>
    <w:p w14:paraId="55589C89">
      <w:pPr>
        <w:pStyle w:val="236"/>
        <w:spacing w:line="520" w:lineRule="exact"/>
        <w:ind w:firstLine="480" w:firstLineChars="200"/>
        <w:rPr>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w:t>
      </w:r>
    </w:p>
    <w:p w14:paraId="437A1B78">
      <w:pPr>
        <w:pStyle w:val="236"/>
        <w:spacing w:line="520" w:lineRule="exact"/>
        <w:ind w:firstLine="480" w:firstLineChars="200"/>
        <w:rPr>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本公司（单位）对上述声明内容的真实性负责。如有虚假，愿承担相应法律责任。</w:t>
      </w:r>
    </w:p>
    <w:p w14:paraId="3E7CB36B">
      <w:pPr>
        <w:pStyle w:val="236"/>
        <w:spacing w:line="520" w:lineRule="exact"/>
        <w:rPr>
          <w:color w:val="000000" w:themeColor="text1"/>
          <w:sz w:val="24"/>
          <w:highlight w:val="none"/>
          <w:lang w:eastAsia="zh-CN"/>
          <w14:textFill>
            <w14:solidFill>
              <w14:schemeClr w14:val="tx1"/>
            </w14:solidFill>
          </w14:textFill>
        </w:rPr>
      </w:pPr>
    </w:p>
    <w:p w14:paraId="50FBEE21">
      <w:pPr>
        <w:pStyle w:val="236"/>
        <w:spacing w:line="520" w:lineRule="exact"/>
        <w:ind w:firstLine="3840" w:firstLineChars="1600"/>
        <w:rPr>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公司（单位）名称（盖章）： </w:t>
      </w:r>
    </w:p>
    <w:p w14:paraId="6BEB5528">
      <w:pPr>
        <w:pStyle w:val="236"/>
        <w:spacing w:line="520" w:lineRule="exact"/>
        <w:rPr>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                                日期：　 </w:t>
      </w:r>
      <w:r>
        <w:rPr>
          <w:rFonts w:hint="eastAsia" w:ascii="宋体" w:hAnsi="宋体" w:cs="宋体"/>
          <w:color w:val="000000" w:themeColor="text1"/>
          <w:sz w:val="24"/>
          <w:highlight w:val="none"/>
          <w:lang w:eastAsia="zh-CN"/>
          <w14:textFill>
            <w14:solidFill>
              <w14:schemeClr w14:val="tx1"/>
            </w14:solidFill>
          </w14:textFill>
        </w:rPr>
        <w:t xml:space="preserve">年 </w:t>
      </w:r>
      <w:r>
        <w:rPr>
          <w:rFonts w:hint="eastAsia"/>
          <w:color w:val="000000" w:themeColor="text1"/>
          <w:sz w:val="24"/>
          <w:highlight w:val="none"/>
          <w14:textFill>
            <w14:solidFill>
              <w14:schemeClr w14:val="tx1"/>
            </w14:solidFill>
          </w14:textFill>
        </w:rPr>
        <w:t> </w:t>
      </w:r>
      <w:r>
        <w:rPr>
          <w:rFonts w:hint="eastAsia" w:ascii="宋体" w:hAnsi="宋体" w:cs="宋体"/>
          <w:color w:val="000000" w:themeColor="text1"/>
          <w:sz w:val="24"/>
          <w:highlight w:val="none"/>
          <w:lang w:eastAsia="zh-CN"/>
          <w14:textFill>
            <w14:solidFill>
              <w14:schemeClr w14:val="tx1"/>
            </w14:solidFill>
          </w14:textFill>
        </w:rPr>
        <w:t>月 　日</w:t>
      </w:r>
      <w:r>
        <w:rPr>
          <w:rFonts w:hint="eastAsia"/>
          <w:color w:val="000000" w:themeColor="text1"/>
          <w:sz w:val="24"/>
          <w:highlight w:val="none"/>
          <w:lang w:eastAsia="zh-CN"/>
          <w14:textFill>
            <w14:solidFill>
              <w14:schemeClr w14:val="tx1"/>
            </w14:solidFill>
          </w14:textFill>
        </w:rPr>
        <w:t>      </w:t>
      </w:r>
    </w:p>
    <w:p w14:paraId="3E2ED252">
      <w:pPr>
        <w:pStyle w:val="236"/>
        <w:spacing w:line="520" w:lineRule="exact"/>
        <w:rPr>
          <w:color w:val="000000" w:themeColor="text1"/>
          <w:sz w:val="24"/>
          <w:highlight w:val="none"/>
          <w:lang w:eastAsia="zh-CN"/>
          <w14:textFill>
            <w14:solidFill>
              <w14:schemeClr w14:val="tx1"/>
            </w14:solidFill>
          </w14:textFill>
        </w:rPr>
      </w:pPr>
    </w:p>
    <w:p w14:paraId="2547781F">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注：</w:t>
      </w:r>
    </w:p>
    <w:p w14:paraId="41D7F90E">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1、产品如有型号，请在“产品名称”栏一并填写。</w:t>
      </w:r>
    </w:p>
    <w:p w14:paraId="157A65FB">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2、生产厂名与厂址应与生产厂营业执照载明的相关信息保持一致。</w:t>
      </w:r>
    </w:p>
    <w:p w14:paraId="13A70423">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3、该产品的中国境内生产的组件成本占比相关要求实施前，“规定比例”栏可不填，下同。</w:t>
      </w:r>
    </w:p>
    <w:p w14:paraId="09565DCD">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4、该产品的关键组件要求实施前，“关键组件”栏可不填，下同。</w:t>
      </w:r>
    </w:p>
    <w:p w14:paraId="515945F5">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5、该产品的关键工序要求实施前，“关键工序”栏可不填，下同。</w:t>
      </w:r>
    </w:p>
    <w:p w14:paraId="68DDA297">
      <w:pPr>
        <w:pBdr>
          <w:top w:val="none" w:color="000000" w:sz="0" w:space="0"/>
          <w:left w:val="none" w:color="000000" w:sz="0" w:space="0"/>
          <w:bottom w:val="none" w:color="000000" w:sz="0" w:space="0"/>
          <w:right w:val="none" w:color="000000" w:sz="0" w:space="0"/>
        </w:pBdr>
        <w:spacing w:line="360" w:lineRule="auto"/>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6、《声明函》中标注“  </w:t>
      </w:r>
      <w:r>
        <w:rPr>
          <w:rFonts w:hint="eastAsia"/>
          <w:i/>
          <w:color w:val="000000" w:themeColor="text1"/>
          <w:highlight w:val="none"/>
          <w:lang w:eastAsia="zh-CN"/>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”的地方无需填写。。                </w:t>
      </w:r>
    </w:p>
    <w:p w14:paraId="19B36BDA">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33D3A61">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第五部分  评标方法与评标标准</w:t>
      </w:r>
    </w:p>
    <w:p w14:paraId="2EF546D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评标方法</w:t>
      </w:r>
    </w:p>
    <w:p w14:paraId="12ABC1BC">
      <w:pPr>
        <w:pStyle w:val="201"/>
        <w:spacing w:line="48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一、</w:t>
      </w:r>
      <w:r>
        <w:rPr>
          <w:rFonts w:hint="eastAsia" w:ascii="宋体" w:hAnsi="宋体" w:cs="宋体"/>
          <w:sz w:val="24"/>
          <w:highlight w:val="none"/>
          <w:lang w:eastAsia="zh-CN"/>
        </w:rPr>
        <w:t>本次招标评标采用为综合评分法，即在满足招标文件实质性要求前提下，按照招标文件中规定的评分标准和各项因素进行综合评审，</w:t>
      </w:r>
      <w:r>
        <w:rPr>
          <w:rFonts w:hint="eastAsia" w:ascii="宋体" w:hAnsi="宋体"/>
          <w:b/>
          <w:sz w:val="24"/>
          <w:highlight w:val="none"/>
          <w:lang w:eastAsia="zh-CN"/>
        </w:rPr>
        <w:t>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p>
    <w:p w14:paraId="62340709">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00FED7E3">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BACDD5B">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四、如出现评审得分最高的投标人有两个或两个以上的，以投标报价较低者优先作为该标段中标候选人，如果投标报价也相同的，则由公证机构组织以抽签方式确定中标候选人。</w:t>
      </w:r>
    </w:p>
    <w:p w14:paraId="41B4C73F">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F4CA35D">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4A23FAB4">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七、中小企业相关政策：</w:t>
      </w:r>
    </w:p>
    <w:p w14:paraId="6155B603">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highlight w:val="none"/>
          <w:lang w:eastAsia="zh-CN"/>
        </w:rPr>
        <w:t>但与大企业的负责人为同一人，或者与大企业存在直接控股、管理关系的除外。</w:t>
      </w:r>
      <w:r>
        <w:rPr>
          <w:rFonts w:hint="eastAsia" w:ascii="宋体" w:hAnsi="宋体" w:eastAsia="宋体" w:cs="宋体"/>
          <w:sz w:val="24"/>
          <w:szCs w:val="24"/>
          <w:highlight w:val="none"/>
          <w:lang w:eastAsia="zh-CN"/>
        </w:rPr>
        <w:t>符合中小企业划分标准的个体工商户，在政府采购活动中视同中小企业：</w:t>
      </w:r>
    </w:p>
    <w:p w14:paraId="30347D23">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1、在货物采购项目中，货物由小、微企业制造，即货物由小、微企业生产且使用该小、微企业商号或者注册商标。对其报价给予20%的扣除，扣除后的价格参与价格评审。</w:t>
      </w:r>
    </w:p>
    <w:p w14:paraId="68B17EB4">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2、在服务采购项目中，服务由小、微企业承接，即提供服务的人员为小、微企业依照《中华人民共和国劳动合同法》订立劳动合同的从业人员。对其报价给予20%的扣除，扣除后的价格参与价格评审。</w:t>
      </w:r>
    </w:p>
    <w:p w14:paraId="7C56BB2B">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3、在货物采购项目中，供应商提供的货物既有小、微企业制造货物，也有中、大型企业制造货物的，不享受本办法规定的小、微企业价格扶持政策。</w:t>
      </w:r>
    </w:p>
    <w:p w14:paraId="26576386">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4、以联合体形式参加政府采购活动，联合体各方均为中小企业的，联合体视同中小企业。其中，联合体各方均为小微企业的，联合体视同小微企业。</w:t>
      </w:r>
    </w:p>
    <w:p w14:paraId="0191CBBF">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5、符合中小企业划分标准的个体工商户，在政府采购活动中视同中小企业。</w:t>
      </w:r>
    </w:p>
    <w:p w14:paraId="51421D7A">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6、残疾人福利性单位及监狱企业视同小型企业，享受评审中价格扣除等促进中小企业发展的政府采购政策。</w:t>
      </w:r>
    </w:p>
    <w:p w14:paraId="7071A8E9">
      <w:pP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7、供应商按照本办法规定提供声明函内容不实的，属于提供虚假材料谋取中标、 成交， 依照《中华人民共和国政府采购法》 等国家有关规定追究相应责任。</w:t>
      </w:r>
    </w:p>
    <w:p w14:paraId="5369E4E9">
      <w:pPr>
        <w:pStyle w:val="201"/>
        <w:spacing w:line="500" w:lineRule="exact"/>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24"/>
          <w:szCs w:val="24"/>
          <w:highlight w:val="none"/>
          <w:lang w:eastAsia="zh-CN"/>
        </w:rPr>
        <w:t>评分标准</w:t>
      </w:r>
      <w:bookmarkStart w:id="123" w:name="OLE_LINK22"/>
      <w:bookmarkStart w:id="124" w:name="_Hlk166575460"/>
    </w:p>
    <w:p w14:paraId="207F98A3">
      <w:pPr>
        <w:pStyle w:val="201"/>
        <w:spacing w:line="500" w:lineRule="exact"/>
        <w:jc w:val="both"/>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一、价格分（20分）</w:t>
      </w:r>
    </w:p>
    <w:p w14:paraId="5A0F5E75">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第一步：投标报价低于或等于财政预算价格的，为有效投标报价。超财政预算的投标报价为无效投标报价。</w:t>
      </w:r>
    </w:p>
    <w:p w14:paraId="1AA7A604">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第二步：在所有有效投标报价中满足采购文件要求，且投标价格最低的投标报价为评标基准价，其他投标人的价格分按照下列公式计算（计算结果四舍五入保留两位小数）。</w:t>
      </w:r>
    </w:p>
    <w:p w14:paraId="2C98B66E">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报价得分=(评标基准价/投标报价)×20%×100</w:t>
      </w:r>
    </w:p>
    <w:p w14:paraId="799B5EAB">
      <w:pPr>
        <w:pStyle w:val="201"/>
        <w:spacing w:line="500" w:lineRule="exact"/>
        <w:jc w:val="both"/>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二、投标技术部分：80分</w:t>
      </w:r>
    </w:p>
    <w:p w14:paraId="588BB59D">
      <w:pPr>
        <w:pStyle w:val="201"/>
        <w:spacing w:line="500" w:lineRule="exact"/>
        <w:ind w:firstLine="482" w:firstLineChars="200"/>
        <w:jc w:val="both"/>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1.技术参数响应（38分）</w:t>
      </w:r>
    </w:p>
    <w:p w14:paraId="02C32CAB">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投标人对第三部分项目需求中的“▲技术指标”的响应情况进行评审，标明偏离情况。投标人填写的技术偏离表所提供的技术指标，应按招标需求要求在投标文件中提供技术响应。其中标“▲”项为重要指标，共19项，每满足一项2分，满分38分。</w:t>
      </w:r>
    </w:p>
    <w:p w14:paraId="14954D6D">
      <w:pPr>
        <w:pStyle w:val="201"/>
        <w:spacing w:line="500" w:lineRule="exact"/>
        <w:ind w:firstLine="482" w:firstLineChars="200"/>
        <w:jc w:val="both"/>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2.技术方案部分（38分）</w:t>
      </w:r>
    </w:p>
    <w:p w14:paraId="3EC81602">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（1）项目需求理解及分析（6分）</w:t>
      </w:r>
    </w:p>
    <w:p w14:paraId="1D01192E">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根据投标人针对本项目实际提供需求理解及分析进行评审，方案包括：①本项目总体架构；②各系统建设的架构、功能、特色亮点；③各系统及业务软件方案特点和关键性技术。</w:t>
      </w:r>
    </w:p>
    <w:p w14:paraId="4E2FB401">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宋体" w:hAnsi="宋体" w:eastAsia="宋体" w:cs="宋体"/>
          <w:sz w:val="24"/>
          <w:szCs w:val="24"/>
          <w:highlight w:val="none"/>
          <w:lang w:val="zh-CN" w:eastAsia="zh-CN"/>
        </w:rPr>
        <w:t>每项得</w:t>
      </w: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满分</w:t>
      </w:r>
      <w:r>
        <w:rPr>
          <w:rFonts w:hint="eastAsia" w:asciiTheme="minorEastAsia" w:hAnsiTheme="minorEastAsia" w:eastAsiaTheme="minorEastAsia"/>
          <w:sz w:val="24"/>
          <w:szCs w:val="24"/>
          <w:highlight w:val="none"/>
          <w:lang w:eastAsia="zh-CN"/>
        </w:rPr>
        <w:t>6分，每缺少一项内容，或内容错误，或内容非专门针对本项目，或内容不能满足本项目实际需求的，不得分。</w:t>
      </w:r>
    </w:p>
    <w:p w14:paraId="17197058">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bookmarkStart w:id="125" w:name="_Hlk180702586"/>
      <w:r>
        <w:rPr>
          <w:rFonts w:hint="eastAsia" w:asciiTheme="minorEastAsia" w:hAnsiTheme="minorEastAsia" w:eastAsiaTheme="minorEastAsia"/>
          <w:sz w:val="24"/>
          <w:szCs w:val="24"/>
          <w:highlight w:val="none"/>
          <w:lang w:eastAsia="zh-CN"/>
        </w:rPr>
        <w:t>（2）遮阳棚和风雨连廊施工方案（8分）</w:t>
      </w:r>
    </w:p>
    <w:p w14:paraId="45F79B9D">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投标人提供针对本项目实施方案，至少包括：</w:t>
      </w:r>
    </w:p>
    <w:p w14:paraId="47199FFD">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①提供遮阳棚设计方案；②根据每个路口实际情况提供遮阳棚施工图和施工方案；③提供风雨连廊设计方案；④根据实际情况提供风雨连廊施工图和和施工方案。</w:t>
      </w:r>
    </w:p>
    <w:p w14:paraId="3D1B9177">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宋体" w:hAnsi="宋体" w:eastAsia="宋体" w:cs="宋体"/>
          <w:sz w:val="24"/>
          <w:szCs w:val="24"/>
          <w:highlight w:val="none"/>
          <w:lang w:val="zh-CN" w:eastAsia="zh-CN"/>
        </w:rPr>
        <w:t>每项得</w:t>
      </w: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满分</w:t>
      </w:r>
      <w:r>
        <w:rPr>
          <w:rFonts w:hint="eastAsia" w:asciiTheme="minorEastAsia" w:hAnsiTheme="minorEastAsia" w:eastAsiaTheme="minorEastAsia"/>
          <w:sz w:val="24"/>
          <w:szCs w:val="24"/>
          <w:highlight w:val="none"/>
          <w:lang w:eastAsia="zh-CN"/>
        </w:rPr>
        <w:t>8分，每缺少一项内容，或内容错误，或内容非专门针对本项目，或内容不能满足本项目实际需求的，不得分。</w:t>
      </w:r>
    </w:p>
    <w:p w14:paraId="65A852ED">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（3）交通信控综合指挥平台实施方案（16分）</w:t>
      </w:r>
    </w:p>
    <w:p w14:paraId="05823FFE">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根据投标人针对交通信控综合指挥平台实施方案进行评审，方案包括：</w:t>
      </w:r>
      <w:r>
        <w:rPr>
          <w:rFonts w:asciiTheme="minorEastAsia" w:hAnsiTheme="minorEastAsia" w:eastAsiaTheme="minorEastAsia"/>
          <w:sz w:val="24"/>
          <w:szCs w:val="24"/>
          <w:highlight w:val="none"/>
          <w:lang w:eastAsia="zh-CN"/>
        </w:rPr>
        <w:t>①信号控制系统对接②流量采集平台对接</w:t>
      </w:r>
      <w:r>
        <w:rPr>
          <w:rFonts w:hint="eastAsia" w:asciiTheme="minorEastAsia" w:hAnsiTheme="minorEastAsia" w:eastAsiaTheme="minorEastAsia"/>
          <w:sz w:val="24"/>
          <w:szCs w:val="24"/>
          <w:highlight w:val="none"/>
          <w:lang w:eastAsia="zh-CN"/>
        </w:rPr>
        <w:t xml:space="preserve">③态势监控④日常管控⑤协调控制⑥管控预案 </w:t>
      </w:r>
      <w:r>
        <w:rPr>
          <w:rFonts w:hint="eastAsia" w:asciiTheme="minorEastAsia" w:hAnsiTheme="minorEastAsia" w:eastAsiaTheme="minorEastAsia"/>
          <w:sz w:val="24"/>
          <w:szCs w:val="24"/>
          <w:highlight w:val="none"/>
          <w:lang w:eastAsia="zh-CN"/>
        </w:rPr>
        <w:fldChar w:fldCharType="begin"/>
      </w:r>
      <w:r>
        <w:rPr>
          <w:rFonts w:hint="eastAsia" w:asciiTheme="minorEastAsia" w:hAnsiTheme="minorEastAsia" w:eastAsiaTheme="minorEastAsia"/>
          <w:sz w:val="24"/>
          <w:szCs w:val="24"/>
          <w:highlight w:val="none"/>
          <w:lang w:eastAsia="zh-CN"/>
        </w:rPr>
        <w:instrText xml:space="preserve"> = 7 \* GB3 </w:instrText>
      </w:r>
      <w:r>
        <w:rPr>
          <w:rFonts w:hint="eastAsia" w:asciiTheme="minorEastAsia" w:hAnsiTheme="minorEastAsia" w:eastAsiaTheme="minorEastAsia"/>
          <w:sz w:val="24"/>
          <w:szCs w:val="24"/>
          <w:highlight w:val="none"/>
          <w:lang w:eastAsia="zh-CN"/>
        </w:rPr>
        <w:fldChar w:fldCharType="separate"/>
      </w:r>
      <w:r>
        <w:rPr>
          <w:rFonts w:hint="eastAsia" w:asciiTheme="minorEastAsia" w:hAnsiTheme="minorEastAsia" w:eastAsiaTheme="minorEastAsia"/>
          <w:sz w:val="24"/>
          <w:szCs w:val="24"/>
          <w:highlight w:val="none"/>
          <w:lang w:eastAsia="zh-CN"/>
        </w:rPr>
        <w:t>⑦</w:t>
      </w:r>
      <w:r>
        <w:rPr>
          <w:rFonts w:hint="eastAsia" w:asciiTheme="minorEastAsia" w:hAnsiTheme="minorEastAsia" w:eastAsiaTheme="minorEastAsia"/>
          <w:sz w:val="24"/>
          <w:szCs w:val="24"/>
          <w:highlight w:val="none"/>
          <w:lang w:eastAsia="zh-CN"/>
        </w:rPr>
        <w:fldChar w:fldCharType="end"/>
      </w:r>
      <w:r>
        <w:rPr>
          <w:rFonts w:hint="eastAsia" w:asciiTheme="minorEastAsia" w:hAnsiTheme="minorEastAsia" w:eastAsiaTheme="minorEastAsia"/>
          <w:sz w:val="24"/>
          <w:szCs w:val="24"/>
          <w:highlight w:val="none"/>
          <w:lang w:eastAsia="zh-CN"/>
        </w:rPr>
        <w:t>数据分析</w:t>
      </w:r>
      <w:r>
        <w:rPr>
          <w:rFonts w:hint="eastAsia" w:asciiTheme="minorEastAsia" w:hAnsiTheme="minorEastAsia" w:eastAsiaTheme="minorEastAsia"/>
          <w:sz w:val="24"/>
          <w:szCs w:val="24"/>
          <w:highlight w:val="none"/>
          <w:lang w:eastAsia="zh-CN"/>
        </w:rPr>
        <w:fldChar w:fldCharType="begin"/>
      </w:r>
      <w:r>
        <w:rPr>
          <w:rFonts w:hint="eastAsia" w:asciiTheme="minorEastAsia" w:hAnsiTheme="minorEastAsia" w:eastAsiaTheme="minorEastAsia"/>
          <w:sz w:val="24"/>
          <w:szCs w:val="24"/>
          <w:highlight w:val="none"/>
          <w:lang w:eastAsia="zh-CN"/>
        </w:rPr>
        <w:instrText xml:space="preserve"> = 8 \* GB3 </w:instrText>
      </w:r>
      <w:r>
        <w:rPr>
          <w:rFonts w:hint="eastAsia" w:asciiTheme="minorEastAsia" w:hAnsiTheme="minorEastAsia" w:eastAsiaTheme="minorEastAsia"/>
          <w:sz w:val="24"/>
          <w:szCs w:val="24"/>
          <w:highlight w:val="none"/>
          <w:lang w:eastAsia="zh-CN"/>
        </w:rPr>
        <w:fldChar w:fldCharType="separate"/>
      </w:r>
      <w:r>
        <w:rPr>
          <w:rFonts w:hint="eastAsia" w:asciiTheme="minorEastAsia" w:hAnsiTheme="minorEastAsia" w:eastAsiaTheme="minorEastAsia"/>
          <w:sz w:val="24"/>
          <w:szCs w:val="24"/>
          <w:highlight w:val="none"/>
          <w:lang w:eastAsia="zh-CN"/>
        </w:rPr>
        <w:t>⑧</w:t>
      </w:r>
      <w:r>
        <w:rPr>
          <w:rFonts w:hint="eastAsia" w:asciiTheme="minorEastAsia" w:hAnsiTheme="minorEastAsia" w:eastAsiaTheme="minorEastAsia"/>
          <w:sz w:val="24"/>
          <w:szCs w:val="24"/>
          <w:highlight w:val="none"/>
          <w:lang w:eastAsia="zh-CN"/>
        </w:rPr>
        <w:fldChar w:fldCharType="end"/>
      </w:r>
      <w:r>
        <w:rPr>
          <w:rFonts w:hint="eastAsia" w:asciiTheme="minorEastAsia" w:hAnsiTheme="minorEastAsia" w:eastAsiaTheme="minorEastAsia"/>
          <w:sz w:val="24"/>
          <w:szCs w:val="24"/>
          <w:highlight w:val="none"/>
          <w:lang w:eastAsia="zh-CN"/>
        </w:rPr>
        <w:t>智能优化方案。</w:t>
      </w:r>
    </w:p>
    <w:p w14:paraId="70DDAA58">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宋体" w:hAnsi="宋体" w:eastAsia="宋体" w:cs="宋体"/>
          <w:sz w:val="24"/>
          <w:szCs w:val="24"/>
          <w:highlight w:val="none"/>
          <w:lang w:val="zh-CN" w:eastAsia="zh-CN"/>
        </w:rPr>
        <w:t>每项得</w:t>
      </w: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满分</w:t>
      </w:r>
      <w:r>
        <w:rPr>
          <w:rFonts w:hint="eastAsia" w:asciiTheme="minorEastAsia" w:hAnsiTheme="minorEastAsia" w:eastAsiaTheme="minorEastAsia"/>
          <w:sz w:val="24"/>
          <w:szCs w:val="24"/>
          <w:highlight w:val="none"/>
          <w:lang w:eastAsia="zh-CN"/>
        </w:rPr>
        <w:t>16分，每缺少一项内容，或内容错误，或内容非专门针对本项目，或内容不能满足本项目实际需求的，不得分。</w:t>
      </w:r>
    </w:p>
    <w:p w14:paraId="02DCDF38">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（4）项目实施管理方案（4分）</w:t>
      </w:r>
    </w:p>
    <w:p w14:paraId="6E6C1486">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投标人提供针对本项目实施方案，至少包括：</w:t>
      </w:r>
    </w:p>
    <w:p w14:paraId="435C46D4">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①项目实施组织部署方案；</w:t>
      </w:r>
    </w:p>
    <w:p w14:paraId="4615FE05">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②进度计划及保证措施；</w:t>
      </w:r>
    </w:p>
    <w:p w14:paraId="54BED8D6">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③质量及安全文明保障措施；</w:t>
      </w:r>
    </w:p>
    <w:p w14:paraId="38916D79">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④突发事件应急处置方案。</w:t>
      </w:r>
    </w:p>
    <w:p w14:paraId="3E218BBB">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宋体" w:hAnsi="宋体" w:eastAsia="宋体" w:cs="宋体"/>
          <w:sz w:val="24"/>
          <w:szCs w:val="24"/>
          <w:highlight w:val="none"/>
          <w:lang w:val="zh-CN" w:eastAsia="zh-CN"/>
        </w:rPr>
        <w:t>每项得</w:t>
      </w: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满分</w:t>
      </w:r>
      <w:r>
        <w:rPr>
          <w:rFonts w:hint="eastAsia" w:asciiTheme="minorEastAsia" w:hAnsiTheme="minorEastAsia" w:eastAsiaTheme="minorEastAsia"/>
          <w:sz w:val="24"/>
          <w:szCs w:val="24"/>
          <w:highlight w:val="none"/>
          <w:lang w:eastAsia="zh-CN"/>
        </w:rPr>
        <w:t>4分，每缺少一项内容，或内容错误，或内容非专门针对本项目，或内容不能满足本项目实际需求的，不得分。</w:t>
      </w:r>
    </w:p>
    <w:bookmarkEnd w:id="125"/>
    <w:p w14:paraId="27FA576E">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（5）售后服务方案（4分）</w:t>
      </w:r>
    </w:p>
    <w:p w14:paraId="49F8F046">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根据投标人对本项目的售后服务内容方案进行评分，方案内容至少包括：①售后服务保障；②售后服务流程；③售后服务内容；④售后服务时间等内容。</w:t>
      </w:r>
    </w:p>
    <w:p w14:paraId="6E269B0C">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宋体" w:hAnsi="宋体" w:eastAsia="宋体" w:cs="宋体"/>
          <w:sz w:val="24"/>
          <w:szCs w:val="24"/>
          <w:highlight w:val="none"/>
          <w:lang w:val="zh-CN" w:eastAsia="zh-CN"/>
        </w:rPr>
        <w:t>每项得</w:t>
      </w: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满分</w:t>
      </w:r>
      <w:r>
        <w:rPr>
          <w:rFonts w:hint="eastAsia" w:asciiTheme="minorEastAsia" w:hAnsiTheme="minorEastAsia" w:eastAsiaTheme="minorEastAsia"/>
          <w:sz w:val="24"/>
          <w:szCs w:val="24"/>
          <w:highlight w:val="none"/>
          <w:lang w:eastAsia="zh-CN"/>
        </w:rPr>
        <w:t>4分，每缺少一项内容，或内容错误，或内容非专门针对本项目，或内容不能满足本项目实际需求的，不得分。</w:t>
      </w:r>
    </w:p>
    <w:p w14:paraId="5A171198">
      <w:pPr>
        <w:pStyle w:val="201"/>
        <w:spacing w:line="500" w:lineRule="exact"/>
        <w:ind w:firstLine="482" w:firstLineChars="200"/>
        <w:jc w:val="both"/>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3、投标单位类似业绩：（4分） </w:t>
      </w:r>
    </w:p>
    <w:p w14:paraId="420AE656">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投标人具有2023年7月1日（以合同签订日期为准）以来类似项目业绩，每提供1个业绩，得2分，最高得4分。</w:t>
      </w:r>
    </w:p>
    <w:p w14:paraId="37333D38">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注：投标文件内须提供合同复印件并加盖公章，否则不得分。</w:t>
      </w:r>
    </w:p>
    <w:p w14:paraId="43C06E3A">
      <w:pPr>
        <w:pStyle w:val="201"/>
        <w:spacing w:line="500" w:lineRule="exact"/>
        <w:rPr>
          <w:rFonts w:hint="eastAsia" w:asciiTheme="minorEastAsia" w:hAnsiTheme="minorEastAsia" w:eastAsiaTheme="minorEastAsia"/>
          <w:bCs/>
          <w:sz w:val="24"/>
          <w:szCs w:val="24"/>
          <w:highlight w:val="none"/>
          <w:lang w:eastAsia="zh-CN"/>
        </w:rPr>
      </w:pPr>
    </w:p>
    <w:p w14:paraId="48517B97">
      <w:pPr>
        <w:pStyle w:val="201"/>
        <w:spacing w:line="500" w:lineRule="exact"/>
        <w:rPr>
          <w:rFonts w:hint="eastAsia" w:asciiTheme="minorEastAsia" w:hAnsiTheme="minorEastAsia" w:eastAsiaTheme="minorEastAsia"/>
          <w:bCs/>
          <w:sz w:val="24"/>
          <w:szCs w:val="24"/>
          <w:highlight w:val="none"/>
          <w:lang w:eastAsia="zh-CN"/>
        </w:rPr>
      </w:pPr>
    </w:p>
    <w:p w14:paraId="78FF257F">
      <w:pPr>
        <w:pStyle w:val="201"/>
        <w:spacing w:line="500" w:lineRule="exact"/>
        <w:rPr>
          <w:rFonts w:hint="eastAsia" w:asciiTheme="minorEastAsia" w:hAnsiTheme="minorEastAsia" w:eastAsiaTheme="minorEastAsia"/>
          <w:sz w:val="24"/>
          <w:szCs w:val="24"/>
          <w:highlight w:val="none"/>
          <w:lang w:eastAsia="zh-CN"/>
        </w:rPr>
      </w:pPr>
    </w:p>
    <w:bookmarkEnd w:id="123"/>
    <w:bookmarkEnd w:id="124"/>
    <w:p w14:paraId="6F4E6A93">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注： 1、报价超过采购预算的为无效投标。</w:t>
      </w:r>
    </w:p>
    <w:p w14:paraId="2E5B89E8">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2、针对评分标准中评分的每一条，投标人均应提供相关电子证明资料并作出相应说明供评委评判，不提供相关电子证明资料的视为不具备该项得分的条件。</w:t>
      </w:r>
    </w:p>
    <w:p w14:paraId="08C6508B">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3、所有复印件字迹须复印清晰可见,复印不全或字迹不清晰的，视为未提供。</w:t>
      </w:r>
    </w:p>
    <w:p w14:paraId="3B0C8E02">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6BB0AE54">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741CB0EB">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0BBC1080">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48D1ABFB">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2EBF9FD7">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0863C4EA">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第六部分 合同格式</w:t>
      </w:r>
    </w:p>
    <w:p w14:paraId="7685F542">
      <w:pPr>
        <w:pBdr>
          <w:top w:val="none" w:color="000000" w:sz="0" w:space="0"/>
          <w:left w:val="none" w:color="000000" w:sz="0" w:space="0"/>
          <w:bottom w:val="none" w:color="000000" w:sz="0" w:space="0"/>
          <w:right w:val="none" w:color="000000" w:sz="0" w:space="0"/>
        </w:pBdr>
        <w:spacing w:after="0" w:line="439" w:lineRule="atLeast"/>
        <w:ind w:firstLine="643"/>
        <w:jc w:val="center"/>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合同主要条款</w:t>
      </w:r>
    </w:p>
    <w:p w14:paraId="0C1EE449">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采购人（以下称甲方）供应商：（以下称乙方）</w:t>
      </w:r>
    </w:p>
    <w:p w14:paraId="18286903">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地址：地址：</w:t>
      </w:r>
    </w:p>
    <w:p w14:paraId="61515D2C">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电话：电话：</w:t>
      </w:r>
    </w:p>
    <w:p w14:paraId="09704CF6">
      <w:pPr>
        <w:pBdr>
          <w:top w:val="none" w:color="000000" w:sz="0" w:space="0"/>
          <w:left w:val="none" w:color="000000" w:sz="0" w:space="0"/>
          <w:bottom w:val="none" w:color="000000" w:sz="0" w:space="0"/>
          <w:right w:val="none" w:color="000000" w:sz="0" w:space="0"/>
        </w:pBdr>
        <w:spacing w:after="0" w:line="460" w:lineRule="atLeast"/>
        <w:ind w:firstLine="48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highlight w:val="none"/>
          <w:u w:val="single"/>
          <w:lang w:eastAsia="zh-CN"/>
        </w:rPr>
        <w:t>太仓市智慧城市新型基础设施建设（第二批）</w:t>
      </w:r>
      <w:r>
        <w:rPr>
          <w:rFonts w:hint="eastAsia" w:ascii="宋体" w:hAnsi="宋体" w:eastAsia="宋体" w:cs="宋体"/>
          <w:color w:val="000000"/>
          <w:sz w:val="24"/>
          <w:highlight w:val="none"/>
          <w:lang w:eastAsia="zh-CN"/>
        </w:rPr>
        <w:t>项目（</w:t>
      </w:r>
      <w:r>
        <w:rPr>
          <w:rFonts w:hint="eastAsia" w:ascii="宋体" w:hAnsi="宋体" w:eastAsia="宋体" w:cs="宋体"/>
          <w:b/>
          <w:color w:val="000000"/>
          <w:sz w:val="24"/>
          <w:highlight w:val="none"/>
          <w:lang w:eastAsia="zh-CN"/>
        </w:rPr>
        <w:t>编号</w:t>
      </w:r>
      <w:r>
        <w:rPr>
          <w:rFonts w:hint="eastAsia" w:ascii="宋体" w:hAnsi="宋体" w:eastAsia="宋体" w:cs="宋体"/>
          <w:b/>
          <w:sz w:val="24"/>
          <w:szCs w:val="24"/>
          <w:highlight w:val="none"/>
          <w:lang w:eastAsia="zh-CN"/>
        </w:rPr>
        <w:t>JSZC-320585-JZCG-G2026-0081</w:t>
      </w:r>
      <w:r>
        <w:rPr>
          <w:rFonts w:hint="eastAsia" w:ascii="宋体" w:hAnsi="宋体" w:eastAsia="宋体" w:cs="宋体"/>
          <w:color w:val="000000"/>
          <w:sz w:val="24"/>
          <w:highlight w:val="none"/>
          <w:lang w:eastAsia="zh-CN"/>
        </w:rPr>
        <w:t>）的招标结果，签订本合同。</w:t>
      </w:r>
    </w:p>
    <w:p w14:paraId="34452307">
      <w:pPr>
        <w:pBdr>
          <w:top w:val="none" w:color="000000" w:sz="0" w:space="0"/>
          <w:left w:val="none" w:color="000000" w:sz="0" w:space="0"/>
          <w:bottom w:val="none" w:color="000000" w:sz="0" w:space="0"/>
          <w:right w:val="none" w:color="000000" w:sz="0" w:space="0"/>
        </w:pBdr>
        <w:spacing w:after="0" w:line="460" w:lineRule="atLeast"/>
        <w:ind w:firstLine="47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第一条 服务范围</w:t>
      </w:r>
    </w:p>
    <w:p w14:paraId="5B5D9D15">
      <w:pPr>
        <w:pBdr>
          <w:top w:val="none" w:color="000000" w:sz="0" w:space="0"/>
          <w:left w:val="none" w:color="000000" w:sz="0" w:space="0"/>
          <w:bottom w:val="none" w:color="000000" w:sz="0" w:space="0"/>
          <w:right w:val="none" w:color="000000" w:sz="0" w:space="0"/>
        </w:pBdr>
        <w:spacing w:after="0" w:line="460" w:lineRule="atLeast"/>
        <w:ind w:left="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甲方聘请乙方提供以下服务：</w:t>
      </w:r>
    </w:p>
    <w:p w14:paraId="31600AC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（1）本合同项下的服务指：</w:t>
      </w:r>
    </w:p>
    <w:p w14:paraId="4C8AD14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（2）服务内容：</w:t>
      </w:r>
    </w:p>
    <w:p w14:paraId="048A9DB5">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（3）服务标准：</w:t>
      </w:r>
    </w:p>
    <w:p w14:paraId="54D0DC3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（4）交付时间、地点：甲方指定。</w:t>
      </w:r>
    </w:p>
    <w:p w14:paraId="6B9D951A">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第二条 组成本合同的有关文件 </w:t>
      </w:r>
    </w:p>
    <w:p w14:paraId="176E0633">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下列与本次采购活动有关的文件及有关附件是本合同不可分割的组成部分，与本合同具有同等法律效力，这些文件包括但不限于：</w:t>
      </w:r>
    </w:p>
    <w:p w14:paraId="72F0A0D3">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招标采购文件（</w:t>
      </w:r>
      <w:r>
        <w:rPr>
          <w:rFonts w:hint="eastAsia" w:ascii="宋体" w:hAnsi="宋体" w:eastAsia="宋体" w:cs="宋体"/>
          <w:b/>
          <w:color w:val="000000"/>
          <w:sz w:val="24"/>
          <w:highlight w:val="none"/>
          <w:lang w:eastAsia="zh-CN"/>
        </w:rPr>
        <w:t>编号：</w:t>
      </w:r>
      <w:r>
        <w:rPr>
          <w:rFonts w:hint="eastAsia" w:ascii="宋体" w:hAnsi="宋体" w:eastAsia="宋体" w:cs="宋体"/>
          <w:b/>
          <w:sz w:val="24"/>
          <w:szCs w:val="24"/>
          <w:highlight w:val="none"/>
          <w:lang w:eastAsia="zh-CN"/>
        </w:rPr>
        <w:t>JSZC-320585-JZCG-G2026-0081</w:t>
      </w:r>
      <w:r>
        <w:rPr>
          <w:rFonts w:hint="eastAsia" w:ascii="宋体" w:hAnsi="宋体" w:eastAsia="宋体" w:cs="宋体"/>
          <w:color w:val="000000"/>
          <w:sz w:val="24"/>
          <w:highlight w:val="none"/>
          <w:lang w:eastAsia="zh-CN"/>
        </w:rPr>
        <w:t>）</w:t>
      </w:r>
    </w:p>
    <w:p w14:paraId="1456B7BD">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乙方提供的投标文件和投标报价表；</w:t>
      </w:r>
    </w:p>
    <w:p w14:paraId="5DD39584">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乙方在投标过程中所作的其他承诺、声明、书面澄清等；</w:t>
      </w:r>
    </w:p>
    <w:p w14:paraId="191BCA36">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rPr>
      </w:pPr>
      <w:r>
        <w:rPr>
          <w:rFonts w:hint="eastAsia" w:ascii="宋体" w:hAnsi="宋体" w:eastAsia="宋体" w:cs="宋体"/>
          <w:color w:val="000000"/>
          <w:sz w:val="24"/>
          <w:highlight w:val="none"/>
        </w:rPr>
        <w:t>中标通知书；</w:t>
      </w:r>
    </w:p>
    <w:p w14:paraId="5A294A9D">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甲乙双方商定的其他文件等。</w:t>
      </w:r>
    </w:p>
    <w:p w14:paraId="7D20506F">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第三条 合同总价款 </w:t>
      </w:r>
    </w:p>
    <w:p w14:paraId="5BBAA5A3">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合同价格按此次成交价格执行，合同总金额为人民币___________（大写）人民币，小写：（￥：）元整。</w:t>
      </w:r>
    </w:p>
    <w:p w14:paraId="22714D09">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6FA51E8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除非合同条款中另有规定，本合同执行期间合同总价款不变。</w:t>
      </w:r>
    </w:p>
    <w:p w14:paraId="2C91B741">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第四条 合同款支付</w:t>
      </w:r>
    </w:p>
    <w:p w14:paraId="6D2FFCB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1、本合同项下所有款项均以人民币支付。</w:t>
      </w:r>
    </w:p>
    <w:p w14:paraId="64FF2351">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2、本合同项下的采购资金由甲方自行支付，乙方向甲方开具发票。</w:t>
      </w:r>
    </w:p>
    <w:p w14:paraId="2AFAB9A9">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3、根据现行税法对乙方征收的与本合同有关的一切税费均由乙方承担。</w:t>
      </w:r>
    </w:p>
    <w:p w14:paraId="6FB15D1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4、付款步骤：</w:t>
      </w:r>
    </w:p>
    <w:p w14:paraId="024C1265">
      <w:pPr>
        <w:pStyle w:val="18"/>
        <w:rPr>
          <w:rFonts w:hint="eastAsia" w:ascii="宋体" w:hAnsi="宋体" w:eastAsia="宋体" w:cs="宋体"/>
          <w:highlight w:val="none"/>
          <w:lang w:eastAsia="zh-CN"/>
        </w:rPr>
      </w:pPr>
    </w:p>
    <w:p w14:paraId="3B6A6F9A">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highlight w:val="none"/>
          <w:lang w:eastAsia="zh-CN"/>
        </w:rPr>
      </w:pPr>
      <w:r>
        <w:rPr>
          <w:rFonts w:hint="eastAsia" w:ascii="宋体" w:hAnsi="宋体" w:eastAsia="宋体" w:cs="宋体"/>
          <w:b/>
          <w:sz w:val="24"/>
          <w:highlight w:val="none"/>
          <w:lang w:eastAsia="zh-CN"/>
        </w:rPr>
        <w:t>第五条 服务质量、成果要求</w:t>
      </w:r>
    </w:p>
    <w:p w14:paraId="7D4848A7">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sz w:val="24"/>
          <w:highlight w:val="none"/>
          <w:lang w:eastAsia="zh-CN"/>
        </w:rPr>
        <w:t>1、项目完成后甲方将组织专业人员进行项目的验收工作，如存在问题，乙方应进行改进，直至验收合格为止；</w:t>
      </w:r>
    </w:p>
    <w:p w14:paraId="59181A1D">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2、验收标准: 按采购文件要求、乙方的投标承诺或国家相关标准。</w:t>
      </w:r>
    </w:p>
    <w:p w14:paraId="0CAEB6A9">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第六条 甲、乙双方权利义务</w:t>
      </w:r>
    </w:p>
    <w:p w14:paraId="25A228FE">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1、甲方应当为保证项目服务的完成，给予乙方积极支持，为乙方提供项目实施的必要条件；</w:t>
      </w:r>
    </w:p>
    <w:p w14:paraId="590B699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2、甲方应当按照本合同约定按时支付合同金额。</w:t>
      </w:r>
    </w:p>
    <w:p w14:paraId="25DDE2F4">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3、乙方提交的服务成果未经甲方书面许可，不得向任何第三方泄露。</w:t>
      </w:r>
    </w:p>
    <w:p w14:paraId="4C58671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4、乙方提供必要的技术培训，协助甲方完成其他需要中标单位配合的服务。</w:t>
      </w:r>
    </w:p>
    <w:p w14:paraId="7678670C">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5、乙方根据国家标准、行业标准和规范要求及标书规定的服务质量标准和有关要求，保质保量地完成服务工作。</w:t>
      </w:r>
    </w:p>
    <w:p w14:paraId="04163B50">
      <w:pPr>
        <w:pStyle w:val="18"/>
        <w:ind w:firstLine="480" w:firstLineChars="20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6、</w:t>
      </w:r>
      <w:r>
        <w:rPr>
          <w:rFonts w:hint="eastAsia" w:ascii="宋体" w:hAnsi="宋体" w:eastAsia="宋体" w:cs="宋体"/>
          <w:bCs/>
          <w:kern w:val="1"/>
          <w:sz w:val="21"/>
          <w:szCs w:val="21"/>
          <w:highlight w:val="none"/>
          <w:lang w:eastAsia="zh-CN"/>
        </w:rPr>
        <w:t>服务期内，乙方应承诺免费提供二次移机服务。</w:t>
      </w:r>
    </w:p>
    <w:p w14:paraId="63EE1A97">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第七条 知识产权</w:t>
      </w:r>
    </w:p>
    <w:p w14:paraId="407F0B57">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1、在合同履行过程中，由甲方向乙方提供的资料－－包括但不限于程序、文件、报告、说明、图表等均归甲方所有。</w:t>
      </w:r>
    </w:p>
    <w:p w14:paraId="64E2E571">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6F88FBE9">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第八条 保密条款</w:t>
      </w:r>
    </w:p>
    <w:p w14:paraId="75350E01">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0F674004">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第九条 风险责任</w:t>
      </w:r>
    </w:p>
    <w:p w14:paraId="070F927A">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7B730E8F">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第十条 履约保证金（本项目不涉及）</w:t>
      </w:r>
    </w:p>
    <w:p w14:paraId="080285A7">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1、乙方应按招标文件的约定要求提供相应的履约保证金。</w:t>
      </w:r>
    </w:p>
    <w:p w14:paraId="63CE1B54">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2、履约保证金的有效期为合同生效之日起至合同主要义务履行完毕止。</w:t>
      </w:r>
    </w:p>
    <w:p w14:paraId="74FB402D">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3、如乙方未能履行合同规定的义务，或因乙方责任应由乙方承担的赔偿未完成，甲方有权从履约保证金中取得补偿。</w:t>
      </w:r>
    </w:p>
    <w:p w14:paraId="65D9F64E">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4、履约保证金待合同主要义务全部履行完毕后全额退回（不计息）。</w:t>
      </w:r>
    </w:p>
    <w:p w14:paraId="75CB0731">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第十一条 合同的变更和终止</w:t>
      </w:r>
    </w:p>
    <w:p w14:paraId="08DFE27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1、本合同一经签订，甲乙双方不得擅自变更、中止或终止合同。</w:t>
      </w:r>
    </w:p>
    <w:p w14:paraId="10004FF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2、除发生法律规定的不能预见、不能避免并不能克服的客观情况外，甲乙双方不得放弃或拒绝履行合同。乙方放弃或拒绝履行合同，保证金不予退还。</w:t>
      </w:r>
    </w:p>
    <w:p w14:paraId="7707A06C">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第十二条 合同的转让</w:t>
      </w:r>
    </w:p>
    <w:p w14:paraId="7AA2413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1、乙方不得擅自部分或全部转让其应履行的合同义务。    </w:t>
      </w:r>
    </w:p>
    <w:p w14:paraId="3DAC260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2、乙方在履行合同过程中，不得将服务项目委托给第三方。</w:t>
      </w:r>
    </w:p>
    <w:p w14:paraId="103AE489">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第十三条 违约责任</w:t>
      </w:r>
    </w:p>
    <w:p w14:paraId="3E5E0C06">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1、在合同生效后，甲方无理由要求终止服务的，应向乙方偿付合同总价款的5%，作为违约金，违约金不足以补偿损失的，乙方有权要求甲方补足。</w:t>
      </w:r>
    </w:p>
    <w:p w14:paraId="39001B1F">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2、甲方逾期付款的，应按照逾期付款金额的每天万分之四支付逾期付款违约金。</w:t>
      </w:r>
    </w:p>
    <w:p w14:paraId="541D3F0A">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0108471E">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4、乙方项目组成员须按招标文件承诺人员配备，未经甲方同意不得擅自更换；如更换需向甲方支付赔偿金。</w:t>
      </w:r>
    </w:p>
    <w:p w14:paraId="359CED44">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6047195A">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6、其他未尽事宜，以《民法典》和《政府采购法》等有关法律法规规定为准，无相关规定的，双方协商解决。</w:t>
      </w:r>
    </w:p>
    <w:p w14:paraId="22A47A39">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第十四条 不可抗力</w:t>
      </w:r>
    </w:p>
    <w:p w14:paraId="1AF19F19">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42713303">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因合同一方迟延履行后发生不可抗力的，不能免除责任。</w:t>
      </w:r>
    </w:p>
    <w:p w14:paraId="0BBEC506">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第十五条 索赔</w:t>
      </w:r>
    </w:p>
    <w:p w14:paraId="30991CDF">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7CF5587F">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第十六条 争议的解决</w:t>
      </w:r>
    </w:p>
    <w:p w14:paraId="6B50F6E5">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1、因服务的质量问题发生争议的，应当邀请国家认可的质量检测机构对服务项目质量进行鉴定。项目符合标准的，鉴定费由甲方承担；项目不符合质量标准的，鉴定费由乙方承担。</w:t>
      </w:r>
    </w:p>
    <w:p w14:paraId="1C1CABA6">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2、因履行本合同引起的或与本合同有关的争议，甲、乙双方应首先通过友好协商解决，如果协商不能解决争议，则向甲方所在地有管辖权的人民法院提起诉讼；</w:t>
      </w:r>
    </w:p>
    <w:p w14:paraId="12F1CDE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3、在法院审理和仲裁期间，除有争议部分外，本合同其他部分应继续履行。</w:t>
      </w:r>
    </w:p>
    <w:p w14:paraId="61750583">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第十七条 诚实信用 </w:t>
      </w:r>
    </w:p>
    <w:p w14:paraId="61615053">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乙方应诚实信用，严格按照招标文件要求和投标承诺履行合同，不向甲方进行商业贿赂或者提供不正当利益。</w:t>
      </w:r>
    </w:p>
    <w:p w14:paraId="6D5362E8">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第十八条 合同生效及其他</w:t>
      </w:r>
    </w:p>
    <w:p w14:paraId="3306478E">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1、本合同自经甲乙双方授权代表签订并加盖公章后，自签订之日起生效。</w:t>
      </w:r>
    </w:p>
    <w:p w14:paraId="12F3F45F">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2、本合同一式肆份，甲乙双方各执贰份。</w:t>
      </w:r>
    </w:p>
    <w:p w14:paraId="33F2959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3、本合同应按照中华人民共和国的现行法律进行解释。</w:t>
      </w:r>
    </w:p>
    <w:p w14:paraId="7C607FDD">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D16373A">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甲方（采购人）：（盖章）                     乙方（供应商）：（盖章）</w:t>
      </w:r>
    </w:p>
    <w:p w14:paraId="78515BF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代表人：                   代表人：</w:t>
      </w:r>
    </w:p>
    <w:p w14:paraId="644155BD">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电话：                    电话：</w:t>
      </w:r>
    </w:p>
    <w:p w14:paraId="3983133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开户银行：                                   开户银行：</w:t>
      </w:r>
    </w:p>
    <w:p w14:paraId="74842F57">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帐号：                                       帐号：</w:t>
      </w:r>
    </w:p>
    <w:p w14:paraId="0E191611">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日期： 年 月  日                             日期：    年  月   日</w:t>
      </w:r>
    </w:p>
    <w:p w14:paraId="73704E95">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683A41D">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p>
    <w:p w14:paraId="733BBB4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58CB5B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222F695">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xml:space="preserve"> </w:t>
      </w:r>
    </w:p>
    <w:p w14:paraId="625A7D35">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482343E">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21B0E22">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（全文完）</w:t>
      </w:r>
    </w:p>
    <w:p w14:paraId="72F9FF7F">
      <w:pPr>
        <w:rPr>
          <w:rFonts w:hint="eastAsia" w:ascii="宋体" w:hAnsi="宋体" w:eastAsia="宋体" w:cs="宋体"/>
          <w:highlight w:val="none"/>
          <w:lang w:eastAsia="zh-CN"/>
        </w:rPr>
      </w:pPr>
    </w:p>
    <w:bookmarkEnd w:id="126"/>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66EC069-7EA0-4965-9829-120F8CA4F6AC}"/>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803DBBA7-8F44-49D8-96AA-BF4E39CCD9E5}"/>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3" w:fontKey="{A8470EA8-9EF2-4604-BD73-DA470798AA31}"/>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4" w:fontKey="{ED33011F-C6B0-4CE3-A4D8-AFA93C5598C5}"/>
  </w:font>
  <w:font w:name="仿宋_GB2312">
    <w:altName w:val="仿宋"/>
    <w:panose1 w:val="02010609030101010101"/>
    <w:charset w:val="86"/>
    <w:family w:val="modern"/>
    <w:pitch w:val="default"/>
    <w:sig w:usb0="00000000" w:usb1="00000000" w:usb2="00000010" w:usb3="00000000" w:csb0="00040000" w:csb1="00000000"/>
  </w:font>
  <w:font w:name="鸿蒙黑体">
    <w:altName w:val="黑体"/>
    <w:panose1 w:val="00000000000000000000"/>
    <w:charset w:val="86"/>
    <w:family w:val="auto"/>
    <w:pitch w:val="default"/>
    <w:sig w:usb0="00000000" w:usb1="00000000" w:usb2="00000016" w:usb3="00000000" w:csb0="00040001" w:csb1="00000000"/>
    <w:embedRegular r:id="rId5" w:fontKey="{E571A6A4-6E23-45BD-AAA2-795EEC5902E8}"/>
  </w:font>
  <w:font w:name="FT Thymes">
    <w:altName w:val="Segoe Print"/>
    <w:panose1 w:val="00000000000000000000"/>
    <w:charset w:val="00"/>
    <w:family w:val="auto"/>
    <w:pitch w:val="default"/>
    <w:sig w:usb0="00000000" w:usb1="00000000" w:usb2="00000009" w:usb3="00000000" w:csb0="00000001" w:csb1="00000000"/>
  </w:font>
  <w:font w:name="书宋-简">
    <w:altName w:val="宋体"/>
    <w:panose1 w:val="00000000000000000000"/>
    <w:charset w:val="86"/>
    <w:family w:val="auto"/>
    <w:pitch w:val="default"/>
    <w:sig w:usb0="00000000" w:usb1="00000000" w:usb2="00000016" w:usb3="00000000" w:csb0="00040001" w:csb1="00000000"/>
    <w:embedRegular r:id="rId6" w:fontKey="{BC17BA8A-45E1-41FB-973B-F5CD460FB78F}"/>
  </w:font>
  <w:font w:name="等线">
    <w:panose1 w:val="02010600030101010101"/>
    <w:charset w:val="86"/>
    <w:family w:val="auto"/>
    <w:pitch w:val="default"/>
    <w:sig w:usb0="A00002BF" w:usb1="38CF7CFA" w:usb2="00000016" w:usb3="00000000" w:csb0="0004000F" w:csb1="00000000"/>
    <w:embedRegular r:id="rId7" w:fontKey="{18CAA831-F6D6-42EC-A399-E5D4E3213ABC}"/>
  </w:font>
  <w:font w:name="Segoe UI Symbol">
    <w:panose1 w:val="020B0502040204020203"/>
    <w:charset w:val="00"/>
    <w:family w:val="swiss"/>
    <w:pitch w:val="default"/>
    <w:sig w:usb0="800001E3" w:usb1="1200FFEF" w:usb2="00040000" w:usb3="04000000" w:csb0="00000001" w:csb1="40000000"/>
    <w:embedRegular r:id="rId8" w:fontKey="{30F8915C-FC06-4890-B3CA-8C50BFA85D79}"/>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9FA9DC2"/>
    <w:multiLevelType w:val="singleLevel"/>
    <w:tmpl w:val="D9FA9DC2"/>
    <w:lvl w:ilvl="0" w:tentative="0">
      <w:start w:val="1"/>
      <w:numFmt w:val="decimalEnclosedCircleChinese"/>
      <w:suff w:val="nothing"/>
      <w:lvlText w:val="%1　"/>
      <w:lvlJc w:val="left"/>
      <w:pPr>
        <w:ind w:left="0" w:firstLine="400"/>
      </w:pPr>
      <w:rPr>
        <w:rFonts w:hint="eastAsia"/>
      </w:rPr>
    </w:lvl>
  </w:abstractNum>
  <w:abstractNum w:abstractNumId="2">
    <w:nsid w:val="1C2A3A57"/>
    <w:multiLevelType w:val="multilevel"/>
    <w:tmpl w:val="1C2A3A57"/>
    <w:lvl w:ilvl="0" w:tentative="0">
      <w:start w:val="1"/>
      <w:numFmt w:val="decimalEnclosedCircle"/>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3">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FEEE2E3"/>
    <w:multiLevelType w:val="singleLevel"/>
    <w:tmpl w:val="6FEEE2E3"/>
    <w:lvl w:ilvl="0" w:tentative="0">
      <w:start w:val="1"/>
      <w:numFmt w:val="decimalEnclosedCircleChinese"/>
      <w:suff w:val="nothing"/>
      <w:lvlText w:val="%1　"/>
      <w:lvlJc w:val="left"/>
      <w:pPr>
        <w:ind w:left="0" w:firstLine="400"/>
      </w:pPr>
      <w:rPr>
        <w:rFonts w:hint="eastAsia"/>
      </w:rPr>
    </w:lvl>
  </w:abstractNum>
  <w:abstractNum w:abstractNumId="5">
    <w:nsid w:val="700F940D"/>
    <w:multiLevelType w:val="singleLevel"/>
    <w:tmpl w:val="700F940D"/>
    <w:lvl w:ilvl="0" w:tentative="0">
      <w:start w:val="1"/>
      <w:numFmt w:val="decimal"/>
      <w:suff w:val="nothing"/>
      <w:lvlText w:val="%1、"/>
      <w:lvlJc w:val="left"/>
    </w:lvl>
  </w:abstractNum>
  <w:abstractNum w:abstractNumId="6">
    <w:nsid w:val="76E0C2D5"/>
    <w:multiLevelType w:val="singleLevel"/>
    <w:tmpl w:val="76E0C2D5"/>
    <w:lvl w:ilvl="0" w:tentative="0">
      <w:start w:val="1"/>
      <w:numFmt w:val="decimalEnclosedCircleChinese"/>
      <w:suff w:val="nothing"/>
      <w:lvlText w:val="%1　"/>
      <w:lvlJc w:val="left"/>
      <w:pPr>
        <w:ind w:left="0" w:firstLine="400"/>
      </w:pPr>
      <w:rPr>
        <w:rFonts w:hint="eastAsia"/>
      </w:rPr>
    </w:lvl>
  </w:abstractNum>
  <w:num w:numId="1">
    <w:abstractNumId w:val="3"/>
  </w:num>
  <w:num w:numId="2">
    <w:abstractNumId w:val="1"/>
  </w:num>
  <w:num w:numId="3">
    <w:abstractNumId w:val="4"/>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hideSpellingErrors/>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wMjE2NTg3NmQ5OGFlNmI5NjU3MmMzODI4MTg5NGYifQ=="/>
  </w:docVars>
  <w:rsids>
    <w:rsidRoot w:val="007F0DE6"/>
    <w:rsid w:val="00010B6B"/>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4B08"/>
    <w:rsid w:val="00115263"/>
    <w:rsid w:val="001316C0"/>
    <w:rsid w:val="00142C8E"/>
    <w:rsid w:val="00151A29"/>
    <w:rsid w:val="00155E38"/>
    <w:rsid w:val="00157EAC"/>
    <w:rsid w:val="0016197C"/>
    <w:rsid w:val="00162CCC"/>
    <w:rsid w:val="00174989"/>
    <w:rsid w:val="001818D4"/>
    <w:rsid w:val="001B07CF"/>
    <w:rsid w:val="001B3E8E"/>
    <w:rsid w:val="001E2034"/>
    <w:rsid w:val="001E232E"/>
    <w:rsid w:val="001E2706"/>
    <w:rsid w:val="00210BBC"/>
    <w:rsid w:val="00214F01"/>
    <w:rsid w:val="00223343"/>
    <w:rsid w:val="00236AAA"/>
    <w:rsid w:val="00252087"/>
    <w:rsid w:val="00255EDA"/>
    <w:rsid w:val="00256906"/>
    <w:rsid w:val="00266D48"/>
    <w:rsid w:val="0027354F"/>
    <w:rsid w:val="00273F62"/>
    <w:rsid w:val="00285A4E"/>
    <w:rsid w:val="0028764F"/>
    <w:rsid w:val="00294C0A"/>
    <w:rsid w:val="002B77CB"/>
    <w:rsid w:val="002C4198"/>
    <w:rsid w:val="002C4AD5"/>
    <w:rsid w:val="00301F91"/>
    <w:rsid w:val="0030724E"/>
    <w:rsid w:val="003257DC"/>
    <w:rsid w:val="003301EA"/>
    <w:rsid w:val="00333A07"/>
    <w:rsid w:val="003416B0"/>
    <w:rsid w:val="003606C2"/>
    <w:rsid w:val="003755BF"/>
    <w:rsid w:val="0038564D"/>
    <w:rsid w:val="0038756E"/>
    <w:rsid w:val="00394D7E"/>
    <w:rsid w:val="0039535E"/>
    <w:rsid w:val="003A3F86"/>
    <w:rsid w:val="003C7CE9"/>
    <w:rsid w:val="003F2D59"/>
    <w:rsid w:val="00434066"/>
    <w:rsid w:val="0044379B"/>
    <w:rsid w:val="00445CE4"/>
    <w:rsid w:val="00446EFD"/>
    <w:rsid w:val="00464508"/>
    <w:rsid w:val="004716E5"/>
    <w:rsid w:val="004746F4"/>
    <w:rsid w:val="004A60E4"/>
    <w:rsid w:val="004F0272"/>
    <w:rsid w:val="004F19E8"/>
    <w:rsid w:val="005105A1"/>
    <w:rsid w:val="0051084E"/>
    <w:rsid w:val="00516C43"/>
    <w:rsid w:val="00517E59"/>
    <w:rsid w:val="00543FC8"/>
    <w:rsid w:val="00547239"/>
    <w:rsid w:val="00552F0D"/>
    <w:rsid w:val="00563AE9"/>
    <w:rsid w:val="005669B5"/>
    <w:rsid w:val="00573A8F"/>
    <w:rsid w:val="00586530"/>
    <w:rsid w:val="005B374D"/>
    <w:rsid w:val="005B5AD8"/>
    <w:rsid w:val="005B655F"/>
    <w:rsid w:val="005C6EC5"/>
    <w:rsid w:val="005E5A6C"/>
    <w:rsid w:val="005F70DF"/>
    <w:rsid w:val="00611EC1"/>
    <w:rsid w:val="0061491B"/>
    <w:rsid w:val="00624508"/>
    <w:rsid w:val="0063339A"/>
    <w:rsid w:val="006431FF"/>
    <w:rsid w:val="00657435"/>
    <w:rsid w:val="006723B2"/>
    <w:rsid w:val="00676780"/>
    <w:rsid w:val="0068271F"/>
    <w:rsid w:val="006B5ED2"/>
    <w:rsid w:val="006B790A"/>
    <w:rsid w:val="006D2CEE"/>
    <w:rsid w:val="006D54EE"/>
    <w:rsid w:val="006E0068"/>
    <w:rsid w:val="006F50E8"/>
    <w:rsid w:val="00704F2B"/>
    <w:rsid w:val="00710B80"/>
    <w:rsid w:val="00714B0F"/>
    <w:rsid w:val="00730946"/>
    <w:rsid w:val="00735AA7"/>
    <w:rsid w:val="00735C13"/>
    <w:rsid w:val="007451F9"/>
    <w:rsid w:val="00753620"/>
    <w:rsid w:val="007538D2"/>
    <w:rsid w:val="00761877"/>
    <w:rsid w:val="0077294B"/>
    <w:rsid w:val="00776716"/>
    <w:rsid w:val="00784319"/>
    <w:rsid w:val="00786FD7"/>
    <w:rsid w:val="007B3402"/>
    <w:rsid w:val="007B4D8B"/>
    <w:rsid w:val="007B7EC5"/>
    <w:rsid w:val="007C11A7"/>
    <w:rsid w:val="007D5EBD"/>
    <w:rsid w:val="007E1BF7"/>
    <w:rsid w:val="007E5911"/>
    <w:rsid w:val="007F0DE6"/>
    <w:rsid w:val="0080702D"/>
    <w:rsid w:val="00814CA2"/>
    <w:rsid w:val="00816015"/>
    <w:rsid w:val="0082769A"/>
    <w:rsid w:val="00831EA0"/>
    <w:rsid w:val="00845D80"/>
    <w:rsid w:val="008474ED"/>
    <w:rsid w:val="0087086C"/>
    <w:rsid w:val="008A37EA"/>
    <w:rsid w:val="008C1DA5"/>
    <w:rsid w:val="008D2F90"/>
    <w:rsid w:val="008E50B7"/>
    <w:rsid w:val="008F2AD1"/>
    <w:rsid w:val="008F4677"/>
    <w:rsid w:val="008F4D1E"/>
    <w:rsid w:val="00902E58"/>
    <w:rsid w:val="00905DA5"/>
    <w:rsid w:val="00910A95"/>
    <w:rsid w:val="009154D1"/>
    <w:rsid w:val="0092301D"/>
    <w:rsid w:val="009310ED"/>
    <w:rsid w:val="00933B66"/>
    <w:rsid w:val="0093550D"/>
    <w:rsid w:val="00937BE4"/>
    <w:rsid w:val="00944CF3"/>
    <w:rsid w:val="00954F53"/>
    <w:rsid w:val="00955A38"/>
    <w:rsid w:val="00964CE0"/>
    <w:rsid w:val="00970D4F"/>
    <w:rsid w:val="0097284A"/>
    <w:rsid w:val="00972AB0"/>
    <w:rsid w:val="00976B3A"/>
    <w:rsid w:val="009836E2"/>
    <w:rsid w:val="00987C09"/>
    <w:rsid w:val="00994646"/>
    <w:rsid w:val="009A3B6C"/>
    <w:rsid w:val="009B3FDF"/>
    <w:rsid w:val="009D5F79"/>
    <w:rsid w:val="009E2347"/>
    <w:rsid w:val="00A03019"/>
    <w:rsid w:val="00A15ABA"/>
    <w:rsid w:val="00A17D9C"/>
    <w:rsid w:val="00A26497"/>
    <w:rsid w:val="00A26A71"/>
    <w:rsid w:val="00A36FB2"/>
    <w:rsid w:val="00A437C8"/>
    <w:rsid w:val="00A5470E"/>
    <w:rsid w:val="00A6462C"/>
    <w:rsid w:val="00A67FB4"/>
    <w:rsid w:val="00A73014"/>
    <w:rsid w:val="00AC4642"/>
    <w:rsid w:val="00AC4F98"/>
    <w:rsid w:val="00AD27E1"/>
    <w:rsid w:val="00AE47A1"/>
    <w:rsid w:val="00AF2E16"/>
    <w:rsid w:val="00AF3487"/>
    <w:rsid w:val="00AF79C2"/>
    <w:rsid w:val="00B02A01"/>
    <w:rsid w:val="00B21B08"/>
    <w:rsid w:val="00B241AA"/>
    <w:rsid w:val="00B33CCF"/>
    <w:rsid w:val="00B37F16"/>
    <w:rsid w:val="00B475D8"/>
    <w:rsid w:val="00B72DC6"/>
    <w:rsid w:val="00B77710"/>
    <w:rsid w:val="00B8203A"/>
    <w:rsid w:val="00B8708C"/>
    <w:rsid w:val="00B878A3"/>
    <w:rsid w:val="00B93981"/>
    <w:rsid w:val="00B96740"/>
    <w:rsid w:val="00BB2ABD"/>
    <w:rsid w:val="00BC1F45"/>
    <w:rsid w:val="00BD5048"/>
    <w:rsid w:val="00BF0525"/>
    <w:rsid w:val="00BF402F"/>
    <w:rsid w:val="00C04AF5"/>
    <w:rsid w:val="00C17033"/>
    <w:rsid w:val="00C30EF1"/>
    <w:rsid w:val="00C3330E"/>
    <w:rsid w:val="00C4062E"/>
    <w:rsid w:val="00C416AE"/>
    <w:rsid w:val="00C45F8E"/>
    <w:rsid w:val="00C830F4"/>
    <w:rsid w:val="00CB2A2F"/>
    <w:rsid w:val="00CB2D12"/>
    <w:rsid w:val="00CB79AF"/>
    <w:rsid w:val="00CC26BF"/>
    <w:rsid w:val="00CC658F"/>
    <w:rsid w:val="00CD5937"/>
    <w:rsid w:val="00CE2B25"/>
    <w:rsid w:val="00CE6466"/>
    <w:rsid w:val="00CF5237"/>
    <w:rsid w:val="00D05536"/>
    <w:rsid w:val="00D0587C"/>
    <w:rsid w:val="00D2649C"/>
    <w:rsid w:val="00D27D43"/>
    <w:rsid w:val="00D35971"/>
    <w:rsid w:val="00D43AA6"/>
    <w:rsid w:val="00D45B2D"/>
    <w:rsid w:val="00D4688E"/>
    <w:rsid w:val="00D46B3E"/>
    <w:rsid w:val="00D517D5"/>
    <w:rsid w:val="00D52C59"/>
    <w:rsid w:val="00D81227"/>
    <w:rsid w:val="00DA25D4"/>
    <w:rsid w:val="00DD4534"/>
    <w:rsid w:val="00DD465E"/>
    <w:rsid w:val="00DE2BD4"/>
    <w:rsid w:val="00DE387B"/>
    <w:rsid w:val="00DE62F3"/>
    <w:rsid w:val="00DF0BA5"/>
    <w:rsid w:val="00DF49B9"/>
    <w:rsid w:val="00DF4F6A"/>
    <w:rsid w:val="00E01B1C"/>
    <w:rsid w:val="00E02EAC"/>
    <w:rsid w:val="00E129F1"/>
    <w:rsid w:val="00E217B4"/>
    <w:rsid w:val="00E35A81"/>
    <w:rsid w:val="00E37ACA"/>
    <w:rsid w:val="00E567D4"/>
    <w:rsid w:val="00E60CEE"/>
    <w:rsid w:val="00E66CB5"/>
    <w:rsid w:val="00E80838"/>
    <w:rsid w:val="00E8090E"/>
    <w:rsid w:val="00EA0414"/>
    <w:rsid w:val="00F038D7"/>
    <w:rsid w:val="00F37CD1"/>
    <w:rsid w:val="00F75474"/>
    <w:rsid w:val="00F947DB"/>
    <w:rsid w:val="00FB0237"/>
    <w:rsid w:val="00FD243C"/>
    <w:rsid w:val="00FD69BC"/>
    <w:rsid w:val="0108045C"/>
    <w:rsid w:val="01352A75"/>
    <w:rsid w:val="0143023E"/>
    <w:rsid w:val="01594127"/>
    <w:rsid w:val="015A37EA"/>
    <w:rsid w:val="01607B27"/>
    <w:rsid w:val="016B5866"/>
    <w:rsid w:val="017E6F26"/>
    <w:rsid w:val="01816CCD"/>
    <w:rsid w:val="01850A77"/>
    <w:rsid w:val="018A439F"/>
    <w:rsid w:val="018C3C07"/>
    <w:rsid w:val="01902A68"/>
    <w:rsid w:val="019A16C2"/>
    <w:rsid w:val="01B05289"/>
    <w:rsid w:val="01BD6FEA"/>
    <w:rsid w:val="01BE5EE2"/>
    <w:rsid w:val="01D362E5"/>
    <w:rsid w:val="01EF7A4A"/>
    <w:rsid w:val="01F95D80"/>
    <w:rsid w:val="01FB0577"/>
    <w:rsid w:val="020656B2"/>
    <w:rsid w:val="022C3D13"/>
    <w:rsid w:val="023849B2"/>
    <w:rsid w:val="023F0464"/>
    <w:rsid w:val="02685C0C"/>
    <w:rsid w:val="028247A5"/>
    <w:rsid w:val="028401BC"/>
    <w:rsid w:val="028D7194"/>
    <w:rsid w:val="02902EC5"/>
    <w:rsid w:val="02AD379B"/>
    <w:rsid w:val="02D346D0"/>
    <w:rsid w:val="02DC29E0"/>
    <w:rsid w:val="02F246D9"/>
    <w:rsid w:val="02F81F47"/>
    <w:rsid w:val="03047538"/>
    <w:rsid w:val="03233E3F"/>
    <w:rsid w:val="032D1344"/>
    <w:rsid w:val="032F65C6"/>
    <w:rsid w:val="03363C91"/>
    <w:rsid w:val="0341020B"/>
    <w:rsid w:val="03506E80"/>
    <w:rsid w:val="035F0913"/>
    <w:rsid w:val="03682B63"/>
    <w:rsid w:val="037F533E"/>
    <w:rsid w:val="038C4E6B"/>
    <w:rsid w:val="0398305C"/>
    <w:rsid w:val="039D4518"/>
    <w:rsid w:val="03DD7476"/>
    <w:rsid w:val="03E2554B"/>
    <w:rsid w:val="03FF5FEC"/>
    <w:rsid w:val="04022533"/>
    <w:rsid w:val="040352F1"/>
    <w:rsid w:val="0409246F"/>
    <w:rsid w:val="042518DB"/>
    <w:rsid w:val="042625A3"/>
    <w:rsid w:val="042942EB"/>
    <w:rsid w:val="04312BCD"/>
    <w:rsid w:val="04386104"/>
    <w:rsid w:val="043B4BCF"/>
    <w:rsid w:val="043D53C4"/>
    <w:rsid w:val="044F7A70"/>
    <w:rsid w:val="04885A51"/>
    <w:rsid w:val="04953B87"/>
    <w:rsid w:val="0495752E"/>
    <w:rsid w:val="049A4F9F"/>
    <w:rsid w:val="049F59C7"/>
    <w:rsid w:val="04A5420D"/>
    <w:rsid w:val="04B675AB"/>
    <w:rsid w:val="04B847F1"/>
    <w:rsid w:val="04C63673"/>
    <w:rsid w:val="052D0A47"/>
    <w:rsid w:val="053E7B62"/>
    <w:rsid w:val="054860FE"/>
    <w:rsid w:val="05574109"/>
    <w:rsid w:val="05584545"/>
    <w:rsid w:val="05706B86"/>
    <w:rsid w:val="059B2032"/>
    <w:rsid w:val="05CA1591"/>
    <w:rsid w:val="05CD2772"/>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411695"/>
    <w:rsid w:val="07413D40"/>
    <w:rsid w:val="07485C35"/>
    <w:rsid w:val="075616D4"/>
    <w:rsid w:val="07572F4B"/>
    <w:rsid w:val="0763471D"/>
    <w:rsid w:val="07723F20"/>
    <w:rsid w:val="07850796"/>
    <w:rsid w:val="07902912"/>
    <w:rsid w:val="07B938EB"/>
    <w:rsid w:val="07BE784C"/>
    <w:rsid w:val="07D654D5"/>
    <w:rsid w:val="07DA0F85"/>
    <w:rsid w:val="07F58830"/>
    <w:rsid w:val="07FE5F67"/>
    <w:rsid w:val="08063F32"/>
    <w:rsid w:val="08070DBA"/>
    <w:rsid w:val="08080C8D"/>
    <w:rsid w:val="080A371B"/>
    <w:rsid w:val="08206DC6"/>
    <w:rsid w:val="08360F6E"/>
    <w:rsid w:val="08414B1F"/>
    <w:rsid w:val="088071AD"/>
    <w:rsid w:val="088E20A6"/>
    <w:rsid w:val="088F4F0F"/>
    <w:rsid w:val="08AB2262"/>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68783C"/>
    <w:rsid w:val="0A897917"/>
    <w:rsid w:val="0ABE2077"/>
    <w:rsid w:val="0AC83D78"/>
    <w:rsid w:val="0AD007F3"/>
    <w:rsid w:val="0ADB2E37"/>
    <w:rsid w:val="0AE73BFA"/>
    <w:rsid w:val="0AEB75F3"/>
    <w:rsid w:val="0AF67721"/>
    <w:rsid w:val="0B0B4F80"/>
    <w:rsid w:val="0B0E6CE7"/>
    <w:rsid w:val="0B14133A"/>
    <w:rsid w:val="0B3D6F23"/>
    <w:rsid w:val="0B5168CC"/>
    <w:rsid w:val="0B5944A0"/>
    <w:rsid w:val="0B79797A"/>
    <w:rsid w:val="0B8209C4"/>
    <w:rsid w:val="0B8B27F2"/>
    <w:rsid w:val="0BA164E4"/>
    <w:rsid w:val="0BA34338"/>
    <w:rsid w:val="0BA91206"/>
    <w:rsid w:val="0BBE20FB"/>
    <w:rsid w:val="0BCF4FF5"/>
    <w:rsid w:val="0BD95485"/>
    <w:rsid w:val="0BE5451F"/>
    <w:rsid w:val="0BF65812"/>
    <w:rsid w:val="0BF815F9"/>
    <w:rsid w:val="0C013567"/>
    <w:rsid w:val="0C187AD8"/>
    <w:rsid w:val="0C3454F2"/>
    <w:rsid w:val="0C3639BD"/>
    <w:rsid w:val="0C50326D"/>
    <w:rsid w:val="0C585ACF"/>
    <w:rsid w:val="0C704BA0"/>
    <w:rsid w:val="0C75510F"/>
    <w:rsid w:val="0C77725A"/>
    <w:rsid w:val="0C7F1F92"/>
    <w:rsid w:val="0C967A0F"/>
    <w:rsid w:val="0C99484A"/>
    <w:rsid w:val="0CB5172B"/>
    <w:rsid w:val="0CB851D1"/>
    <w:rsid w:val="0CC14427"/>
    <w:rsid w:val="0CD42055"/>
    <w:rsid w:val="0CE12497"/>
    <w:rsid w:val="0CF719AC"/>
    <w:rsid w:val="0D2C3290"/>
    <w:rsid w:val="0D47180A"/>
    <w:rsid w:val="0D481FE1"/>
    <w:rsid w:val="0D4D288D"/>
    <w:rsid w:val="0D655436"/>
    <w:rsid w:val="0D8B0691"/>
    <w:rsid w:val="0DA91FA5"/>
    <w:rsid w:val="0DCE43DC"/>
    <w:rsid w:val="0DD34156"/>
    <w:rsid w:val="0DDA49A4"/>
    <w:rsid w:val="0DDE1683"/>
    <w:rsid w:val="0DEF6B59"/>
    <w:rsid w:val="0DF207C8"/>
    <w:rsid w:val="0E0C6F4D"/>
    <w:rsid w:val="0E0F135C"/>
    <w:rsid w:val="0E1636C8"/>
    <w:rsid w:val="0E16687D"/>
    <w:rsid w:val="0E320F7E"/>
    <w:rsid w:val="0E3E1F96"/>
    <w:rsid w:val="0E430CAE"/>
    <w:rsid w:val="0E8C7A87"/>
    <w:rsid w:val="0E974001"/>
    <w:rsid w:val="0E9C7E08"/>
    <w:rsid w:val="0E9E0861"/>
    <w:rsid w:val="0EC463B8"/>
    <w:rsid w:val="0EDA2902"/>
    <w:rsid w:val="0EDF093D"/>
    <w:rsid w:val="0EEF6789"/>
    <w:rsid w:val="0F0A5113"/>
    <w:rsid w:val="0F0C11A0"/>
    <w:rsid w:val="0F4200B5"/>
    <w:rsid w:val="0F5D0E70"/>
    <w:rsid w:val="0F627A6F"/>
    <w:rsid w:val="0F674F99"/>
    <w:rsid w:val="0F6E0A41"/>
    <w:rsid w:val="0F6F14C5"/>
    <w:rsid w:val="0F903819"/>
    <w:rsid w:val="0F917D0E"/>
    <w:rsid w:val="0F957915"/>
    <w:rsid w:val="0F9964C0"/>
    <w:rsid w:val="0F9D08A1"/>
    <w:rsid w:val="0FB7217C"/>
    <w:rsid w:val="0FBB2C2E"/>
    <w:rsid w:val="0FC274B4"/>
    <w:rsid w:val="0FCB598A"/>
    <w:rsid w:val="0FE47D6F"/>
    <w:rsid w:val="0FE633CA"/>
    <w:rsid w:val="10056E5C"/>
    <w:rsid w:val="100E2CD2"/>
    <w:rsid w:val="101C1378"/>
    <w:rsid w:val="101E40A6"/>
    <w:rsid w:val="102462FF"/>
    <w:rsid w:val="103F0E1E"/>
    <w:rsid w:val="104657FA"/>
    <w:rsid w:val="1056672C"/>
    <w:rsid w:val="10615C9F"/>
    <w:rsid w:val="108E13AA"/>
    <w:rsid w:val="10A3244C"/>
    <w:rsid w:val="10A52ACF"/>
    <w:rsid w:val="10B60D4A"/>
    <w:rsid w:val="10B8469B"/>
    <w:rsid w:val="10C06C1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1F76665"/>
    <w:rsid w:val="12085E44"/>
    <w:rsid w:val="121305AE"/>
    <w:rsid w:val="121E1571"/>
    <w:rsid w:val="122E5FCD"/>
    <w:rsid w:val="123A2749"/>
    <w:rsid w:val="1241385E"/>
    <w:rsid w:val="12480044"/>
    <w:rsid w:val="125308C6"/>
    <w:rsid w:val="125D2A83"/>
    <w:rsid w:val="1265240A"/>
    <w:rsid w:val="1269663E"/>
    <w:rsid w:val="127748BA"/>
    <w:rsid w:val="127B0070"/>
    <w:rsid w:val="12872B83"/>
    <w:rsid w:val="12B446BB"/>
    <w:rsid w:val="12BF6EC2"/>
    <w:rsid w:val="12EC63AE"/>
    <w:rsid w:val="12F232D0"/>
    <w:rsid w:val="12F26C28"/>
    <w:rsid w:val="13161EAC"/>
    <w:rsid w:val="131B5031"/>
    <w:rsid w:val="131E7C21"/>
    <w:rsid w:val="1348744A"/>
    <w:rsid w:val="1369446C"/>
    <w:rsid w:val="1395739F"/>
    <w:rsid w:val="13985350"/>
    <w:rsid w:val="13A36513"/>
    <w:rsid w:val="13CA09F7"/>
    <w:rsid w:val="13CA6201"/>
    <w:rsid w:val="13EE1CEA"/>
    <w:rsid w:val="14146680"/>
    <w:rsid w:val="14200360"/>
    <w:rsid w:val="14284B77"/>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11DA8"/>
    <w:rsid w:val="17F92A70"/>
    <w:rsid w:val="17FD0AB3"/>
    <w:rsid w:val="180D5BB3"/>
    <w:rsid w:val="180F1083"/>
    <w:rsid w:val="181A6957"/>
    <w:rsid w:val="1826172F"/>
    <w:rsid w:val="182D1DAB"/>
    <w:rsid w:val="183B76C1"/>
    <w:rsid w:val="18534811"/>
    <w:rsid w:val="18610453"/>
    <w:rsid w:val="186F2E51"/>
    <w:rsid w:val="187666DE"/>
    <w:rsid w:val="187D2C11"/>
    <w:rsid w:val="189B710E"/>
    <w:rsid w:val="189D1976"/>
    <w:rsid w:val="18C16049"/>
    <w:rsid w:val="18C17C9F"/>
    <w:rsid w:val="18C474BD"/>
    <w:rsid w:val="18C7725A"/>
    <w:rsid w:val="19097208"/>
    <w:rsid w:val="19121EB7"/>
    <w:rsid w:val="19131A6C"/>
    <w:rsid w:val="19411E32"/>
    <w:rsid w:val="195E352F"/>
    <w:rsid w:val="1986426C"/>
    <w:rsid w:val="199F5D7D"/>
    <w:rsid w:val="19A41797"/>
    <w:rsid w:val="19B03E18"/>
    <w:rsid w:val="19BA54DF"/>
    <w:rsid w:val="19E31C94"/>
    <w:rsid w:val="19E45FFF"/>
    <w:rsid w:val="19E60C62"/>
    <w:rsid w:val="19ED69C8"/>
    <w:rsid w:val="1A295B46"/>
    <w:rsid w:val="1A412A41"/>
    <w:rsid w:val="1A6127ED"/>
    <w:rsid w:val="1A663A40"/>
    <w:rsid w:val="1A696A42"/>
    <w:rsid w:val="1A7E3DF2"/>
    <w:rsid w:val="1A907657"/>
    <w:rsid w:val="1AA72884"/>
    <w:rsid w:val="1AA94BBC"/>
    <w:rsid w:val="1AD2534F"/>
    <w:rsid w:val="1AD322CA"/>
    <w:rsid w:val="1AEF5429"/>
    <w:rsid w:val="1AF244DC"/>
    <w:rsid w:val="1AF26ABB"/>
    <w:rsid w:val="1B0F0870"/>
    <w:rsid w:val="1B1F2A60"/>
    <w:rsid w:val="1B266CCF"/>
    <w:rsid w:val="1B2D3BD8"/>
    <w:rsid w:val="1B3967A2"/>
    <w:rsid w:val="1B4B60AB"/>
    <w:rsid w:val="1B4E1A56"/>
    <w:rsid w:val="1B5740D5"/>
    <w:rsid w:val="1B600016"/>
    <w:rsid w:val="1B6228FE"/>
    <w:rsid w:val="1B6D6CE7"/>
    <w:rsid w:val="1B7309A0"/>
    <w:rsid w:val="1B835140"/>
    <w:rsid w:val="1B862808"/>
    <w:rsid w:val="1B931E27"/>
    <w:rsid w:val="1BA3021E"/>
    <w:rsid w:val="1BD9657D"/>
    <w:rsid w:val="1BDB6ED7"/>
    <w:rsid w:val="1BDE43F2"/>
    <w:rsid w:val="1BE151AB"/>
    <w:rsid w:val="1BEF4FC5"/>
    <w:rsid w:val="1BEF6F05"/>
    <w:rsid w:val="1C057B1D"/>
    <w:rsid w:val="1C180642"/>
    <w:rsid w:val="1C24274C"/>
    <w:rsid w:val="1C3A2374"/>
    <w:rsid w:val="1C506F2C"/>
    <w:rsid w:val="1C570813"/>
    <w:rsid w:val="1C693C06"/>
    <w:rsid w:val="1CA078F9"/>
    <w:rsid w:val="1CAB6228"/>
    <w:rsid w:val="1CB570DB"/>
    <w:rsid w:val="1CC23D13"/>
    <w:rsid w:val="1CCE2310"/>
    <w:rsid w:val="1CD122BF"/>
    <w:rsid w:val="1CD35F20"/>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A4113"/>
    <w:rsid w:val="1DB7314C"/>
    <w:rsid w:val="1DBA6CF9"/>
    <w:rsid w:val="1DBF6C6C"/>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8717C"/>
    <w:rsid w:val="1EB94157"/>
    <w:rsid w:val="1EDC65DA"/>
    <w:rsid w:val="1EE5554D"/>
    <w:rsid w:val="1EEC32CA"/>
    <w:rsid w:val="1EF07AD2"/>
    <w:rsid w:val="1F023B78"/>
    <w:rsid w:val="1F513E7C"/>
    <w:rsid w:val="1F5E2AD1"/>
    <w:rsid w:val="1F614B27"/>
    <w:rsid w:val="1F615A66"/>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47DAF"/>
    <w:rsid w:val="209764D5"/>
    <w:rsid w:val="209B47E6"/>
    <w:rsid w:val="209E4EDF"/>
    <w:rsid w:val="20AB20EA"/>
    <w:rsid w:val="20B509DC"/>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DA2D2D"/>
    <w:rsid w:val="21DC7A2C"/>
    <w:rsid w:val="21E604A4"/>
    <w:rsid w:val="21E90A15"/>
    <w:rsid w:val="222018DF"/>
    <w:rsid w:val="22285AC3"/>
    <w:rsid w:val="222C0A77"/>
    <w:rsid w:val="223E60B1"/>
    <w:rsid w:val="22584856"/>
    <w:rsid w:val="226838C5"/>
    <w:rsid w:val="227504D7"/>
    <w:rsid w:val="2279312F"/>
    <w:rsid w:val="227A269D"/>
    <w:rsid w:val="22857651"/>
    <w:rsid w:val="2288155B"/>
    <w:rsid w:val="2295149B"/>
    <w:rsid w:val="22EB547C"/>
    <w:rsid w:val="22F04641"/>
    <w:rsid w:val="22FB7F7F"/>
    <w:rsid w:val="23031EF6"/>
    <w:rsid w:val="23150F4C"/>
    <w:rsid w:val="2344433B"/>
    <w:rsid w:val="234A61BC"/>
    <w:rsid w:val="2359307A"/>
    <w:rsid w:val="235A165B"/>
    <w:rsid w:val="236C5BC2"/>
    <w:rsid w:val="23750563"/>
    <w:rsid w:val="2384113B"/>
    <w:rsid w:val="23AE4698"/>
    <w:rsid w:val="23C84743"/>
    <w:rsid w:val="23C924EF"/>
    <w:rsid w:val="23D11896"/>
    <w:rsid w:val="23D43437"/>
    <w:rsid w:val="23E15DC6"/>
    <w:rsid w:val="23F34004"/>
    <w:rsid w:val="23F84282"/>
    <w:rsid w:val="24170D14"/>
    <w:rsid w:val="241A26A8"/>
    <w:rsid w:val="24250560"/>
    <w:rsid w:val="24261C56"/>
    <w:rsid w:val="242A4935"/>
    <w:rsid w:val="243A4B0E"/>
    <w:rsid w:val="24486677"/>
    <w:rsid w:val="245174FF"/>
    <w:rsid w:val="24675FCD"/>
    <w:rsid w:val="249266BC"/>
    <w:rsid w:val="24B35575"/>
    <w:rsid w:val="24B52566"/>
    <w:rsid w:val="24BC7A84"/>
    <w:rsid w:val="24DC53BA"/>
    <w:rsid w:val="24F72BE5"/>
    <w:rsid w:val="250172C4"/>
    <w:rsid w:val="250A44A9"/>
    <w:rsid w:val="25186BC6"/>
    <w:rsid w:val="251F0FA4"/>
    <w:rsid w:val="25333EDC"/>
    <w:rsid w:val="253D662D"/>
    <w:rsid w:val="25402452"/>
    <w:rsid w:val="2548687D"/>
    <w:rsid w:val="25610B70"/>
    <w:rsid w:val="256242E5"/>
    <w:rsid w:val="25712922"/>
    <w:rsid w:val="258C10A9"/>
    <w:rsid w:val="258C61DC"/>
    <w:rsid w:val="25953661"/>
    <w:rsid w:val="25990692"/>
    <w:rsid w:val="25A25AF3"/>
    <w:rsid w:val="25AE72F7"/>
    <w:rsid w:val="25B50131"/>
    <w:rsid w:val="25C81AD7"/>
    <w:rsid w:val="25D15F3A"/>
    <w:rsid w:val="25DF3269"/>
    <w:rsid w:val="25EA1E95"/>
    <w:rsid w:val="25EB6089"/>
    <w:rsid w:val="25F01153"/>
    <w:rsid w:val="25F43BD8"/>
    <w:rsid w:val="26057907"/>
    <w:rsid w:val="26391E74"/>
    <w:rsid w:val="2644443D"/>
    <w:rsid w:val="26574EA4"/>
    <w:rsid w:val="26671C07"/>
    <w:rsid w:val="26960C7A"/>
    <w:rsid w:val="26A83F7A"/>
    <w:rsid w:val="26A91BA1"/>
    <w:rsid w:val="26AB7124"/>
    <w:rsid w:val="26AF11EF"/>
    <w:rsid w:val="26DE174A"/>
    <w:rsid w:val="26F92AA3"/>
    <w:rsid w:val="27064F08"/>
    <w:rsid w:val="27104A8F"/>
    <w:rsid w:val="271733B6"/>
    <w:rsid w:val="271F432B"/>
    <w:rsid w:val="273744E1"/>
    <w:rsid w:val="27394DE2"/>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7180C"/>
    <w:rsid w:val="28095660"/>
    <w:rsid w:val="2813684C"/>
    <w:rsid w:val="282E6701"/>
    <w:rsid w:val="284157D3"/>
    <w:rsid w:val="284E1E85"/>
    <w:rsid w:val="284E4D34"/>
    <w:rsid w:val="2860696E"/>
    <w:rsid w:val="286D7033"/>
    <w:rsid w:val="28763096"/>
    <w:rsid w:val="287727C3"/>
    <w:rsid w:val="28924D94"/>
    <w:rsid w:val="289D2D0E"/>
    <w:rsid w:val="289E5635"/>
    <w:rsid w:val="28B77DA5"/>
    <w:rsid w:val="28CC13F6"/>
    <w:rsid w:val="28D252DE"/>
    <w:rsid w:val="28E01B29"/>
    <w:rsid w:val="28FC212B"/>
    <w:rsid w:val="290066D8"/>
    <w:rsid w:val="293B5F86"/>
    <w:rsid w:val="296138D0"/>
    <w:rsid w:val="29820B83"/>
    <w:rsid w:val="29920799"/>
    <w:rsid w:val="29974552"/>
    <w:rsid w:val="29A547A1"/>
    <w:rsid w:val="29A95E08"/>
    <w:rsid w:val="29AF6880"/>
    <w:rsid w:val="29C61EF4"/>
    <w:rsid w:val="29D33005"/>
    <w:rsid w:val="2A085306"/>
    <w:rsid w:val="2A115A11"/>
    <w:rsid w:val="2A2E29E8"/>
    <w:rsid w:val="2A4558DD"/>
    <w:rsid w:val="2A5B2A6E"/>
    <w:rsid w:val="2A6A2869"/>
    <w:rsid w:val="2A930FD0"/>
    <w:rsid w:val="2A993FBF"/>
    <w:rsid w:val="2AA66977"/>
    <w:rsid w:val="2AAF553D"/>
    <w:rsid w:val="2AF63103"/>
    <w:rsid w:val="2AFA2AC3"/>
    <w:rsid w:val="2B0014CC"/>
    <w:rsid w:val="2B077644"/>
    <w:rsid w:val="2B182B8B"/>
    <w:rsid w:val="2B182F87"/>
    <w:rsid w:val="2B280AAA"/>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35005E"/>
    <w:rsid w:val="2C4E35B4"/>
    <w:rsid w:val="2C5A3F68"/>
    <w:rsid w:val="2C662511"/>
    <w:rsid w:val="2C6B3A80"/>
    <w:rsid w:val="2C6D5CA7"/>
    <w:rsid w:val="2C7C5FF8"/>
    <w:rsid w:val="2C8421F8"/>
    <w:rsid w:val="2C8F50CC"/>
    <w:rsid w:val="2C9372C3"/>
    <w:rsid w:val="2C990D4C"/>
    <w:rsid w:val="2C99144E"/>
    <w:rsid w:val="2CA033FE"/>
    <w:rsid w:val="2CB7174F"/>
    <w:rsid w:val="2CC34636"/>
    <w:rsid w:val="2CCF0BEF"/>
    <w:rsid w:val="2CDE49A3"/>
    <w:rsid w:val="2CEA7B60"/>
    <w:rsid w:val="2CFE6975"/>
    <w:rsid w:val="2D006EBF"/>
    <w:rsid w:val="2D0B6241"/>
    <w:rsid w:val="2D182DED"/>
    <w:rsid w:val="2D2F3858"/>
    <w:rsid w:val="2D3111D5"/>
    <w:rsid w:val="2D314CC9"/>
    <w:rsid w:val="2D3C541C"/>
    <w:rsid w:val="2D454ECA"/>
    <w:rsid w:val="2D470CFE"/>
    <w:rsid w:val="2D5D46E4"/>
    <w:rsid w:val="2D626010"/>
    <w:rsid w:val="2D6A64F5"/>
    <w:rsid w:val="2D753CFA"/>
    <w:rsid w:val="2D833E1B"/>
    <w:rsid w:val="2DA0726B"/>
    <w:rsid w:val="2DB229EA"/>
    <w:rsid w:val="2DB32C12"/>
    <w:rsid w:val="2DC109C9"/>
    <w:rsid w:val="2DC873F9"/>
    <w:rsid w:val="2DDE4C78"/>
    <w:rsid w:val="2DF40C52"/>
    <w:rsid w:val="2DF56325"/>
    <w:rsid w:val="2E24482E"/>
    <w:rsid w:val="2E2503A7"/>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ED27DE6"/>
    <w:rsid w:val="2F032695"/>
    <w:rsid w:val="2F243B16"/>
    <w:rsid w:val="2F37573D"/>
    <w:rsid w:val="2F540BF7"/>
    <w:rsid w:val="2F592EEF"/>
    <w:rsid w:val="2F652A42"/>
    <w:rsid w:val="2F7556D3"/>
    <w:rsid w:val="2F826C7E"/>
    <w:rsid w:val="2F8E0352"/>
    <w:rsid w:val="2F982F1C"/>
    <w:rsid w:val="2F9E7B1A"/>
    <w:rsid w:val="2FAA5090"/>
    <w:rsid w:val="2FF32805"/>
    <w:rsid w:val="3002278F"/>
    <w:rsid w:val="3013151E"/>
    <w:rsid w:val="301D177E"/>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131BA9"/>
    <w:rsid w:val="311C44E5"/>
    <w:rsid w:val="31264419"/>
    <w:rsid w:val="312B3E8C"/>
    <w:rsid w:val="313A5D95"/>
    <w:rsid w:val="314827FE"/>
    <w:rsid w:val="31505DB0"/>
    <w:rsid w:val="31540D79"/>
    <w:rsid w:val="31551D13"/>
    <w:rsid w:val="31563118"/>
    <w:rsid w:val="31717246"/>
    <w:rsid w:val="3174012A"/>
    <w:rsid w:val="318F4926"/>
    <w:rsid w:val="3197003B"/>
    <w:rsid w:val="31A0481E"/>
    <w:rsid w:val="31B7039B"/>
    <w:rsid w:val="31B7111A"/>
    <w:rsid w:val="31B71515"/>
    <w:rsid w:val="31BD078C"/>
    <w:rsid w:val="31CA6854"/>
    <w:rsid w:val="31D44B61"/>
    <w:rsid w:val="31D8547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32A95"/>
    <w:rsid w:val="33E74A98"/>
    <w:rsid w:val="33EF143A"/>
    <w:rsid w:val="33F3440D"/>
    <w:rsid w:val="33FA021C"/>
    <w:rsid w:val="340115C5"/>
    <w:rsid w:val="340A4636"/>
    <w:rsid w:val="343165C7"/>
    <w:rsid w:val="34517138"/>
    <w:rsid w:val="34607C42"/>
    <w:rsid w:val="34682F8F"/>
    <w:rsid w:val="346B5EFB"/>
    <w:rsid w:val="347F2BF4"/>
    <w:rsid w:val="34895E96"/>
    <w:rsid w:val="348B44B6"/>
    <w:rsid w:val="34970E33"/>
    <w:rsid w:val="34995170"/>
    <w:rsid w:val="349F38B6"/>
    <w:rsid w:val="34A776C4"/>
    <w:rsid w:val="34B169C9"/>
    <w:rsid w:val="34DE60C9"/>
    <w:rsid w:val="34EA59CF"/>
    <w:rsid w:val="34EE5D24"/>
    <w:rsid w:val="34F11E28"/>
    <w:rsid w:val="34F27E01"/>
    <w:rsid w:val="351630D6"/>
    <w:rsid w:val="35243365"/>
    <w:rsid w:val="356E5F25"/>
    <w:rsid w:val="35A32465"/>
    <w:rsid w:val="35A61A02"/>
    <w:rsid w:val="35AB2023"/>
    <w:rsid w:val="35B5088A"/>
    <w:rsid w:val="35C32630"/>
    <w:rsid w:val="35D159BB"/>
    <w:rsid w:val="35D37A1A"/>
    <w:rsid w:val="35D505D5"/>
    <w:rsid w:val="35D629F5"/>
    <w:rsid w:val="35F66AB0"/>
    <w:rsid w:val="35F70337"/>
    <w:rsid w:val="35FA386B"/>
    <w:rsid w:val="36005014"/>
    <w:rsid w:val="36116644"/>
    <w:rsid w:val="362B3C79"/>
    <w:rsid w:val="365329C9"/>
    <w:rsid w:val="366D1C32"/>
    <w:rsid w:val="36BE3E5D"/>
    <w:rsid w:val="36C24BE4"/>
    <w:rsid w:val="36C5697A"/>
    <w:rsid w:val="3702081D"/>
    <w:rsid w:val="37033A44"/>
    <w:rsid w:val="371E359A"/>
    <w:rsid w:val="37225306"/>
    <w:rsid w:val="37227933"/>
    <w:rsid w:val="3725736F"/>
    <w:rsid w:val="377238F0"/>
    <w:rsid w:val="37735DD8"/>
    <w:rsid w:val="37B87E84"/>
    <w:rsid w:val="37BF2ED1"/>
    <w:rsid w:val="37DA0B41"/>
    <w:rsid w:val="37DD191E"/>
    <w:rsid w:val="37E515AE"/>
    <w:rsid w:val="380C7912"/>
    <w:rsid w:val="381846B4"/>
    <w:rsid w:val="38236F89"/>
    <w:rsid w:val="382D21BA"/>
    <w:rsid w:val="38377F09"/>
    <w:rsid w:val="38383D3E"/>
    <w:rsid w:val="38385EF5"/>
    <w:rsid w:val="385C2123"/>
    <w:rsid w:val="38637074"/>
    <w:rsid w:val="38697A82"/>
    <w:rsid w:val="387E180D"/>
    <w:rsid w:val="38B1249D"/>
    <w:rsid w:val="38B43A06"/>
    <w:rsid w:val="38BF212A"/>
    <w:rsid w:val="38DC599E"/>
    <w:rsid w:val="38F10CF9"/>
    <w:rsid w:val="38F664F4"/>
    <w:rsid w:val="38FF481D"/>
    <w:rsid w:val="39185737"/>
    <w:rsid w:val="39233807"/>
    <w:rsid w:val="39334BF1"/>
    <w:rsid w:val="393F72EF"/>
    <w:rsid w:val="39432FF0"/>
    <w:rsid w:val="394F5B57"/>
    <w:rsid w:val="396B5856"/>
    <w:rsid w:val="396E021D"/>
    <w:rsid w:val="39756F5A"/>
    <w:rsid w:val="39957901"/>
    <w:rsid w:val="39A9494A"/>
    <w:rsid w:val="39CB4426"/>
    <w:rsid w:val="39E6217A"/>
    <w:rsid w:val="39E972FE"/>
    <w:rsid w:val="39F3426D"/>
    <w:rsid w:val="3A027683"/>
    <w:rsid w:val="3A1120C1"/>
    <w:rsid w:val="3A1A4D37"/>
    <w:rsid w:val="3A1F06C9"/>
    <w:rsid w:val="3A46610D"/>
    <w:rsid w:val="3A5C534F"/>
    <w:rsid w:val="3A86181E"/>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EC425C"/>
    <w:rsid w:val="3C0A03A8"/>
    <w:rsid w:val="3C0E3C43"/>
    <w:rsid w:val="3C207376"/>
    <w:rsid w:val="3C26487D"/>
    <w:rsid w:val="3C2F7D87"/>
    <w:rsid w:val="3C377CDA"/>
    <w:rsid w:val="3C3B0276"/>
    <w:rsid w:val="3C485B8B"/>
    <w:rsid w:val="3C580D2F"/>
    <w:rsid w:val="3C6009E1"/>
    <w:rsid w:val="3C601127"/>
    <w:rsid w:val="3C662C8F"/>
    <w:rsid w:val="3C727FFF"/>
    <w:rsid w:val="3C7544A7"/>
    <w:rsid w:val="3C805325"/>
    <w:rsid w:val="3CB216F4"/>
    <w:rsid w:val="3CBD684B"/>
    <w:rsid w:val="3CF3591C"/>
    <w:rsid w:val="3CF63160"/>
    <w:rsid w:val="3CFE6938"/>
    <w:rsid w:val="3D010F7C"/>
    <w:rsid w:val="3D3D7634"/>
    <w:rsid w:val="3D401C1C"/>
    <w:rsid w:val="3D473543"/>
    <w:rsid w:val="3D6F3A0F"/>
    <w:rsid w:val="3D6F7EA4"/>
    <w:rsid w:val="3D7A4060"/>
    <w:rsid w:val="3D7A4B49"/>
    <w:rsid w:val="3D923A0C"/>
    <w:rsid w:val="3D9537E3"/>
    <w:rsid w:val="3D9A20BC"/>
    <w:rsid w:val="3DAE590C"/>
    <w:rsid w:val="3DC7569D"/>
    <w:rsid w:val="3DD903F7"/>
    <w:rsid w:val="3DDC249D"/>
    <w:rsid w:val="3DF40654"/>
    <w:rsid w:val="3DF83775"/>
    <w:rsid w:val="3E065C4A"/>
    <w:rsid w:val="3E2B306F"/>
    <w:rsid w:val="3E394CB4"/>
    <w:rsid w:val="3E476558"/>
    <w:rsid w:val="3E4C5014"/>
    <w:rsid w:val="3E512E53"/>
    <w:rsid w:val="3E520883"/>
    <w:rsid w:val="3E652396"/>
    <w:rsid w:val="3E7A2248"/>
    <w:rsid w:val="3E906C09"/>
    <w:rsid w:val="3EA370A9"/>
    <w:rsid w:val="3EB2415C"/>
    <w:rsid w:val="3EC568C6"/>
    <w:rsid w:val="3ECD587E"/>
    <w:rsid w:val="3EE07916"/>
    <w:rsid w:val="3EF063A7"/>
    <w:rsid w:val="3EF85B60"/>
    <w:rsid w:val="3EFF66C6"/>
    <w:rsid w:val="3F07087A"/>
    <w:rsid w:val="3F0763D8"/>
    <w:rsid w:val="3F164A3D"/>
    <w:rsid w:val="3F1B30E3"/>
    <w:rsid w:val="3F1E5052"/>
    <w:rsid w:val="3F21580C"/>
    <w:rsid w:val="3F2808C8"/>
    <w:rsid w:val="3F291D8B"/>
    <w:rsid w:val="3F3270CF"/>
    <w:rsid w:val="3F45436B"/>
    <w:rsid w:val="3F626D3A"/>
    <w:rsid w:val="3F6D2C48"/>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A05660"/>
    <w:rsid w:val="40C03776"/>
    <w:rsid w:val="40C36BE9"/>
    <w:rsid w:val="40DC2D46"/>
    <w:rsid w:val="40EF29B0"/>
    <w:rsid w:val="40F36F47"/>
    <w:rsid w:val="41181BEA"/>
    <w:rsid w:val="41231E08"/>
    <w:rsid w:val="413B58D0"/>
    <w:rsid w:val="414C0395"/>
    <w:rsid w:val="414E7502"/>
    <w:rsid w:val="41606318"/>
    <w:rsid w:val="41630D72"/>
    <w:rsid w:val="41683285"/>
    <w:rsid w:val="419F0609"/>
    <w:rsid w:val="41A67CE3"/>
    <w:rsid w:val="41A90609"/>
    <w:rsid w:val="41C55060"/>
    <w:rsid w:val="41DA68BA"/>
    <w:rsid w:val="41DC3706"/>
    <w:rsid w:val="41DF1BFB"/>
    <w:rsid w:val="41EC1C89"/>
    <w:rsid w:val="41F87F1F"/>
    <w:rsid w:val="41FA3722"/>
    <w:rsid w:val="420966BB"/>
    <w:rsid w:val="424C6C0A"/>
    <w:rsid w:val="42557E28"/>
    <w:rsid w:val="425767DC"/>
    <w:rsid w:val="425E43CE"/>
    <w:rsid w:val="42645240"/>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CE4BD3"/>
    <w:rsid w:val="43F138B1"/>
    <w:rsid w:val="43F33102"/>
    <w:rsid w:val="440C3942"/>
    <w:rsid w:val="443459F8"/>
    <w:rsid w:val="445C0661"/>
    <w:rsid w:val="44683560"/>
    <w:rsid w:val="446B594A"/>
    <w:rsid w:val="447A08AC"/>
    <w:rsid w:val="44B87F40"/>
    <w:rsid w:val="44BC4E35"/>
    <w:rsid w:val="44C86176"/>
    <w:rsid w:val="44DF2E05"/>
    <w:rsid w:val="44F90386"/>
    <w:rsid w:val="44FC5765"/>
    <w:rsid w:val="45041A1C"/>
    <w:rsid w:val="451707F1"/>
    <w:rsid w:val="452366F3"/>
    <w:rsid w:val="4534316D"/>
    <w:rsid w:val="45371EF3"/>
    <w:rsid w:val="45392618"/>
    <w:rsid w:val="45402545"/>
    <w:rsid w:val="4555414A"/>
    <w:rsid w:val="4560294A"/>
    <w:rsid w:val="45637592"/>
    <w:rsid w:val="45833FED"/>
    <w:rsid w:val="45A373E2"/>
    <w:rsid w:val="45B60AD7"/>
    <w:rsid w:val="45BE0849"/>
    <w:rsid w:val="45C2086C"/>
    <w:rsid w:val="45C225FA"/>
    <w:rsid w:val="45C239A0"/>
    <w:rsid w:val="45E76A91"/>
    <w:rsid w:val="45F730E2"/>
    <w:rsid w:val="45F804FD"/>
    <w:rsid w:val="46100BB2"/>
    <w:rsid w:val="464D66FD"/>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351FF"/>
    <w:rsid w:val="472A1C2F"/>
    <w:rsid w:val="473A7B31"/>
    <w:rsid w:val="473F2A28"/>
    <w:rsid w:val="47461C71"/>
    <w:rsid w:val="47490241"/>
    <w:rsid w:val="47522510"/>
    <w:rsid w:val="475226B7"/>
    <w:rsid w:val="476B2426"/>
    <w:rsid w:val="477B7BF9"/>
    <w:rsid w:val="478C7274"/>
    <w:rsid w:val="47975C19"/>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2052D"/>
    <w:rsid w:val="48DE105D"/>
    <w:rsid w:val="48E05F8B"/>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9F2339B"/>
    <w:rsid w:val="4A1B6B46"/>
    <w:rsid w:val="4A201680"/>
    <w:rsid w:val="4A3B4335"/>
    <w:rsid w:val="4A445061"/>
    <w:rsid w:val="4A544A27"/>
    <w:rsid w:val="4A7315C2"/>
    <w:rsid w:val="4A7D2570"/>
    <w:rsid w:val="4A86077A"/>
    <w:rsid w:val="4A9F092F"/>
    <w:rsid w:val="4AB34ACD"/>
    <w:rsid w:val="4AD40242"/>
    <w:rsid w:val="4ADA5F2B"/>
    <w:rsid w:val="4AE64A75"/>
    <w:rsid w:val="4B185C3F"/>
    <w:rsid w:val="4B2A6428"/>
    <w:rsid w:val="4B35CA88"/>
    <w:rsid w:val="4B603761"/>
    <w:rsid w:val="4B747171"/>
    <w:rsid w:val="4B767E95"/>
    <w:rsid w:val="4B7B4D7B"/>
    <w:rsid w:val="4B8450D0"/>
    <w:rsid w:val="4B871B00"/>
    <w:rsid w:val="4B964F6D"/>
    <w:rsid w:val="4B9D78B2"/>
    <w:rsid w:val="4BA00395"/>
    <w:rsid w:val="4BA16EFA"/>
    <w:rsid w:val="4BBB6E8D"/>
    <w:rsid w:val="4BC474BD"/>
    <w:rsid w:val="4BCD3735"/>
    <w:rsid w:val="4BD11AEB"/>
    <w:rsid w:val="4BD35B9A"/>
    <w:rsid w:val="4BE14B27"/>
    <w:rsid w:val="4BE20065"/>
    <w:rsid w:val="4C0112BA"/>
    <w:rsid w:val="4C0B480F"/>
    <w:rsid w:val="4C1D1C48"/>
    <w:rsid w:val="4C256F9D"/>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316B1F"/>
    <w:rsid w:val="4D336BF4"/>
    <w:rsid w:val="4D4203D5"/>
    <w:rsid w:val="4D4E1D6A"/>
    <w:rsid w:val="4D5919D7"/>
    <w:rsid w:val="4D5B161B"/>
    <w:rsid w:val="4D676599"/>
    <w:rsid w:val="4D6F3665"/>
    <w:rsid w:val="4D737DF8"/>
    <w:rsid w:val="4DA24324"/>
    <w:rsid w:val="4DAD3044"/>
    <w:rsid w:val="4DBB41D6"/>
    <w:rsid w:val="4DED1250"/>
    <w:rsid w:val="4DED5C61"/>
    <w:rsid w:val="4DF07B9B"/>
    <w:rsid w:val="4DF21B45"/>
    <w:rsid w:val="4DF41387"/>
    <w:rsid w:val="4E056021"/>
    <w:rsid w:val="4E083C63"/>
    <w:rsid w:val="4E2D1DF5"/>
    <w:rsid w:val="4E305E8F"/>
    <w:rsid w:val="4E3E6654"/>
    <w:rsid w:val="4E44189E"/>
    <w:rsid w:val="4E5616EC"/>
    <w:rsid w:val="4E5976A9"/>
    <w:rsid w:val="4E8F351A"/>
    <w:rsid w:val="4EA002DA"/>
    <w:rsid w:val="4EA12ED9"/>
    <w:rsid w:val="4EA4544E"/>
    <w:rsid w:val="4EA81D39"/>
    <w:rsid w:val="4EB642D5"/>
    <w:rsid w:val="4EC21913"/>
    <w:rsid w:val="4EE103BD"/>
    <w:rsid w:val="4F124412"/>
    <w:rsid w:val="4F141422"/>
    <w:rsid w:val="4F1E5564"/>
    <w:rsid w:val="4F2FBB1E"/>
    <w:rsid w:val="4F312180"/>
    <w:rsid w:val="4F32668A"/>
    <w:rsid w:val="4F443F90"/>
    <w:rsid w:val="4F53261D"/>
    <w:rsid w:val="4F6C1DA7"/>
    <w:rsid w:val="4F72007F"/>
    <w:rsid w:val="4F74161A"/>
    <w:rsid w:val="4F793519"/>
    <w:rsid w:val="4F7A15B8"/>
    <w:rsid w:val="4F7B14BC"/>
    <w:rsid w:val="4F924F20"/>
    <w:rsid w:val="4F9325A6"/>
    <w:rsid w:val="4FE54CF8"/>
    <w:rsid w:val="4FEC6F37"/>
    <w:rsid w:val="50045E65"/>
    <w:rsid w:val="5013205A"/>
    <w:rsid w:val="50376A42"/>
    <w:rsid w:val="50504BEF"/>
    <w:rsid w:val="505D2EAC"/>
    <w:rsid w:val="506928E4"/>
    <w:rsid w:val="507956C4"/>
    <w:rsid w:val="507B1B23"/>
    <w:rsid w:val="5094661F"/>
    <w:rsid w:val="50987566"/>
    <w:rsid w:val="509A45D8"/>
    <w:rsid w:val="509D3DAA"/>
    <w:rsid w:val="50A24C75"/>
    <w:rsid w:val="50B40124"/>
    <w:rsid w:val="50BF6984"/>
    <w:rsid w:val="50C80BE8"/>
    <w:rsid w:val="50D74521"/>
    <w:rsid w:val="50DB17A5"/>
    <w:rsid w:val="50E35A2B"/>
    <w:rsid w:val="50E74AF8"/>
    <w:rsid w:val="51060C86"/>
    <w:rsid w:val="510E2C37"/>
    <w:rsid w:val="511A2EB4"/>
    <w:rsid w:val="51260B39"/>
    <w:rsid w:val="5144471C"/>
    <w:rsid w:val="514914C0"/>
    <w:rsid w:val="514F1ACC"/>
    <w:rsid w:val="51660DAD"/>
    <w:rsid w:val="51675070"/>
    <w:rsid w:val="51826465"/>
    <w:rsid w:val="51D07209"/>
    <w:rsid w:val="51E0195A"/>
    <w:rsid w:val="51ED28DB"/>
    <w:rsid w:val="51EF337D"/>
    <w:rsid w:val="51FA5962"/>
    <w:rsid w:val="52017789"/>
    <w:rsid w:val="52056DEF"/>
    <w:rsid w:val="520E3099"/>
    <w:rsid w:val="52234FCD"/>
    <w:rsid w:val="52274682"/>
    <w:rsid w:val="522E2CD6"/>
    <w:rsid w:val="52304CA0"/>
    <w:rsid w:val="52485DB3"/>
    <w:rsid w:val="52775D30"/>
    <w:rsid w:val="527F119D"/>
    <w:rsid w:val="52944F27"/>
    <w:rsid w:val="529A179A"/>
    <w:rsid w:val="52F83C37"/>
    <w:rsid w:val="53505617"/>
    <w:rsid w:val="535F2EBB"/>
    <w:rsid w:val="53610DA9"/>
    <w:rsid w:val="53796226"/>
    <w:rsid w:val="539406C4"/>
    <w:rsid w:val="539F3A83"/>
    <w:rsid w:val="539F6178"/>
    <w:rsid w:val="53B67728"/>
    <w:rsid w:val="53B92BED"/>
    <w:rsid w:val="53C03E02"/>
    <w:rsid w:val="53CD67D4"/>
    <w:rsid w:val="53DC1DC4"/>
    <w:rsid w:val="53DF065D"/>
    <w:rsid w:val="53E26D38"/>
    <w:rsid w:val="53EE12F5"/>
    <w:rsid w:val="53EF7165"/>
    <w:rsid w:val="53F4497D"/>
    <w:rsid w:val="53FF2B7C"/>
    <w:rsid w:val="541F5701"/>
    <w:rsid w:val="54232489"/>
    <w:rsid w:val="543C3113"/>
    <w:rsid w:val="545B74F3"/>
    <w:rsid w:val="54620F12"/>
    <w:rsid w:val="546B4F37"/>
    <w:rsid w:val="547005D8"/>
    <w:rsid w:val="54711D95"/>
    <w:rsid w:val="54785A5E"/>
    <w:rsid w:val="54897774"/>
    <w:rsid w:val="549160F4"/>
    <w:rsid w:val="549C7AAA"/>
    <w:rsid w:val="549F7EBB"/>
    <w:rsid w:val="54C969A0"/>
    <w:rsid w:val="54E16D76"/>
    <w:rsid w:val="54F3439D"/>
    <w:rsid w:val="55083CB2"/>
    <w:rsid w:val="550E5E99"/>
    <w:rsid w:val="551E59F9"/>
    <w:rsid w:val="552407A3"/>
    <w:rsid w:val="552433F4"/>
    <w:rsid w:val="55256E5C"/>
    <w:rsid w:val="552E30A9"/>
    <w:rsid w:val="553050B0"/>
    <w:rsid w:val="554274DF"/>
    <w:rsid w:val="554E0741"/>
    <w:rsid w:val="555472DE"/>
    <w:rsid w:val="555B3055"/>
    <w:rsid w:val="555D3D8A"/>
    <w:rsid w:val="5584518E"/>
    <w:rsid w:val="558D41B7"/>
    <w:rsid w:val="559612BE"/>
    <w:rsid w:val="559A2923"/>
    <w:rsid w:val="559A3AFF"/>
    <w:rsid w:val="55A5242C"/>
    <w:rsid w:val="55B56D01"/>
    <w:rsid w:val="55B82B9F"/>
    <w:rsid w:val="55D63B38"/>
    <w:rsid w:val="55DD1092"/>
    <w:rsid w:val="55DD5DA9"/>
    <w:rsid w:val="55E41B6A"/>
    <w:rsid w:val="55F263E2"/>
    <w:rsid w:val="55F50805"/>
    <w:rsid w:val="561F0C3E"/>
    <w:rsid w:val="562F597A"/>
    <w:rsid w:val="56383DC9"/>
    <w:rsid w:val="563927A9"/>
    <w:rsid w:val="564E1B99"/>
    <w:rsid w:val="56575D4A"/>
    <w:rsid w:val="56676AEF"/>
    <w:rsid w:val="567710EF"/>
    <w:rsid w:val="56863171"/>
    <w:rsid w:val="56916559"/>
    <w:rsid w:val="56952EFD"/>
    <w:rsid w:val="56953069"/>
    <w:rsid w:val="569B61BE"/>
    <w:rsid w:val="56A81A8F"/>
    <w:rsid w:val="56C30FD1"/>
    <w:rsid w:val="56C337D5"/>
    <w:rsid w:val="56CF6FE9"/>
    <w:rsid w:val="56DF1078"/>
    <w:rsid w:val="56F86DD6"/>
    <w:rsid w:val="56FD166E"/>
    <w:rsid w:val="56FD3863"/>
    <w:rsid w:val="5703501E"/>
    <w:rsid w:val="570A3D11"/>
    <w:rsid w:val="573F71E7"/>
    <w:rsid w:val="57487D48"/>
    <w:rsid w:val="57593E38"/>
    <w:rsid w:val="575B7AEE"/>
    <w:rsid w:val="5760193C"/>
    <w:rsid w:val="57625063"/>
    <w:rsid w:val="57723665"/>
    <w:rsid w:val="577E64AD"/>
    <w:rsid w:val="57812E00"/>
    <w:rsid w:val="57902273"/>
    <w:rsid w:val="579A2606"/>
    <w:rsid w:val="57A66A82"/>
    <w:rsid w:val="57BE4AFC"/>
    <w:rsid w:val="57C04E19"/>
    <w:rsid w:val="57D51C25"/>
    <w:rsid w:val="57DD0A64"/>
    <w:rsid w:val="585B6D7A"/>
    <w:rsid w:val="58617D01"/>
    <w:rsid w:val="58743E37"/>
    <w:rsid w:val="58923EA6"/>
    <w:rsid w:val="589715D5"/>
    <w:rsid w:val="589B7F70"/>
    <w:rsid w:val="58A77395"/>
    <w:rsid w:val="58AC3D5C"/>
    <w:rsid w:val="58D83DD1"/>
    <w:rsid w:val="58DB2FF0"/>
    <w:rsid w:val="58DF0893"/>
    <w:rsid w:val="58E85C6B"/>
    <w:rsid w:val="58EA6137"/>
    <w:rsid w:val="58F23C38"/>
    <w:rsid w:val="58F56DA5"/>
    <w:rsid w:val="590D718C"/>
    <w:rsid w:val="591C7D2C"/>
    <w:rsid w:val="592340EB"/>
    <w:rsid w:val="593311DC"/>
    <w:rsid w:val="5975259B"/>
    <w:rsid w:val="599B4D8A"/>
    <w:rsid w:val="59AF0C8F"/>
    <w:rsid w:val="59EA4ACE"/>
    <w:rsid w:val="5A0E2BFB"/>
    <w:rsid w:val="5A142D37"/>
    <w:rsid w:val="5A144EA7"/>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313C24"/>
    <w:rsid w:val="5D402CB9"/>
    <w:rsid w:val="5D48660D"/>
    <w:rsid w:val="5D6469BA"/>
    <w:rsid w:val="5D816133"/>
    <w:rsid w:val="5D96002C"/>
    <w:rsid w:val="5D9B5A4A"/>
    <w:rsid w:val="5D9E3B68"/>
    <w:rsid w:val="5DB74FEB"/>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9F5C7"/>
    <w:rsid w:val="5FFE35E1"/>
    <w:rsid w:val="601E6760"/>
    <w:rsid w:val="6047069C"/>
    <w:rsid w:val="6049667C"/>
    <w:rsid w:val="60577B63"/>
    <w:rsid w:val="605D6288"/>
    <w:rsid w:val="608E7761"/>
    <w:rsid w:val="60927FE6"/>
    <w:rsid w:val="609F1058"/>
    <w:rsid w:val="60AE49C0"/>
    <w:rsid w:val="60B007A2"/>
    <w:rsid w:val="60BC7E32"/>
    <w:rsid w:val="60CF0BDA"/>
    <w:rsid w:val="60D51BC6"/>
    <w:rsid w:val="60EC6C65"/>
    <w:rsid w:val="60EF129E"/>
    <w:rsid w:val="610703E7"/>
    <w:rsid w:val="610942A3"/>
    <w:rsid w:val="611A36A1"/>
    <w:rsid w:val="6126627C"/>
    <w:rsid w:val="613D18B9"/>
    <w:rsid w:val="61433767"/>
    <w:rsid w:val="614C6677"/>
    <w:rsid w:val="61944392"/>
    <w:rsid w:val="619F62BB"/>
    <w:rsid w:val="61AF4F12"/>
    <w:rsid w:val="61B139E9"/>
    <w:rsid w:val="61B30D6E"/>
    <w:rsid w:val="61E626B5"/>
    <w:rsid w:val="61F6319D"/>
    <w:rsid w:val="61FB346D"/>
    <w:rsid w:val="6201768D"/>
    <w:rsid w:val="62046588"/>
    <w:rsid w:val="62152DE0"/>
    <w:rsid w:val="621A60BA"/>
    <w:rsid w:val="622758AC"/>
    <w:rsid w:val="624F1172"/>
    <w:rsid w:val="625135B1"/>
    <w:rsid w:val="62747A3D"/>
    <w:rsid w:val="628B4387"/>
    <w:rsid w:val="629E3798"/>
    <w:rsid w:val="62A7041D"/>
    <w:rsid w:val="62BA2B36"/>
    <w:rsid w:val="62C23A3B"/>
    <w:rsid w:val="62E1204D"/>
    <w:rsid w:val="62ED7301"/>
    <w:rsid w:val="630730C7"/>
    <w:rsid w:val="6310387B"/>
    <w:rsid w:val="63121ACA"/>
    <w:rsid w:val="63247994"/>
    <w:rsid w:val="63691809"/>
    <w:rsid w:val="637B0CEA"/>
    <w:rsid w:val="638E648F"/>
    <w:rsid w:val="63A7460D"/>
    <w:rsid w:val="63D11E16"/>
    <w:rsid w:val="63D12A9E"/>
    <w:rsid w:val="63D14A1D"/>
    <w:rsid w:val="63E654CA"/>
    <w:rsid w:val="63E928BD"/>
    <w:rsid w:val="63F012B1"/>
    <w:rsid w:val="63F8696A"/>
    <w:rsid w:val="641E24E4"/>
    <w:rsid w:val="64316908"/>
    <w:rsid w:val="644274C5"/>
    <w:rsid w:val="645341FF"/>
    <w:rsid w:val="6456713A"/>
    <w:rsid w:val="646D6694"/>
    <w:rsid w:val="64872E45"/>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04F5A"/>
    <w:rsid w:val="65920347"/>
    <w:rsid w:val="65EA5E34"/>
    <w:rsid w:val="65FC4B34"/>
    <w:rsid w:val="66000869"/>
    <w:rsid w:val="66092EF7"/>
    <w:rsid w:val="6616520B"/>
    <w:rsid w:val="66274345"/>
    <w:rsid w:val="66376B17"/>
    <w:rsid w:val="664621FE"/>
    <w:rsid w:val="665F7929"/>
    <w:rsid w:val="66640801"/>
    <w:rsid w:val="667878EE"/>
    <w:rsid w:val="66815672"/>
    <w:rsid w:val="668876B0"/>
    <w:rsid w:val="668926A2"/>
    <w:rsid w:val="66930427"/>
    <w:rsid w:val="669E782C"/>
    <w:rsid w:val="66A73B58"/>
    <w:rsid w:val="66B41026"/>
    <w:rsid w:val="66C1556A"/>
    <w:rsid w:val="66F308D8"/>
    <w:rsid w:val="67024DD6"/>
    <w:rsid w:val="6715113E"/>
    <w:rsid w:val="67301B85"/>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950B21"/>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370F8"/>
    <w:rsid w:val="693910C9"/>
    <w:rsid w:val="693B6262"/>
    <w:rsid w:val="6949721C"/>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C7C71"/>
    <w:rsid w:val="6A861A5C"/>
    <w:rsid w:val="6A9C494F"/>
    <w:rsid w:val="6AC94753"/>
    <w:rsid w:val="6ACE0F8A"/>
    <w:rsid w:val="6AD863F4"/>
    <w:rsid w:val="6ADF1F02"/>
    <w:rsid w:val="6AE01F43"/>
    <w:rsid w:val="6AE663EC"/>
    <w:rsid w:val="6AEA61BC"/>
    <w:rsid w:val="6AEB77F4"/>
    <w:rsid w:val="6AF2325E"/>
    <w:rsid w:val="6AF8446A"/>
    <w:rsid w:val="6B2F472F"/>
    <w:rsid w:val="6B547D9C"/>
    <w:rsid w:val="6B7D3886"/>
    <w:rsid w:val="6B804E6F"/>
    <w:rsid w:val="6B884D1B"/>
    <w:rsid w:val="6B9B71D6"/>
    <w:rsid w:val="6B9F218D"/>
    <w:rsid w:val="6BA53801"/>
    <w:rsid w:val="6BCD255C"/>
    <w:rsid w:val="6BD35BB1"/>
    <w:rsid w:val="6BE1394E"/>
    <w:rsid w:val="6C387E59"/>
    <w:rsid w:val="6C5B5A67"/>
    <w:rsid w:val="6C705245"/>
    <w:rsid w:val="6C7B1437"/>
    <w:rsid w:val="6C8625DB"/>
    <w:rsid w:val="6C866B30"/>
    <w:rsid w:val="6C9A12DE"/>
    <w:rsid w:val="6C9C4351"/>
    <w:rsid w:val="6C9E7C0C"/>
    <w:rsid w:val="6CED3D9E"/>
    <w:rsid w:val="6D2428B6"/>
    <w:rsid w:val="6D4838E0"/>
    <w:rsid w:val="6D643EB4"/>
    <w:rsid w:val="6D6D347A"/>
    <w:rsid w:val="6D6E5977"/>
    <w:rsid w:val="6D703943"/>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5C30E1"/>
    <w:rsid w:val="6E6B5A3C"/>
    <w:rsid w:val="6E731AD6"/>
    <w:rsid w:val="6E944B83"/>
    <w:rsid w:val="6E9C37E3"/>
    <w:rsid w:val="6E9F4D96"/>
    <w:rsid w:val="6EDA4C28"/>
    <w:rsid w:val="6EF07839"/>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74D0B"/>
    <w:rsid w:val="6F9D4EAA"/>
    <w:rsid w:val="6FBC36FE"/>
    <w:rsid w:val="6FC0545D"/>
    <w:rsid w:val="6FF628E9"/>
    <w:rsid w:val="700D1198"/>
    <w:rsid w:val="70161AAC"/>
    <w:rsid w:val="701B21DD"/>
    <w:rsid w:val="701F1FF4"/>
    <w:rsid w:val="7025469B"/>
    <w:rsid w:val="70346D04"/>
    <w:rsid w:val="70432E4B"/>
    <w:rsid w:val="705545FE"/>
    <w:rsid w:val="70586F9C"/>
    <w:rsid w:val="708159DE"/>
    <w:rsid w:val="708D23D2"/>
    <w:rsid w:val="70AA67F9"/>
    <w:rsid w:val="70BB2D6B"/>
    <w:rsid w:val="70E433CD"/>
    <w:rsid w:val="70F25AEA"/>
    <w:rsid w:val="710260FA"/>
    <w:rsid w:val="710B293A"/>
    <w:rsid w:val="71124B74"/>
    <w:rsid w:val="713069E7"/>
    <w:rsid w:val="71431EA2"/>
    <w:rsid w:val="71476952"/>
    <w:rsid w:val="716112E1"/>
    <w:rsid w:val="71856D0C"/>
    <w:rsid w:val="71881FAB"/>
    <w:rsid w:val="71900427"/>
    <w:rsid w:val="7197797C"/>
    <w:rsid w:val="71990363"/>
    <w:rsid w:val="71B30207"/>
    <w:rsid w:val="71B30FF0"/>
    <w:rsid w:val="71CA611F"/>
    <w:rsid w:val="71D075FE"/>
    <w:rsid w:val="71EC4AFB"/>
    <w:rsid w:val="71EF3819"/>
    <w:rsid w:val="71FF35FA"/>
    <w:rsid w:val="720154B6"/>
    <w:rsid w:val="72020261"/>
    <w:rsid w:val="72064B2D"/>
    <w:rsid w:val="72146D0A"/>
    <w:rsid w:val="721F4D5E"/>
    <w:rsid w:val="72284EAE"/>
    <w:rsid w:val="723B1E5C"/>
    <w:rsid w:val="723B5E0C"/>
    <w:rsid w:val="72404382"/>
    <w:rsid w:val="72471037"/>
    <w:rsid w:val="72507D09"/>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77C79"/>
    <w:rsid w:val="745B748A"/>
    <w:rsid w:val="746A5CE0"/>
    <w:rsid w:val="748C4463"/>
    <w:rsid w:val="748F4A0F"/>
    <w:rsid w:val="74A80B8B"/>
    <w:rsid w:val="74AB224A"/>
    <w:rsid w:val="74AC3AD6"/>
    <w:rsid w:val="74AD4E9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AD2553"/>
    <w:rsid w:val="75B143AB"/>
    <w:rsid w:val="75C17885"/>
    <w:rsid w:val="75E96D9A"/>
    <w:rsid w:val="75FB6DC0"/>
    <w:rsid w:val="75FC57C0"/>
    <w:rsid w:val="761E6A3A"/>
    <w:rsid w:val="764667C5"/>
    <w:rsid w:val="76486300"/>
    <w:rsid w:val="76612E69"/>
    <w:rsid w:val="766457E1"/>
    <w:rsid w:val="76646708"/>
    <w:rsid w:val="76654879"/>
    <w:rsid w:val="76822D80"/>
    <w:rsid w:val="76884062"/>
    <w:rsid w:val="76A9541B"/>
    <w:rsid w:val="76B727A1"/>
    <w:rsid w:val="76BF6794"/>
    <w:rsid w:val="76D572EE"/>
    <w:rsid w:val="76D72C36"/>
    <w:rsid w:val="76E530E0"/>
    <w:rsid w:val="771C0673"/>
    <w:rsid w:val="773120B7"/>
    <w:rsid w:val="7737735C"/>
    <w:rsid w:val="773C09D1"/>
    <w:rsid w:val="774424D0"/>
    <w:rsid w:val="7758241F"/>
    <w:rsid w:val="77641BAA"/>
    <w:rsid w:val="77993045"/>
    <w:rsid w:val="77A80638"/>
    <w:rsid w:val="77C465EB"/>
    <w:rsid w:val="77C47BFC"/>
    <w:rsid w:val="77D5581E"/>
    <w:rsid w:val="77F51A1C"/>
    <w:rsid w:val="78085BF3"/>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2047B4"/>
    <w:rsid w:val="79454CB6"/>
    <w:rsid w:val="795C61F7"/>
    <w:rsid w:val="795F466D"/>
    <w:rsid w:val="79634262"/>
    <w:rsid w:val="797414BE"/>
    <w:rsid w:val="79970A37"/>
    <w:rsid w:val="79A869D1"/>
    <w:rsid w:val="79AE45E4"/>
    <w:rsid w:val="79AE5B25"/>
    <w:rsid w:val="79B547E6"/>
    <w:rsid w:val="79C169DE"/>
    <w:rsid w:val="79E27FCF"/>
    <w:rsid w:val="79E727AB"/>
    <w:rsid w:val="7A000CE6"/>
    <w:rsid w:val="7A0A7936"/>
    <w:rsid w:val="7A135964"/>
    <w:rsid w:val="7A1A3230"/>
    <w:rsid w:val="7A3270EA"/>
    <w:rsid w:val="7A484C7B"/>
    <w:rsid w:val="7A5D7C7C"/>
    <w:rsid w:val="7A664E79"/>
    <w:rsid w:val="7A6A2D6F"/>
    <w:rsid w:val="7A76196C"/>
    <w:rsid w:val="7A907EB4"/>
    <w:rsid w:val="7A925C48"/>
    <w:rsid w:val="7AAC0E92"/>
    <w:rsid w:val="7AB04670"/>
    <w:rsid w:val="7AB2517C"/>
    <w:rsid w:val="7AC64CC7"/>
    <w:rsid w:val="7AD03E18"/>
    <w:rsid w:val="7AD832B8"/>
    <w:rsid w:val="7AFF4DAE"/>
    <w:rsid w:val="7B04158A"/>
    <w:rsid w:val="7B051B2F"/>
    <w:rsid w:val="7B0F352B"/>
    <w:rsid w:val="7B1A0118"/>
    <w:rsid w:val="7B220E2F"/>
    <w:rsid w:val="7B274114"/>
    <w:rsid w:val="7B340A01"/>
    <w:rsid w:val="7B36744F"/>
    <w:rsid w:val="7B4F5C3D"/>
    <w:rsid w:val="7B754522"/>
    <w:rsid w:val="7B79358D"/>
    <w:rsid w:val="7B9513BF"/>
    <w:rsid w:val="7BA137EB"/>
    <w:rsid w:val="7BA778D5"/>
    <w:rsid w:val="7BC8224F"/>
    <w:rsid w:val="7BCC4096"/>
    <w:rsid w:val="7BD8593A"/>
    <w:rsid w:val="7BFBBFC0"/>
    <w:rsid w:val="7C041B40"/>
    <w:rsid w:val="7C042B76"/>
    <w:rsid w:val="7C044E19"/>
    <w:rsid w:val="7C092D60"/>
    <w:rsid w:val="7C0A5FBE"/>
    <w:rsid w:val="7C0F7F8B"/>
    <w:rsid w:val="7C3D07C3"/>
    <w:rsid w:val="7C512703"/>
    <w:rsid w:val="7C5151E9"/>
    <w:rsid w:val="7C5D7BDC"/>
    <w:rsid w:val="7C5F6A31"/>
    <w:rsid w:val="7C701FB9"/>
    <w:rsid w:val="7C741461"/>
    <w:rsid w:val="7C7B1236"/>
    <w:rsid w:val="7C8617DD"/>
    <w:rsid w:val="7C924CC6"/>
    <w:rsid w:val="7C9528A4"/>
    <w:rsid w:val="7C9F70CD"/>
    <w:rsid w:val="7CE51EBE"/>
    <w:rsid w:val="7CE85FF3"/>
    <w:rsid w:val="7D003EF5"/>
    <w:rsid w:val="7D1F55E6"/>
    <w:rsid w:val="7D2237C4"/>
    <w:rsid w:val="7D3B060D"/>
    <w:rsid w:val="7D5E4EA5"/>
    <w:rsid w:val="7D6304C0"/>
    <w:rsid w:val="7D711B45"/>
    <w:rsid w:val="7D734A9C"/>
    <w:rsid w:val="7D7B252F"/>
    <w:rsid w:val="7D8121D3"/>
    <w:rsid w:val="7D9F78FE"/>
    <w:rsid w:val="7DB41072"/>
    <w:rsid w:val="7DB44500"/>
    <w:rsid w:val="7DC44934"/>
    <w:rsid w:val="7DC9331A"/>
    <w:rsid w:val="7DDA0B16"/>
    <w:rsid w:val="7DE60785"/>
    <w:rsid w:val="7DF17F93"/>
    <w:rsid w:val="7E001458"/>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D76320"/>
    <w:rsid w:val="7EF426FE"/>
    <w:rsid w:val="7EF71AC3"/>
    <w:rsid w:val="7F2430A7"/>
    <w:rsid w:val="7F334B56"/>
    <w:rsid w:val="7F335D39"/>
    <w:rsid w:val="7F3A7638"/>
    <w:rsid w:val="7F41056D"/>
    <w:rsid w:val="7F6D1B1B"/>
    <w:rsid w:val="7F883B53"/>
    <w:rsid w:val="7F8C5FCC"/>
    <w:rsid w:val="7F9B4AC3"/>
    <w:rsid w:val="7FA455ED"/>
    <w:rsid w:val="7FBB6D75"/>
    <w:rsid w:val="7FBF1BCD"/>
    <w:rsid w:val="7FC339DC"/>
    <w:rsid w:val="7FCE09C9"/>
    <w:rsid w:val="7FF84060"/>
    <w:rsid w:val="8FEDB9A7"/>
    <w:rsid w:val="9EBB360D"/>
    <w:rsid w:val="9F7DB71E"/>
    <w:rsid w:val="BF5FE192"/>
    <w:rsid w:val="BFAFD970"/>
    <w:rsid w:val="D5D9E5C7"/>
    <w:rsid w:val="D725A8FE"/>
    <w:rsid w:val="DAFB3086"/>
    <w:rsid w:val="E74FCAD3"/>
    <w:rsid w:val="EDEF7901"/>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5"/>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6"/>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7"/>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8"/>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9"/>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60"/>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61"/>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2"/>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3"/>
    <w:unhideWhenUsed/>
    <w:qFormat/>
    <w:uiPriority w:val="9"/>
    <w:pPr>
      <w:keepNext/>
      <w:keepLines/>
      <w:spacing w:before="32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macro"/>
    <w:link w:val="213"/>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qFormat/>
    <w:uiPriority w:val="0"/>
    <w:rPr>
      <w:rFonts w:ascii="楷体_GB2312" w:hAnsi="Arial" w:eastAsia="楷体_GB2312"/>
      <w:sz w:val="28"/>
    </w:rPr>
  </w:style>
  <w:style w:type="paragraph" w:styleId="19">
    <w:name w:val="annotation text"/>
    <w:basedOn w:val="1"/>
    <w:link w:val="228"/>
    <w:qFormat/>
    <w:uiPriority w:val="99"/>
    <w:rPr>
      <w:rFonts w:ascii="Calibri" w:hAnsi="Calibri"/>
    </w:rPr>
  </w:style>
  <w:style w:type="paragraph" w:styleId="20">
    <w:name w:val="Body Text Indent"/>
    <w:basedOn w:val="1"/>
    <w:next w:val="18"/>
    <w:link w:val="209"/>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12"/>
    <w:semiHidden/>
    <w:unhideWhenUsed/>
    <w:qFormat/>
    <w:uiPriority w:val="99"/>
    <w:pPr>
      <w:spacing w:after="0" w:line="240" w:lineRule="auto"/>
    </w:pPr>
    <w:rPr>
      <w:sz w:val="18"/>
      <w:szCs w:val="18"/>
    </w:rPr>
  </w:style>
  <w:style w:type="paragraph" w:styleId="28">
    <w:name w:val="footer"/>
    <w:basedOn w:val="1"/>
    <w:link w:val="72"/>
    <w:unhideWhenUsed/>
    <w:qFormat/>
    <w:uiPriority w:val="99"/>
    <w:pPr>
      <w:tabs>
        <w:tab w:val="center" w:pos="7143"/>
        <w:tab w:val="right" w:pos="14287"/>
      </w:tabs>
      <w:spacing w:after="0" w:line="240" w:lineRule="auto"/>
    </w:pPr>
  </w:style>
  <w:style w:type="paragraph" w:styleId="29">
    <w:name w:val="envelope return"/>
    <w:basedOn w:val="1"/>
    <w:qFormat/>
    <w:uiPriority w:val="0"/>
    <w:pPr>
      <w:snapToGrid w:val="0"/>
    </w:pPr>
    <w:rPr>
      <w:rFonts w:ascii="Arial" w:hAnsi="Arial" w:cs="Arial"/>
      <w:szCs w:val="20"/>
    </w:rPr>
  </w:style>
  <w:style w:type="paragraph" w:styleId="30">
    <w:name w:val="header"/>
    <w:basedOn w:val="1"/>
    <w:link w:val="70"/>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5"/>
    <w:qFormat/>
    <w:uiPriority w:val="11"/>
    <w:pPr>
      <w:spacing w:before="200"/>
    </w:pPr>
    <w:rPr>
      <w:sz w:val="24"/>
      <w:szCs w:val="24"/>
    </w:rPr>
  </w:style>
  <w:style w:type="paragraph" w:styleId="34">
    <w:name w:val="footnote text"/>
    <w:basedOn w:val="1"/>
    <w:link w:val="198"/>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4"/>
    <w:qFormat/>
    <w:uiPriority w:val="10"/>
    <w:pPr>
      <w:spacing w:before="300"/>
      <w:contextualSpacing/>
    </w:pPr>
    <w:rPr>
      <w:sz w:val="48"/>
      <w:szCs w:val="48"/>
    </w:rPr>
  </w:style>
  <w:style w:type="paragraph" w:styleId="42">
    <w:name w:val="annotation subject"/>
    <w:basedOn w:val="19"/>
    <w:next w:val="19"/>
    <w:link w:val="229"/>
    <w:semiHidden/>
    <w:unhideWhenUsed/>
    <w:qFormat/>
    <w:uiPriority w:val="99"/>
    <w:rPr>
      <w:rFonts w:asciiTheme="minorHAnsi" w:hAnsiTheme="minorHAnsi"/>
      <w:b/>
      <w:bCs/>
    </w:rPr>
  </w:style>
  <w:style w:type="paragraph" w:styleId="43">
    <w:name w:val="Body Text First Indent"/>
    <w:basedOn w:val="1"/>
    <w:next w:val="1"/>
    <w:qFormat/>
    <w:uiPriority w:val="0"/>
    <w:pPr>
      <w:spacing w:after="120"/>
      <w:ind w:firstLine="420"/>
    </w:pPr>
    <w:rPr>
      <w:rFonts w:ascii="Tahoma" w:hAnsi="Tahoma" w:eastAsia="Times New Roman"/>
    </w:rPr>
  </w:style>
  <w:style w:type="paragraph" w:styleId="44">
    <w:name w:val="Body Text First Indent 2"/>
    <w:basedOn w:val="20"/>
    <w:unhideWhenUsed/>
    <w:qFormat/>
    <w:uiPriority w:val="0"/>
    <w:pPr>
      <w:ind w:firstLine="420"/>
    </w:pPr>
    <w:rPr>
      <w:rFonts w:ascii="Times New Roman"/>
      <w:sz w:val="24"/>
      <w:szCs w:val="24"/>
    </w:r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22"/>
    <w:rPr>
      <w:b/>
    </w:rPr>
  </w:style>
  <w:style w:type="character" w:styleId="49">
    <w:name w:val="endnote reference"/>
    <w:semiHidden/>
    <w:unhideWhenUsed/>
    <w:qFormat/>
    <w:uiPriority w:val="99"/>
    <w:rPr>
      <w:vertAlign w:val="superscript"/>
    </w:rPr>
  </w:style>
  <w:style w:type="character" w:styleId="50">
    <w:name w:val="Emphasis"/>
    <w:basedOn w:val="47"/>
    <w:qFormat/>
    <w:uiPriority w:val="0"/>
    <w:rPr>
      <w:i/>
    </w:rPr>
  </w:style>
  <w:style w:type="character" w:styleId="51">
    <w:name w:val="Hyperlink"/>
    <w:unhideWhenUsed/>
    <w:qFormat/>
    <w:uiPriority w:val="99"/>
    <w:rPr>
      <w:color w:val="0563C1" w:themeColor="hyperlink"/>
      <w:u w:val="single"/>
      <w14:textFill>
        <w14:solidFill>
          <w14:schemeClr w14:val="hlink"/>
        </w14:solidFill>
      </w14:textFill>
    </w:rPr>
  </w:style>
  <w:style w:type="character" w:styleId="52">
    <w:name w:val="annotation reference"/>
    <w:basedOn w:val="47"/>
    <w:semiHidden/>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5">
    <w:name w:val="标题 1 字符"/>
    <w:link w:val="3"/>
    <w:qFormat/>
    <w:uiPriority w:val="9"/>
    <w:rPr>
      <w:rFonts w:ascii="Arial" w:hAnsi="Arial" w:eastAsia="Arial" w:cs="Arial"/>
      <w:sz w:val="40"/>
      <w:szCs w:val="40"/>
    </w:rPr>
  </w:style>
  <w:style w:type="character" w:customStyle="1" w:styleId="56">
    <w:name w:val="标题 2 字符"/>
    <w:link w:val="4"/>
    <w:qFormat/>
    <w:uiPriority w:val="9"/>
    <w:rPr>
      <w:rFonts w:ascii="Arial" w:hAnsi="Arial" w:eastAsia="Arial" w:cs="Arial"/>
      <w:sz w:val="34"/>
    </w:rPr>
  </w:style>
  <w:style w:type="character" w:customStyle="1" w:styleId="57">
    <w:name w:val="标题 3 字符"/>
    <w:link w:val="5"/>
    <w:qFormat/>
    <w:uiPriority w:val="9"/>
    <w:rPr>
      <w:rFonts w:ascii="Arial" w:hAnsi="Arial" w:eastAsia="Arial" w:cs="Arial"/>
      <w:sz w:val="30"/>
      <w:szCs w:val="30"/>
    </w:rPr>
  </w:style>
  <w:style w:type="character" w:customStyle="1" w:styleId="58">
    <w:name w:val="标题 4 字符"/>
    <w:link w:val="6"/>
    <w:qFormat/>
    <w:uiPriority w:val="9"/>
    <w:rPr>
      <w:rFonts w:ascii="Arial" w:hAnsi="Arial" w:eastAsia="Arial" w:cs="Arial"/>
      <w:b/>
      <w:bCs/>
      <w:sz w:val="26"/>
      <w:szCs w:val="26"/>
    </w:rPr>
  </w:style>
  <w:style w:type="character" w:customStyle="1" w:styleId="59">
    <w:name w:val="标题 5 字符"/>
    <w:link w:val="7"/>
    <w:qFormat/>
    <w:uiPriority w:val="9"/>
    <w:rPr>
      <w:rFonts w:ascii="Arial" w:hAnsi="Arial" w:eastAsia="Arial" w:cs="Arial"/>
      <w:b/>
      <w:bCs/>
      <w:sz w:val="24"/>
      <w:szCs w:val="24"/>
    </w:rPr>
  </w:style>
  <w:style w:type="character" w:customStyle="1" w:styleId="60">
    <w:name w:val="标题 6 字符"/>
    <w:link w:val="8"/>
    <w:qFormat/>
    <w:uiPriority w:val="9"/>
    <w:rPr>
      <w:rFonts w:ascii="Arial" w:hAnsi="Arial" w:eastAsia="Arial" w:cs="Arial"/>
      <w:b/>
      <w:bCs/>
      <w:sz w:val="22"/>
      <w:szCs w:val="22"/>
    </w:rPr>
  </w:style>
  <w:style w:type="character" w:customStyle="1" w:styleId="61">
    <w:name w:val="标题 7 字符"/>
    <w:link w:val="9"/>
    <w:qFormat/>
    <w:uiPriority w:val="9"/>
    <w:rPr>
      <w:rFonts w:ascii="Arial" w:hAnsi="Arial" w:eastAsia="Arial" w:cs="Arial"/>
      <w:b/>
      <w:bCs/>
      <w:i/>
      <w:iCs/>
      <w:sz w:val="22"/>
      <w:szCs w:val="22"/>
    </w:rPr>
  </w:style>
  <w:style w:type="character" w:customStyle="1" w:styleId="62">
    <w:name w:val="标题 8 字符"/>
    <w:link w:val="10"/>
    <w:qFormat/>
    <w:uiPriority w:val="9"/>
    <w:rPr>
      <w:rFonts w:ascii="Arial" w:hAnsi="Arial" w:eastAsia="Arial" w:cs="Arial"/>
      <w:i/>
      <w:iCs/>
      <w:sz w:val="22"/>
      <w:szCs w:val="22"/>
    </w:rPr>
  </w:style>
  <w:style w:type="character" w:customStyle="1" w:styleId="63">
    <w:name w:val="标题 9 字符"/>
    <w:link w:val="11"/>
    <w:qFormat/>
    <w:uiPriority w:val="9"/>
    <w:rPr>
      <w:rFonts w:ascii="Arial" w:hAnsi="Arial" w:eastAsia="Arial" w:cs="Arial"/>
      <w:i/>
      <w:iCs/>
      <w:sz w:val="21"/>
      <w:szCs w:val="21"/>
    </w:rPr>
  </w:style>
  <w:style w:type="character" w:customStyle="1" w:styleId="64">
    <w:name w:val="标题 字符"/>
    <w:link w:val="41"/>
    <w:qFormat/>
    <w:uiPriority w:val="10"/>
    <w:rPr>
      <w:sz w:val="48"/>
      <w:szCs w:val="48"/>
    </w:rPr>
  </w:style>
  <w:style w:type="character" w:customStyle="1" w:styleId="65">
    <w:name w:val="副标题 字符"/>
    <w:link w:val="3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字符"/>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字符"/>
    <w:link w:val="68"/>
    <w:qFormat/>
    <w:uiPriority w:val="30"/>
    <w:rPr>
      <w:i/>
    </w:rPr>
  </w:style>
  <w:style w:type="character" w:customStyle="1" w:styleId="70">
    <w:name w:val="页眉 字符"/>
    <w:link w:val="30"/>
    <w:qFormat/>
    <w:uiPriority w:val="99"/>
  </w:style>
  <w:style w:type="character" w:customStyle="1" w:styleId="71">
    <w:name w:val="Footer Char"/>
    <w:qFormat/>
    <w:uiPriority w:val="99"/>
  </w:style>
  <w:style w:type="character" w:customStyle="1" w:styleId="72">
    <w:name w:val="页脚 字符"/>
    <w:link w:val="28"/>
    <w:qFormat/>
    <w:uiPriority w:val="99"/>
  </w:style>
  <w:style w:type="table" w:customStyle="1" w:styleId="73">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1">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5">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2">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9">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3">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8">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1">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5">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0">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4">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4">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8">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1">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5">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8">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2">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3">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7">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脚注文本 字符"/>
    <w:link w:val="34"/>
    <w:qFormat/>
    <w:uiPriority w:val="99"/>
    <w:rPr>
      <w:sz w:val="18"/>
    </w:rPr>
  </w:style>
  <w:style w:type="character" w:customStyle="1" w:styleId="199">
    <w:name w:val="尾注文本 字符"/>
    <w:link w:val="26"/>
    <w:qFormat/>
    <w:uiPriority w:val="99"/>
    <w:rPr>
      <w:sz w:val="20"/>
    </w:rPr>
  </w:style>
  <w:style w:type="paragraph" w:customStyle="1" w:styleId="200">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201">
    <w:name w:val="No Spacing"/>
    <w:basedOn w:val="1"/>
    <w:qFormat/>
    <w:uiPriority w:val="99"/>
    <w:pPr>
      <w:spacing w:after="0" w:line="240" w:lineRule="auto"/>
    </w:pPr>
  </w:style>
  <w:style w:type="paragraph" w:styleId="202">
    <w:name w:val="List Paragraph"/>
    <w:basedOn w:val="1"/>
    <w:qFormat/>
    <w:uiPriority w:val="34"/>
    <w:pPr>
      <w:ind w:left="720"/>
      <w:contextualSpacing/>
    </w:pPr>
  </w:style>
  <w:style w:type="paragraph" w:customStyle="1" w:styleId="203">
    <w:name w:val="Plain Text2"/>
    <w:basedOn w:val="1"/>
    <w:qFormat/>
    <w:uiPriority w:val="99"/>
    <w:pPr>
      <w:adjustRightInd w:val="0"/>
    </w:pPr>
    <w:rPr>
      <w:rFonts w:ascii="宋体" w:hAnsi="Courier New" w:eastAsia="楷体_GB2312"/>
      <w:sz w:val="28"/>
    </w:rPr>
  </w:style>
  <w:style w:type="paragraph" w:customStyle="1" w:styleId="204">
    <w:name w:val="纯文本6"/>
    <w:basedOn w:val="1"/>
    <w:qFormat/>
    <w:uiPriority w:val="0"/>
    <w:pPr>
      <w:adjustRightInd w:val="0"/>
      <w:textAlignment w:val="baseline"/>
    </w:pPr>
    <w:rPr>
      <w:rFonts w:ascii="宋体" w:hAnsi="Courier New" w:eastAsia="楷体_GB2312"/>
      <w:sz w:val="26"/>
    </w:rPr>
  </w:style>
  <w:style w:type="paragraph" w:customStyle="1" w:styleId="205">
    <w:name w:val="_正文"/>
    <w:basedOn w:val="1"/>
    <w:qFormat/>
    <w:uiPriority w:val="0"/>
    <w:pPr>
      <w:spacing w:line="360" w:lineRule="auto"/>
      <w:ind w:firstLine="200" w:firstLineChars="200"/>
    </w:pPr>
    <w:rPr>
      <w:sz w:val="24"/>
      <w:szCs w:val="24"/>
    </w:rPr>
  </w:style>
  <w:style w:type="paragraph" w:customStyle="1" w:styleId="206">
    <w:name w:val="纯文本1"/>
    <w:basedOn w:val="1"/>
    <w:qFormat/>
    <w:uiPriority w:val="0"/>
    <w:pPr>
      <w:adjustRightInd w:val="0"/>
      <w:textAlignment w:val="baseline"/>
    </w:pPr>
    <w:rPr>
      <w:rFonts w:ascii="宋体" w:hAnsi="Courier New" w:eastAsia="楷体_GB2312"/>
      <w:sz w:val="26"/>
    </w:rPr>
  </w:style>
  <w:style w:type="paragraph" w:customStyle="1" w:styleId="207">
    <w:name w:val="段"/>
    <w:next w:val="1"/>
    <w:qFormat/>
    <w:uiPriority w:val="0"/>
    <w:pPr>
      <w:ind w:firstLine="200"/>
      <w:jc w:val="both"/>
    </w:pPr>
    <w:rPr>
      <w:rFonts w:ascii="宋体" w:hAnsi="Times New Roman" w:eastAsia="宋体" w:cs="Times New Roman"/>
      <w:lang w:val="en-US" w:eastAsia="zh-CN" w:bidi="ar-SA"/>
    </w:rPr>
  </w:style>
  <w:style w:type="paragraph" w:customStyle="1" w:styleId="208">
    <w:name w:val="纯文本2"/>
    <w:basedOn w:val="1"/>
    <w:qFormat/>
    <w:uiPriority w:val="0"/>
    <w:rPr>
      <w:rFonts w:ascii="宋体" w:hAnsi="Courier New" w:eastAsia="楷体_GB2312" w:cs="Times New Roman"/>
      <w:sz w:val="26"/>
      <w:szCs w:val="20"/>
    </w:rPr>
  </w:style>
  <w:style w:type="character" w:customStyle="1" w:styleId="209">
    <w:name w:val="正文文本缩进 字符"/>
    <w:basedOn w:val="47"/>
    <w:link w:val="20"/>
    <w:qFormat/>
    <w:uiPriority w:val="0"/>
    <w:rPr>
      <w:rFonts w:hint="default" w:ascii="Arial" w:hAnsi="Arial" w:eastAsia="Arial" w:cs="Times New Roman"/>
      <w:sz w:val="22"/>
      <w:szCs w:val="22"/>
      <w:lang w:eastAsia="en-US"/>
    </w:rPr>
  </w:style>
  <w:style w:type="paragraph" w:customStyle="1" w:styleId="210">
    <w:name w:val="纯文本11"/>
    <w:basedOn w:val="1"/>
    <w:next w:val="211"/>
    <w:qFormat/>
    <w:uiPriority w:val="0"/>
    <w:pPr>
      <w:widowControl w:val="0"/>
      <w:adjustRightInd w:val="0"/>
      <w:jc w:val="both"/>
      <w:textAlignment w:val="baseline"/>
    </w:pPr>
    <w:rPr>
      <w:rFonts w:ascii="宋体" w:hAnsi="Courier New" w:eastAsia="楷体_GB2312"/>
      <w:kern w:val="2"/>
      <w:sz w:val="28"/>
      <w:szCs w:val="20"/>
    </w:rPr>
  </w:style>
  <w:style w:type="paragraph" w:customStyle="1" w:styleId="211">
    <w:name w:val="页眉1"/>
    <w:basedOn w:val="1"/>
    <w:next w:val="1"/>
    <w:qFormat/>
    <w:uiPriority w:val="0"/>
    <w:pPr>
      <w:pBdr>
        <w:bottom w:val="single" w:color="000000" w:sz="6" w:space="1"/>
      </w:pBdr>
      <w:tabs>
        <w:tab w:val="center" w:pos="4153"/>
        <w:tab w:val="right" w:pos="8306"/>
      </w:tabs>
      <w:jc w:val="center"/>
    </w:pPr>
    <w:rPr>
      <w:sz w:val="18"/>
      <w:szCs w:val="18"/>
    </w:rPr>
  </w:style>
  <w:style w:type="character" w:customStyle="1" w:styleId="212">
    <w:name w:val="批注框文本 字符"/>
    <w:basedOn w:val="47"/>
    <w:link w:val="27"/>
    <w:semiHidden/>
    <w:qFormat/>
    <w:uiPriority w:val="99"/>
    <w:rPr>
      <w:rFonts w:asciiTheme="minorHAnsi" w:hAnsiTheme="minorHAnsi" w:eastAsiaTheme="minorHAnsi" w:cstheme="minorBidi"/>
      <w:sz w:val="18"/>
      <w:szCs w:val="18"/>
      <w:lang w:eastAsia="en-US"/>
    </w:rPr>
  </w:style>
  <w:style w:type="character" w:customStyle="1" w:styleId="213">
    <w:name w:val="宏文本 字符"/>
    <w:basedOn w:val="47"/>
    <w:link w:val="2"/>
    <w:qFormat/>
    <w:uiPriority w:val="0"/>
    <w:rPr>
      <w:rFonts w:ascii="Courier New" w:hAnsi="Courier New" w:cs="Courier New"/>
      <w:sz w:val="24"/>
      <w:szCs w:val="24"/>
    </w:rPr>
  </w:style>
  <w:style w:type="paragraph" w:customStyle="1" w:styleId="214">
    <w:name w:val="纯文本3"/>
    <w:basedOn w:val="1"/>
    <w:qFormat/>
    <w:uiPriority w:val="0"/>
    <w:rPr>
      <w:rFonts w:ascii="仿宋" w:hAnsi="Cambria Math" w:eastAsia="Wingdings" w:cs="华文楷体"/>
      <w:sz w:val="26"/>
      <w:szCs w:val="20"/>
    </w:rPr>
  </w:style>
  <w:style w:type="paragraph" w:customStyle="1" w:styleId="215">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6">
    <w:name w:val="NormalCharacter"/>
    <w:link w:val="217"/>
    <w:qFormat/>
    <w:uiPriority w:val="0"/>
    <w:rPr>
      <w:rFonts w:asciiTheme="minorHAnsi" w:hAnsiTheme="minorHAnsi" w:eastAsiaTheme="minorEastAsia" w:cstheme="minorBidi"/>
      <w:szCs w:val="22"/>
    </w:rPr>
  </w:style>
  <w:style w:type="paragraph" w:customStyle="1" w:styleId="217">
    <w:name w:val="UserStyle_3"/>
    <w:basedOn w:val="1"/>
    <w:link w:val="216"/>
    <w:autoRedefine/>
    <w:qFormat/>
    <w:uiPriority w:val="0"/>
    <w:pPr>
      <w:spacing w:after="160" w:line="240" w:lineRule="exact"/>
    </w:pPr>
    <w:rPr>
      <w:rFonts w:eastAsiaTheme="minorEastAsia"/>
    </w:rPr>
  </w:style>
  <w:style w:type="character" w:customStyle="1" w:styleId="218">
    <w:name w:val="font11"/>
    <w:basedOn w:val="47"/>
    <w:qFormat/>
    <w:uiPriority w:val="0"/>
    <w:rPr>
      <w:rFonts w:hint="eastAsia" w:ascii="宋体" w:hAnsi="宋体" w:eastAsia="宋体" w:cs="宋体"/>
      <w:color w:val="000000"/>
      <w:sz w:val="21"/>
      <w:szCs w:val="21"/>
      <w:u w:val="none"/>
    </w:rPr>
  </w:style>
  <w:style w:type="character" w:customStyle="1" w:styleId="219">
    <w:name w:val="font21"/>
    <w:basedOn w:val="47"/>
    <w:qFormat/>
    <w:uiPriority w:val="0"/>
    <w:rPr>
      <w:rFonts w:ascii="Calibri" w:hAnsi="Calibri" w:cs="Calibri"/>
      <w:color w:val="000000"/>
      <w:sz w:val="21"/>
      <w:szCs w:val="21"/>
      <w:u w:val="none"/>
    </w:rPr>
  </w:style>
  <w:style w:type="character" w:customStyle="1" w:styleId="220">
    <w:name w:val="font31"/>
    <w:basedOn w:val="47"/>
    <w:qFormat/>
    <w:uiPriority w:val="0"/>
    <w:rPr>
      <w:rFonts w:ascii="Arial" w:hAnsi="Arial" w:cs="Arial"/>
      <w:color w:val="000000"/>
      <w:sz w:val="20"/>
      <w:szCs w:val="20"/>
      <w:u w:val="none"/>
    </w:rPr>
  </w:style>
  <w:style w:type="character" w:customStyle="1" w:styleId="221">
    <w:name w:val="font41"/>
    <w:basedOn w:val="47"/>
    <w:qFormat/>
    <w:uiPriority w:val="0"/>
    <w:rPr>
      <w:rFonts w:hint="eastAsia" w:ascii="微软雅黑" w:hAnsi="微软雅黑" w:eastAsia="微软雅黑" w:cs="微软雅黑"/>
      <w:color w:val="000000"/>
      <w:sz w:val="20"/>
      <w:szCs w:val="20"/>
      <w:u w:val="none"/>
      <w:vertAlign w:val="superscript"/>
    </w:rPr>
  </w:style>
  <w:style w:type="paragraph" w:customStyle="1" w:styleId="222">
    <w:name w:val="无间隔1"/>
    <w:basedOn w:val="1"/>
    <w:qFormat/>
    <w:uiPriority w:val="1"/>
    <w:pPr>
      <w:spacing w:after="0" w:line="240" w:lineRule="auto"/>
    </w:pPr>
    <w:rPr>
      <w:rFonts w:ascii="Times New Roman" w:hAnsi="Times New Roman" w:eastAsia="宋体" w:cs="Times New Roman"/>
    </w:rPr>
  </w:style>
  <w:style w:type="paragraph" w:customStyle="1" w:styleId="223">
    <w:name w:val="￥正文"/>
    <w:basedOn w:val="1"/>
    <w:link w:val="225"/>
    <w:qFormat/>
    <w:uiPriority w:val="0"/>
    <w:pPr>
      <w:spacing w:line="360" w:lineRule="auto"/>
      <w:ind w:firstLine="200" w:firstLineChars="200"/>
    </w:pPr>
    <w:rPr>
      <w:rFonts w:ascii="Calibri" w:hAnsi="Calibri"/>
      <w:sz w:val="24"/>
    </w:rPr>
  </w:style>
  <w:style w:type="paragraph" w:customStyle="1" w:styleId="224">
    <w:name w:val="首行缩进"/>
    <w:basedOn w:val="1"/>
    <w:qFormat/>
    <w:uiPriority w:val="0"/>
    <w:pPr>
      <w:spacing w:line="360" w:lineRule="auto"/>
      <w:ind w:firstLine="480" w:firstLineChars="200"/>
    </w:pPr>
    <w:rPr>
      <w:rFonts w:ascii="宋体" w:hAnsi="宋体"/>
      <w:sz w:val="24"/>
      <w:szCs w:val="24"/>
    </w:rPr>
  </w:style>
  <w:style w:type="character" w:customStyle="1" w:styleId="225">
    <w:name w:val="￥正文 Char"/>
    <w:link w:val="223"/>
    <w:qFormat/>
    <w:uiPriority w:val="0"/>
    <w:rPr>
      <w:rFonts w:ascii="Calibri" w:hAnsi="Calibri"/>
      <w:sz w:val="24"/>
      <w:szCs w:val="22"/>
    </w:rPr>
  </w:style>
  <w:style w:type="paragraph" w:customStyle="1" w:styleId="226">
    <w:name w:val="方案正文"/>
    <w:basedOn w:val="1"/>
    <w:qFormat/>
    <w:uiPriority w:val="0"/>
    <w:pPr>
      <w:snapToGrid w:val="0"/>
      <w:spacing w:line="440" w:lineRule="atLeast"/>
    </w:pPr>
    <w:rPr>
      <w:sz w:val="24"/>
    </w:rPr>
  </w:style>
  <w:style w:type="paragraph" w:customStyle="1" w:styleId="227">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8">
    <w:name w:val="批注文字 字符"/>
    <w:basedOn w:val="47"/>
    <w:link w:val="19"/>
    <w:qFormat/>
    <w:uiPriority w:val="99"/>
    <w:rPr>
      <w:rFonts w:ascii="Calibri" w:hAnsi="Calibri" w:eastAsiaTheme="minorHAnsi" w:cstheme="minorBidi"/>
      <w:sz w:val="22"/>
      <w:szCs w:val="22"/>
      <w:lang w:eastAsia="en-US"/>
    </w:rPr>
  </w:style>
  <w:style w:type="character" w:customStyle="1" w:styleId="229">
    <w:name w:val="批注主题 字符"/>
    <w:basedOn w:val="228"/>
    <w:link w:val="42"/>
    <w:semiHidden/>
    <w:qFormat/>
    <w:uiPriority w:val="99"/>
    <w:rPr>
      <w:rFonts w:asciiTheme="minorHAnsi" w:hAnsiTheme="minorHAnsi" w:eastAsiaTheme="minorHAnsi" w:cstheme="minorBidi"/>
      <w:b/>
      <w:bCs/>
      <w:sz w:val="22"/>
      <w:szCs w:val="22"/>
      <w:lang w:eastAsia="en-US"/>
    </w:rPr>
  </w:style>
  <w:style w:type="paragraph" w:customStyle="1" w:styleId="230">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31">
    <w:name w:val="null3"/>
    <w:hidden/>
    <w:qFormat/>
    <w:uiPriority w:val="0"/>
    <w:rPr>
      <w:rFonts w:hint="eastAsia" w:asciiTheme="minorHAnsi" w:hAnsiTheme="minorHAnsi" w:eastAsiaTheme="minorEastAsia" w:cstheme="minorBidi"/>
      <w:lang w:val="en-US" w:eastAsia="zh-Hans" w:bidi="ar-SA"/>
    </w:rPr>
  </w:style>
  <w:style w:type="paragraph" w:customStyle="1" w:styleId="232">
    <w:name w:val="Table Text"/>
    <w:basedOn w:val="1"/>
    <w:semiHidden/>
    <w:qFormat/>
    <w:uiPriority w:val="0"/>
    <w:rPr>
      <w:rFonts w:ascii="黑体" w:hAnsi="黑体" w:eastAsia="黑体" w:cs="黑体"/>
      <w:sz w:val="18"/>
      <w:szCs w:val="18"/>
    </w:rPr>
  </w:style>
  <w:style w:type="table" w:customStyle="1" w:styleId="233">
    <w:name w:val="Table Normal"/>
    <w:semiHidden/>
    <w:unhideWhenUsed/>
    <w:qFormat/>
    <w:uiPriority w:val="0"/>
    <w:tblPr>
      <w:tblCellMar>
        <w:top w:w="0" w:type="dxa"/>
        <w:left w:w="0" w:type="dxa"/>
        <w:bottom w:w="0" w:type="dxa"/>
        <w:right w:w="0" w:type="dxa"/>
      </w:tblCellMar>
    </w:tblPr>
  </w:style>
  <w:style w:type="paragraph" w:customStyle="1" w:styleId="234">
    <w:name w:val="*正文"/>
    <w:basedOn w:val="1"/>
    <w:qFormat/>
    <w:uiPriority w:val="0"/>
    <w:pPr>
      <w:spacing w:line="360" w:lineRule="auto"/>
      <w:jc w:val="center"/>
    </w:pPr>
    <w:rPr>
      <w:rFonts w:ascii="宋体" w:hAnsi="宋体" w:eastAsia="宋体" w:cs="仿宋_GB2312"/>
      <w:sz w:val="24"/>
      <w:szCs w:val="24"/>
    </w:rPr>
  </w:style>
  <w:style w:type="paragraph" w:customStyle="1" w:styleId="235">
    <w:name w:val="正文首行缩进1"/>
    <w:basedOn w:val="18"/>
    <w:qFormat/>
    <w:uiPriority w:val="0"/>
    <w:pPr>
      <w:spacing w:after="120"/>
      <w:ind w:firstLine="420" w:firstLineChars="100"/>
      <w:jc w:val="both"/>
    </w:pPr>
    <w:rPr>
      <w:rFonts w:asciiTheme="minorHAnsi" w:hAnsiTheme="minorHAnsi" w:eastAsiaTheme="minorEastAsia"/>
      <w:sz w:val="21"/>
      <w:szCs w:val="24"/>
    </w:rPr>
  </w:style>
  <w:style w:type="paragraph" w:customStyle="1" w:styleId="236">
    <w:name w:val="无间隔2"/>
    <w:basedOn w:val="1"/>
    <w:qFormat/>
    <w:uiPriority w:val="99"/>
  </w:style>
  <w:style w:type="character" w:customStyle="1" w:styleId="237">
    <w:name w:val="NormalCharacter1"/>
    <w:qFormat/>
    <w:uiPriority w:val="0"/>
    <w:rPr>
      <w:rFonts w:ascii="Calibri" w:hAnsi="Calibri" w:eastAsia="宋体" w:cs="Times New Roman"/>
      <w:sz w:val="21"/>
      <w:lang w:val="en-US" w:eastAsia="zh-CN" w:bidi="ar-SA"/>
    </w:rPr>
  </w:style>
  <w:style w:type="character" w:customStyle="1" w:styleId="238">
    <w:name w:val="font61"/>
    <w:basedOn w:val="47"/>
    <w:qFormat/>
    <w:uiPriority w:val="0"/>
    <w:rPr>
      <w:rFonts w:hint="default" w:ascii="Times New Roman" w:hAnsi="Times New Roman" w:cs="Times New Roman"/>
      <w:color w:val="000000"/>
      <w:sz w:val="18"/>
      <w:szCs w:val="18"/>
      <w:u w:val="none"/>
    </w:rPr>
  </w:style>
  <w:style w:type="character" w:customStyle="1" w:styleId="239">
    <w:name w:val="font51"/>
    <w:basedOn w:val="47"/>
    <w:qFormat/>
    <w:uiPriority w:val="0"/>
    <w:rPr>
      <w:rFonts w:hint="eastAsia" w:ascii="宋体" w:hAnsi="宋体" w:eastAsia="宋体" w:cs="宋体"/>
      <w:color w:val="000000"/>
      <w:sz w:val="18"/>
      <w:szCs w:val="18"/>
      <w:u w:val="none"/>
    </w:rPr>
  </w:style>
  <w:style w:type="character" w:customStyle="1" w:styleId="240">
    <w:name w:val="font71"/>
    <w:basedOn w:val="47"/>
    <w:qFormat/>
    <w:uiPriority w:val="0"/>
    <w:rPr>
      <w:rFonts w:ascii="鸿蒙黑体" w:hAnsi="鸿蒙黑体" w:eastAsia="鸿蒙黑体" w:cs="鸿蒙黑体"/>
      <w:color w:val="000000"/>
      <w:sz w:val="18"/>
      <w:szCs w:val="18"/>
      <w:u w:val="none"/>
    </w:rPr>
  </w:style>
  <w:style w:type="character" w:customStyle="1" w:styleId="241">
    <w:name w:val="font81"/>
    <w:basedOn w:val="47"/>
    <w:qFormat/>
    <w:uiPriority w:val="0"/>
    <w:rPr>
      <w:rFonts w:ascii="FT Thymes" w:hAnsi="FT Thymes" w:eastAsia="FT Thymes" w:cs="FT Thymes"/>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Company>
  <Pages>120</Pages>
  <Words>14272</Words>
  <Characters>15604</Characters>
  <Lines>588</Lines>
  <Paragraphs>165</Paragraphs>
  <TotalTime>26</TotalTime>
  <ScaleCrop>false</ScaleCrop>
  <LinksUpToDate>false</LinksUpToDate>
  <CharactersWithSpaces>15747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2026-08-07T01:44:00Z</dcterms:created>
  <dc:creator>周萌</dc:creator>
  <cp:lastModifiedBy>Only Q</cp:lastModifiedBy>
  <cp:lastPrinted>2025-03-01T07:12:00Z</cp:lastPrinted>
  <dcterms:modified xsi:type="dcterms:W3CDTF">2026-08-26T05:48:48Z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138CA95CB63A40959D15E7D7EFD0FB3E_13</vt:lpwstr>
  </property>
  <property fmtid="{D5CDD505-2E9C-101B-9397-08002B2CF9AE}" pid="4" name="KSOTemplateDocerSaveRecord">
    <vt:lpwstr>eyJoZGlkIjoiYzBmMTFkM2YzY2FiNTQ0MmZmMjliOTA5MjdiNmI1NDUiLCJ1c2VySWQiOiI0NTU4MjY1MzAifQ==</vt:lpwstr>
  </property>
</Properties>
</file>