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0A13F183">
      <w:pPr>
        <w:jc w:val="center"/>
        <w:rPr>
          <w:rFonts w:hint="eastAsia"/>
          <w:b/>
          <w:bCs/>
          <w:color w:val="auto"/>
          <w:sz w:val="56"/>
          <w:szCs w:val="56"/>
          <w:highlight w:val="none"/>
          <w:lang w:eastAsia="zh-CN"/>
        </w:rPr>
      </w:pPr>
      <w:r>
        <w:rPr>
          <w:rFonts w:hint="eastAsia"/>
          <w:b/>
          <w:bCs/>
          <w:color w:val="auto"/>
          <w:sz w:val="56"/>
          <w:szCs w:val="56"/>
          <w:highlight w:val="none"/>
          <w:lang w:eastAsia="zh-CN"/>
        </w:rPr>
        <w:t>2026-2028年薛家重点道路保洁及降尘作业项目</w:t>
      </w:r>
    </w:p>
    <w:p w14:paraId="19799DE8">
      <w:pPr>
        <w:jc w:val="center"/>
        <w:rPr>
          <w:b/>
          <w:bCs/>
          <w:color w:val="auto"/>
          <w:sz w:val="60"/>
          <w:szCs w:val="60"/>
          <w:highlight w:val="none"/>
        </w:rPr>
      </w:pP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2026-2028年薛家重点道路保洁及降尘作业项目</w:t>
      </w:r>
    </w:p>
    <w:p w14:paraId="3DC60F7F">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JSZC-320411003-SYZB-G2026-0053</w:t>
      </w:r>
    </w:p>
    <w:p w14:paraId="6C6484FE">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常州市新北区薛家镇人民政府</w:t>
      </w:r>
    </w:p>
    <w:p w14:paraId="3B31B31E">
      <w:pPr>
        <w:tabs>
          <w:tab w:val="left" w:pos="3240"/>
          <w:tab w:val="left" w:pos="3420"/>
        </w:tabs>
        <w:spacing w:line="360" w:lineRule="auto"/>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28359079"/>
      <w:bookmarkStart w:id="4" w:name="_Toc35393621"/>
      <w:bookmarkStart w:id="5" w:name="_Toc35393790"/>
      <w:bookmarkStart w:id="6" w:name="_Toc28359002"/>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JSZC-320411003-SYZB-G2026-0053</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2026-2028年薛家重点道路保洁及降尘作业项目</w:t>
      </w:r>
    </w:p>
    <w:p w14:paraId="32FAB910">
      <w:pPr>
        <w:keepNext w:val="0"/>
        <w:keepLines w:val="0"/>
        <w:pageBreakBefore w:val="0"/>
        <w:widowControl w:val="0"/>
        <w:spacing w:line="360" w:lineRule="auto"/>
        <w:ind w:firstLine="48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lang w:val="en-US" w:eastAsia="zh-CN"/>
        </w:rPr>
        <w:t>150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lang w:val="en-US" w:eastAsia="zh-CN"/>
        </w:rPr>
        <w:t xml:space="preserve">50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6"/>
        <w:gridCol w:w="1801"/>
        <w:gridCol w:w="1358"/>
        <w:gridCol w:w="4600"/>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7"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02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bCs/>
                <w:color w:val="auto"/>
                <w:sz w:val="24"/>
                <w:szCs w:val="24"/>
                <w:highlight w:val="none"/>
              </w:rPr>
              <w:t>）</w:t>
            </w:r>
          </w:p>
        </w:tc>
        <w:tc>
          <w:tcPr>
            <w:tcW w:w="779"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8"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27"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2026-2028年薛家重点道路保洁及降尘作业</w:t>
            </w:r>
          </w:p>
        </w:tc>
        <w:tc>
          <w:tcPr>
            <w:tcW w:w="102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150</w:t>
            </w:r>
          </w:p>
        </w:tc>
        <w:tc>
          <w:tcPr>
            <w:tcW w:w="779"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8" w:type="pct"/>
            <w:shd w:val="clear" w:color="auto" w:fill="auto"/>
            <w:noWrap w:val="0"/>
            <w:vAlign w:val="center"/>
          </w:tcPr>
          <w:p w14:paraId="7653D3CC">
            <w:pP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2"/>
                <w:sz w:val="24"/>
                <w:szCs w:val="24"/>
                <w:highlight w:val="none"/>
                <w:u w:val="none"/>
                <w:lang w:eastAsia="zh-CN"/>
              </w:rPr>
              <w:t>包括但不限于改善大气环境质量，大幅降低道路扬尘监测数值，确保完成空气环境质量年度考核目标。</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lang w:eastAsia="zh-CN"/>
        </w:rPr>
        <w:t>暂定三年，合同一年一签。其中前三个月为试用期，试用期满须经采购人考核，考核不合格，采购人可以解除合同。每年合同期满经采购人考核合格后可续签下一年度合同。</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是  ■否。</w:t>
      </w:r>
    </w:p>
    <w:p w14:paraId="5308BEE9">
      <w:pPr>
        <w:snapToGrid w:val="0"/>
        <w:spacing w:line="360" w:lineRule="auto"/>
        <w:rPr>
          <w:rFonts w:ascii="宋体" w:hAnsi="宋体"/>
          <w:b/>
          <w:bCs/>
          <w:color w:val="auto"/>
          <w:sz w:val="24"/>
          <w:highlight w:val="none"/>
        </w:rPr>
      </w:pPr>
      <w:bookmarkStart w:id="8" w:name="_Toc35393791"/>
      <w:bookmarkStart w:id="9" w:name="_Toc28359080"/>
      <w:bookmarkStart w:id="10" w:name="_Toc28359003"/>
      <w:bookmarkStart w:id="11" w:name="_Toc35393622"/>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■本项目专门面向  ■中小 </w:t>
      </w:r>
      <w:r>
        <w:rPr>
          <w:rFonts w:hint="eastAsia" w:ascii="宋体" w:hAnsi="宋体" w:cs="宋体"/>
          <w:color w:val="auto"/>
          <w:sz w:val="24"/>
          <w:highlight w:val="none"/>
          <w:lang w:eastAsia="zh-CN"/>
        </w:rPr>
        <w:t>□</w:t>
      </w:r>
      <w:r>
        <w:rPr>
          <w:rFonts w:hint="eastAsia" w:ascii="宋体" w:hAnsi="宋体" w:cs="宋体"/>
          <w:color w:val="auto"/>
          <w:sz w:val="24"/>
          <w:highlight w:val="none"/>
        </w:rPr>
        <w:t>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bookmarkEnd w:id="12"/>
    <w:bookmarkEnd w:id="13"/>
    <w:p w14:paraId="0DC5F48E">
      <w:pPr>
        <w:snapToGrid w:val="0"/>
        <w:spacing w:line="360" w:lineRule="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05"/>
      <w:bookmarkStart w:id="17" w:name="_Toc28359082"/>
      <w:bookmarkStart w:id="18" w:name="_Toc35393624"/>
      <w:bookmarkStart w:id="19" w:name="_Toc35393793"/>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w:t>
      </w:r>
      <w:r>
        <w:rPr>
          <w:rFonts w:hint="eastAsia" w:ascii="宋体" w:hAnsi="宋体" w:cs="宋体"/>
          <w:color w:val="auto"/>
          <w:sz w:val="24"/>
          <w:highlight w:val="none"/>
          <w:u w:val="single"/>
          <w:lang w:val="en-US" w:eastAsia="zh-CN" w:bidi="ar"/>
        </w:rPr>
        <w:t>登录</w:t>
      </w:r>
      <w:r>
        <w:rPr>
          <w:rFonts w:hint="eastAsia" w:ascii="宋体" w:hAnsi="宋体" w:cs="宋体"/>
          <w:color w:val="auto"/>
          <w:sz w:val="24"/>
          <w:highlight w:val="none"/>
          <w:u w:val="singl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20</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00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625"/>
      <w:bookmarkStart w:id="21" w:name="_Toc28359007"/>
      <w:bookmarkStart w:id="22" w:name="_Toc35393794"/>
      <w:bookmarkStart w:id="23" w:name="_Toc2835908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1ADE6AC1">
      <w:pPr>
        <w:spacing w:line="360" w:lineRule="auto"/>
        <w:ind w:firstLine="480" w:firstLineChars="200"/>
        <w:rPr>
          <w:rFonts w:ascii="宋体" w:hAnsi="宋体" w:cs="宋体"/>
          <w:color w:val="auto"/>
          <w:kern w:val="0"/>
          <w:sz w:val="24"/>
          <w:highlight w:val="none"/>
          <w:u w:val="single"/>
        </w:rPr>
      </w:pPr>
      <w:bookmarkStart w:id="26" w:name="_Toc28359008"/>
      <w:bookmarkStart w:id="27" w:name="_Toc28359085"/>
      <w:bookmarkStart w:id="28" w:name="_Toc35393796"/>
      <w:bookmarkStart w:id="29" w:name="_Toc35393627"/>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6CA6CB1E">
      <w:pPr>
        <w:widowControl/>
        <w:spacing w:line="360" w:lineRule="auto"/>
        <w:ind w:left="239" w:leftChars="114" w:firstLine="240" w:firstLineChars="1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2.本项目的采购年限为</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val="en-US" w:eastAsia="zh-CN"/>
        </w:rPr>
        <w:t>年、预算金额为</w:t>
      </w:r>
      <w:r>
        <w:rPr>
          <w:rFonts w:hint="eastAsia" w:ascii="宋体" w:hAnsi="宋体" w:cs="宋体"/>
          <w:color w:val="auto"/>
          <w:sz w:val="24"/>
          <w:highlight w:val="none"/>
          <w:u w:val="single"/>
          <w:lang w:val="en-US" w:eastAsia="zh-CN"/>
        </w:rPr>
        <w:t xml:space="preserve"> 150</w:t>
      </w:r>
      <w:r>
        <w:rPr>
          <w:rFonts w:hint="eastAsia" w:ascii="宋体" w:hAnsi="宋体" w:cs="宋体"/>
          <w:color w:val="auto"/>
          <w:sz w:val="24"/>
          <w:highlight w:val="none"/>
          <w:lang w:val="en-US" w:eastAsia="zh-CN"/>
        </w:rPr>
        <w:t>万元、当年安排数为</w:t>
      </w:r>
      <w:r>
        <w:rPr>
          <w:rFonts w:hint="eastAsia" w:ascii="宋体" w:hAnsi="宋体" w:cs="宋体"/>
          <w:color w:val="auto"/>
          <w:sz w:val="24"/>
          <w:highlight w:val="none"/>
          <w:u w:val="single"/>
          <w:lang w:val="en-US" w:eastAsia="zh-CN"/>
        </w:rPr>
        <w:t>50</w:t>
      </w:r>
      <w:r>
        <w:rPr>
          <w:rFonts w:hint="eastAsia" w:ascii="宋体" w:hAnsi="宋体" w:cs="宋体"/>
          <w:color w:val="auto"/>
          <w:sz w:val="24"/>
          <w:highlight w:val="none"/>
          <w:lang w:val="en-US" w:eastAsia="zh-CN"/>
        </w:rPr>
        <w:t>万元。</w:t>
      </w:r>
    </w:p>
    <w:p w14:paraId="07B9B11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096C4AA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3B9653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53EBF4C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1A16603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.本项目不收取投标保证金。</w:t>
      </w:r>
    </w:p>
    <w:p w14:paraId="5DED265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.注意事项</w:t>
      </w:r>
    </w:p>
    <w:p w14:paraId="1B16002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026084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6E56235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确认函”，质疑时“</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7FEA169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6C1A9A2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.关于常州市中小企业政府采购信用融资：</w:t>
      </w:r>
    </w:p>
    <w:p w14:paraId="6342C96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48AF34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.关于深入开展常州市政府采购线上合同信用融资：</w:t>
      </w:r>
    </w:p>
    <w:p w14:paraId="5206985B">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305158928"/>
      <w:bookmarkStart w:id="31" w:name="_Toc226965856"/>
      <w:bookmarkStart w:id="32" w:name="_Toc264969275"/>
      <w:bookmarkStart w:id="33" w:name="_Toc150774783"/>
      <w:bookmarkStart w:id="34" w:name="_Toc353825548"/>
      <w:bookmarkStart w:id="35" w:name="_Toc99301420"/>
      <w:bookmarkStart w:id="36" w:name="_Toc305158854"/>
      <w:bookmarkStart w:id="37" w:name="_Toc353873938"/>
      <w:bookmarkStart w:id="38" w:name="_Toc127151777"/>
      <w:bookmarkStart w:id="39" w:name="_Toc512937850"/>
      <w:bookmarkStart w:id="40" w:name="_Toc265228423"/>
      <w:bookmarkStart w:id="41" w:name="_Toc195842950"/>
      <w:bookmarkStart w:id="42" w:name="_Toc127161488"/>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常州市新北区薛家镇人民政府</w:t>
      </w:r>
      <w:r>
        <w:rPr>
          <w:rFonts w:hint="eastAsia" w:ascii="宋体" w:hAnsi="宋体" w:cs="宋体"/>
          <w:color w:val="auto"/>
          <w:sz w:val="24"/>
          <w:highlight w:val="none"/>
          <w:u w:val="single"/>
          <w:lang w:bidi="ar"/>
        </w:rPr>
        <w:t xml:space="preserve"> </w:t>
      </w:r>
    </w:p>
    <w:p w14:paraId="3EEE36B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常州市新北区薛家镇黄河西路268号</w:t>
      </w:r>
    </w:p>
    <w:p w14:paraId="3FAFFBD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cs="宋体"/>
          <w:color w:val="auto"/>
          <w:sz w:val="24"/>
          <w:highlight w:val="none"/>
          <w:lang w:val="en-US" w:eastAsia="zh-CN" w:bidi="ar"/>
        </w:rPr>
        <w:t xml:space="preserve"> </w:t>
      </w:r>
      <w:r>
        <w:rPr>
          <w:rFonts w:hint="eastAsia" w:ascii="宋体" w:hAnsi="宋体" w:eastAsia="宋体" w:cs="宋体"/>
          <w:color w:val="auto"/>
          <w:sz w:val="24"/>
          <w:highlight w:val="none"/>
          <w:u w:val="single"/>
          <w:lang w:val="en-US" w:eastAsia="zh-CN" w:bidi="ar"/>
        </w:rPr>
        <w:t>芮女士、0519-85962005</w:t>
      </w:r>
      <w:r>
        <w:rPr>
          <w:rFonts w:hint="eastAsia" w:ascii="宋体" w:hAnsi="宋体" w:eastAsia="宋体" w:cs="宋体"/>
          <w:color w:val="auto"/>
          <w:sz w:val="24"/>
          <w:highlight w:val="none"/>
          <w:lang w:val="zh-TW" w:bidi="ar"/>
        </w:rPr>
        <w:t>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王涛</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0519-88818292-（8000）</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27161433"/>
      <w:bookmarkStart w:id="45" w:name="_Toc151193617"/>
      <w:bookmarkStart w:id="46" w:name="_Toc226309763"/>
      <w:bookmarkStart w:id="47" w:name="_Toc151193689"/>
      <w:bookmarkStart w:id="48" w:name="_Toc164229214"/>
      <w:bookmarkStart w:id="49" w:name="_Toc150480757"/>
      <w:bookmarkStart w:id="50" w:name="_Toc151193761"/>
      <w:bookmarkStart w:id="51" w:name="_Toc164608633"/>
      <w:bookmarkStart w:id="52" w:name="_Toc150774724"/>
      <w:bookmarkStart w:id="53" w:name="_Toc150509270"/>
      <w:bookmarkStart w:id="54" w:name="_Toc520356144"/>
      <w:bookmarkStart w:id="55" w:name="_Toc127151519"/>
      <w:bookmarkStart w:id="56" w:name="_Toc151190146"/>
      <w:bookmarkStart w:id="57" w:name="_Toc151193833"/>
      <w:bookmarkStart w:id="58" w:name="_Toc142311021"/>
      <w:bookmarkStart w:id="59" w:name="_Toc226337215"/>
      <w:bookmarkStart w:id="60" w:name="_Toc164229360"/>
      <w:bookmarkStart w:id="61" w:name="_Toc226965709"/>
      <w:bookmarkStart w:id="62" w:name="_Toc226965792"/>
      <w:bookmarkStart w:id="63" w:name="_Toc127151720"/>
      <w:bookmarkStart w:id="64" w:name="_Toc164608788"/>
      <w:bookmarkStart w:id="65" w:name="_Toc151193907"/>
      <w:bookmarkStart w:id="66" w:name="_Toc164351613"/>
      <w:bookmarkStart w:id="67" w:name="_Toc195842884"/>
      <w:bookmarkStart w:id="68" w:name="_Toc150774619"/>
      <w:bookmarkStart w:id="69" w:name="_Toc149720812"/>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bookmarkStart w:id="909" w:name="_GoBack"/>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其他未列明行业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王涛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0519-88818292-（8000）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采购人</w:t>
            </w:r>
          </w:p>
          <w:p w14:paraId="69CCF764">
            <w:pPr>
              <w:jc w:val="left"/>
              <w:rPr>
                <w:rFonts w:hint="eastAsia" w:ascii="宋体" w:hAnsi="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3B00DE86">
            <w:pPr>
              <w:jc w:val="lef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u w:val="single"/>
                <w:lang w:val="en-US" w:eastAsia="zh-CN"/>
              </w:rPr>
              <w:t>代理服务费按以下标准进行下浮：</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p>
          <w:p w14:paraId="0F15E468">
            <w:pPr>
              <w:jc w:val="left"/>
              <w:rPr>
                <w:rFonts w:hint="eastAsia"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中标人应在领取中标通知书时将中标服务费付至采购代理机构的账户并备注项目编号 </w:t>
            </w:r>
            <w:r>
              <w:rPr>
                <w:rFonts w:hint="eastAsia" w:ascii="宋体" w:hAnsi="宋体" w:cs="宋体"/>
                <w:color w:val="auto"/>
                <w:sz w:val="24"/>
                <w:highlight w:val="none"/>
              </w:rPr>
              <w:t>。</w:t>
            </w:r>
          </w:p>
          <w:p w14:paraId="62CAE28F">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1D14EEF5">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057A9ACC">
            <w:pPr>
              <w:jc w:val="left"/>
              <w:outlineLvl w:val="9"/>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7C1A641F">
            <w:pPr>
              <w:jc w:val="left"/>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代理服务费支付说明及原因：</w:t>
            </w:r>
          </w:p>
          <w:p w14:paraId="4A24C86F">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1.支付依据：根据《政府采购代理机构管理暂行办法》第十五条规定，代理费用可以由中标、成交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支付。本项目经采购人与采购代理机构在《委托代理协议》中约定，代理服务费由中标/成交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w:t>
            </w:r>
          </w:p>
          <w:p w14:paraId="5C4C4F5E">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2.定价原则：本项目代理服务费遵循市场调节原则，由采购人与代理机构根据项目特点、服务成本及市场行情协商确定收费标准。</w:t>
            </w:r>
          </w:p>
          <w:p w14:paraId="54070A1E">
            <w:pPr>
              <w:jc w:val="left"/>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none"/>
              </w:rPr>
              <w:t>3.报价要求：</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在编制响应报价时，应当将代理服务费包含在总报价中。若</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未将此项费用计入报价，视为其已承诺自行承担或放弃相关权利，但仍须按采购文件规定的标准足额缴纳代理服务费后方可领取成交通知书。</w:t>
            </w:r>
          </w:p>
        </w:tc>
      </w:tr>
      <w:bookmarkEnd w:id="909"/>
    </w:tbl>
    <w:p w14:paraId="131671AA">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305158785"/>
      <w:bookmarkStart w:id="71" w:name="_Toc226965790"/>
      <w:bookmarkStart w:id="72" w:name="_Toc127151517"/>
      <w:bookmarkStart w:id="73" w:name="_Toc226337213"/>
      <w:bookmarkStart w:id="74" w:name="_Toc305158859"/>
      <w:bookmarkStart w:id="75" w:name="_Toc142311019"/>
      <w:bookmarkStart w:id="76" w:name="_Toc150774722"/>
      <w:bookmarkStart w:id="77" w:name="_Toc353825542"/>
      <w:bookmarkStart w:id="78" w:name="_Toc353873662"/>
      <w:bookmarkStart w:id="79" w:name="_Toc265228355"/>
      <w:bookmarkStart w:id="80" w:name="_Toc353873932"/>
      <w:bookmarkStart w:id="81" w:name="_Toc264969207"/>
      <w:bookmarkStart w:id="82" w:name="_Toc195842882"/>
      <w:bookmarkStart w:id="83" w:name="_Toc150480755"/>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150480756"/>
      <w:bookmarkStart w:id="85" w:name="_Toc226965708"/>
      <w:bookmarkStart w:id="86" w:name="_Toc150774618"/>
      <w:bookmarkStart w:id="87" w:name="_Toc264969208"/>
      <w:bookmarkStart w:id="88" w:name="_Toc151193616"/>
      <w:bookmarkStart w:id="89" w:name="_Toc305158786"/>
      <w:bookmarkStart w:id="90" w:name="_Toc226337214"/>
      <w:bookmarkStart w:id="91" w:name="_Toc151193688"/>
      <w:bookmarkStart w:id="92" w:name="_Toc226965791"/>
      <w:bookmarkStart w:id="93" w:name="_Toc142311020"/>
      <w:bookmarkStart w:id="94" w:name="_Toc520356143"/>
      <w:bookmarkStart w:id="95" w:name="_Toc127151518"/>
      <w:bookmarkStart w:id="96" w:name="_Toc151193906"/>
      <w:bookmarkStart w:id="97" w:name="_Toc151193760"/>
      <w:bookmarkStart w:id="98" w:name="_Toc151193832"/>
      <w:bookmarkStart w:id="99" w:name="_Toc226309762"/>
      <w:bookmarkStart w:id="100" w:name="_Toc151190145"/>
      <w:bookmarkStart w:id="101" w:name="_Toc305158860"/>
      <w:bookmarkStart w:id="102" w:name="_Toc195842883"/>
      <w:bookmarkStart w:id="103" w:name="_Toc150774723"/>
      <w:bookmarkStart w:id="104" w:name="_Toc150509269"/>
      <w:bookmarkStart w:id="105" w:name="_Toc265228356"/>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861"/>
      <w:bookmarkStart w:id="107" w:name="_Toc265228357"/>
      <w:bookmarkStart w:id="108" w:name="_Toc264969209"/>
      <w:bookmarkStart w:id="109" w:name="_Toc30515878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226309764"/>
      <w:bookmarkStart w:id="111" w:name="_Toc164351614"/>
      <w:bookmarkStart w:id="112" w:name="_Toc150774725"/>
      <w:bookmarkStart w:id="113" w:name="_Toc151193908"/>
      <w:bookmarkStart w:id="114" w:name="_Toc305158788"/>
      <w:bookmarkStart w:id="115" w:name="_Toc151193618"/>
      <w:bookmarkStart w:id="116" w:name="_Toc164608789"/>
      <w:bookmarkStart w:id="117" w:name="_Toc127151721"/>
      <w:bookmarkStart w:id="118" w:name="_Toc164229215"/>
      <w:bookmarkStart w:id="119" w:name="_Toc150480758"/>
      <w:bookmarkStart w:id="120" w:name="_Toc305158862"/>
      <w:bookmarkStart w:id="121" w:name="_Toc226965710"/>
      <w:bookmarkStart w:id="122" w:name="_Toc226965793"/>
      <w:bookmarkStart w:id="123" w:name="_Toc142311022"/>
      <w:bookmarkStart w:id="124" w:name="_Toc226337216"/>
      <w:bookmarkStart w:id="125" w:name="_Toc151193834"/>
      <w:bookmarkStart w:id="126" w:name="_Toc265228358"/>
      <w:bookmarkStart w:id="127" w:name="_Toc264969210"/>
      <w:bookmarkStart w:id="128" w:name="_Toc151190147"/>
      <w:bookmarkStart w:id="129" w:name="_Toc127161434"/>
      <w:bookmarkStart w:id="130" w:name="_Toc150509271"/>
      <w:bookmarkStart w:id="131" w:name="_Toc127151520"/>
      <w:bookmarkStart w:id="132" w:name="_Toc149720813"/>
      <w:bookmarkStart w:id="133" w:name="_Toc151193690"/>
      <w:bookmarkStart w:id="134" w:name="_Toc151193762"/>
      <w:bookmarkStart w:id="135" w:name="_Toc150774620"/>
      <w:bookmarkStart w:id="136" w:name="_Toc164229361"/>
      <w:bookmarkStart w:id="137" w:name="_Toc195842885"/>
      <w:bookmarkStart w:id="138" w:name="_Toc164608634"/>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1193910"/>
      <w:bookmarkStart w:id="140" w:name="_Toc151193764"/>
      <w:bookmarkStart w:id="141" w:name="_Toc305158790"/>
      <w:bookmarkStart w:id="142" w:name="_Toc226965712"/>
      <w:bookmarkStart w:id="143" w:name="_Toc150774727"/>
      <w:bookmarkStart w:id="144" w:name="_Toc265228360"/>
      <w:bookmarkStart w:id="145" w:name="_Toc151193836"/>
      <w:bookmarkStart w:id="146" w:name="_Toc142311024"/>
      <w:bookmarkStart w:id="147" w:name="_Toc151193620"/>
      <w:bookmarkStart w:id="148" w:name="_Toc520356146"/>
      <w:bookmarkStart w:id="149" w:name="_Toc264969212"/>
      <w:bookmarkStart w:id="150" w:name="_Toc150774622"/>
      <w:bookmarkStart w:id="151" w:name="_Toc305158864"/>
      <w:bookmarkStart w:id="152" w:name="_Toc226337218"/>
      <w:bookmarkStart w:id="153" w:name="_Toc150480760"/>
      <w:bookmarkStart w:id="154" w:name="_Toc226965795"/>
      <w:bookmarkStart w:id="155" w:name="_Toc226309766"/>
      <w:bookmarkStart w:id="156" w:name="_Toc151193692"/>
      <w:bookmarkStart w:id="157" w:name="_Toc151190149"/>
      <w:bookmarkStart w:id="158" w:name="_Toc127151522"/>
      <w:bookmarkStart w:id="159" w:name="_Toc150509273"/>
      <w:bookmarkStart w:id="160" w:name="_Toc195842887"/>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226337219"/>
      <w:bookmarkStart w:id="163" w:name="_Toc164229364"/>
      <w:bookmarkStart w:id="164" w:name="_Toc195842888"/>
      <w:bookmarkStart w:id="165" w:name="_Toc226965796"/>
      <w:bookmarkStart w:id="166" w:name="_Toc127161437"/>
      <w:bookmarkStart w:id="167" w:name="_Toc265228361"/>
      <w:bookmarkStart w:id="168" w:name="_Toc127151523"/>
      <w:bookmarkStart w:id="169" w:name="_Toc151193837"/>
      <w:bookmarkStart w:id="170" w:name="_Toc264969213"/>
      <w:bookmarkStart w:id="171" w:name="_Toc151193765"/>
      <w:bookmarkStart w:id="172" w:name="_Toc226309767"/>
      <w:bookmarkStart w:id="173" w:name="_Toc150509274"/>
      <w:bookmarkStart w:id="174" w:name="_Toc151193621"/>
      <w:bookmarkStart w:id="175" w:name="_Toc142311025"/>
      <w:bookmarkStart w:id="176" w:name="_Toc151193911"/>
      <w:bookmarkStart w:id="177" w:name="_Toc305158865"/>
      <w:bookmarkStart w:id="178" w:name="_Toc149720816"/>
      <w:bookmarkStart w:id="179" w:name="_Toc151193693"/>
      <w:bookmarkStart w:id="180" w:name="_Toc164608792"/>
      <w:bookmarkStart w:id="181" w:name="_Toc164608637"/>
      <w:bookmarkStart w:id="182" w:name="_Toc127151724"/>
      <w:bookmarkStart w:id="183" w:name="_Toc520356147"/>
      <w:bookmarkStart w:id="184" w:name="_Toc150774623"/>
      <w:bookmarkStart w:id="185" w:name="_Toc150774728"/>
      <w:bookmarkStart w:id="186" w:name="_Toc305158791"/>
      <w:bookmarkStart w:id="187" w:name="_Toc164229218"/>
      <w:bookmarkStart w:id="188" w:name="_Toc151190150"/>
      <w:bookmarkStart w:id="189" w:name="_Toc150480761"/>
      <w:bookmarkStart w:id="190" w:name="_Toc226965713"/>
      <w:bookmarkStart w:id="191" w:name="_Toc164351617"/>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50509277"/>
      <w:bookmarkStart w:id="194" w:name="_Toc264969216"/>
      <w:bookmarkStart w:id="195" w:name="_Toc151193914"/>
      <w:bookmarkStart w:id="196" w:name="_Toc226965716"/>
      <w:bookmarkStart w:id="197" w:name="_Toc305158868"/>
      <w:bookmarkStart w:id="198" w:name="_Toc150480764"/>
      <w:bookmarkStart w:id="199" w:name="_Toc305158794"/>
      <w:bookmarkStart w:id="200" w:name="_Toc151193768"/>
      <w:bookmarkStart w:id="201" w:name="_Toc226337222"/>
      <w:bookmarkStart w:id="202" w:name="_Toc226965799"/>
      <w:bookmarkStart w:id="203" w:name="_Toc265228364"/>
      <w:bookmarkStart w:id="204" w:name="_Toc151193840"/>
      <w:bookmarkStart w:id="205" w:name="_Toc151190153"/>
      <w:bookmarkStart w:id="206" w:name="_Toc520356150"/>
      <w:bookmarkStart w:id="207" w:name="_Toc142311028"/>
      <w:bookmarkStart w:id="208" w:name="_Toc226309770"/>
      <w:bookmarkStart w:id="209" w:name="_Toc151193624"/>
      <w:bookmarkStart w:id="210" w:name="_Toc195842891"/>
      <w:bookmarkStart w:id="211" w:name="_Toc151193696"/>
      <w:bookmarkStart w:id="212" w:name="_Toc150774731"/>
      <w:bookmarkStart w:id="213" w:name="_Toc150774626"/>
      <w:bookmarkStart w:id="214" w:name="_Toc127151526"/>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226337223"/>
      <w:bookmarkStart w:id="216" w:name="_Toc127151728"/>
      <w:bookmarkStart w:id="217" w:name="_Toc226965717"/>
      <w:bookmarkStart w:id="218" w:name="_Toc164608641"/>
      <w:bookmarkStart w:id="219" w:name="_Toc150774627"/>
      <w:bookmarkStart w:id="220" w:name="_Toc164351621"/>
      <w:bookmarkStart w:id="221" w:name="_Toc151190154"/>
      <w:bookmarkStart w:id="222" w:name="_Toc305158795"/>
      <w:bookmarkStart w:id="223" w:name="_Toc151193841"/>
      <w:bookmarkStart w:id="224" w:name="_Toc195842892"/>
      <w:bookmarkStart w:id="225" w:name="_Toc164229368"/>
      <w:bookmarkStart w:id="226" w:name="_Toc226309771"/>
      <w:bookmarkStart w:id="227" w:name="_Toc127151527"/>
      <w:bookmarkStart w:id="228" w:name="_Toc305158869"/>
      <w:bookmarkStart w:id="229" w:name="_Toc142311029"/>
      <w:bookmarkStart w:id="230" w:name="_Toc164608796"/>
      <w:bookmarkStart w:id="231" w:name="_Toc150774732"/>
      <w:bookmarkStart w:id="232" w:name="_Toc226965800"/>
      <w:bookmarkStart w:id="233" w:name="_Toc164229222"/>
      <w:bookmarkStart w:id="234" w:name="_Toc149720820"/>
      <w:bookmarkStart w:id="235" w:name="_Toc516367021"/>
      <w:bookmarkStart w:id="236" w:name="_Toc127161441"/>
      <w:bookmarkStart w:id="237" w:name="_Toc150509278"/>
      <w:bookmarkStart w:id="238" w:name="_Toc151193625"/>
      <w:bookmarkStart w:id="239" w:name="_Toc520356151"/>
      <w:bookmarkStart w:id="240" w:name="_Toc151193769"/>
      <w:bookmarkStart w:id="241" w:name="_Toc264969217"/>
      <w:bookmarkStart w:id="242" w:name="_Toc150480765"/>
      <w:bookmarkStart w:id="243" w:name="_Toc265228365"/>
      <w:bookmarkStart w:id="244" w:name="_Toc151193915"/>
      <w:bookmarkStart w:id="245" w:name="_Toc151193697"/>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195"/>
      <w:bookmarkStart w:id="247" w:name="_Toc516367022"/>
      <w:bookmarkStart w:id="248" w:name="_Ref467306676"/>
      <w:bookmarkStart w:id="249" w:name="_Toc520356152"/>
      <w:bookmarkStart w:id="250" w:name="_Toc305158870"/>
      <w:bookmarkStart w:id="251" w:name="_Toc127151729"/>
      <w:bookmarkStart w:id="252" w:name="_Toc127151528"/>
      <w:bookmarkStart w:id="253" w:name="_Toc226965801"/>
      <w:bookmarkStart w:id="254" w:name="_Toc150480766"/>
      <w:bookmarkStart w:id="255" w:name="_Toc164351622"/>
      <w:bookmarkStart w:id="256" w:name="_Toc151193770"/>
      <w:bookmarkStart w:id="257" w:name="_Toc226309772"/>
      <w:bookmarkStart w:id="258" w:name="_Toc151193626"/>
      <w:bookmarkStart w:id="259" w:name="_Toc195842893"/>
      <w:bookmarkStart w:id="260" w:name="_Toc305158796"/>
      <w:bookmarkStart w:id="261" w:name="_Toc142311030"/>
      <w:bookmarkStart w:id="262" w:name="_Toc164229223"/>
      <w:bookmarkStart w:id="263" w:name="_Toc149720821"/>
      <w:bookmarkStart w:id="264" w:name="_Toc150774628"/>
      <w:bookmarkStart w:id="265" w:name="_Toc151193698"/>
      <w:bookmarkStart w:id="266" w:name="_Toc164229369"/>
      <w:bookmarkStart w:id="267" w:name="_Toc265228366"/>
      <w:bookmarkStart w:id="268" w:name="_Toc150509279"/>
      <w:bookmarkStart w:id="269" w:name="_Toc226965718"/>
      <w:bookmarkStart w:id="270" w:name="_Toc151190155"/>
      <w:bookmarkStart w:id="271" w:name="_Toc151193916"/>
      <w:bookmarkStart w:id="272" w:name="_Toc164608797"/>
      <w:bookmarkStart w:id="273" w:name="_Toc226337224"/>
      <w:bookmarkStart w:id="274" w:name="_Toc150774733"/>
      <w:bookmarkStart w:id="275" w:name="_Toc127161442"/>
      <w:bookmarkStart w:id="276" w:name="_Toc264969218"/>
      <w:bookmarkStart w:id="277" w:name="_Toc164608642"/>
      <w:bookmarkStart w:id="278" w:name="_Toc151193842"/>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64229371"/>
      <w:bookmarkStart w:id="281" w:name="_Toc151193918"/>
      <w:bookmarkStart w:id="282" w:name="_Toc164608799"/>
      <w:bookmarkStart w:id="283" w:name="_Toc151193844"/>
      <w:bookmarkStart w:id="284" w:name="_Toc195842895"/>
      <w:bookmarkStart w:id="285" w:name="_Toc151193628"/>
      <w:bookmarkStart w:id="286" w:name="_Toc164608644"/>
      <w:bookmarkStart w:id="287" w:name="_Toc150774630"/>
      <w:bookmarkStart w:id="288" w:name="_Toc151190157"/>
      <w:bookmarkStart w:id="289" w:name="_Toc520356155"/>
      <w:bookmarkStart w:id="290" w:name="_Toc150774735"/>
      <w:bookmarkStart w:id="291" w:name="_Toc151193700"/>
      <w:bookmarkStart w:id="292" w:name="_Toc150480768"/>
      <w:bookmarkStart w:id="293" w:name="_Toc151193772"/>
      <w:bookmarkStart w:id="294" w:name="_Toc164351624"/>
      <w:bookmarkStart w:id="295" w:name="_Toc127151530"/>
      <w:bookmarkStart w:id="296" w:name="_Toc142311032"/>
      <w:bookmarkStart w:id="297" w:name="_Toc127161444"/>
      <w:bookmarkStart w:id="298" w:name="_Toc127151731"/>
      <w:bookmarkStart w:id="299" w:name="_Toc150509281"/>
      <w:bookmarkStart w:id="300" w:name="_Toc149720823"/>
      <w:bookmarkStart w:id="301" w:name="_Toc164229225"/>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49720824"/>
      <w:bookmarkStart w:id="303" w:name="_Toc150480769"/>
      <w:bookmarkStart w:id="304" w:name="_Toc151193629"/>
      <w:bookmarkStart w:id="305" w:name="_Toc265228369"/>
      <w:bookmarkStart w:id="306" w:name="_Ref467306513"/>
      <w:bookmarkStart w:id="307" w:name="_Toc264969221"/>
      <w:bookmarkStart w:id="308" w:name="_Toc164608800"/>
      <w:bookmarkStart w:id="309" w:name="_Toc164229372"/>
      <w:bookmarkStart w:id="310" w:name="_Toc226309775"/>
      <w:bookmarkStart w:id="311" w:name="_Toc226965804"/>
      <w:bookmarkStart w:id="312" w:name="_Toc150774631"/>
      <w:bookmarkStart w:id="313" w:name="_Toc142311033"/>
      <w:bookmarkStart w:id="314" w:name="_Toc127151531"/>
      <w:bookmarkStart w:id="315" w:name="_Toc305158873"/>
      <w:bookmarkStart w:id="316" w:name="_Toc151193919"/>
      <w:bookmarkStart w:id="317" w:name="_Toc151190158"/>
      <w:bookmarkStart w:id="318" w:name="_Toc127151732"/>
      <w:bookmarkStart w:id="319" w:name="_Toc305158799"/>
      <w:bookmarkStart w:id="320" w:name="_Toc150509282"/>
      <w:bookmarkStart w:id="321" w:name="_Toc226337227"/>
      <w:bookmarkStart w:id="322" w:name="_Toc164351625"/>
      <w:bookmarkStart w:id="323" w:name="_Toc520356156"/>
      <w:bookmarkStart w:id="324" w:name="_Toc150774736"/>
      <w:bookmarkStart w:id="325" w:name="_Toc164229226"/>
      <w:bookmarkStart w:id="326" w:name="_Toc151193701"/>
      <w:bookmarkStart w:id="327" w:name="_Toc151193773"/>
      <w:bookmarkStart w:id="328" w:name="_Toc226965721"/>
      <w:bookmarkStart w:id="329" w:name="_Toc195842896"/>
      <w:bookmarkStart w:id="330" w:name="_Toc164608645"/>
      <w:bookmarkStart w:id="331" w:name="_Toc151193845"/>
      <w:bookmarkStart w:id="332" w:name="_Toc127161445"/>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51193630"/>
      <w:bookmarkStart w:id="334" w:name="_Toc127151733"/>
      <w:bookmarkStart w:id="335" w:name="_Toc150509283"/>
      <w:bookmarkStart w:id="336" w:name="_Toc226965805"/>
      <w:bookmarkStart w:id="337" w:name="_Toc226965722"/>
      <w:bookmarkStart w:id="338" w:name="_Toc265228370"/>
      <w:bookmarkStart w:id="339" w:name="_Toc142311034"/>
      <w:bookmarkStart w:id="340" w:name="_Toc164608801"/>
      <w:bookmarkStart w:id="341" w:name="_Toc164351626"/>
      <w:bookmarkStart w:id="342" w:name="_Toc150480770"/>
      <w:bookmarkStart w:id="343" w:name="_Toc520356157"/>
      <w:bookmarkStart w:id="344" w:name="_Toc164608646"/>
      <w:bookmarkStart w:id="345" w:name="_Toc151193846"/>
      <w:bookmarkStart w:id="346" w:name="_Toc164229227"/>
      <w:bookmarkStart w:id="347" w:name="_Toc151193920"/>
      <w:bookmarkStart w:id="348" w:name="_Toc305158874"/>
      <w:bookmarkStart w:id="349" w:name="_Toc150774632"/>
      <w:bookmarkStart w:id="350" w:name="_Toc264969222"/>
      <w:bookmarkStart w:id="351" w:name="_Toc195842897"/>
      <w:bookmarkStart w:id="352" w:name="_Toc164229373"/>
      <w:bookmarkStart w:id="353" w:name="_Toc226337228"/>
      <w:bookmarkStart w:id="354" w:name="_Toc226309776"/>
      <w:bookmarkStart w:id="355" w:name="_Toc305158800"/>
      <w:bookmarkStart w:id="356" w:name="_Toc127151532"/>
      <w:bookmarkStart w:id="357" w:name="_Toc150774737"/>
      <w:bookmarkStart w:id="358" w:name="_Toc149720825"/>
      <w:bookmarkStart w:id="359" w:name="_Toc151193774"/>
      <w:bookmarkStart w:id="360" w:name="_Toc151193702"/>
      <w:bookmarkStart w:id="361" w:name="_Toc127161446"/>
      <w:bookmarkStart w:id="362" w:name="_Toc151190159"/>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51193775"/>
      <w:bookmarkStart w:id="364" w:name="_Toc164608647"/>
      <w:bookmarkStart w:id="365" w:name="_Toc226337229"/>
      <w:bookmarkStart w:id="366" w:name="_Toc226309777"/>
      <w:bookmarkStart w:id="367" w:name="_Toc127151734"/>
      <w:bookmarkStart w:id="368" w:name="_Toc151193847"/>
      <w:bookmarkStart w:id="369" w:name="_Toc305158875"/>
      <w:bookmarkStart w:id="370" w:name="_Toc142311035"/>
      <w:bookmarkStart w:id="371" w:name="_Toc151193921"/>
      <w:bookmarkStart w:id="372" w:name="_Toc150774633"/>
      <w:bookmarkStart w:id="373" w:name="_Toc164229374"/>
      <w:bookmarkStart w:id="374" w:name="_Toc226965806"/>
      <w:bookmarkStart w:id="375" w:name="_Toc127151533"/>
      <w:bookmarkStart w:id="376" w:name="_Toc164351627"/>
      <w:bookmarkStart w:id="377" w:name="_Toc195842898"/>
      <w:bookmarkStart w:id="378" w:name="_Toc151193631"/>
      <w:bookmarkStart w:id="379" w:name="_Toc164608802"/>
      <w:bookmarkStart w:id="380" w:name="_Toc151193703"/>
      <w:bookmarkStart w:id="381" w:name="_Toc127161447"/>
      <w:bookmarkStart w:id="382" w:name="_Toc150774738"/>
      <w:bookmarkStart w:id="383" w:name="_Toc150480771"/>
      <w:bookmarkStart w:id="384" w:name="_Toc150509284"/>
      <w:bookmarkStart w:id="385" w:name="_Toc226965723"/>
      <w:bookmarkStart w:id="386" w:name="_Toc520356158"/>
      <w:bookmarkStart w:id="387" w:name="_Toc305158801"/>
      <w:bookmarkStart w:id="388" w:name="_Toc151190160"/>
      <w:bookmarkStart w:id="389" w:name="_Toc264969223"/>
      <w:bookmarkStart w:id="390" w:name="_Toc265228371"/>
      <w:bookmarkStart w:id="391" w:name="_Toc149720826"/>
      <w:bookmarkStart w:id="392" w:name="_Toc164229228"/>
      <w:bookmarkStart w:id="393" w:name="_Toc305158876"/>
      <w:bookmarkStart w:id="394" w:name="_Toc150509285"/>
      <w:bookmarkStart w:id="395" w:name="_Toc151193922"/>
      <w:bookmarkStart w:id="396" w:name="_Toc226337230"/>
      <w:bookmarkStart w:id="397" w:name="_Toc150480772"/>
      <w:bookmarkStart w:id="398" w:name="_Toc151193704"/>
      <w:bookmarkStart w:id="399" w:name="_Toc151193632"/>
      <w:bookmarkStart w:id="400" w:name="_Toc226309778"/>
      <w:bookmarkStart w:id="401" w:name="_Toc151190161"/>
      <w:bookmarkStart w:id="402" w:name="_Toc264969224"/>
      <w:bookmarkStart w:id="403" w:name="_Toc520356159"/>
      <w:bookmarkStart w:id="404" w:name="_Toc151193848"/>
      <w:bookmarkStart w:id="405" w:name="_Toc150774739"/>
      <w:bookmarkStart w:id="406" w:name="_Toc127151534"/>
      <w:bookmarkStart w:id="407" w:name="_Toc305158802"/>
      <w:bookmarkStart w:id="408" w:name="_Toc142311036"/>
      <w:bookmarkStart w:id="409" w:name="_Toc151193776"/>
      <w:bookmarkStart w:id="410" w:name="_Toc226965724"/>
      <w:bookmarkStart w:id="411" w:name="_Toc265228372"/>
      <w:bookmarkStart w:id="412" w:name="_Toc226965807"/>
      <w:bookmarkStart w:id="413" w:name="_Toc150774634"/>
      <w:bookmarkStart w:id="414" w:name="_Toc195842899"/>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5"/>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64229230"/>
      <w:bookmarkStart w:id="417" w:name="_Toc151193777"/>
      <w:bookmarkStart w:id="418" w:name="_Toc151193923"/>
      <w:bookmarkStart w:id="419" w:name="_Toc150509286"/>
      <w:bookmarkStart w:id="420" w:name="_Toc142311037"/>
      <w:bookmarkStart w:id="421" w:name="_Toc164351629"/>
      <w:bookmarkStart w:id="422" w:name="_Toc305158877"/>
      <w:bookmarkStart w:id="423" w:name="_Toc151193705"/>
      <w:bookmarkStart w:id="424" w:name="_Toc151193849"/>
      <w:bookmarkStart w:id="425" w:name="_Toc226965725"/>
      <w:bookmarkStart w:id="426" w:name="_Toc127151535"/>
      <w:bookmarkStart w:id="427" w:name="_Toc520356160"/>
      <w:bookmarkStart w:id="428" w:name="_Toc305158803"/>
      <w:bookmarkStart w:id="429" w:name="_Toc151193633"/>
      <w:bookmarkStart w:id="430" w:name="_Toc151190162"/>
      <w:bookmarkStart w:id="431" w:name="_Toc226309779"/>
      <w:bookmarkStart w:id="432" w:name="_Toc226337231"/>
      <w:bookmarkStart w:id="433" w:name="_Toc149720828"/>
      <w:bookmarkStart w:id="434" w:name="_Toc264969225"/>
      <w:bookmarkStart w:id="435" w:name="_Toc150774635"/>
      <w:bookmarkStart w:id="436" w:name="_Toc150774740"/>
      <w:bookmarkStart w:id="437" w:name="_Toc164608804"/>
      <w:bookmarkStart w:id="438" w:name="_Toc226965808"/>
      <w:bookmarkStart w:id="439" w:name="_Toc164608649"/>
      <w:bookmarkStart w:id="440" w:name="_Toc265228373"/>
      <w:bookmarkStart w:id="441" w:name="_Toc150480773"/>
      <w:bookmarkStart w:id="442" w:name="_Toc164229376"/>
      <w:bookmarkStart w:id="443" w:name="_Toc127151736"/>
      <w:bookmarkStart w:id="444" w:name="_Toc195842900"/>
      <w:bookmarkStart w:id="445" w:name="_Toc127161449"/>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226965726"/>
      <w:bookmarkStart w:id="447" w:name="_Toc151193924"/>
      <w:bookmarkStart w:id="448" w:name="_Toc164608650"/>
      <w:bookmarkStart w:id="449" w:name="_Toc195842901"/>
      <w:bookmarkStart w:id="450" w:name="_Toc265228374"/>
      <w:bookmarkStart w:id="451" w:name="_Toc520356161"/>
      <w:bookmarkStart w:id="452" w:name="_Toc164229231"/>
      <w:bookmarkStart w:id="453" w:name="_Toc164229377"/>
      <w:bookmarkStart w:id="454" w:name="_Toc226965809"/>
      <w:bookmarkStart w:id="455" w:name="_Toc151193706"/>
      <w:bookmarkStart w:id="456" w:name="_Toc226309780"/>
      <w:bookmarkStart w:id="457" w:name="_Toc151193850"/>
      <w:bookmarkStart w:id="458" w:name="_Toc127151737"/>
      <w:bookmarkStart w:id="459" w:name="_Toc150509287"/>
      <w:bookmarkStart w:id="460" w:name="_Toc164608805"/>
      <w:bookmarkStart w:id="461" w:name="_Toc142311038"/>
      <w:bookmarkStart w:id="462" w:name="_Toc226337232"/>
      <w:bookmarkStart w:id="463" w:name="_Toc149720829"/>
      <w:bookmarkStart w:id="464" w:name="_Toc164351630"/>
      <w:bookmarkStart w:id="465" w:name="_Toc151190163"/>
      <w:bookmarkStart w:id="466" w:name="_Toc127161450"/>
      <w:bookmarkStart w:id="467" w:name="_Toc150774636"/>
      <w:bookmarkStart w:id="468" w:name="_Toc127151536"/>
      <w:bookmarkStart w:id="469" w:name="_Toc150774741"/>
      <w:bookmarkStart w:id="470" w:name="_Toc305158804"/>
      <w:bookmarkStart w:id="471" w:name="_Toc150480774"/>
      <w:bookmarkStart w:id="472" w:name="_Toc305158878"/>
      <w:bookmarkStart w:id="473" w:name="_Toc151193778"/>
      <w:bookmarkStart w:id="474" w:name="_Toc264969226"/>
      <w:bookmarkStart w:id="475" w:name="_Toc151193634"/>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51190164"/>
      <w:bookmarkStart w:id="477" w:name="_Toc151193779"/>
      <w:bookmarkStart w:id="478" w:name="_Toc151193635"/>
      <w:bookmarkStart w:id="479" w:name="_Toc150480775"/>
      <w:bookmarkStart w:id="480" w:name="_Toc226965810"/>
      <w:bookmarkStart w:id="481" w:name="_Toc150509288"/>
      <w:bookmarkStart w:id="482" w:name="_Toc195842902"/>
      <w:bookmarkStart w:id="483" w:name="_Toc164608806"/>
      <w:bookmarkStart w:id="484" w:name="_Toc127161451"/>
      <w:bookmarkStart w:id="485" w:name="_Toc150774637"/>
      <w:bookmarkStart w:id="486" w:name="_Toc164229232"/>
      <w:bookmarkStart w:id="487" w:name="_Toc150774742"/>
      <w:bookmarkStart w:id="488" w:name="_Toc265228375"/>
      <w:bookmarkStart w:id="489" w:name="_Toc226309781"/>
      <w:bookmarkStart w:id="490" w:name="_Toc305158805"/>
      <w:bookmarkStart w:id="491" w:name="_Toc164351631"/>
      <w:bookmarkStart w:id="492" w:name="_Toc151193707"/>
      <w:bookmarkStart w:id="493" w:name="_Toc520356162"/>
      <w:bookmarkStart w:id="494" w:name="_Toc164229378"/>
      <w:bookmarkStart w:id="495" w:name="_Toc151193925"/>
      <w:bookmarkStart w:id="496" w:name="_Toc149720830"/>
      <w:bookmarkStart w:id="497" w:name="_Toc264969227"/>
      <w:bookmarkStart w:id="498" w:name="_Toc127151738"/>
      <w:bookmarkStart w:id="499" w:name="_Toc142311039"/>
      <w:bookmarkStart w:id="500" w:name="_Toc226337233"/>
      <w:bookmarkStart w:id="501" w:name="_Toc164608651"/>
      <w:bookmarkStart w:id="502" w:name="_Toc226965727"/>
      <w:bookmarkStart w:id="503" w:name="_Toc305158879"/>
      <w:bookmarkStart w:id="504" w:name="_Toc151193851"/>
      <w:bookmarkStart w:id="505" w:name="_Toc127151537"/>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5"/>
        <w:spacing w:before="0" w:line="360" w:lineRule="auto"/>
        <w:rPr>
          <w:rFonts w:ascii="Times New Roman" w:hAnsi="Times New Roman" w:eastAsia="宋体"/>
          <w:color w:val="auto"/>
          <w:sz w:val="28"/>
          <w:highlight w:val="none"/>
        </w:rPr>
      </w:pPr>
      <w:bookmarkStart w:id="506" w:name="_Toc305158880"/>
      <w:bookmarkStart w:id="507" w:name="_Toc150509289"/>
      <w:bookmarkStart w:id="508" w:name="_Toc151193852"/>
      <w:bookmarkStart w:id="509" w:name="_Toc226309782"/>
      <w:bookmarkStart w:id="510" w:name="_Toc226965728"/>
      <w:bookmarkStart w:id="511" w:name="_Toc142311040"/>
      <w:bookmarkStart w:id="512" w:name="_Toc520356163"/>
      <w:bookmarkStart w:id="513" w:name="_Toc151193780"/>
      <w:bookmarkStart w:id="514" w:name="_Toc151190165"/>
      <w:bookmarkStart w:id="515" w:name="_Toc305158806"/>
      <w:bookmarkStart w:id="516" w:name="_Toc151193636"/>
      <w:bookmarkStart w:id="517" w:name="_Toc195842903"/>
      <w:bookmarkStart w:id="518" w:name="_Toc150480776"/>
      <w:bookmarkStart w:id="519" w:name="_Toc265228376"/>
      <w:bookmarkStart w:id="520" w:name="_Toc127151538"/>
      <w:bookmarkStart w:id="521" w:name="_Toc226337234"/>
      <w:bookmarkStart w:id="522" w:name="_Toc150774638"/>
      <w:bookmarkStart w:id="523" w:name="_Toc264969228"/>
      <w:bookmarkStart w:id="524" w:name="_Toc151193708"/>
      <w:bookmarkStart w:id="525" w:name="_Toc150774743"/>
      <w:bookmarkStart w:id="526" w:name="_Toc151193926"/>
      <w:bookmarkStart w:id="527" w:name="_Toc226965811"/>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50509290"/>
      <w:bookmarkStart w:id="529" w:name="_Toc226965729"/>
      <w:bookmarkStart w:id="530" w:name="_Toc226965812"/>
      <w:bookmarkStart w:id="531" w:name="_Toc305158807"/>
      <w:bookmarkStart w:id="532" w:name="_Toc164229380"/>
      <w:bookmarkStart w:id="533" w:name="_Toc520356164"/>
      <w:bookmarkStart w:id="534" w:name="_Toc151193709"/>
      <w:bookmarkStart w:id="535" w:name="_Toc164608653"/>
      <w:bookmarkStart w:id="536" w:name="_Toc151193853"/>
      <w:bookmarkStart w:id="537" w:name="_Toc150774639"/>
      <w:bookmarkStart w:id="538" w:name="_Toc127151539"/>
      <w:bookmarkStart w:id="539" w:name="_Toc164229234"/>
      <w:bookmarkStart w:id="540" w:name="_Toc127151740"/>
      <w:bookmarkStart w:id="541" w:name="_Toc226309783"/>
      <w:bookmarkStart w:id="542" w:name="_Toc226337235"/>
      <w:bookmarkStart w:id="543" w:name="_Toc164608808"/>
      <w:bookmarkStart w:id="544" w:name="_Toc150774744"/>
      <w:bookmarkStart w:id="545" w:name="_Toc150480777"/>
      <w:bookmarkStart w:id="546" w:name="_Toc149720832"/>
      <w:bookmarkStart w:id="547" w:name="_Toc305158881"/>
      <w:bookmarkStart w:id="548" w:name="_Toc142311041"/>
      <w:bookmarkStart w:id="549" w:name="_Toc264969229"/>
      <w:bookmarkStart w:id="550" w:name="_Toc265228377"/>
      <w:bookmarkStart w:id="551" w:name="_Toc151193637"/>
      <w:bookmarkStart w:id="552" w:name="_Toc151193781"/>
      <w:bookmarkStart w:id="553" w:name="_Toc151190166"/>
      <w:bookmarkStart w:id="554" w:name="_Toc164351633"/>
      <w:bookmarkStart w:id="555" w:name="_Toc127161453"/>
      <w:bookmarkStart w:id="556" w:name="_Toc195842904"/>
      <w:bookmarkStart w:id="557" w:name="_Toc151193927"/>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64608654"/>
      <w:bookmarkStart w:id="560" w:name="_Toc305158808"/>
      <w:bookmarkStart w:id="561" w:name="_Toc195842905"/>
      <w:bookmarkStart w:id="562" w:name="_Toc264969230"/>
      <w:bookmarkStart w:id="563" w:name="_Toc127151741"/>
      <w:bookmarkStart w:id="564" w:name="_Toc127161454"/>
      <w:bookmarkStart w:id="565" w:name="_Toc150774745"/>
      <w:bookmarkStart w:id="566" w:name="_Toc305158882"/>
      <w:bookmarkStart w:id="567" w:name="_Toc164608809"/>
      <w:bookmarkStart w:id="568" w:name="_Toc151193638"/>
      <w:bookmarkStart w:id="569" w:name="_Toc226337236"/>
      <w:bookmarkStart w:id="570" w:name="_Toc151190167"/>
      <w:bookmarkStart w:id="571" w:name="_Toc150509291"/>
      <w:bookmarkStart w:id="572" w:name="_Toc164229381"/>
      <w:bookmarkStart w:id="573" w:name="_Toc151193782"/>
      <w:bookmarkStart w:id="574" w:name="_Toc164351634"/>
      <w:bookmarkStart w:id="575" w:name="_Toc226965813"/>
      <w:bookmarkStart w:id="576" w:name="_Toc164229235"/>
      <w:bookmarkStart w:id="577" w:name="_Toc142311042"/>
      <w:bookmarkStart w:id="578" w:name="_Toc127151540"/>
      <w:bookmarkStart w:id="579" w:name="_Toc265228378"/>
      <w:bookmarkStart w:id="580" w:name="_Toc149720833"/>
      <w:bookmarkStart w:id="581" w:name="_Toc150480778"/>
      <w:bookmarkStart w:id="582" w:name="_Toc226309784"/>
      <w:bookmarkStart w:id="583" w:name="_Toc151193854"/>
      <w:bookmarkStart w:id="584" w:name="_Toc151193928"/>
      <w:bookmarkStart w:id="585" w:name="_Toc226965730"/>
      <w:bookmarkStart w:id="586" w:name="_Toc150774640"/>
      <w:bookmarkStart w:id="587" w:name="_Toc151193710"/>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150774645"/>
      <w:bookmarkStart w:id="590" w:name="_Toc151193859"/>
      <w:bookmarkStart w:id="591" w:name="_Toc151190172"/>
      <w:bookmarkStart w:id="592" w:name="_Toc226965818"/>
      <w:bookmarkStart w:id="593" w:name="_Toc305158887"/>
      <w:bookmarkStart w:id="594" w:name="_Toc195842910"/>
      <w:bookmarkStart w:id="595" w:name="_Toc150480783"/>
      <w:bookmarkStart w:id="596" w:name="_Toc142311047"/>
      <w:bookmarkStart w:id="597" w:name="_Toc226337241"/>
      <w:bookmarkStart w:id="598" w:name="_Toc226309789"/>
      <w:bookmarkStart w:id="599" w:name="_Toc127151545"/>
      <w:bookmarkStart w:id="600" w:name="_Toc151193715"/>
      <w:bookmarkStart w:id="601" w:name="_Toc226965735"/>
      <w:bookmarkStart w:id="602" w:name="_Toc264969235"/>
      <w:bookmarkStart w:id="603" w:name="_Toc150774750"/>
      <w:bookmarkStart w:id="604" w:name="_Toc150509296"/>
      <w:bookmarkStart w:id="605" w:name="_Toc151193933"/>
      <w:bookmarkStart w:id="606" w:name="_Toc265228383"/>
      <w:bookmarkStart w:id="607" w:name="_Toc305158813"/>
      <w:bookmarkStart w:id="608" w:name="_Toc151193643"/>
      <w:bookmarkStart w:id="609" w:name="_Toc151193787"/>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95842912"/>
      <w:bookmarkStart w:id="611" w:name="_Toc164351641"/>
      <w:bookmarkStart w:id="612" w:name="_Toc150774752"/>
      <w:bookmarkStart w:id="613" w:name="_Toc164229388"/>
      <w:bookmarkStart w:id="614" w:name="_Toc151193935"/>
      <w:bookmarkStart w:id="615" w:name="_Toc265228385"/>
      <w:bookmarkStart w:id="616" w:name="_Toc151193645"/>
      <w:bookmarkStart w:id="617" w:name="_Toc127151547"/>
      <w:bookmarkStart w:id="618" w:name="_Toc226965820"/>
      <w:bookmarkStart w:id="619" w:name="_Toc149720840"/>
      <w:bookmarkStart w:id="620" w:name="_Toc142311049"/>
      <w:bookmarkStart w:id="621" w:name="_Toc151193789"/>
      <w:bookmarkStart w:id="622" w:name="_Toc150774647"/>
      <w:bookmarkStart w:id="623" w:name="_Toc226309791"/>
      <w:bookmarkStart w:id="624" w:name="_Toc305158815"/>
      <w:bookmarkStart w:id="625" w:name="_Toc305158889"/>
      <w:bookmarkStart w:id="626" w:name="_Toc150509298"/>
      <w:bookmarkStart w:id="627" w:name="_Toc151193861"/>
      <w:bookmarkStart w:id="628" w:name="_Toc151190174"/>
      <w:bookmarkStart w:id="629" w:name="_Toc150480785"/>
      <w:bookmarkStart w:id="630" w:name="_Toc164229242"/>
      <w:bookmarkStart w:id="631" w:name="_Toc151193717"/>
      <w:bookmarkStart w:id="632" w:name="_Toc164608661"/>
      <w:bookmarkStart w:id="633" w:name="_Toc226965737"/>
      <w:bookmarkStart w:id="634" w:name="_Toc226337243"/>
      <w:bookmarkStart w:id="635" w:name="_Toc127151748"/>
      <w:bookmarkStart w:id="636" w:name="_Toc264969237"/>
      <w:bookmarkStart w:id="637" w:name="_Toc127161461"/>
      <w:bookmarkStart w:id="638" w:name="_Toc164608816"/>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164229390"/>
      <w:bookmarkStart w:id="642" w:name="_Toc151193937"/>
      <w:bookmarkStart w:id="643" w:name="_Toc151193863"/>
      <w:bookmarkStart w:id="644" w:name="_Toc226337245"/>
      <w:bookmarkStart w:id="645" w:name="_Toc265228387"/>
      <w:bookmarkStart w:id="646" w:name="_Toc150509300"/>
      <w:bookmarkStart w:id="647" w:name="_Toc164608818"/>
      <w:bookmarkStart w:id="648" w:name="_Toc195842914"/>
      <w:bookmarkStart w:id="649" w:name="_Toc127161463"/>
      <w:bookmarkStart w:id="650" w:name="_Toc142311051"/>
      <w:bookmarkStart w:id="651" w:name="_Toc151193719"/>
      <w:bookmarkStart w:id="652" w:name="_Toc150480787"/>
      <w:bookmarkStart w:id="653" w:name="_Toc151190176"/>
      <w:bookmarkStart w:id="654" w:name="_Toc226965822"/>
      <w:bookmarkStart w:id="655" w:name="_Toc151193647"/>
      <w:bookmarkStart w:id="656" w:name="_Toc264969239"/>
      <w:bookmarkStart w:id="657" w:name="_Toc164351643"/>
      <w:bookmarkStart w:id="658" w:name="_Toc226309793"/>
      <w:bookmarkStart w:id="659" w:name="_Toc149720842"/>
      <w:bookmarkStart w:id="660" w:name="_Toc226965739"/>
      <w:bookmarkStart w:id="661" w:name="_Toc127151750"/>
      <w:bookmarkStart w:id="662" w:name="_Toc164229244"/>
      <w:bookmarkStart w:id="663" w:name="_Toc127151549"/>
      <w:bookmarkStart w:id="664" w:name="_Toc151193791"/>
      <w:bookmarkStart w:id="665" w:name="_Toc150774649"/>
      <w:bookmarkStart w:id="666" w:name="_Toc164608663"/>
      <w:bookmarkStart w:id="667" w:name="_Toc150774754"/>
      <w:bookmarkStart w:id="668" w:name="_Ref467306425"/>
      <w:bookmarkStart w:id="669" w:name="_Ref467307090"/>
      <w:bookmarkStart w:id="670" w:name="_Toc520356176"/>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226309794"/>
      <w:bookmarkStart w:id="672" w:name="_Toc151193938"/>
      <w:bookmarkStart w:id="673" w:name="_Toc151193864"/>
      <w:bookmarkStart w:id="674" w:name="_Toc226337246"/>
      <w:bookmarkStart w:id="675" w:name="_Toc150509301"/>
      <w:bookmarkStart w:id="676" w:name="_Toc305158892"/>
      <w:bookmarkStart w:id="677" w:name="_Toc264969240"/>
      <w:bookmarkStart w:id="678" w:name="_Toc127161464"/>
      <w:bookmarkStart w:id="679" w:name="_Toc164608664"/>
      <w:bookmarkStart w:id="680" w:name="_Ref467306377"/>
      <w:bookmarkStart w:id="681" w:name="_Toc150774755"/>
      <w:bookmarkStart w:id="682" w:name="_Toc305158818"/>
      <w:bookmarkStart w:id="683" w:name="_Toc151193648"/>
      <w:bookmarkStart w:id="684" w:name="_Toc150774650"/>
      <w:bookmarkStart w:id="685" w:name="_Toc164229245"/>
      <w:bookmarkStart w:id="686" w:name="_Toc164608819"/>
      <w:bookmarkStart w:id="687" w:name="_Toc127151550"/>
      <w:bookmarkStart w:id="688" w:name="_Ref467307062"/>
      <w:bookmarkStart w:id="689" w:name="_Toc226965823"/>
      <w:bookmarkStart w:id="690" w:name="_Toc151193792"/>
      <w:bookmarkStart w:id="691" w:name="_Toc149720843"/>
      <w:bookmarkStart w:id="692" w:name="_Toc151193720"/>
      <w:bookmarkStart w:id="693" w:name="_Toc150480788"/>
      <w:bookmarkStart w:id="694" w:name="_Toc127151751"/>
      <w:bookmarkStart w:id="695" w:name="_Toc142311052"/>
      <w:bookmarkStart w:id="696" w:name="_Toc520356175"/>
      <w:bookmarkStart w:id="697" w:name="_Toc164351644"/>
      <w:bookmarkStart w:id="698" w:name="_Toc265228388"/>
      <w:bookmarkStart w:id="699" w:name="_Toc151190177"/>
      <w:bookmarkStart w:id="700" w:name="_Ref467306978"/>
      <w:bookmarkStart w:id="701" w:name="_Toc164229391"/>
      <w:bookmarkStart w:id="702" w:name="_Ref467307204"/>
      <w:bookmarkStart w:id="703" w:name="_Toc226965740"/>
      <w:bookmarkStart w:id="704" w:name="_Toc195842915"/>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4"/>
      <w:bookmarkStart w:id="707" w:name="_Hlt100653993"/>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53873664"/>
      <w:bookmarkStart w:id="709" w:name="_Toc353873934"/>
      <w:bookmarkStart w:id="710" w:name="_Toc265228392"/>
      <w:bookmarkStart w:id="711" w:name="_Toc150774759"/>
      <w:bookmarkStart w:id="712" w:name="_Toc127151554"/>
      <w:bookmarkStart w:id="713" w:name="_Toc353825544"/>
      <w:bookmarkStart w:id="714" w:name="_Toc150480792"/>
      <w:bookmarkStart w:id="715" w:name="_Toc305158822"/>
      <w:bookmarkStart w:id="716" w:name="_Toc305158896"/>
      <w:bookmarkStart w:id="717" w:name="_Toc142311056"/>
      <w:bookmarkStart w:id="718" w:name="_Toc226965827"/>
      <w:bookmarkStart w:id="719" w:name="_Toc226337250"/>
      <w:bookmarkStart w:id="720" w:name="_Toc264969244"/>
      <w:bookmarkStart w:id="721" w:name="_Toc99301421"/>
      <w:bookmarkStart w:id="722" w:name="_Toc4607"/>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353873940"/>
            <w:bookmarkStart w:id="727" w:name="_Toc127151779"/>
            <w:bookmarkStart w:id="728" w:name="_Toc127161490"/>
            <w:bookmarkStart w:id="729" w:name="_Toc353825550"/>
            <w:bookmarkStart w:id="730" w:name="_Toc226965858"/>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bl>
    <w:p w14:paraId="29F4A380">
      <w:pPr>
        <w:widowControl/>
        <w:jc w:val="center"/>
        <w:rPr>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64351635"/>
      <w:bookmarkStart w:id="735" w:name="_Toc164229382"/>
      <w:bookmarkStart w:id="736" w:name="_Toc127161455"/>
      <w:bookmarkStart w:id="737" w:name="_Toc149720834"/>
      <w:bookmarkStart w:id="738" w:name="_Toc195842906"/>
      <w:bookmarkStart w:id="739" w:name="_Toc305158883"/>
      <w:bookmarkStart w:id="740" w:name="_Toc150774641"/>
      <w:bookmarkStart w:id="741" w:name="_Toc151193711"/>
      <w:bookmarkStart w:id="742" w:name="_Toc151193783"/>
      <w:bookmarkStart w:id="743" w:name="_Toc226965814"/>
      <w:bookmarkStart w:id="744" w:name="_Toc265228379"/>
      <w:bookmarkStart w:id="745" w:name="_Toc164608655"/>
      <w:bookmarkStart w:id="746" w:name="_Toc151193855"/>
      <w:bookmarkStart w:id="747" w:name="_Toc226965731"/>
      <w:bookmarkStart w:id="748" w:name="_Toc151190168"/>
      <w:bookmarkStart w:id="749" w:name="_Toc151193639"/>
      <w:bookmarkStart w:id="750" w:name="_Toc164229236"/>
      <w:bookmarkStart w:id="751" w:name="_Toc150480779"/>
      <w:bookmarkStart w:id="752" w:name="_Toc164608810"/>
      <w:bookmarkStart w:id="753" w:name="_Toc305158809"/>
      <w:bookmarkStart w:id="754" w:name="_Toc150509292"/>
      <w:bookmarkStart w:id="755" w:name="_Toc127151541"/>
      <w:bookmarkStart w:id="756" w:name="_Toc142311043"/>
      <w:bookmarkStart w:id="757" w:name="_Toc127151742"/>
      <w:bookmarkStart w:id="758" w:name="_Toc150774746"/>
      <w:bookmarkStart w:id="759" w:name="_Toc264969231"/>
      <w:bookmarkStart w:id="760" w:name="_Toc226337237"/>
      <w:bookmarkStart w:id="761" w:name="_Toc151193929"/>
      <w:bookmarkStart w:id="762" w:name="_Toc226309785"/>
      <w:bookmarkStart w:id="763" w:name="_Toc353825551"/>
      <w:bookmarkStart w:id="764" w:name="_Toc353873941"/>
      <w:bookmarkStart w:id="765" w:name="_Toc226965828"/>
      <w:bookmarkStart w:id="766" w:name="_Toc353873665"/>
      <w:bookmarkStart w:id="767" w:name="_Toc142311057"/>
      <w:bookmarkStart w:id="768" w:name="_Toc264969245"/>
      <w:bookmarkStart w:id="769" w:name="_Toc305158897"/>
      <w:bookmarkStart w:id="770" w:name="_Toc150774760"/>
      <w:bookmarkStart w:id="771" w:name="_Toc127151555"/>
      <w:bookmarkStart w:id="772" w:name="_Toc150480793"/>
      <w:bookmarkStart w:id="773" w:name="_Toc195842920"/>
      <w:bookmarkStart w:id="774" w:name="_Toc353825545"/>
      <w:bookmarkStart w:id="775" w:name="_Toc353873935"/>
      <w:bookmarkStart w:id="776" w:name="_Toc265228393"/>
      <w:bookmarkStart w:id="777" w:name="_Toc226337251"/>
      <w:bookmarkStart w:id="778" w:name="_Toc305158823"/>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7634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1762C918">
            <w:pPr>
              <w:widowControl/>
              <w:jc w:val="center"/>
              <w:rPr>
                <w:b/>
                <w:color w:val="auto"/>
                <w:kern w:val="0"/>
                <w:sz w:val="24"/>
                <w:highlight w:val="none"/>
              </w:rPr>
            </w:pPr>
            <w:r>
              <w:rPr>
                <w:b/>
                <w:color w:val="auto"/>
                <w:kern w:val="0"/>
                <w:sz w:val="24"/>
                <w:highlight w:val="none"/>
              </w:rPr>
              <w:t>序号</w:t>
            </w:r>
          </w:p>
        </w:tc>
        <w:tc>
          <w:tcPr>
            <w:tcW w:w="1813" w:type="dxa"/>
            <w:vAlign w:val="center"/>
          </w:tcPr>
          <w:p w14:paraId="30B9C160">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54B6AB68">
            <w:pPr>
              <w:widowControl/>
              <w:jc w:val="center"/>
              <w:rPr>
                <w:b/>
                <w:color w:val="auto"/>
                <w:kern w:val="0"/>
                <w:sz w:val="24"/>
                <w:highlight w:val="none"/>
              </w:rPr>
            </w:pPr>
            <w:r>
              <w:rPr>
                <w:b/>
                <w:color w:val="auto"/>
                <w:kern w:val="0"/>
                <w:sz w:val="24"/>
                <w:highlight w:val="none"/>
              </w:rPr>
              <w:t>审查内容</w:t>
            </w:r>
          </w:p>
        </w:tc>
      </w:tr>
      <w:tr w14:paraId="0F9F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25D0BA">
            <w:pPr>
              <w:widowControl/>
              <w:jc w:val="center"/>
              <w:rPr>
                <w:color w:val="auto"/>
                <w:kern w:val="0"/>
                <w:sz w:val="24"/>
                <w:highlight w:val="none"/>
              </w:rPr>
            </w:pPr>
            <w:r>
              <w:rPr>
                <w:color w:val="auto"/>
                <w:kern w:val="0"/>
                <w:sz w:val="24"/>
                <w:highlight w:val="none"/>
              </w:rPr>
              <w:t>1</w:t>
            </w:r>
          </w:p>
        </w:tc>
        <w:tc>
          <w:tcPr>
            <w:tcW w:w="1813" w:type="dxa"/>
            <w:vAlign w:val="center"/>
          </w:tcPr>
          <w:p w14:paraId="35B15CF2">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735F18EC">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33FC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60B294C">
            <w:pPr>
              <w:widowControl/>
              <w:jc w:val="center"/>
              <w:rPr>
                <w:color w:val="auto"/>
                <w:kern w:val="0"/>
                <w:sz w:val="24"/>
                <w:highlight w:val="none"/>
              </w:rPr>
            </w:pPr>
            <w:r>
              <w:rPr>
                <w:color w:val="auto"/>
                <w:kern w:val="0"/>
                <w:sz w:val="24"/>
                <w:highlight w:val="none"/>
              </w:rPr>
              <w:t>2</w:t>
            </w:r>
          </w:p>
        </w:tc>
        <w:tc>
          <w:tcPr>
            <w:tcW w:w="1813" w:type="dxa"/>
            <w:vAlign w:val="center"/>
          </w:tcPr>
          <w:p w14:paraId="60AC9B97">
            <w:pPr>
              <w:widowControl/>
              <w:jc w:val="left"/>
              <w:rPr>
                <w:color w:val="auto"/>
                <w:kern w:val="0"/>
                <w:sz w:val="24"/>
                <w:highlight w:val="none"/>
              </w:rPr>
            </w:pPr>
            <w:r>
              <w:rPr>
                <w:color w:val="auto"/>
                <w:kern w:val="0"/>
                <w:sz w:val="24"/>
                <w:highlight w:val="none"/>
              </w:rPr>
              <w:t>投标完整性</w:t>
            </w:r>
          </w:p>
        </w:tc>
        <w:tc>
          <w:tcPr>
            <w:tcW w:w="6725" w:type="dxa"/>
            <w:vAlign w:val="center"/>
          </w:tcPr>
          <w:p w14:paraId="138EE86F">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0EFF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6E7388C">
            <w:pPr>
              <w:widowControl/>
              <w:jc w:val="center"/>
              <w:rPr>
                <w:color w:val="auto"/>
                <w:kern w:val="0"/>
                <w:sz w:val="24"/>
                <w:highlight w:val="none"/>
              </w:rPr>
            </w:pPr>
            <w:r>
              <w:rPr>
                <w:color w:val="auto"/>
                <w:kern w:val="0"/>
                <w:sz w:val="24"/>
                <w:highlight w:val="none"/>
              </w:rPr>
              <w:t>3</w:t>
            </w:r>
          </w:p>
        </w:tc>
        <w:tc>
          <w:tcPr>
            <w:tcW w:w="1813" w:type="dxa"/>
            <w:vAlign w:val="center"/>
          </w:tcPr>
          <w:p w14:paraId="45A36D1F">
            <w:pPr>
              <w:widowControl/>
              <w:jc w:val="left"/>
              <w:rPr>
                <w:color w:val="auto"/>
                <w:kern w:val="0"/>
                <w:sz w:val="24"/>
                <w:highlight w:val="none"/>
              </w:rPr>
            </w:pPr>
            <w:r>
              <w:rPr>
                <w:color w:val="auto"/>
                <w:kern w:val="0"/>
                <w:sz w:val="24"/>
                <w:highlight w:val="none"/>
              </w:rPr>
              <w:t>投标报价</w:t>
            </w:r>
          </w:p>
        </w:tc>
        <w:tc>
          <w:tcPr>
            <w:tcW w:w="6725" w:type="dxa"/>
            <w:vAlign w:val="center"/>
          </w:tcPr>
          <w:p w14:paraId="4552436F">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4CE1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37F3289">
            <w:pPr>
              <w:widowControl/>
              <w:jc w:val="center"/>
              <w:rPr>
                <w:color w:val="auto"/>
                <w:kern w:val="0"/>
                <w:sz w:val="24"/>
                <w:highlight w:val="none"/>
              </w:rPr>
            </w:pPr>
            <w:r>
              <w:rPr>
                <w:color w:val="auto"/>
                <w:kern w:val="0"/>
                <w:sz w:val="24"/>
                <w:highlight w:val="none"/>
              </w:rPr>
              <w:t>4</w:t>
            </w:r>
          </w:p>
        </w:tc>
        <w:tc>
          <w:tcPr>
            <w:tcW w:w="1813" w:type="dxa"/>
            <w:vAlign w:val="center"/>
          </w:tcPr>
          <w:p w14:paraId="4EA2CDE6">
            <w:pPr>
              <w:widowControl/>
              <w:jc w:val="left"/>
              <w:rPr>
                <w:color w:val="auto"/>
                <w:kern w:val="0"/>
                <w:sz w:val="24"/>
                <w:highlight w:val="none"/>
              </w:rPr>
            </w:pPr>
            <w:r>
              <w:rPr>
                <w:color w:val="auto"/>
                <w:kern w:val="0"/>
                <w:sz w:val="24"/>
                <w:highlight w:val="none"/>
              </w:rPr>
              <w:t>报价唯一性</w:t>
            </w:r>
          </w:p>
        </w:tc>
        <w:tc>
          <w:tcPr>
            <w:tcW w:w="6725" w:type="dxa"/>
            <w:vAlign w:val="center"/>
          </w:tcPr>
          <w:p w14:paraId="01FD88A2">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A88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A0AB49A">
            <w:pPr>
              <w:widowControl/>
              <w:jc w:val="center"/>
              <w:rPr>
                <w:color w:val="auto"/>
                <w:kern w:val="0"/>
                <w:sz w:val="24"/>
                <w:highlight w:val="none"/>
              </w:rPr>
            </w:pPr>
            <w:r>
              <w:rPr>
                <w:color w:val="auto"/>
                <w:kern w:val="0"/>
                <w:sz w:val="24"/>
                <w:highlight w:val="none"/>
              </w:rPr>
              <w:t>5</w:t>
            </w:r>
          </w:p>
        </w:tc>
        <w:tc>
          <w:tcPr>
            <w:tcW w:w="1813" w:type="dxa"/>
            <w:vAlign w:val="center"/>
          </w:tcPr>
          <w:p w14:paraId="6402531A">
            <w:pPr>
              <w:widowControl/>
              <w:jc w:val="left"/>
              <w:rPr>
                <w:color w:val="auto"/>
                <w:kern w:val="0"/>
                <w:sz w:val="24"/>
                <w:highlight w:val="none"/>
              </w:rPr>
            </w:pPr>
            <w:r>
              <w:rPr>
                <w:color w:val="auto"/>
                <w:kern w:val="0"/>
                <w:sz w:val="24"/>
                <w:highlight w:val="none"/>
              </w:rPr>
              <w:t>投标有效期</w:t>
            </w:r>
          </w:p>
        </w:tc>
        <w:tc>
          <w:tcPr>
            <w:tcW w:w="6725" w:type="dxa"/>
            <w:vAlign w:val="center"/>
          </w:tcPr>
          <w:p w14:paraId="57BAD4A0">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2D422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5273060">
            <w:pPr>
              <w:widowControl/>
              <w:jc w:val="center"/>
              <w:rPr>
                <w:color w:val="auto"/>
                <w:kern w:val="0"/>
                <w:sz w:val="24"/>
                <w:highlight w:val="none"/>
              </w:rPr>
            </w:pPr>
            <w:r>
              <w:rPr>
                <w:color w:val="auto"/>
                <w:kern w:val="0"/>
                <w:sz w:val="24"/>
                <w:highlight w:val="none"/>
              </w:rPr>
              <w:t>6</w:t>
            </w:r>
          </w:p>
        </w:tc>
        <w:tc>
          <w:tcPr>
            <w:tcW w:w="1813" w:type="dxa"/>
            <w:vAlign w:val="center"/>
          </w:tcPr>
          <w:p w14:paraId="7FB87C0D">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6174ED62">
            <w:pPr>
              <w:widowControl/>
              <w:jc w:val="left"/>
              <w:rPr>
                <w:color w:val="auto"/>
                <w:kern w:val="0"/>
                <w:sz w:val="24"/>
                <w:highlight w:val="none"/>
              </w:rPr>
            </w:pPr>
            <w:r>
              <w:rPr>
                <w:color w:val="auto"/>
                <w:kern w:val="0"/>
                <w:sz w:val="24"/>
                <w:highlight w:val="none"/>
              </w:rPr>
              <w:t>按照招标文件要求签署、加盖公章的；</w:t>
            </w:r>
          </w:p>
        </w:tc>
      </w:tr>
      <w:tr w14:paraId="7D86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52BAF7C">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26CE4CCD">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659DDCFC">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72DA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7F8EAEFA">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8</w:t>
            </w:r>
          </w:p>
        </w:tc>
        <w:tc>
          <w:tcPr>
            <w:tcW w:w="1813" w:type="dxa"/>
            <w:shd w:val="clear" w:color="auto" w:fill="auto"/>
            <w:vAlign w:val="center"/>
          </w:tcPr>
          <w:p w14:paraId="59F3AA0C">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★号条款响应</w:t>
            </w:r>
          </w:p>
        </w:tc>
        <w:tc>
          <w:tcPr>
            <w:tcW w:w="6725" w:type="dxa"/>
            <w:shd w:val="clear" w:color="auto" w:fill="auto"/>
            <w:vAlign w:val="center"/>
          </w:tcPr>
          <w:p w14:paraId="06101F0E">
            <w:pPr>
              <w:widowControl/>
              <w:jc w:val="left"/>
              <w:rPr>
                <w:color w:val="auto"/>
                <w:kern w:val="0"/>
                <w:sz w:val="24"/>
                <w:highlight w:val="none"/>
              </w:rPr>
            </w:pPr>
            <w:r>
              <w:rPr>
                <w:color w:val="auto"/>
                <w:kern w:val="0"/>
                <w:sz w:val="24"/>
                <w:highlight w:val="none"/>
              </w:rPr>
              <w:t>投标文件</w:t>
            </w:r>
            <w:r>
              <w:rPr>
                <w:rFonts w:hint="eastAsia" w:ascii="宋体" w:hAnsi="宋体" w:cs="宋体"/>
                <w:color w:val="auto"/>
                <w:kern w:val="0"/>
                <w:sz w:val="24"/>
                <w:highlight w:val="none"/>
              </w:rPr>
              <w:t>满足</w:t>
            </w:r>
            <w:r>
              <w:rPr>
                <w:rFonts w:hint="eastAsia" w:ascii="宋体" w:hAnsi="宋体" w:cs="宋体"/>
                <w:color w:val="auto"/>
                <w:kern w:val="0"/>
                <w:sz w:val="24"/>
                <w:highlight w:val="none"/>
                <w:lang w:val="en-US" w:eastAsia="zh-CN"/>
              </w:rPr>
              <w:t>招标</w:t>
            </w:r>
            <w:r>
              <w:rPr>
                <w:rFonts w:hint="eastAsia" w:ascii="宋体" w:hAnsi="宋体" w:cs="宋体"/>
                <w:color w:val="auto"/>
                <w:kern w:val="0"/>
                <w:sz w:val="24"/>
                <w:highlight w:val="none"/>
              </w:rPr>
              <w:t>文件第</w:t>
            </w:r>
            <w:r>
              <w:rPr>
                <w:rFonts w:hint="eastAsia" w:ascii="宋体" w:hAnsi="宋体" w:cs="宋体"/>
                <w:color w:val="auto"/>
                <w:kern w:val="0"/>
                <w:sz w:val="24"/>
                <w:highlight w:val="none"/>
                <w:lang w:val="en-US" w:eastAsia="zh-CN"/>
              </w:rPr>
              <w:t>五</w:t>
            </w:r>
            <w:r>
              <w:rPr>
                <w:rFonts w:hint="eastAsia" w:ascii="宋体" w:hAnsi="宋体" w:cs="宋体"/>
                <w:color w:val="auto"/>
                <w:kern w:val="0"/>
                <w:sz w:val="24"/>
                <w:highlight w:val="none"/>
              </w:rPr>
              <w:t>章《采购需求》中★号条款要求的；</w:t>
            </w:r>
          </w:p>
        </w:tc>
      </w:tr>
      <w:tr w14:paraId="6CFD3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2BA3C2B9">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9</w:t>
            </w:r>
          </w:p>
        </w:tc>
        <w:tc>
          <w:tcPr>
            <w:tcW w:w="1813" w:type="dxa"/>
            <w:shd w:val="clear" w:color="auto" w:fill="auto"/>
            <w:vAlign w:val="center"/>
          </w:tcPr>
          <w:p w14:paraId="0D7B29FD">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 xml:space="preserve">报价的修正 </w:t>
            </w:r>
          </w:p>
        </w:tc>
        <w:tc>
          <w:tcPr>
            <w:tcW w:w="6725" w:type="dxa"/>
            <w:shd w:val="clear" w:color="auto" w:fill="auto"/>
            <w:vAlign w:val="center"/>
          </w:tcPr>
          <w:p w14:paraId="14F37BFF">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3CA9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DB96092">
            <w:pPr>
              <w:widowControl/>
              <w:spacing w:line="360" w:lineRule="exact"/>
              <w:jc w:val="center"/>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10</w:t>
            </w:r>
          </w:p>
        </w:tc>
        <w:tc>
          <w:tcPr>
            <w:tcW w:w="1813" w:type="dxa"/>
            <w:vAlign w:val="center"/>
          </w:tcPr>
          <w:p w14:paraId="6A019245">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报价合理性</w:t>
            </w:r>
          </w:p>
        </w:tc>
        <w:tc>
          <w:tcPr>
            <w:tcW w:w="6725" w:type="dxa"/>
            <w:vAlign w:val="center"/>
          </w:tcPr>
          <w:p w14:paraId="3A8AEAC2">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5C8FA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2E337EF">
            <w:pPr>
              <w:widowControl/>
              <w:spacing w:line="360" w:lineRule="exact"/>
              <w:jc w:val="center"/>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11</w:t>
            </w:r>
          </w:p>
        </w:tc>
        <w:tc>
          <w:tcPr>
            <w:tcW w:w="1813" w:type="dxa"/>
            <w:vAlign w:val="center"/>
          </w:tcPr>
          <w:p w14:paraId="283BBFDA">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公平竞争</w:t>
            </w:r>
          </w:p>
        </w:tc>
        <w:tc>
          <w:tcPr>
            <w:tcW w:w="6725" w:type="dxa"/>
            <w:vAlign w:val="center"/>
          </w:tcPr>
          <w:p w14:paraId="27CDA3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7DD2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81D43AF">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8E4683D">
            <w:pPr>
              <w:widowControl/>
              <w:jc w:val="left"/>
              <w:rPr>
                <w:color w:val="auto"/>
                <w:kern w:val="0"/>
                <w:sz w:val="24"/>
                <w:highlight w:val="none"/>
              </w:rPr>
            </w:pPr>
            <w:r>
              <w:rPr>
                <w:color w:val="auto"/>
                <w:kern w:val="0"/>
                <w:sz w:val="24"/>
                <w:highlight w:val="none"/>
              </w:rPr>
              <w:t>串通投标</w:t>
            </w:r>
          </w:p>
        </w:tc>
        <w:tc>
          <w:tcPr>
            <w:tcW w:w="6725" w:type="dxa"/>
            <w:vAlign w:val="center"/>
          </w:tcPr>
          <w:p w14:paraId="6464E85B">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7AE0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01F5C61">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079C052C">
            <w:pPr>
              <w:widowControl/>
              <w:jc w:val="left"/>
              <w:rPr>
                <w:color w:val="auto"/>
                <w:kern w:val="0"/>
                <w:sz w:val="24"/>
                <w:highlight w:val="none"/>
              </w:rPr>
            </w:pPr>
            <w:r>
              <w:rPr>
                <w:color w:val="auto"/>
                <w:kern w:val="0"/>
                <w:sz w:val="24"/>
                <w:highlight w:val="none"/>
              </w:rPr>
              <w:t>附加条件</w:t>
            </w:r>
          </w:p>
        </w:tc>
        <w:tc>
          <w:tcPr>
            <w:tcW w:w="6725" w:type="dxa"/>
            <w:vAlign w:val="center"/>
          </w:tcPr>
          <w:p w14:paraId="55A93078">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2BAB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90FF60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14</w:t>
            </w:r>
          </w:p>
        </w:tc>
        <w:tc>
          <w:tcPr>
            <w:tcW w:w="1813" w:type="dxa"/>
            <w:vAlign w:val="center"/>
          </w:tcPr>
          <w:p w14:paraId="3ED961E0">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0943A65D">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0DB789A6">
      <w:pPr>
        <w:keepNext w:val="0"/>
        <w:keepLines w:val="0"/>
        <w:pageBreakBefore w:val="0"/>
        <w:numPr>
          <w:ilvl w:val="0"/>
          <w:numId w:val="0"/>
        </w:numPr>
        <w:tabs>
          <w:tab w:val="left" w:pos="1080"/>
        </w:tabs>
        <w:kinsoku/>
        <w:wordWrap/>
        <w:overflowPunct/>
        <w:topLinePunct w:val="0"/>
        <w:autoSpaceDE/>
        <w:autoSpaceDN/>
        <w:bidi w:val="0"/>
        <w:adjustRightInd/>
        <w:snapToGrid w:val="0"/>
        <w:spacing w:line="360" w:lineRule="auto"/>
        <w:ind w:left="0" w:leftChars="0"/>
        <w:rPr>
          <w:rFonts w:hint="eastAsia"/>
          <w:b/>
          <w:bCs/>
          <w:color w:val="auto"/>
          <w:sz w:val="24"/>
          <w:highlight w:val="none"/>
        </w:rPr>
      </w:pPr>
      <w:r>
        <w:rPr>
          <w:rFonts w:hint="eastAsia" w:ascii="宋体" w:hAnsi="宋体" w:cs="宋体"/>
          <w:color w:val="auto"/>
          <w:sz w:val="24"/>
          <w:highlight w:val="none"/>
          <w:lang w:val="en-US" w:eastAsia="zh-CN"/>
        </w:rPr>
        <w:t>2.2.1</w:t>
      </w:r>
      <w:r>
        <w:rPr>
          <w:rFonts w:hint="eastAsia" w:ascii="宋体" w:hAnsi="宋体" w:cs="宋体"/>
          <w:color w:val="auto"/>
          <w:sz w:val="24"/>
          <w:highlight w:val="none"/>
        </w:rPr>
        <w:t>实施政府采购异常低价审查的有关要求：</w:t>
      </w:r>
      <w:r>
        <w:rPr>
          <w:rFonts w:hint="eastAsia"/>
          <w:b/>
          <w:bCs/>
          <w:color w:val="auto"/>
          <w:sz w:val="24"/>
          <w:highlight w:val="none"/>
        </w:rPr>
        <w:t>具体按照财</w:t>
      </w:r>
      <w:r>
        <w:rPr>
          <w:rFonts w:hint="eastAsia"/>
          <w:b/>
          <w:bCs/>
          <w:color w:val="auto"/>
          <w:sz w:val="24"/>
          <w:highlight w:val="none"/>
          <w:lang w:val="en-US" w:eastAsia="zh-CN"/>
        </w:rPr>
        <w:t>库</w:t>
      </w:r>
      <w:r>
        <w:rPr>
          <w:rFonts w:hint="eastAsia"/>
          <w:b/>
          <w:bCs/>
          <w:color w:val="auto"/>
          <w:sz w:val="24"/>
          <w:highlight w:val="none"/>
        </w:rPr>
        <w:t>〔202</w:t>
      </w:r>
      <w:r>
        <w:rPr>
          <w:rFonts w:hint="eastAsia"/>
          <w:b/>
          <w:bCs/>
          <w:color w:val="auto"/>
          <w:sz w:val="24"/>
          <w:highlight w:val="none"/>
          <w:lang w:val="en-US" w:eastAsia="zh-CN"/>
        </w:rPr>
        <w:t>6</w:t>
      </w:r>
      <w:r>
        <w:rPr>
          <w:rFonts w:hint="eastAsia"/>
          <w:b/>
          <w:bCs/>
          <w:color w:val="auto"/>
          <w:sz w:val="24"/>
          <w:highlight w:val="none"/>
        </w:rPr>
        <w:t>〕</w:t>
      </w:r>
      <w:r>
        <w:rPr>
          <w:rFonts w:hint="eastAsia"/>
          <w:b/>
          <w:bCs/>
          <w:color w:val="auto"/>
          <w:sz w:val="24"/>
          <w:highlight w:val="none"/>
          <w:lang w:val="en-US" w:eastAsia="zh-CN"/>
        </w:rPr>
        <w:t>2</w:t>
      </w:r>
      <w:r>
        <w:rPr>
          <w:rFonts w:hint="eastAsia"/>
          <w:b/>
          <w:bCs/>
          <w:color w:val="auto"/>
          <w:sz w:val="24"/>
          <w:highlight w:val="none"/>
        </w:rPr>
        <w:t>号《关于推动解决政府采购异常低价问题的通知》要求：</w:t>
      </w:r>
    </w:p>
    <w:p w14:paraId="6C006F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（一）政府采购评审中出现下列情形之一的，评审委员会应当启动异常低价投标（响应）审查程序：</w:t>
      </w:r>
    </w:p>
    <w:p w14:paraId="70F57A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74C5F6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6D1C26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68268C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2D85821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BCA9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D09D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5496E9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eastAsia" w:ascii="宋体" w:hAnsi="宋体" w:eastAsia="宋体" w:cs="宋体"/>
          <w:color w:val="auto"/>
          <w:sz w:val="24"/>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226965819"/>
      <w:bookmarkStart w:id="781" w:name="_Toc151193716"/>
      <w:bookmarkStart w:id="782" w:name="_Toc151193860"/>
      <w:bookmarkStart w:id="783" w:name="_Toc195842911"/>
      <w:bookmarkStart w:id="784" w:name="_Toc265228384"/>
      <w:bookmarkStart w:id="785" w:name="_Toc226337242"/>
      <w:bookmarkStart w:id="786" w:name="_Toc150480784"/>
      <w:bookmarkStart w:id="787" w:name="_Toc151193644"/>
      <w:bookmarkStart w:id="788" w:name="_Ref467307010"/>
      <w:bookmarkStart w:id="789" w:name="_Toc142311048"/>
      <w:bookmarkStart w:id="790" w:name="_Toc151193934"/>
      <w:bookmarkStart w:id="791" w:name="_Toc150509297"/>
      <w:bookmarkStart w:id="792" w:name="_Toc164608815"/>
      <w:bookmarkStart w:id="793" w:name="_Toc305158888"/>
      <w:bookmarkStart w:id="794" w:name="_Toc226309790"/>
      <w:bookmarkStart w:id="795" w:name="_Toc520356170"/>
      <w:bookmarkStart w:id="796" w:name="_Toc127151546"/>
      <w:bookmarkStart w:id="797" w:name="_Toc150774646"/>
      <w:bookmarkStart w:id="798" w:name="_Toc151190173"/>
      <w:bookmarkStart w:id="799" w:name="_Toc164351640"/>
      <w:bookmarkStart w:id="800" w:name="_Toc151193788"/>
      <w:bookmarkStart w:id="801" w:name="_Toc164608660"/>
      <w:bookmarkStart w:id="802" w:name="_Toc264969236"/>
      <w:bookmarkStart w:id="803" w:name="_Toc127161460"/>
      <w:bookmarkStart w:id="804" w:name="_Toc149720839"/>
      <w:bookmarkStart w:id="805" w:name="_Toc226965736"/>
      <w:bookmarkStart w:id="806" w:name="_Toc164229241"/>
      <w:bookmarkStart w:id="807" w:name="_Toc164229387"/>
      <w:bookmarkStart w:id="808" w:name="_Toc305158814"/>
      <w:bookmarkStart w:id="809" w:name="_Toc150774751"/>
      <w:bookmarkStart w:id="810" w:name="_Toc127151747"/>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7"/>
        <w:gridCol w:w="1200"/>
        <w:gridCol w:w="6026"/>
        <w:gridCol w:w="519"/>
      </w:tblGrid>
      <w:tr w14:paraId="4881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777" w:type="dxa"/>
            <w:noWrap w:val="0"/>
            <w:tcMar>
              <w:top w:w="0" w:type="dxa"/>
              <w:left w:w="108" w:type="dxa"/>
              <w:bottom w:w="0" w:type="dxa"/>
              <w:right w:w="108" w:type="dxa"/>
            </w:tcMar>
            <w:vAlign w:val="center"/>
          </w:tcPr>
          <w:p w14:paraId="15CFDCEC">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00" w:type="dxa"/>
            <w:noWrap w:val="0"/>
            <w:tcMar>
              <w:top w:w="0" w:type="dxa"/>
              <w:left w:w="108" w:type="dxa"/>
              <w:bottom w:w="0" w:type="dxa"/>
              <w:right w:w="108" w:type="dxa"/>
            </w:tcMar>
            <w:vAlign w:val="center"/>
          </w:tcPr>
          <w:p w14:paraId="5A9053E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6026" w:type="dxa"/>
            <w:noWrap w:val="0"/>
            <w:tcMar>
              <w:top w:w="0" w:type="dxa"/>
              <w:left w:w="108" w:type="dxa"/>
              <w:bottom w:w="0" w:type="dxa"/>
              <w:right w:w="108" w:type="dxa"/>
            </w:tcMar>
            <w:vAlign w:val="center"/>
          </w:tcPr>
          <w:p w14:paraId="1C18314E">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c>
          <w:tcPr>
            <w:tcW w:w="519" w:type="dxa"/>
            <w:noWrap w:val="0"/>
            <w:tcMar>
              <w:top w:w="0" w:type="dxa"/>
              <w:left w:w="108" w:type="dxa"/>
              <w:bottom w:w="0" w:type="dxa"/>
              <w:right w:w="108" w:type="dxa"/>
            </w:tcMar>
            <w:vAlign w:val="center"/>
          </w:tcPr>
          <w:p w14:paraId="643ED1AF">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644B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rPr>
        <w:tc>
          <w:tcPr>
            <w:tcW w:w="8522" w:type="dxa"/>
            <w:gridSpan w:val="4"/>
            <w:noWrap w:val="0"/>
            <w:tcMar>
              <w:top w:w="0" w:type="dxa"/>
              <w:left w:w="108" w:type="dxa"/>
              <w:bottom w:w="0" w:type="dxa"/>
              <w:right w:w="108" w:type="dxa"/>
            </w:tcMar>
            <w:vAlign w:val="center"/>
          </w:tcPr>
          <w:p w14:paraId="557E6962">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一、报价（</w:t>
            </w:r>
            <w:r>
              <w:rPr>
                <w:rFonts w:hint="eastAsia" w:ascii="宋体" w:hAnsi="宋体" w:eastAsia="宋体" w:cs="宋体"/>
                <w:b/>
                <w:color w:val="auto"/>
                <w:kern w:val="0"/>
                <w:sz w:val="24"/>
                <w:szCs w:val="24"/>
                <w:highlight w:val="none"/>
                <w:lang w:val="en-US" w:eastAsia="zh-CN"/>
              </w:rPr>
              <w:t>15</w:t>
            </w:r>
            <w:r>
              <w:rPr>
                <w:rFonts w:hint="eastAsia" w:ascii="宋体" w:hAnsi="宋体" w:eastAsia="宋体" w:cs="宋体"/>
                <w:b/>
                <w:color w:val="auto"/>
                <w:kern w:val="0"/>
                <w:sz w:val="24"/>
                <w:szCs w:val="24"/>
                <w:highlight w:val="none"/>
              </w:rPr>
              <w:t>分）</w:t>
            </w:r>
          </w:p>
        </w:tc>
      </w:tr>
      <w:tr w14:paraId="2113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76" w:hRule="atLeast"/>
        </w:trPr>
        <w:tc>
          <w:tcPr>
            <w:tcW w:w="777" w:type="dxa"/>
            <w:noWrap w:val="0"/>
            <w:tcMar>
              <w:top w:w="0" w:type="dxa"/>
              <w:left w:w="108" w:type="dxa"/>
              <w:bottom w:w="0" w:type="dxa"/>
              <w:right w:w="108" w:type="dxa"/>
            </w:tcMar>
            <w:vAlign w:val="center"/>
          </w:tcPr>
          <w:p w14:paraId="1EAA2055">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200" w:type="dxa"/>
            <w:noWrap w:val="0"/>
            <w:tcMar>
              <w:top w:w="0" w:type="dxa"/>
              <w:left w:w="108" w:type="dxa"/>
              <w:bottom w:w="0" w:type="dxa"/>
              <w:right w:w="108" w:type="dxa"/>
            </w:tcMar>
            <w:vAlign w:val="center"/>
          </w:tcPr>
          <w:p w14:paraId="41CE9CF7">
            <w:pPr>
              <w:keepNext w:val="0"/>
              <w:keepLines w:val="0"/>
              <w:pageBreakBefore w:val="0"/>
              <w:widowControl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6026" w:type="dxa"/>
            <w:noWrap w:val="0"/>
            <w:tcMar>
              <w:top w:w="0" w:type="dxa"/>
              <w:left w:w="108" w:type="dxa"/>
              <w:bottom w:w="0" w:type="dxa"/>
              <w:right w:w="108" w:type="dxa"/>
            </w:tcMar>
            <w:vAlign w:val="center"/>
          </w:tcPr>
          <w:p w14:paraId="2034A1E3">
            <w:pPr>
              <w:keepNext w:val="0"/>
              <w:keepLines w:val="0"/>
              <w:pageBreakBefore w:val="0"/>
              <w:widowControl w:val="0"/>
              <w:kinsoku/>
              <w:wordWrap/>
              <w:overflowPunct/>
              <w:topLinePunct w:val="0"/>
              <w:bidi w:val="0"/>
              <w:spacing w:line="360" w:lineRule="auto"/>
              <w:textAlignment w:val="auto"/>
              <w:outlineLvl w:val="9"/>
              <w:rPr>
                <w:rFonts w:hint="eastAsia" w:ascii="宋体" w:hAnsi="宋体" w:cs="宋体"/>
                <w:color w:val="auto"/>
                <w:sz w:val="24"/>
                <w:highlight w:val="none"/>
                <w:lang w:val="zh-Hans"/>
              </w:rPr>
            </w:pPr>
            <w:r>
              <w:rPr>
                <w:rFonts w:hint="eastAsia" w:ascii="宋体" w:hAnsi="宋体" w:cs="宋体"/>
                <w:color w:val="auto"/>
                <w:sz w:val="24"/>
                <w:highlight w:val="none"/>
                <w:lang w:val="zh-Hans"/>
              </w:rPr>
              <w:t>满足</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val="zh-Hans"/>
              </w:rPr>
              <w:t>文件要求且</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lang w:val="zh-Hans"/>
              </w:rPr>
              <w:t>报价最低的报价为评标基准价，其价格分为满分。其他</w:t>
            </w:r>
            <w:r>
              <w:rPr>
                <w:rFonts w:hint="eastAsia" w:ascii="宋体" w:hAnsi="宋体" w:cs="宋体"/>
                <w:color w:val="auto"/>
                <w:sz w:val="24"/>
                <w:highlight w:val="none"/>
                <w:lang w:val="zh-Hans" w:eastAsia="zh-CN"/>
              </w:rPr>
              <w:t>投标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lang w:val="zh-Hans"/>
              </w:rPr>
              <w:t>的价格分统一按照下列公式计算：价格分得分＝（评标基准价/</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lang w:val="zh-Hans"/>
              </w:rPr>
              <w:t>报价）×分值。</w:t>
            </w:r>
          </w:p>
          <w:p w14:paraId="5B59F021">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注：此处最终报价指经过报价修正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tc>
        <w:tc>
          <w:tcPr>
            <w:tcW w:w="519" w:type="dxa"/>
            <w:noWrap w:val="0"/>
            <w:tcMar>
              <w:top w:w="0" w:type="dxa"/>
              <w:left w:w="108" w:type="dxa"/>
              <w:bottom w:w="0" w:type="dxa"/>
              <w:right w:w="108" w:type="dxa"/>
            </w:tcMar>
            <w:vAlign w:val="center"/>
          </w:tcPr>
          <w:p w14:paraId="4CC61729">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15</w:t>
            </w:r>
          </w:p>
        </w:tc>
      </w:tr>
      <w:tr w14:paraId="4264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4D9DBA08">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二</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履约能力</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36分</w:t>
            </w:r>
            <w:r>
              <w:rPr>
                <w:rFonts w:hint="eastAsia" w:ascii="宋体" w:hAnsi="宋体" w:eastAsia="宋体" w:cs="宋体"/>
                <w:b/>
                <w:color w:val="auto"/>
                <w:kern w:val="0"/>
                <w:sz w:val="24"/>
                <w:szCs w:val="24"/>
                <w:highlight w:val="none"/>
                <w:lang w:eastAsia="zh-CN"/>
              </w:rPr>
              <w:t>）</w:t>
            </w:r>
          </w:p>
        </w:tc>
      </w:tr>
      <w:tr w14:paraId="396B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0FDB03AA">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1200" w:type="dxa"/>
            <w:noWrap w:val="0"/>
            <w:tcMar>
              <w:top w:w="0" w:type="dxa"/>
              <w:left w:w="108" w:type="dxa"/>
              <w:bottom w:w="0" w:type="dxa"/>
              <w:right w:w="108" w:type="dxa"/>
            </w:tcMar>
            <w:vAlign w:val="center"/>
          </w:tcPr>
          <w:p w14:paraId="6794DD34">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业绩</w:t>
            </w:r>
          </w:p>
        </w:tc>
        <w:tc>
          <w:tcPr>
            <w:tcW w:w="6026" w:type="dxa"/>
            <w:noWrap w:val="0"/>
            <w:tcMar>
              <w:top w:w="0" w:type="dxa"/>
              <w:left w:w="108" w:type="dxa"/>
              <w:bottom w:w="0" w:type="dxa"/>
              <w:right w:w="108" w:type="dxa"/>
            </w:tcMar>
            <w:vAlign w:val="center"/>
          </w:tcPr>
          <w:p w14:paraId="298A37DF">
            <w:pPr>
              <w:pStyle w:val="234"/>
              <w:keepNext w:val="0"/>
              <w:keepLines w:val="0"/>
              <w:pageBreakBefore w:val="0"/>
              <w:kinsoku/>
              <w:wordWrap/>
              <w:overflowPunct/>
              <w:topLinePunct w:val="0"/>
              <w:bidi w:val="0"/>
              <w:spacing w:line="360" w:lineRule="auto"/>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自202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年1月</w:t>
            </w:r>
            <w:r>
              <w:rPr>
                <w:rFonts w:hint="eastAsia" w:ascii="宋体" w:hAnsi="宋体" w:eastAsia="宋体" w:cs="宋体"/>
                <w:color w:val="auto"/>
                <w:kern w:val="0"/>
                <w:sz w:val="24"/>
                <w:szCs w:val="24"/>
                <w:highlight w:val="none"/>
                <w:lang w:val="en-US" w:eastAsia="zh-CN"/>
              </w:rPr>
              <w:t>1日</w:t>
            </w:r>
            <w:r>
              <w:rPr>
                <w:rFonts w:hint="eastAsia" w:ascii="宋体" w:hAnsi="宋体" w:eastAsia="宋体" w:cs="宋体"/>
                <w:color w:val="auto"/>
                <w:kern w:val="0"/>
                <w:sz w:val="24"/>
                <w:szCs w:val="24"/>
                <w:highlight w:val="none"/>
              </w:rPr>
              <w:t>以来</w:t>
            </w:r>
            <w:r>
              <w:rPr>
                <w:rFonts w:hint="eastAsia" w:ascii="宋体" w:hAnsi="宋体" w:eastAsia="宋体" w:cs="宋体"/>
                <w:color w:val="auto"/>
                <w:kern w:val="0"/>
                <w:sz w:val="24"/>
                <w:szCs w:val="24"/>
                <w:highlight w:val="none"/>
                <w:lang w:val="en-US" w:eastAsia="zh-CN"/>
              </w:rPr>
              <w:t>（以合同签订日期为准）</w:t>
            </w:r>
            <w:r>
              <w:rPr>
                <w:rFonts w:hint="eastAsia" w:ascii="宋体" w:hAnsi="宋体" w:eastAsia="宋体" w:cs="宋体"/>
                <w:color w:val="auto"/>
                <w:kern w:val="0"/>
                <w:sz w:val="24"/>
                <w:szCs w:val="24"/>
                <w:highlight w:val="none"/>
              </w:rPr>
              <w:t>承担过</w:t>
            </w:r>
            <w:r>
              <w:rPr>
                <w:rFonts w:hint="eastAsia" w:ascii="宋体" w:hAnsi="宋体" w:eastAsia="宋体" w:cs="宋体"/>
                <w:color w:val="auto"/>
                <w:kern w:val="0"/>
                <w:sz w:val="24"/>
                <w:szCs w:val="24"/>
                <w:highlight w:val="none"/>
                <w:lang w:val="en-US" w:eastAsia="zh-CN"/>
              </w:rPr>
              <w:t>类似大气抑尘</w:t>
            </w:r>
            <w:r>
              <w:rPr>
                <w:rFonts w:hint="eastAsia" w:ascii="宋体" w:hAnsi="宋体" w:eastAsia="宋体" w:cs="宋体"/>
                <w:color w:val="auto"/>
                <w:kern w:val="0"/>
                <w:sz w:val="24"/>
                <w:szCs w:val="24"/>
                <w:highlight w:val="none"/>
              </w:rPr>
              <w:t>项目的，有一个得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分，最高得</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p w14:paraId="3CE5FE97">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rPr>
              <w:t>注：</w:t>
            </w:r>
            <w:r>
              <w:rPr>
                <w:rFonts w:hint="eastAsia" w:ascii="宋体" w:hAnsi="宋体" w:cs="Times New Roman"/>
                <w:b/>
                <w:bCs/>
                <w:color w:val="auto"/>
                <w:kern w:val="0"/>
                <w:sz w:val="24"/>
                <w:szCs w:val="24"/>
                <w:highlight w:val="none"/>
                <w:lang w:eastAsia="zh-CN"/>
              </w:rPr>
              <w:t>投标文件</w:t>
            </w:r>
            <w:r>
              <w:rPr>
                <w:rFonts w:hint="eastAsia" w:ascii="宋体" w:hAnsi="宋体" w:eastAsia="宋体" w:cs="Times New Roman"/>
                <w:b/>
                <w:bCs/>
                <w:color w:val="auto"/>
                <w:kern w:val="0"/>
                <w:sz w:val="24"/>
                <w:szCs w:val="24"/>
                <w:highlight w:val="none"/>
              </w:rPr>
              <w:t>中提供合同作为证明材料加盖</w:t>
            </w:r>
            <w:r>
              <w:rPr>
                <w:rFonts w:hint="eastAsia" w:ascii="宋体" w:hAnsi="宋体" w:cs="Times New Roman"/>
                <w:b/>
                <w:bCs/>
                <w:color w:val="auto"/>
                <w:kern w:val="0"/>
                <w:sz w:val="24"/>
                <w:szCs w:val="24"/>
                <w:highlight w:val="none"/>
                <w:lang w:eastAsia="zh-CN"/>
              </w:rPr>
              <w:t>投标人</w:t>
            </w:r>
            <w:r>
              <w:rPr>
                <w:rFonts w:hint="eastAsia" w:ascii="宋体" w:hAnsi="宋体" w:eastAsia="宋体" w:cs="Times New Roman"/>
                <w:b/>
                <w:bCs/>
                <w:color w:val="auto"/>
                <w:kern w:val="0"/>
                <w:sz w:val="24"/>
                <w:szCs w:val="24"/>
                <w:highlight w:val="none"/>
              </w:rPr>
              <w:t>公章</w:t>
            </w:r>
            <w:r>
              <w:rPr>
                <w:rFonts w:hint="eastAsia" w:ascii="宋体" w:hAnsi="宋体" w:eastAsia="宋体" w:cs="Times New Roman"/>
                <w:b/>
                <w:bCs/>
                <w:color w:val="auto"/>
                <w:kern w:val="0"/>
                <w:sz w:val="24"/>
                <w:szCs w:val="24"/>
                <w:highlight w:val="none"/>
                <w:lang w:eastAsia="zh-CN"/>
              </w:rPr>
              <w:t>，</w:t>
            </w:r>
            <w:r>
              <w:rPr>
                <w:rFonts w:hint="eastAsia" w:ascii="宋体" w:hAnsi="宋体" w:eastAsia="宋体" w:cs="Times New Roman"/>
                <w:b/>
                <w:bCs/>
                <w:color w:val="auto"/>
                <w:kern w:val="0"/>
                <w:sz w:val="24"/>
                <w:szCs w:val="24"/>
                <w:highlight w:val="none"/>
                <w:lang w:val="en-US" w:eastAsia="zh-CN"/>
              </w:rPr>
              <w:t>否则不得分</w:t>
            </w:r>
            <w:r>
              <w:rPr>
                <w:rFonts w:hint="eastAsia" w:ascii="宋体" w:hAnsi="宋体" w:eastAsia="宋体" w:cs="Times New Roman"/>
                <w:b/>
                <w:bCs/>
                <w:color w:val="auto"/>
                <w:kern w:val="0"/>
                <w:sz w:val="24"/>
                <w:szCs w:val="24"/>
                <w:highlight w:val="none"/>
              </w:rPr>
              <w:t>。</w:t>
            </w:r>
          </w:p>
        </w:tc>
        <w:tc>
          <w:tcPr>
            <w:tcW w:w="519" w:type="dxa"/>
            <w:noWrap w:val="0"/>
            <w:tcMar>
              <w:top w:w="0" w:type="dxa"/>
              <w:left w:w="108" w:type="dxa"/>
              <w:bottom w:w="0" w:type="dxa"/>
              <w:right w:w="108" w:type="dxa"/>
            </w:tcMar>
            <w:vAlign w:val="center"/>
          </w:tcPr>
          <w:p w14:paraId="47CFE8D8">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8</w:t>
            </w:r>
          </w:p>
        </w:tc>
      </w:tr>
      <w:tr w14:paraId="38A1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41E8F06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200" w:type="dxa"/>
            <w:noWrap w:val="0"/>
            <w:tcMar>
              <w:top w:w="0" w:type="dxa"/>
              <w:left w:w="108" w:type="dxa"/>
              <w:bottom w:w="0" w:type="dxa"/>
              <w:right w:w="108" w:type="dxa"/>
            </w:tcMar>
            <w:vAlign w:val="center"/>
          </w:tcPr>
          <w:p w14:paraId="4F61EADA">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车辆配备</w:t>
            </w:r>
          </w:p>
        </w:tc>
        <w:tc>
          <w:tcPr>
            <w:tcW w:w="6026" w:type="dxa"/>
            <w:noWrap w:val="0"/>
            <w:tcMar>
              <w:top w:w="0" w:type="dxa"/>
              <w:left w:w="108" w:type="dxa"/>
              <w:bottom w:w="0" w:type="dxa"/>
              <w:right w:w="108" w:type="dxa"/>
            </w:tcMar>
            <w:vAlign w:val="center"/>
          </w:tcPr>
          <w:p w14:paraId="78970200">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val="0"/>
                <w:bCs w:val="0"/>
                <w:color w:val="auto"/>
                <w:kern w:val="0"/>
                <w:sz w:val="24"/>
                <w:szCs w:val="24"/>
                <w:highlight w:val="none"/>
                <w:lang w:val="en-US" w:eastAsia="zh-CN"/>
              </w:rPr>
            </w:pPr>
            <w:r>
              <w:rPr>
                <w:rFonts w:hint="eastAsia" w:ascii="宋体" w:hAnsi="宋体" w:cs="Times New Roman"/>
                <w:b w:val="0"/>
                <w:bCs w:val="0"/>
                <w:color w:val="auto"/>
                <w:kern w:val="0"/>
                <w:sz w:val="24"/>
                <w:szCs w:val="24"/>
                <w:highlight w:val="none"/>
                <w:lang w:val="en-US" w:eastAsia="zh-CN"/>
              </w:rPr>
              <w:t>投标人</w:t>
            </w:r>
            <w:r>
              <w:rPr>
                <w:rFonts w:hint="eastAsia" w:ascii="宋体" w:hAnsi="宋体" w:eastAsia="宋体" w:cs="Times New Roman"/>
                <w:b w:val="0"/>
                <w:bCs w:val="0"/>
                <w:color w:val="auto"/>
                <w:kern w:val="0"/>
                <w:sz w:val="24"/>
                <w:szCs w:val="24"/>
                <w:highlight w:val="none"/>
                <w:lang w:val="en-US" w:eastAsia="zh-CN"/>
              </w:rPr>
              <w:t>拟配备本项目自有或租赁的车辆：</w:t>
            </w:r>
          </w:p>
          <w:p w14:paraId="2DE34F86">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1.</w:t>
            </w:r>
            <w:r>
              <w:rPr>
                <w:rFonts w:hint="eastAsia" w:ascii="宋体" w:hAnsi="宋体" w:cs="Times New Roman"/>
                <w:b w:val="0"/>
                <w:bCs w:val="0"/>
                <w:color w:val="auto"/>
                <w:kern w:val="0"/>
                <w:sz w:val="24"/>
                <w:szCs w:val="24"/>
                <w:highlight w:val="none"/>
                <w:lang w:val="en-US" w:eastAsia="zh-CN"/>
              </w:rPr>
              <w:t>投标人</w:t>
            </w:r>
            <w:r>
              <w:rPr>
                <w:rFonts w:hint="eastAsia" w:ascii="宋体" w:hAnsi="宋体" w:eastAsia="宋体" w:cs="Times New Roman"/>
                <w:b w:val="0"/>
                <w:bCs w:val="0"/>
                <w:color w:val="auto"/>
                <w:kern w:val="0"/>
                <w:sz w:val="24"/>
                <w:szCs w:val="24"/>
                <w:highlight w:val="none"/>
                <w:lang w:val="en-US" w:eastAsia="zh-CN"/>
              </w:rPr>
              <w:t>为本项目配备雾炮车（抑尘车），在满足采购需求基础上每增加1辆得2分，本项最高得6分。</w:t>
            </w:r>
          </w:p>
          <w:p w14:paraId="59508D7D">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2.</w:t>
            </w:r>
            <w:r>
              <w:rPr>
                <w:rFonts w:hint="eastAsia" w:ascii="宋体" w:hAnsi="宋体" w:cs="Times New Roman"/>
                <w:b w:val="0"/>
                <w:bCs w:val="0"/>
                <w:color w:val="auto"/>
                <w:kern w:val="0"/>
                <w:sz w:val="24"/>
                <w:szCs w:val="24"/>
                <w:highlight w:val="none"/>
                <w:lang w:val="en-US" w:eastAsia="zh-CN"/>
              </w:rPr>
              <w:t>投标人</w:t>
            </w:r>
            <w:r>
              <w:rPr>
                <w:rFonts w:hint="eastAsia" w:ascii="宋体" w:hAnsi="宋体" w:eastAsia="宋体" w:cs="Times New Roman"/>
                <w:b w:val="0"/>
                <w:bCs w:val="0"/>
                <w:color w:val="auto"/>
                <w:kern w:val="0"/>
                <w:sz w:val="24"/>
                <w:szCs w:val="24"/>
                <w:highlight w:val="none"/>
                <w:lang w:val="en-US" w:eastAsia="zh-CN"/>
              </w:rPr>
              <w:t>为本项目配备洗扫车，在满足采购需求基础上每增加1辆得2分，本项最高得6分。</w:t>
            </w:r>
          </w:p>
          <w:p w14:paraId="49A3EC6F">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3.</w:t>
            </w:r>
            <w:r>
              <w:rPr>
                <w:rFonts w:hint="eastAsia" w:ascii="宋体" w:hAnsi="宋体" w:cs="Times New Roman"/>
                <w:b w:val="0"/>
                <w:bCs w:val="0"/>
                <w:color w:val="auto"/>
                <w:kern w:val="0"/>
                <w:sz w:val="24"/>
                <w:szCs w:val="24"/>
                <w:highlight w:val="none"/>
                <w:lang w:val="en-US" w:eastAsia="zh-CN"/>
              </w:rPr>
              <w:t>投标人</w:t>
            </w:r>
            <w:r>
              <w:rPr>
                <w:rFonts w:hint="eastAsia" w:ascii="宋体" w:hAnsi="宋体" w:eastAsia="宋体" w:cs="Times New Roman"/>
                <w:b w:val="0"/>
                <w:bCs w:val="0"/>
                <w:color w:val="auto"/>
                <w:kern w:val="0"/>
                <w:sz w:val="24"/>
                <w:szCs w:val="24"/>
                <w:highlight w:val="none"/>
                <w:lang w:val="en-US" w:eastAsia="zh-CN"/>
              </w:rPr>
              <w:t>为本项目配备洒水车，在满足采购需求基础上每增加1辆得2分，本项最高得6分。</w:t>
            </w:r>
          </w:p>
          <w:p w14:paraId="7628A692">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bCs/>
                <w:color w:val="auto"/>
                <w:kern w:val="0"/>
                <w:sz w:val="24"/>
                <w:szCs w:val="24"/>
                <w:highlight w:val="none"/>
                <w:lang w:val="en-US" w:eastAsia="zh-CN"/>
              </w:rPr>
            </w:pPr>
            <w:r>
              <w:rPr>
                <w:rFonts w:hint="eastAsia" w:ascii="宋体" w:hAnsi="宋体" w:eastAsia="宋体" w:cs="Times New Roman"/>
                <w:b/>
                <w:bCs/>
                <w:color w:val="auto"/>
                <w:kern w:val="0"/>
                <w:sz w:val="24"/>
                <w:szCs w:val="24"/>
                <w:highlight w:val="none"/>
                <w:lang w:val="en-US" w:eastAsia="zh-CN"/>
              </w:rPr>
              <w:t>注：（1）车辆若为自有，须提供在年审有效期内的《机动车行驶证》；②有效期内的《机动车登记证》；③车辆购置发票；④照片，四项缺一不可。</w:t>
            </w:r>
            <w:r>
              <w:rPr>
                <w:rFonts w:hint="eastAsia" w:ascii="宋体" w:hAnsi="宋体" w:cs="Times New Roman"/>
                <w:b/>
                <w:bCs/>
                <w:color w:val="auto"/>
                <w:kern w:val="0"/>
                <w:sz w:val="24"/>
                <w:szCs w:val="24"/>
                <w:highlight w:val="none"/>
                <w:lang w:val="en-US" w:eastAsia="zh-CN"/>
              </w:rPr>
              <w:t>投标文件</w:t>
            </w:r>
            <w:r>
              <w:rPr>
                <w:rFonts w:hint="eastAsia" w:ascii="宋体" w:hAnsi="宋体" w:eastAsia="宋体" w:cs="Times New Roman"/>
                <w:b/>
                <w:bCs/>
                <w:color w:val="auto"/>
                <w:kern w:val="0"/>
                <w:sz w:val="24"/>
                <w:szCs w:val="24"/>
                <w:highlight w:val="none"/>
                <w:lang w:val="en-US" w:eastAsia="zh-CN"/>
              </w:rPr>
              <w:t>中提供证明材料复印件并加盖</w:t>
            </w:r>
            <w:r>
              <w:rPr>
                <w:rFonts w:hint="eastAsia" w:ascii="宋体" w:hAnsi="宋体" w:cs="Times New Roman"/>
                <w:b/>
                <w:bCs/>
                <w:color w:val="auto"/>
                <w:kern w:val="0"/>
                <w:sz w:val="24"/>
                <w:szCs w:val="24"/>
                <w:highlight w:val="none"/>
                <w:lang w:val="en-US" w:eastAsia="zh-CN"/>
              </w:rPr>
              <w:t>投标人</w:t>
            </w:r>
            <w:r>
              <w:rPr>
                <w:rFonts w:hint="eastAsia" w:ascii="宋体" w:hAnsi="宋体" w:eastAsia="宋体" w:cs="Times New Roman"/>
                <w:b/>
                <w:bCs/>
                <w:color w:val="auto"/>
                <w:kern w:val="0"/>
                <w:sz w:val="24"/>
                <w:szCs w:val="24"/>
                <w:highlight w:val="none"/>
                <w:lang w:val="en-US" w:eastAsia="zh-CN"/>
              </w:rPr>
              <w:t>公章，否则不得分。</w:t>
            </w:r>
          </w:p>
          <w:p w14:paraId="1B3ABDEE">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bCs/>
                <w:color w:val="auto"/>
                <w:kern w:val="0"/>
                <w:sz w:val="24"/>
                <w:szCs w:val="24"/>
                <w:highlight w:val="none"/>
                <w:lang w:val="en-US" w:eastAsia="zh-CN"/>
              </w:rPr>
            </w:pPr>
            <w:r>
              <w:rPr>
                <w:rFonts w:hint="eastAsia" w:ascii="宋体" w:hAnsi="宋体" w:eastAsia="宋体" w:cs="Times New Roman"/>
                <w:b/>
                <w:bCs/>
                <w:color w:val="auto"/>
                <w:kern w:val="0"/>
                <w:sz w:val="24"/>
                <w:szCs w:val="24"/>
                <w:highlight w:val="none"/>
                <w:lang w:val="en-US" w:eastAsia="zh-CN"/>
              </w:rPr>
              <w:t>（2）车辆若为租赁，提供①在年审有效期内的《机动车行驶证》；②有效期内的《机动车登记证》；③车辆租赁合同（租赁协议）；④投标截止时间前开具的租赁发票；⑤照片；五项缺一不可。</w:t>
            </w:r>
            <w:r>
              <w:rPr>
                <w:rFonts w:hint="eastAsia" w:ascii="宋体" w:hAnsi="宋体" w:cs="Times New Roman"/>
                <w:b/>
                <w:bCs/>
                <w:color w:val="auto"/>
                <w:kern w:val="0"/>
                <w:sz w:val="24"/>
                <w:szCs w:val="24"/>
                <w:highlight w:val="none"/>
                <w:lang w:val="en-US" w:eastAsia="zh-CN"/>
              </w:rPr>
              <w:t>投标文件</w:t>
            </w:r>
            <w:r>
              <w:rPr>
                <w:rFonts w:hint="eastAsia" w:ascii="宋体" w:hAnsi="宋体" w:eastAsia="宋体" w:cs="Times New Roman"/>
                <w:b/>
                <w:bCs/>
                <w:color w:val="auto"/>
                <w:kern w:val="0"/>
                <w:sz w:val="24"/>
                <w:szCs w:val="24"/>
                <w:highlight w:val="none"/>
                <w:lang w:val="en-US" w:eastAsia="zh-CN"/>
              </w:rPr>
              <w:t>中提供证明材料复印件并加盖</w:t>
            </w:r>
            <w:r>
              <w:rPr>
                <w:rFonts w:hint="eastAsia" w:ascii="宋体" w:hAnsi="宋体" w:cs="Times New Roman"/>
                <w:b/>
                <w:bCs/>
                <w:color w:val="auto"/>
                <w:kern w:val="0"/>
                <w:sz w:val="24"/>
                <w:szCs w:val="24"/>
                <w:highlight w:val="none"/>
                <w:lang w:val="en-US" w:eastAsia="zh-CN"/>
              </w:rPr>
              <w:t>投标人</w:t>
            </w:r>
            <w:r>
              <w:rPr>
                <w:rFonts w:hint="eastAsia" w:ascii="宋体" w:hAnsi="宋体" w:eastAsia="宋体" w:cs="Times New Roman"/>
                <w:b/>
                <w:bCs/>
                <w:color w:val="auto"/>
                <w:kern w:val="0"/>
                <w:sz w:val="24"/>
                <w:szCs w:val="24"/>
                <w:highlight w:val="none"/>
                <w:lang w:val="en-US" w:eastAsia="zh-CN"/>
              </w:rPr>
              <w:t>公章，否则不得分。</w:t>
            </w:r>
          </w:p>
        </w:tc>
        <w:tc>
          <w:tcPr>
            <w:tcW w:w="519" w:type="dxa"/>
            <w:noWrap w:val="0"/>
            <w:tcMar>
              <w:top w:w="0" w:type="dxa"/>
              <w:left w:w="108" w:type="dxa"/>
              <w:bottom w:w="0" w:type="dxa"/>
              <w:right w:w="108" w:type="dxa"/>
            </w:tcMar>
            <w:vAlign w:val="center"/>
          </w:tcPr>
          <w:p w14:paraId="62019A6C">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18</w:t>
            </w:r>
          </w:p>
        </w:tc>
      </w:tr>
      <w:tr w14:paraId="03D0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vMerge w:val="restart"/>
            <w:noWrap w:val="0"/>
            <w:tcMar>
              <w:top w:w="0" w:type="dxa"/>
              <w:left w:w="108" w:type="dxa"/>
              <w:bottom w:w="0" w:type="dxa"/>
              <w:right w:w="108" w:type="dxa"/>
            </w:tcMar>
            <w:vAlign w:val="center"/>
          </w:tcPr>
          <w:p w14:paraId="1BD02299">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200" w:type="dxa"/>
            <w:noWrap w:val="0"/>
            <w:tcMar>
              <w:top w:w="0" w:type="dxa"/>
              <w:left w:w="108" w:type="dxa"/>
              <w:bottom w:w="0" w:type="dxa"/>
              <w:right w:w="108" w:type="dxa"/>
            </w:tcMar>
            <w:vAlign w:val="center"/>
          </w:tcPr>
          <w:p w14:paraId="17F4667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cs="宋体"/>
                <w:bCs/>
                <w:color w:val="auto"/>
                <w:sz w:val="24"/>
                <w:highlight w:val="none"/>
                <w:lang w:val="en-US" w:eastAsia="zh-CN"/>
              </w:rPr>
              <w:t>项目负责人</w:t>
            </w:r>
          </w:p>
        </w:tc>
        <w:tc>
          <w:tcPr>
            <w:tcW w:w="6026" w:type="dxa"/>
            <w:noWrap w:val="0"/>
            <w:tcMar>
              <w:top w:w="0" w:type="dxa"/>
              <w:left w:w="108" w:type="dxa"/>
              <w:bottom w:w="0" w:type="dxa"/>
              <w:right w:w="108" w:type="dxa"/>
            </w:tcMar>
            <w:vAlign w:val="center"/>
          </w:tcPr>
          <w:p w14:paraId="6FC7E835">
            <w:pPr>
              <w:adjustRightInd w:val="0"/>
              <w:snapToGrid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项目负责人：</w:t>
            </w:r>
          </w:p>
          <w:p w14:paraId="6B041DB2">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具有有效的B2或以上准驾车型机动车驾驶证的得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1C202D0B">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bCs/>
                <w:color w:val="auto"/>
                <w:kern w:val="0"/>
                <w:sz w:val="24"/>
                <w:szCs w:val="24"/>
                <w:highlight w:val="none"/>
                <w:lang w:val="en-US" w:eastAsia="zh-CN"/>
              </w:rPr>
            </w:pPr>
            <w:r>
              <w:rPr>
                <w:rFonts w:hint="eastAsia" w:ascii="宋体" w:hAnsi="宋体" w:cs="宋体"/>
                <w:b/>
                <w:bCs/>
                <w:color w:val="auto"/>
                <w:sz w:val="24"/>
                <w:highlight w:val="none"/>
                <w:lang w:val="en-US" w:eastAsia="zh-CN"/>
              </w:rPr>
              <w:t>注：投标文件</w:t>
            </w:r>
            <w:r>
              <w:rPr>
                <w:rFonts w:hint="eastAsia" w:ascii="宋体" w:hAnsi="宋体" w:cs="宋体"/>
                <w:b/>
                <w:bCs/>
                <w:color w:val="auto"/>
                <w:sz w:val="24"/>
                <w:highlight w:val="none"/>
              </w:rPr>
              <w:t>中提供证书及202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月至202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月中任意一个月</w:t>
            </w:r>
            <w:r>
              <w:rPr>
                <w:rFonts w:hint="eastAsia" w:ascii="宋体" w:hAnsi="宋体" w:cs="宋体"/>
                <w:b/>
                <w:bCs/>
                <w:color w:val="auto"/>
                <w:sz w:val="24"/>
                <w:highlight w:val="none"/>
                <w:lang w:eastAsia="zh-CN"/>
              </w:rPr>
              <w:t>投标人</w:t>
            </w:r>
            <w:r>
              <w:rPr>
                <w:rFonts w:hint="eastAsia" w:ascii="宋体" w:hAnsi="宋体" w:cs="宋体"/>
                <w:b/>
                <w:bCs/>
                <w:color w:val="auto"/>
                <w:sz w:val="24"/>
                <w:highlight w:val="none"/>
              </w:rPr>
              <w:t>为</w:t>
            </w:r>
            <w:r>
              <w:rPr>
                <w:rFonts w:hint="eastAsia" w:ascii="宋体" w:hAnsi="宋体" w:cs="宋体"/>
                <w:b/>
                <w:bCs/>
                <w:color w:val="auto"/>
                <w:sz w:val="24"/>
                <w:highlight w:val="none"/>
                <w:lang w:val="en-US" w:eastAsia="zh-CN"/>
              </w:rPr>
              <w:t>项目负责人</w:t>
            </w:r>
            <w:r>
              <w:rPr>
                <w:rFonts w:hint="eastAsia" w:ascii="宋体" w:hAnsi="宋体" w:cs="宋体"/>
                <w:b/>
                <w:bCs/>
                <w:color w:val="auto"/>
                <w:sz w:val="24"/>
                <w:highlight w:val="none"/>
              </w:rPr>
              <w:t>缴纳的社保证明材料并加盖</w:t>
            </w:r>
            <w:r>
              <w:rPr>
                <w:rFonts w:hint="eastAsia" w:ascii="宋体" w:hAnsi="宋体" w:cs="宋体"/>
                <w:b/>
                <w:bCs/>
                <w:color w:val="auto"/>
                <w:sz w:val="24"/>
                <w:highlight w:val="none"/>
                <w:lang w:eastAsia="zh-CN"/>
              </w:rPr>
              <w:t>投标人</w:t>
            </w:r>
            <w:r>
              <w:rPr>
                <w:rFonts w:hint="eastAsia" w:ascii="宋体" w:hAnsi="宋体" w:cs="宋体"/>
                <w:b/>
                <w:bCs/>
                <w:color w:val="auto"/>
                <w:sz w:val="24"/>
                <w:highlight w:val="none"/>
              </w:rPr>
              <w:t>公章，否则不得分。</w:t>
            </w:r>
          </w:p>
        </w:tc>
        <w:tc>
          <w:tcPr>
            <w:tcW w:w="519" w:type="dxa"/>
            <w:noWrap w:val="0"/>
            <w:tcMar>
              <w:top w:w="0" w:type="dxa"/>
              <w:left w:w="108" w:type="dxa"/>
              <w:bottom w:w="0" w:type="dxa"/>
              <w:right w:w="108" w:type="dxa"/>
            </w:tcMar>
            <w:vAlign w:val="center"/>
          </w:tcPr>
          <w:p w14:paraId="5B34571B">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p>
        </w:tc>
      </w:tr>
      <w:tr w14:paraId="539B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vMerge w:val="continue"/>
            <w:noWrap w:val="0"/>
            <w:tcMar>
              <w:top w:w="0" w:type="dxa"/>
              <w:left w:w="108" w:type="dxa"/>
              <w:bottom w:w="0" w:type="dxa"/>
              <w:right w:w="108" w:type="dxa"/>
            </w:tcMar>
            <w:vAlign w:val="center"/>
          </w:tcPr>
          <w:p w14:paraId="42F606DE">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rPr>
            </w:pPr>
          </w:p>
        </w:tc>
        <w:tc>
          <w:tcPr>
            <w:tcW w:w="1200" w:type="dxa"/>
            <w:noWrap w:val="0"/>
            <w:tcMar>
              <w:top w:w="0" w:type="dxa"/>
              <w:left w:w="108" w:type="dxa"/>
              <w:bottom w:w="0" w:type="dxa"/>
              <w:right w:w="108" w:type="dxa"/>
            </w:tcMar>
            <w:vAlign w:val="center"/>
          </w:tcPr>
          <w:p w14:paraId="28B4CC8F">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cs="宋体"/>
                <w:bCs/>
                <w:color w:val="auto"/>
                <w:sz w:val="24"/>
                <w:highlight w:val="none"/>
                <w:lang w:val="en-US" w:eastAsia="zh-CN"/>
              </w:rPr>
              <w:t>项目组成员</w:t>
            </w:r>
          </w:p>
        </w:tc>
        <w:tc>
          <w:tcPr>
            <w:tcW w:w="6026" w:type="dxa"/>
            <w:noWrap w:val="0"/>
            <w:tcMar>
              <w:top w:w="0" w:type="dxa"/>
              <w:left w:w="108" w:type="dxa"/>
              <w:bottom w:w="0" w:type="dxa"/>
              <w:right w:w="108" w:type="dxa"/>
            </w:tcMar>
            <w:vAlign w:val="center"/>
          </w:tcPr>
          <w:p w14:paraId="0A517E9E">
            <w:pPr>
              <w:adjustRightInd w:val="0"/>
              <w:snapToGrid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项目组成员（除项目负责人外）：</w:t>
            </w:r>
          </w:p>
          <w:p w14:paraId="7118BCFA">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具有有效的B2或以上准驾车型机动车驾驶证的，每有1人得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p w14:paraId="3F80796A">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Times New Roman"/>
                <w:b/>
                <w:bCs/>
                <w:color w:val="auto"/>
                <w:kern w:val="0"/>
                <w:sz w:val="24"/>
                <w:szCs w:val="24"/>
                <w:highlight w:val="none"/>
                <w:lang w:val="en-US" w:eastAsia="zh-CN"/>
              </w:rPr>
            </w:pPr>
            <w:r>
              <w:rPr>
                <w:rFonts w:hint="eastAsia" w:ascii="宋体" w:hAnsi="宋体" w:cs="宋体"/>
                <w:b/>
                <w:bCs/>
                <w:color w:val="auto"/>
                <w:sz w:val="24"/>
                <w:highlight w:val="none"/>
                <w:lang w:val="en-US" w:eastAsia="zh-CN"/>
              </w:rPr>
              <w:t>注：投标文件</w:t>
            </w:r>
            <w:r>
              <w:rPr>
                <w:rFonts w:hint="eastAsia" w:ascii="宋体" w:hAnsi="宋体" w:cs="宋体"/>
                <w:b/>
                <w:bCs/>
                <w:color w:val="auto"/>
                <w:sz w:val="24"/>
                <w:highlight w:val="none"/>
              </w:rPr>
              <w:t>中提供证书及202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月至202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月中任意一个月</w:t>
            </w:r>
            <w:r>
              <w:rPr>
                <w:rFonts w:hint="eastAsia" w:ascii="宋体" w:hAnsi="宋体" w:cs="宋体"/>
                <w:b/>
                <w:bCs/>
                <w:color w:val="auto"/>
                <w:sz w:val="24"/>
                <w:highlight w:val="none"/>
                <w:lang w:eastAsia="zh-CN"/>
              </w:rPr>
              <w:t>投标人</w:t>
            </w:r>
            <w:r>
              <w:rPr>
                <w:rFonts w:hint="eastAsia" w:ascii="宋体" w:hAnsi="宋体" w:cs="宋体"/>
                <w:b/>
                <w:bCs/>
                <w:color w:val="auto"/>
                <w:sz w:val="24"/>
                <w:highlight w:val="none"/>
              </w:rPr>
              <w:t>为上述人员缴纳的社保证明材料并加盖</w:t>
            </w:r>
            <w:r>
              <w:rPr>
                <w:rFonts w:hint="eastAsia" w:ascii="宋体" w:hAnsi="宋体" w:cs="宋体"/>
                <w:b/>
                <w:bCs/>
                <w:color w:val="auto"/>
                <w:sz w:val="24"/>
                <w:highlight w:val="none"/>
                <w:lang w:eastAsia="zh-CN"/>
              </w:rPr>
              <w:t>投标人</w:t>
            </w:r>
            <w:r>
              <w:rPr>
                <w:rFonts w:hint="eastAsia" w:ascii="宋体" w:hAnsi="宋体" w:cs="宋体"/>
                <w:b/>
                <w:bCs/>
                <w:color w:val="auto"/>
                <w:sz w:val="24"/>
                <w:highlight w:val="none"/>
              </w:rPr>
              <w:t>公章，否则不得分。</w:t>
            </w:r>
          </w:p>
        </w:tc>
        <w:tc>
          <w:tcPr>
            <w:tcW w:w="519" w:type="dxa"/>
            <w:noWrap w:val="0"/>
            <w:tcMar>
              <w:top w:w="0" w:type="dxa"/>
              <w:left w:w="108" w:type="dxa"/>
              <w:bottom w:w="0" w:type="dxa"/>
              <w:right w:w="108" w:type="dxa"/>
            </w:tcMar>
            <w:vAlign w:val="center"/>
          </w:tcPr>
          <w:p w14:paraId="728B335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8</w:t>
            </w:r>
          </w:p>
        </w:tc>
      </w:tr>
      <w:tr w14:paraId="3FF5C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4F1485E3">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三、</w:t>
            </w:r>
            <w:r>
              <w:rPr>
                <w:rFonts w:hint="eastAsia" w:ascii="宋体" w:hAnsi="宋体" w:eastAsia="宋体" w:cs="宋体"/>
                <w:b/>
                <w:color w:val="auto"/>
                <w:kern w:val="0"/>
                <w:sz w:val="24"/>
                <w:szCs w:val="24"/>
                <w:highlight w:val="none"/>
                <w:lang w:val="en-US" w:eastAsia="zh-CN"/>
              </w:rPr>
              <w:t>服务</w:t>
            </w:r>
            <w:r>
              <w:rPr>
                <w:rFonts w:hint="eastAsia" w:ascii="宋体" w:hAnsi="宋体" w:eastAsia="宋体" w:cs="宋体"/>
                <w:b/>
                <w:color w:val="auto"/>
                <w:kern w:val="0"/>
                <w:sz w:val="24"/>
                <w:szCs w:val="24"/>
                <w:highlight w:val="none"/>
              </w:rPr>
              <w:t>方案</w:t>
            </w:r>
            <w:r>
              <w:rPr>
                <w:rFonts w:hint="eastAsia" w:ascii="宋体" w:hAnsi="宋体" w:eastAsia="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49</w:t>
            </w:r>
            <w:r>
              <w:rPr>
                <w:rFonts w:hint="eastAsia" w:ascii="宋体" w:hAnsi="宋体" w:eastAsia="宋体" w:cs="宋体"/>
                <w:b/>
                <w:color w:val="auto"/>
                <w:kern w:val="0"/>
                <w:sz w:val="24"/>
                <w:szCs w:val="24"/>
                <w:highlight w:val="none"/>
                <w:lang w:val="en-US" w:eastAsia="zh-CN"/>
              </w:rPr>
              <w:t>分</w:t>
            </w:r>
            <w:r>
              <w:rPr>
                <w:rFonts w:hint="eastAsia" w:ascii="宋体" w:hAnsi="宋体" w:eastAsia="宋体" w:cs="宋体"/>
                <w:b/>
                <w:color w:val="auto"/>
                <w:kern w:val="0"/>
                <w:sz w:val="24"/>
                <w:szCs w:val="24"/>
                <w:highlight w:val="none"/>
                <w:lang w:eastAsia="zh-CN"/>
              </w:rPr>
              <w:t>）</w:t>
            </w:r>
          </w:p>
        </w:tc>
      </w:tr>
      <w:tr w14:paraId="1DD73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1E42F00C">
            <w:pPr>
              <w:pStyle w:val="234"/>
              <w:keepNext w:val="0"/>
              <w:keepLines w:val="0"/>
              <w:pageBreakBefore w:val="0"/>
              <w:kinsoku/>
              <w:wordWrap/>
              <w:overflowPunct/>
              <w:topLinePunct w:val="0"/>
              <w:bidi w:val="0"/>
              <w:spacing w:line="360" w:lineRule="auto"/>
              <w:jc w:val="center"/>
              <w:textAlignment w:val="auto"/>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w:t>
            </w:r>
          </w:p>
        </w:tc>
        <w:tc>
          <w:tcPr>
            <w:tcW w:w="1200" w:type="dxa"/>
            <w:noWrap w:val="0"/>
            <w:tcMar>
              <w:top w:w="0" w:type="dxa"/>
              <w:left w:w="108" w:type="dxa"/>
              <w:bottom w:w="0" w:type="dxa"/>
              <w:right w:w="108" w:type="dxa"/>
            </w:tcMar>
            <w:vAlign w:val="center"/>
          </w:tcPr>
          <w:p w14:paraId="171DFFC8">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w:t>
            </w:r>
          </w:p>
        </w:tc>
        <w:tc>
          <w:tcPr>
            <w:tcW w:w="6026" w:type="dxa"/>
            <w:noWrap w:val="0"/>
            <w:tcMar>
              <w:top w:w="0" w:type="dxa"/>
              <w:left w:w="108" w:type="dxa"/>
              <w:bottom w:w="0" w:type="dxa"/>
              <w:right w:w="108" w:type="dxa"/>
            </w:tcMar>
            <w:vAlign w:val="center"/>
          </w:tcPr>
          <w:p w14:paraId="23B9E3D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eastAsia" w:ascii="宋体" w:hAnsi="宋体" w:eastAsia="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eastAsia" w:ascii="宋体" w:hAnsi="宋体" w:eastAsia="宋体" w:cs="宋体"/>
                <w:color w:val="auto"/>
                <w:kern w:val="0"/>
                <w:sz w:val="24"/>
                <w:szCs w:val="24"/>
                <w:highlight w:val="none"/>
                <w:lang w:val="en-US" w:eastAsia="zh-CN" w:bidi="ar-SA"/>
              </w:rPr>
              <w:t>为本项目制定的</w:t>
            </w:r>
            <w:r>
              <w:rPr>
                <w:rFonts w:hint="eastAsia" w:ascii="宋体" w:hAnsi="宋体" w:eastAsia="宋体" w:cs="宋体"/>
                <w:color w:val="auto"/>
                <w:sz w:val="24"/>
                <w:szCs w:val="24"/>
                <w:highlight w:val="none"/>
                <w:lang w:val="en-US" w:eastAsia="zh-CN"/>
              </w:rPr>
              <w:t>实施方案（包含项目的实施步骤、阶段和关键节点等内容）</w:t>
            </w:r>
            <w:r>
              <w:rPr>
                <w:rFonts w:hint="eastAsia" w:ascii="宋体" w:hAnsi="宋体" w:eastAsia="宋体" w:cs="宋体"/>
                <w:color w:val="auto"/>
                <w:kern w:val="0"/>
                <w:sz w:val="24"/>
                <w:szCs w:val="24"/>
                <w:highlight w:val="none"/>
                <w:lang w:val="en-US" w:eastAsia="zh-CN" w:bidi="ar-SA"/>
              </w:rPr>
              <w:t>进行综合评审。</w:t>
            </w:r>
          </w:p>
          <w:p w14:paraId="4387079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方案全面，内容详细的得10分；</w:t>
            </w:r>
          </w:p>
          <w:p w14:paraId="50A5F1B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方案较全面、内容较详细的得8分；</w:t>
            </w:r>
          </w:p>
          <w:p w14:paraId="60E9B50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方案有基本内容基本齐全的得6分；</w:t>
            </w:r>
          </w:p>
          <w:p w14:paraId="664BD30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方案空洞，缺乏实质性内容的得4分；</w:t>
            </w:r>
          </w:p>
          <w:p w14:paraId="099243C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未提供不得分。</w:t>
            </w:r>
          </w:p>
        </w:tc>
        <w:tc>
          <w:tcPr>
            <w:tcW w:w="519" w:type="dxa"/>
            <w:noWrap w:val="0"/>
            <w:tcMar>
              <w:top w:w="0" w:type="dxa"/>
              <w:left w:w="108" w:type="dxa"/>
              <w:bottom w:w="0" w:type="dxa"/>
              <w:right w:w="108" w:type="dxa"/>
            </w:tcMar>
            <w:vAlign w:val="center"/>
          </w:tcPr>
          <w:p w14:paraId="5CA6B4F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44E64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592C931F">
            <w:pPr>
              <w:pStyle w:val="234"/>
              <w:keepNext w:val="0"/>
              <w:keepLines w:val="0"/>
              <w:pageBreakBefore w:val="0"/>
              <w:kinsoku/>
              <w:wordWrap/>
              <w:overflowPunct/>
              <w:topLinePunct w:val="0"/>
              <w:bidi w:val="0"/>
              <w:spacing w:line="360" w:lineRule="auto"/>
              <w:jc w:val="center"/>
              <w:textAlignment w:val="auto"/>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w:t>
            </w:r>
          </w:p>
        </w:tc>
        <w:tc>
          <w:tcPr>
            <w:tcW w:w="1200" w:type="dxa"/>
            <w:noWrap w:val="0"/>
            <w:tcMar>
              <w:top w:w="0" w:type="dxa"/>
              <w:left w:w="108" w:type="dxa"/>
              <w:bottom w:w="0" w:type="dxa"/>
              <w:right w:w="108" w:type="dxa"/>
            </w:tcMar>
            <w:vAlign w:val="center"/>
          </w:tcPr>
          <w:p w14:paraId="3BF4717D">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质量进度方案</w:t>
            </w:r>
          </w:p>
        </w:tc>
        <w:tc>
          <w:tcPr>
            <w:tcW w:w="6026" w:type="dxa"/>
            <w:noWrap w:val="0"/>
            <w:tcMar>
              <w:top w:w="0" w:type="dxa"/>
              <w:left w:w="108" w:type="dxa"/>
              <w:bottom w:w="0" w:type="dxa"/>
              <w:right w:w="108" w:type="dxa"/>
            </w:tcMar>
            <w:vAlign w:val="center"/>
          </w:tcPr>
          <w:p w14:paraId="2D58CF6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eastAsia" w:ascii="宋体" w:hAnsi="宋体" w:eastAsia="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eastAsia" w:ascii="宋体" w:hAnsi="宋体" w:eastAsia="宋体" w:cs="宋体"/>
                <w:color w:val="auto"/>
                <w:kern w:val="0"/>
                <w:sz w:val="24"/>
                <w:szCs w:val="24"/>
                <w:highlight w:val="none"/>
                <w:lang w:val="en-US" w:eastAsia="zh-CN" w:bidi="ar-SA"/>
              </w:rPr>
              <w:t>为本项目制定的质量进度方案（包含质量计划、质量保证、质量控制等内容）进行综合评审。</w:t>
            </w:r>
          </w:p>
          <w:p w14:paraId="14D4D13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方案全面，内容详细的得10分；</w:t>
            </w:r>
          </w:p>
          <w:p w14:paraId="12F9DC9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方案较全面、内容较详细的得8分；</w:t>
            </w:r>
          </w:p>
          <w:p w14:paraId="532F855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方案有基本内容基本齐全的得6分；</w:t>
            </w:r>
          </w:p>
          <w:p w14:paraId="1D30DCA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方案空洞，缺乏实质性内容的得4分；</w:t>
            </w:r>
          </w:p>
          <w:p w14:paraId="4BE6C7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Hans" w:eastAsia="zh-CN" w:bidi="ar-SA"/>
              </w:rPr>
            </w:pPr>
            <w:r>
              <w:rPr>
                <w:rFonts w:hint="eastAsia" w:ascii="宋体" w:hAnsi="宋体" w:eastAsia="宋体" w:cs="宋体"/>
                <w:color w:val="auto"/>
                <w:kern w:val="0"/>
                <w:sz w:val="24"/>
                <w:szCs w:val="24"/>
                <w:highlight w:val="none"/>
                <w:lang w:val="en-US" w:eastAsia="zh-CN" w:bidi="ar-SA"/>
              </w:rPr>
              <w:t>未提供不得分。</w:t>
            </w:r>
          </w:p>
        </w:tc>
        <w:tc>
          <w:tcPr>
            <w:tcW w:w="519" w:type="dxa"/>
            <w:noWrap w:val="0"/>
            <w:tcMar>
              <w:top w:w="0" w:type="dxa"/>
              <w:left w:w="108" w:type="dxa"/>
              <w:bottom w:w="0" w:type="dxa"/>
              <w:right w:w="108" w:type="dxa"/>
            </w:tcMar>
            <w:vAlign w:val="center"/>
          </w:tcPr>
          <w:p w14:paraId="629BB566">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7D41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65963499">
            <w:pPr>
              <w:pStyle w:val="234"/>
              <w:keepNext w:val="0"/>
              <w:keepLines w:val="0"/>
              <w:pageBreakBefore w:val="0"/>
              <w:kinsoku/>
              <w:wordWrap/>
              <w:overflowPunct/>
              <w:topLinePunct w:val="0"/>
              <w:bidi w:val="0"/>
              <w:spacing w:line="360" w:lineRule="auto"/>
              <w:jc w:val="center"/>
              <w:textAlignment w:val="auto"/>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w:t>
            </w:r>
          </w:p>
        </w:tc>
        <w:tc>
          <w:tcPr>
            <w:tcW w:w="1200" w:type="dxa"/>
            <w:noWrap w:val="0"/>
            <w:tcMar>
              <w:top w:w="0" w:type="dxa"/>
              <w:left w:w="108" w:type="dxa"/>
              <w:bottom w:w="0" w:type="dxa"/>
              <w:right w:w="108" w:type="dxa"/>
            </w:tcMar>
            <w:vAlign w:val="center"/>
          </w:tcPr>
          <w:p w14:paraId="649480C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人员配备方案</w:t>
            </w:r>
          </w:p>
        </w:tc>
        <w:tc>
          <w:tcPr>
            <w:tcW w:w="6026" w:type="dxa"/>
            <w:noWrap w:val="0"/>
            <w:tcMar>
              <w:top w:w="0" w:type="dxa"/>
              <w:left w:w="108" w:type="dxa"/>
              <w:bottom w:w="0" w:type="dxa"/>
              <w:right w:w="108" w:type="dxa"/>
            </w:tcMar>
            <w:vAlign w:val="center"/>
          </w:tcPr>
          <w:p w14:paraId="465F18C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eastAsia" w:ascii="宋体" w:hAnsi="宋体" w:eastAsia="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eastAsia" w:ascii="宋体" w:hAnsi="宋体" w:eastAsia="宋体" w:cs="宋体"/>
                <w:color w:val="auto"/>
                <w:kern w:val="0"/>
                <w:sz w:val="24"/>
                <w:szCs w:val="24"/>
                <w:highlight w:val="none"/>
                <w:lang w:val="en-US" w:eastAsia="zh-CN" w:bidi="ar-SA"/>
              </w:rPr>
              <w:t>为本项目制定的人员配备方案（包含项目人员架构、岗位职责、人员管理制度等内容）进行综合评审。</w:t>
            </w:r>
          </w:p>
          <w:p w14:paraId="3ABBB7D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方案全面，内容详细的得10分；</w:t>
            </w:r>
          </w:p>
          <w:p w14:paraId="1EF4097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方案较全面、内容较详细的得8分；</w:t>
            </w:r>
          </w:p>
          <w:p w14:paraId="18C1B07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方案有基本内容齐全的得6分；</w:t>
            </w:r>
          </w:p>
          <w:p w14:paraId="611C1E7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方案空洞，缺乏实质性内容的得4分；</w:t>
            </w:r>
          </w:p>
          <w:p w14:paraId="545B76A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Hans" w:eastAsia="zh-CN" w:bidi="ar-SA"/>
              </w:rPr>
            </w:pPr>
            <w:r>
              <w:rPr>
                <w:rFonts w:hint="eastAsia" w:ascii="宋体" w:hAnsi="宋体" w:eastAsia="宋体" w:cs="宋体"/>
                <w:color w:val="auto"/>
                <w:kern w:val="0"/>
                <w:sz w:val="24"/>
                <w:szCs w:val="24"/>
                <w:highlight w:val="none"/>
                <w:lang w:val="en-US" w:eastAsia="zh-CN" w:bidi="ar-SA"/>
              </w:rPr>
              <w:t>未提供不得分。</w:t>
            </w:r>
          </w:p>
        </w:tc>
        <w:tc>
          <w:tcPr>
            <w:tcW w:w="519" w:type="dxa"/>
            <w:noWrap w:val="0"/>
            <w:tcMar>
              <w:top w:w="0" w:type="dxa"/>
              <w:left w:w="108" w:type="dxa"/>
              <w:bottom w:w="0" w:type="dxa"/>
              <w:right w:w="108" w:type="dxa"/>
            </w:tcMar>
            <w:vAlign w:val="center"/>
          </w:tcPr>
          <w:p w14:paraId="41B2045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10</w:t>
            </w:r>
          </w:p>
        </w:tc>
      </w:tr>
      <w:tr w14:paraId="02F9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43E5A067">
            <w:pPr>
              <w:pStyle w:val="234"/>
              <w:keepNext w:val="0"/>
              <w:keepLines w:val="0"/>
              <w:pageBreakBefore w:val="0"/>
              <w:kinsoku/>
              <w:wordWrap/>
              <w:overflowPunct/>
              <w:topLinePunct w:val="0"/>
              <w:bidi w:val="0"/>
              <w:spacing w:line="360" w:lineRule="auto"/>
              <w:jc w:val="center"/>
              <w:textAlignment w:val="auto"/>
              <w:outlineLvl w:val="9"/>
              <w:rPr>
                <w:rFonts w:hint="default"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4</w:t>
            </w:r>
          </w:p>
        </w:tc>
        <w:tc>
          <w:tcPr>
            <w:tcW w:w="1200" w:type="dxa"/>
            <w:noWrap w:val="0"/>
            <w:tcMar>
              <w:top w:w="0" w:type="dxa"/>
              <w:left w:w="108" w:type="dxa"/>
              <w:bottom w:w="0" w:type="dxa"/>
              <w:right w:w="108" w:type="dxa"/>
            </w:tcMar>
            <w:vAlign w:val="center"/>
          </w:tcPr>
          <w:p w14:paraId="5F92788E">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应急预案</w:t>
            </w:r>
          </w:p>
        </w:tc>
        <w:tc>
          <w:tcPr>
            <w:tcW w:w="6026" w:type="dxa"/>
            <w:noWrap w:val="0"/>
            <w:tcMar>
              <w:top w:w="0" w:type="dxa"/>
              <w:left w:w="108" w:type="dxa"/>
              <w:bottom w:w="0" w:type="dxa"/>
              <w:right w:w="108" w:type="dxa"/>
            </w:tcMar>
            <w:vAlign w:val="center"/>
          </w:tcPr>
          <w:p w14:paraId="3A6FE5E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eastAsia" w:ascii="宋体" w:hAnsi="宋体" w:eastAsia="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eastAsia" w:ascii="宋体" w:hAnsi="宋体" w:eastAsia="宋体" w:cs="宋体"/>
                <w:color w:val="auto"/>
                <w:kern w:val="0"/>
                <w:sz w:val="24"/>
                <w:szCs w:val="24"/>
                <w:highlight w:val="none"/>
                <w:lang w:val="en-US" w:eastAsia="zh-CN" w:bidi="ar-SA"/>
              </w:rPr>
              <w:t>为本项目制定的人员应急预案进行综合评审。</w:t>
            </w:r>
          </w:p>
          <w:p w14:paraId="1AE1F99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方案全面，内容详细的得10分；</w:t>
            </w:r>
          </w:p>
          <w:p w14:paraId="0EEB62C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方案较全面、内容较详细的得8分；</w:t>
            </w:r>
          </w:p>
          <w:p w14:paraId="215A8EA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方案有基本内容齐全的得6分；</w:t>
            </w:r>
          </w:p>
          <w:p w14:paraId="71BA2F8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方案空洞，缺乏实质性内容的得4分；</w:t>
            </w:r>
          </w:p>
          <w:p w14:paraId="5797EF6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未提供不得分。</w:t>
            </w:r>
          </w:p>
        </w:tc>
        <w:tc>
          <w:tcPr>
            <w:tcW w:w="519" w:type="dxa"/>
            <w:noWrap w:val="0"/>
            <w:tcMar>
              <w:top w:w="0" w:type="dxa"/>
              <w:left w:w="108" w:type="dxa"/>
              <w:bottom w:w="0" w:type="dxa"/>
              <w:right w:w="108" w:type="dxa"/>
            </w:tcMar>
            <w:vAlign w:val="center"/>
          </w:tcPr>
          <w:p w14:paraId="26BD969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61F6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312BFB3C">
            <w:pPr>
              <w:pStyle w:val="234"/>
              <w:keepNext w:val="0"/>
              <w:keepLines w:val="0"/>
              <w:pageBreakBefore w:val="0"/>
              <w:kinsoku/>
              <w:wordWrap/>
              <w:overflowPunct/>
              <w:topLinePunct w:val="0"/>
              <w:bidi w:val="0"/>
              <w:spacing w:line="360" w:lineRule="auto"/>
              <w:jc w:val="center"/>
              <w:textAlignment w:val="auto"/>
              <w:outlineLvl w:val="9"/>
              <w:rPr>
                <w:rFonts w:hint="default"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5</w:t>
            </w:r>
          </w:p>
        </w:tc>
        <w:tc>
          <w:tcPr>
            <w:tcW w:w="1200" w:type="dxa"/>
            <w:noWrap w:val="0"/>
            <w:tcMar>
              <w:top w:w="0" w:type="dxa"/>
              <w:left w:w="108" w:type="dxa"/>
              <w:bottom w:w="0" w:type="dxa"/>
              <w:right w:w="108" w:type="dxa"/>
            </w:tcMar>
            <w:vAlign w:val="center"/>
          </w:tcPr>
          <w:p w14:paraId="01816920">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后期服务方案</w:t>
            </w:r>
          </w:p>
        </w:tc>
        <w:tc>
          <w:tcPr>
            <w:tcW w:w="6026" w:type="dxa"/>
            <w:noWrap w:val="0"/>
            <w:tcMar>
              <w:top w:w="0" w:type="dxa"/>
              <w:left w:w="108" w:type="dxa"/>
              <w:bottom w:w="0" w:type="dxa"/>
              <w:right w:w="108" w:type="dxa"/>
            </w:tcMar>
            <w:vAlign w:val="center"/>
          </w:tcPr>
          <w:p w14:paraId="1044F1A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eastAsia" w:ascii="宋体" w:hAnsi="宋体" w:eastAsia="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eastAsia" w:ascii="宋体" w:hAnsi="宋体" w:eastAsia="宋体" w:cs="宋体"/>
                <w:color w:val="auto"/>
                <w:kern w:val="0"/>
                <w:sz w:val="24"/>
                <w:szCs w:val="24"/>
                <w:highlight w:val="none"/>
                <w:lang w:val="en-US" w:eastAsia="zh-CN" w:bidi="ar-SA"/>
              </w:rPr>
              <w:t>为本项目制定的</w:t>
            </w:r>
            <w:r>
              <w:rPr>
                <w:rFonts w:hint="eastAsia" w:ascii="宋体" w:hAnsi="宋体" w:eastAsia="宋体" w:cs="宋体"/>
                <w:color w:val="auto"/>
                <w:sz w:val="24"/>
                <w:szCs w:val="24"/>
                <w:highlight w:val="none"/>
                <w:lang w:val="en-US" w:eastAsia="zh-CN"/>
              </w:rPr>
              <w:t>后期服务方案</w:t>
            </w:r>
            <w:r>
              <w:rPr>
                <w:rFonts w:hint="eastAsia" w:ascii="宋体" w:hAnsi="宋体" w:eastAsia="宋体" w:cs="宋体"/>
                <w:color w:val="auto"/>
                <w:kern w:val="0"/>
                <w:sz w:val="24"/>
                <w:szCs w:val="24"/>
                <w:highlight w:val="none"/>
                <w:lang w:val="en-US" w:eastAsia="zh-CN" w:bidi="ar-SA"/>
              </w:rPr>
              <w:t>进行综合评审。</w:t>
            </w:r>
          </w:p>
          <w:p w14:paraId="5864622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方案全面，内容详细的得9分；</w:t>
            </w:r>
          </w:p>
          <w:p w14:paraId="480B4CA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方案较全面、内容较详细的得7分；</w:t>
            </w:r>
          </w:p>
          <w:p w14:paraId="46A4B7B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方案有基本内容基本齐全的得5分；</w:t>
            </w:r>
          </w:p>
          <w:p w14:paraId="33205FA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方案空洞，缺乏实质性内容的得3分；</w:t>
            </w:r>
          </w:p>
          <w:p w14:paraId="72843BB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未提供不得分。</w:t>
            </w:r>
          </w:p>
        </w:tc>
        <w:tc>
          <w:tcPr>
            <w:tcW w:w="519" w:type="dxa"/>
            <w:noWrap w:val="0"/>
            <w:tcMar>
              <w:top w:w="0" w:type="dxa"/>
              <w:left w:w="108" w:type="dxa"/>
              <w:bottom w:w="0" w:type="dxa"/>
              <w:right w:w="108" w:type="dxa"/>
            </w:tcMar>
            <w:vAlign w:val="center"/>
          </w:tcPr>
          <w:p w14:paraId="28E5F89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9</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5"/>
        <w:ind w:firstLine="480"/>
        <w:rPr>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4D3C595B">
      <w:pPr>
        <w:keepNext w:val="0"/>
        <w:keepLines w:val="0"/>
        <w:pageBreakBefore w:val="0"/>
        <w:widowControl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本项目是2026-2028年薛家重点道路保洁及降尘作业项目，</w:t>
      </w:r>
      <w:r>
        <w:rPr>
          <w:rFonts w:hint="eastAsia" w:ascii="宋体" w:hAnsi="宋体" w:eastAsia="宋体" w:cs="宋体"/>
          <w:color w:val="auto"/>
          <w:spacing w:val="2"/>
          <w:sz w:val="24"/>
          <w:szCs w:val="24"/>
          <w:highlight w:val="none"/>
          <w:u w:val="none"/>
          <w:lang w:eastAsia="zh-CN"/>
        </w:rPr>
        <w:t>包括但不限于改善大气环境质量，大幅降低道路扬尘监测数值，确保完成空气环境质量年度考核目标。</w:t>
      </w:r>
    </w:p>
    <w:p w14:paraId="181E8A8C">
      <w:pPr>
        <w:keepNext w:val="0"/>
        <w:keepLines w:val="0"/>
        <w:pageBreakBefore w:val="0"/>
        <w:widowControl w:val="0"/>
        <w:spacing w:line="360" w:lineRule="auto"/>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二、商务要求</w:t>
      </w:r>
    </w:p>
    <w:p w14:paraId="6CAA8895">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1.服务期限</w:t>
      </w:r>
    </w:p>
    <w:p w14:paraId="2238BC6A">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暂定三年，合同一年一签。其中前三个月为试用期，试用期满须经采购人考核，考核不合格，采购人可以解除合同。每年合同期满经采购人考核合格后可续签下一年度合同。</w:t>
      </w:r>
    </w:p>
    <w:p w14:paraId="154D65AE">
      <w:pPr>
        <w:keepNext w:val="0"/>
        <w:keepLines w:val="0"/>
        <w:pageBreakBefore w:val="0"/>
        <w:widowControl w:val="0"/>
        <w:spacing w:line="360" w:lineRule="auto"/>
        <w:ind w:firstLine="488"/>
        <w:outlineLvl w:val="9"/>
        <w:rPr>
          <w:rFonts w:hint="default"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w:t>
      </w:r>
      <w:r>
        <w:rPr>
          <w:rFonts w:hint="eastAsia" w:ascii="宋体" w:hAnsi="宋体" w:cs="宋体"/>
          <w:b/>
          <w:bCs/>
          <w:color w:val="auto"/>
          <w:spacing w:val="2"/>
          <w:sz w:val="24"/>
          <w:szCs w:val="24"/>
          <w:highlight w:val="none"/>
          <w:u w:val="none"/>
          <w:lang w:val="en-US" w:eastAsia="zh-CN"/>
        </w:rPr>
        <w:t>付款方式</w:t>
      </w:r>
    </w:p>
    <w:p w14:paraId="18389613">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eastAsia="zh-CN"/>
        </w:rPr>
      </w:pPr>
      <w:r>
        <w:rPr>
          <w:rFonts w:hint="eastAsia" w:ascii="宋体" w:hAnsi="宋体" w:cs="宋体"/>
          <w:bCs/>
          <w:color w:val="auto"/>
          <w:sz w:val="24"/>
          <w:highlight w:val="none"/>
          <w:lang w:val="en-US" w:eastAsia="zh-CN"/>
        </w:rPr>
        <w:t>每半年按实结算支付服务费用。最终结算金额以实际完成的作业量、作业车辆数量为依据。</w:t>
      </w:r>
    </w:p>
    <w:p w14:paraId="5951FD10">
      <w:pPr>
        <w:keepNext w:val="0"/>
        <w:keepLines w:val="0"/>
        <w:pageBreakBefore w:val="0"/>
        <w:wordWrap/>
        <w:overflowPunct/>
        <w:topLinePunct w:val="0"/>
        <w:bidi w:val="0"/>
        <w:spacing w:line="360" w:lineRule="auto"/>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三、服务清单</w:t>
      </w:r>
    </w:p>
    <w:p w14:paraId="642B820A">
      <w:pPr>
        <w:keepNext w:val="0"/>
        <w:keepLines w:val="0"/>
        <w:pageBreakBefore w:val="0"/>
        <w:wordWrap/>
        <w:overflowPunct/>
        <w:topLinePunct w:val="0"/>
        <w:bidi w:val="0"/>
        <w:spacing w:line="360" w:lineRule="auto"/>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1.作业服务清单</w:t>
      </w:r>
    </w:p>
    <w:tbl>
      <w:tblPr>
        <w:tblStyle w:val="260"/>
        <w:tblW w:w="50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98"/>
        <w:gridCol w:w="2625"/>
        <w:gridCol w:w="593"/>
        <w:gridCol w:w="1886"/>
        <w:gridCol w:w="1313"/>
        <w:gridCol w:w="696"/>
        <w:gridCol w:w="693"/>
      </w:tblGrid>
      <w:tr w14:paraId="56F38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299" w:type="pct"/>
            <w:vMerge w:val="restart"/>
            <w:tcBorders>
              <w:bottom w:val="nil"/>
            </w:tcBorders>
            <w:noWrap w:val="0"/>
            <w:textDirection w:val="tbRlV"/>
            <w:vAlign w:val="center"/>
          </w:tcPr>
          <w:p w14:paraId="20FB7F58">
            <w:pPr>
              <w:pStyle w:val="264"/>
              <w:keepNext w:val="0"/>
              <w:keepLines w:val="0"/>
              <w:pageBreakBefore w:val="0"/>
              <w:widowControl w:val="0"/>
              <w:kinsoku/>
              <w:wordWrap/>
              <w:overflowPunct/>
              <w:topLinePunct w:val="0"/>
              <w:autoSpaceDE/>
              <w:autoSpaceDN/>
              <w:bidi w:val="0"/>
              <w:adjustRightInd/>
              <w:snapToGrid w:val="0"/>
              <w:spacing w:before="117"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26"/>
                <w:sz w:val="24"/>
                <w:szCs w:val="24"/>
                <w:highlight w:val="none"/>
              </w:rPr>
              <w:t>序号</w:t>
            </w:r>
          </w:p>
        </w:tc>
        <w:tc>
          <w:tcPr>
            <w:tcW w:w="1580" w:type="pct"/>
            <w:vMerge w:val="restart"/>
            <w:tcBorders>
              <w:bottom w:val="nil"/>
            </w:tcBorders>
            <w:noWrap w:val="0"/>
            <w:vAlign w:val="center"/>
          </w:tcPr>
          <w:p w14:paraId="5CC5A50B">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7"/>
                <w:sz w:val="24"/>
                <w:szCs w:val="24"/>
                <w:highlight w:val="none"/>
              </w:rPr>
              <w:t>保洁道路</w:t>
            </w:r>
          </w:p>
        </w:tc>
        <w:tc>
          <w:tcPr>
            <w:tcW w:w="357" w:type="pct"/>
            <w:vMerge w:val="restart"/>
            <w:tcBorders>
              <w:bottom w:val="nil"/>
            </w:tcBorders>
            <w:noWrap w:val="0"/>
            <w:vAlign w:val="center"/>
          </w:tcPr>
          <w:p w14:paraId="6BAD4A5C">
            <w:pPr>
              <w:pStyle w:val="264"/>
              <w:keepNext w:val="0"/>
              <w:keepLines w:val="0"/>
              <w:pageBreakBefore w:val="0"/>
              <w:widowControl w:val="0"/>
              <w:kinsoku/>
              <w:wordWrap/>
              <w:overflowPunct/>
              <w:topLinePunct w:val="0"/>
              <w:autoSpaceDE/>
              <w:autoSpaceDN/>
              <w:bidi w:val="0"/>
              <w:adjustRightInd/>
              <w:snapToGrid w:val="0"/>
              <w:spacing w:before="194"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单次</w:t>
            </w:r>
            <w:r>
              <w:rPr>
                <w:rFonts w:hint="eastAsia" w:ascii="宋体" w:hAnsi="宋体" w:eastAsia="宋体" w:cs="宋体"/>
                <w:b/>
                <w:color w:val="auto"/>
                <w:spacing w:val="-1"/>
                <w:sz w:val="24"/>
                <w:szCs w:val="24"/>
                <w:highlight w:val="none"/>
              </w:rPr>
              <w:t>里程</w:t>
            </w:r>
            <w:r>
              <w:rPr>
                <w:rFonts w:hint="eastAsia" w:ascii="宋体" w:hAnsi="宋体" w:eastAsia="宋体" w:cs="宋体"/>
                <w:b/>
                <w:color w:val="auto"/>
                <w:spacing w:val="-13"/>
                <w:w w:val="79"/>
                <w:sz w:val="24"/>
                <w:szCs w:val="24"/>
                <w:highlight w:val="none"/>
              </w:rPr>
              <w:t>/KM</w:t>
            </w:r>
          </w:p>
        </w:tc>
        <w:tc>
          <w:tcPr>
            <w:tcW w:w="1925" w:type="pct"/>
            <w:gridSpan w:val="2"/>
            <w:noWrap w:val="0"/>
            <w:vAlign w:val="center"/>
          </w:tcPr>
          <w:p w14:paraId="0A56F864">
            <w:pPr>
              <w:pStyle w:val="264"/>
              <w:keepNext w:val="0"/>
              <w:keepLines w:val="0"/>
              <w:pageBreakBefore w:val="0"/>
              <w:widowControl w:val="0"/>
              <w:kinsoku/>
              <w:wordWrap/>
              <w:overflowPunct/>
              <w:topLinePunct w:val="0"/>
              <w:autoSpaceDE/>
              <w:autoSpaceDN/>
              <w:bidi w:val="0"/>
              <w:adjustRightInd/>
              <w:snapToGrid w:val="0"/>
              <w:spacing w:before="38"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1"/>
                <w:sz w:val="24"/>
                <w:szCs w:val="24"/>
                <w:highlight w:val="none"/>
              </w:rPr>
              <w:t>洒水</w:t>
            </w:r>
          </w:p>
        </w:tc>
        <w:tc>
          <w:tcPr>
            <w:tcW w:w="836" w:type="pct"/>
            <w:gridSpan w:val="2"/>
            <w:noWrap w:val="0"/>
            <w:vAlign w:val="center"/>
          </w:tcPr>
          <w:p w14:paraId="435B9EF6">
            <w:pPr>
              <w:pStyle w:val="264"/>
              <w:keepNext w:val="0"/>
              <w:keepLines w:val="0"/>
              <w:pageBreakBefore w:val="0"/>
              <w:widowControl w:val="0"/>
              <w:kinsoku/>
              <w:wordWrap/>
              <w:overflowPunct/>
              <w:topLinePunct w:val="0"/>
              <w:autoSpaceDE/>
              <w:autoSpaceDN/>
              <w:bidi w:val="0"/>
              <w:adjustRightInd/>
              <w:snapToGrid w:val="0"/>
              <w:spacing w:before="38"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2"/>
                <w:sz w:val="24"/>
                <w:szCs w:val="24"/>
                <w:highlight w:val="none"/>
              </w:rPr>
              <w:t>洗扫</w:t>
            </w:r>
          </w:p>
        </w:tc>
      </w:tr>
      <w:tr w14:paraId="44630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299" w:type="pct"/>
            <w:vMerge w:val="continue"/>
            <w:tcBorders>
              <w:top w:val="nil"/>
            </w:tcBorders>
            <w:noWrap w:val="0"/>
            <w:textDirection w:val="tbRlV"/>
            <w:vAlign w:val="center"/>
          </w:tcPr>
          <w:p w14:paraId="3AEB711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p>
        </w:tc>
        <w:tc>
          <w:tcPr>
            <w:tcW w:w="1580" w:type="pct"/>
            <w:vMerge w:val="continue"/>
            <w:tcBorders>
              <w:top w:val="nil"/>
            </w:tcBorders>
            <w:noWrap w:val="0"/>
            <w:vAlign w:val="center"/>
          </w:tcPr>
          <w:p w14:paraId="1B3B842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p>
        </w:tc>
        <w:tc>
          <w:tcPr>
            <w:tcW w:w="357" w:type="pct"/>
            <w:vMerge w:val="continue"/>
            <w:tcBorders>
              <w:top w:val="nil"/>
            </w:tcBorders>
            <w:noWrap w:val="0"/>
            <w:vAlign w:val="center"/>
          </w:tcPr>
          <w:p w14:paraId="0407A65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p>
        </w:tc>
        <w:tc>
          <w:tcPr>
            <w:tcW w:w="1135" w:type="pct"/>
            <w:noWrap w:val="0"/>
            <w:vAlign w:val="center"/>
          </w:tcPr>
          <w:p w14:paraId="04C9D609">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6"/>
                <w:sz w:val="24"/>
                <w:szCs w:val="24"/>
                <w:highlight w:val="none"/>
              </w:rPr>
              <w:t>作业时段</w:t>
            </w:r>
          </w:p>
        </w:tc>
        <w:tc>
          <w:tcPr>
            <w:tcW w:w="790" w:type="pct"/>
            <w:noWrap w:val="0"/>
            <w:vAlign w:val="center"/>
          </w:tcPr>
          <w:p w14:paraId="1910897E">
            <w:pPr>
              <w:pStyle w:val="264"/>
              <w:keepNext w:val="0"/>
              <w:keepLines w:val="0"/>
              <w:pageBreakBefore w:val="0"/>
              <w:widowControl w:val="0"/>
              <w:kinsoku/>
              <w:wordWrap/>
              <w:overflowPunct/>
              <w:topLinePunct w:val="0"/>
              <w:autoSpaceDE/>
              <w:autoSpaceDN/>
              <w:bidi w:val="0"/>
              <w:adjustRightInd/>
              <w:snapToGrid w:val="0"/>
              <w:spacing w:before="36" w:line="360" w:lineRule="auto"/>
              <w:ind w:left="0" w:leftChars="0" w:right="0" w:rightChars="0" w:firstLine="0" w:firstLineChars="0"/>
              <w:jc w:val="center"/>
              <w:textAlignment w:val="auto"/>
              <w:rPr>
                <w:rFonts w:hint="eastAsia" w:ascii="宋体" w:hAnsi="宋体" w:eastAsia="宋体" w:cs="宋体"/>
                <w:b/>
                <w:color w:val="auto"/>
                <w:spacing w:val="-1"/>
                <w:sz w:val="24"/>
                <w:szCs w:val="24"/>
                <w:highlight w:val="none"/>
              </w:rPr>
            </w:pPr>
            <w:r>
              <w:rPr>
                <w:rFonts w:hint="eastAsia" w:ascii="宋体" w:hAnsi="宋体" w:eastAsia="宋体" w:cs="宋体"/>
                <w:b/>
                <w:color w:val="auto"/>
                <w:spacing w:val="-1"/>
                <w:sz w:val="24"/>
                <w:szCs w:val="24"/>
                <w:highlight w:val="none"/>
              </w:rPr>
              <w:t>里程</w:t>
            </w:r>
          </w:p>
          <w:p w14:paraId="2779FB41">
            <w:pPr>
              <w:pStyle w:val="264"/>
              <w:keepNext w:val="0"/>
              <w:keepLines w:val="0"/>
              <w:pageBreakBefore w:val="0"/>
              <w:widowControl w:val="0"/>
              <w:kinsoku/>
              <w:wordWrap/>
              <w:overflowPunct/>
              <w:topLinePunct w:val="0"/>
              <w:autoSpaceDE/>
              <w:autoSpaceDN/>
              <w:bidi w:val="0"/>
              <w:adjustRightInd/>
              <w:snapToGrid w:val="0"/>
              <w:spacing w:before="36"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15"/>
                <w:w w:val="88"/>
                <w:sz w:val="24"/>
                <w:szCs w:val="24"/>
                <w:highlight w:val="none"/>
              </w:rPr>
              <w:t>(KM)</w:t>
            </w:r>
            <w:r>
              <w:rPr>
                <w:rFonts w:hint="eastAsia" w:ascii="宋体" w:hAnsi="宋体" w:eastAsia="宋体" w:cs="宋体"/>
                <w:b/>
                <w:color w:val="auto"/>
                <w:spacing w:val="-2"/>
                <w:sz w:val="24"/>
                <w:szCs w:val="24"/>
                <w:highlight w:val="none"/>
              </w:rPr>
              <w:t>/天</w:t>
            </w:r>
          </w:p>
        </w:tc>
        <w:tc>
          <w:tcPr>
            <w:tcW w:w="419" w:type="pct"/>
            <w:noWrap w:val="0"/>
            <w:vAlign w:val="center"/>
          </w:tcPr>
          <w:p w14:paraId="07D17B8C">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6"/>
                <w:sz w:val="24"/>
                <w:szCs w:val="24"/>
                <w:highlight w:val="none"/>
              </w:rPr>
              <w:t>作业时段</w:t>
            </w:r>
          </w:p>
        </w:tc>
        <w:tc>
          <w:tcPr>
            <w:tcW w:w="417" w:type="pct"/>
            <w:noWrap w:val="0"/>
            <w:vAlign w:val="center"/>
          </w:tcPr>
          <w:p w14:paraId="6B0A8661">
            <w:pPr>
              <w:pStyle w:val="264"/>
              <w:keepNext w:val="0"/>
              <w:keepLines w:val="0"/>
              <w:pageBreakBefore w:val="0"/>
              <w:widowControl w:val="0"/>
              <w:kinsoku/>
              <w:wordWrap/>
              <w:overflowPunct/>
              <w:topLinePunct w:val="0"/>
              <w:autoSpaceDE/>
              <w:autoSpaceDN/>
              <w:bidi w:val="0"/>
              <w:adjustRightInd/>
              <w:snapToGrid w:val="0"/>
              <w:spacing w:before="36" w:line="360" w:lineRule="auto"/>
              <w:ind w:left="0" w:leftChars="0" w:right="0" w:rightChars="0" w:firstLine="0" w:firstLineChars="0"/>
              <w:jc w:val="center"/>
              <w:textAlignment w:val="auto"/>
              <w:rPr>
                <w:rFonts w:hint="eastAsia" w:ascii="宋体" w:hAnsi="宋体" w:eastAsia="宋体" w:cs="宋体"/>
                <w:b/>
                <w:color w:val="auto"/>
                <w:spacing w:val="-1"/>
                <w:sz w:val="24"/>
                <w:szCs w:val="24"/>
                <w:highlight w:val="none"/>
              </w:rPr>
            </w:pPr>
            <w:r>
              <w:rPr>
                <w:rFonts w:hint="eastAsia" w:ascii="宋体" w:hAnsi="宋体" w:eastAsia="宋体" w:cs="宋体"/>
                <w:b/>
                <w:color w:val="auto"/>
                <w:spacing w:val="-1"/>
                <w:sz w:val="24"/>
                <w:szCs w:val="24"/>
                <w:highlight w:val="none"/>
              </w:rPr>
              <w:t>里程</w:t>
            </w:r>
          </w:p>
          <w:p w14:paraId="4DE08A81">
            <w:pPr>
              <w:pStyle w:val="264"/>
              <w:keepNext w:val="0"/>
              <w:keepLines w:val="0"/>
              <w:pageBreakBefore w:val="0"/>
              <w:widowControl w:val="0"/>
              <w:kinsoku/>
              <w:wordWrap/>
              <w:overflowPunct/>
              <w:topLinePunct w:val="0"/>
              <w:autoSpaceDE/>
              <w:autoSpaceDN/>
              <w:bidi w:val="0"/>
              <w:adjustRightInd/>
              <w:snapToGrid w:val="0"/>
              <w:spacing w:before="36"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pacing w:val="-15"/>
                <w:w w:val="88"/>
                <w:sz w:val="24"/>
                <w:szCs w:val="24"/>
                <w:highlight w:val="none"/>
              </w:rPr>
              <w:t>(KM)</w:t>
            </w:r>
            <w:r>
              <w:rPr>
                <w:rFonts w:hint="eastAsia" w:ascii="宋体" w:hAnsi="宋体" w:eastAsia="宋体" w:cs="宋体"/>
                <w:b/>
                <w:color w:val="auto"/>
                <w:spacing w:val="-2"/>
                <w:sz w:val="24"/>
                <w:szCs w:val="24"/>
                <w:highlight w:val="none"/>
              </w:rPr>
              <w:t>/天</w:t>
            </w:r>
          </w:p>
        </w:tc>
      </w:tr>
      <w:tr w14:paraId="42D72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99" w:type="pct"/>
            <w:vMerge w:val="restart"/>
            <w:tcBorders>
              <w:bottom w:val="nil"/>
            </w:tcBorders>
            <w:noWrap w:val="0"/>
            <w:vAlign w:val="center"/>
          </w:tcPr>
          <w:p w14:paraId="0B5937D6">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80" w:type="pct"/>
            <w:vMerge w:val="restart"/>
            <w:tcBorders>
              <w:bottom w:val="nil"/>
            </w:tcBorders>
            <w:noWrap w:val="0"/>
            <w:vAlign w:val="center"/>
          </w:tcPr>
          <w:p w14:paraId="22A41D52">
            <w:pPr>
              <w:pStyle w:val="264"/>
              <w:keepNext w:val="0"/>
              <w:keepLines w:val="0"/>
              <w:pageBreakBefore w:val="0"/>
              <w:widowControl w:val="0"/>
              <w:kinsoku/>
              <w:wordWrap/>
              <w:overflowPunct/>
              <w:topLinePunct w:val="0"/>
              <w:autoSpaceDE/>
              <w:autoSpaceDN/>
              <w:bidi w:val="0"/>
              <w:adjustRightInd/>
              <w:snapToGrid w:val="0"/>
              <w:spacing w:before="25"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z w:val="24"/>
                <w:szCs w:val="24"/>
                <w:highlight w:val="none"/>
              </w:rPr>
              <w:t>嫩江路（春江路-玉龙路）2．云河路（春江路-玉龙路）3．辽河路（春江路-玉龙路）4．新七路（春江路-玉龙路）5．春江路（嫩江路-新七路）6．薛冶路（嫩江路-新七路）</w:t>
            </w:r>
            <w:r>
              <w:rPr>
                <w:rFonts w:hint="eastAsia" w:ascii="宋体" w:hAnsi="宋体" w:eastAsia="宋体" w:cs="宋体"/>
                <w:color w:val="auto"/>
                <w:spacing w:val="-1"/>
                <w:sz w:val="24"/>
                <w:szCs w:val="24"/>
                <w:highlight w:val="none"/>
              </w:rPr>
              <w:t>7．玉龙路（嫩江路-辽河路）</w:t>
            </w:r>
          </w:p>
        </w:tc>
        <w:tc>
          <w:tcPr>
            <w:tcW w:w="357" w:type="pct"/>
            <w:vMerge w:val="restart"/>
            <w:tcBorders>
              <w:bottom w:val="nil"/>
            </w:tcBorders>
            <w:noWrap w:val="0"/>
            <w:vAlign w:val="center"/>
          </w:tcPr>
          <w:p w14:paraId="18160D65">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11</w:t>
            </w:r>
          </w:p>
        </w:tc>
        <w:tc>
          <w:tcPr>
            <w:tcW w:w="1135" w:type="pct"/>
            <w:noWrap w:val="0"/>
            <w:vAlign w:val="center"/>
          </w:tcPr>
          <w:p w14:paraId="5EB19CE6">
            <w:pPr>
              <w:pStyle w:val="264"/>
              <w:keepNext w:val="0"/>
              <w:keepLines w:val="0"/>
              <w:pageBreakBefore w:val="0"/>
              <w:widowControl w:val="0"/>
              <w:kinsoku/>
              <w:wordWrap/>
              <w:overflowPunct/>
              <w:topLinePunct w:val="0"/>
              <w:autoSpaceDE/>
              <w:autoSpaceDN/>
              <w:bidi w:val="0"/>
              <w:adjustRightInd/>
              <w:snapToGrid w:val="0"/>
              <w:spacing w:before="26"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1．上午7</w:t>
            </w:r>
            <w:r>
              <w:rPr>
                <w:rFonts w:hint="eastAsia" w:ascii="宋体" w:hAnsi="宋体" w:eastAsia="宋体" w:cs="宋体"/>
                <w:color w:val="auto"/>
                <w:spacing w:val="21"/>
                <w:w w:val="101"/>
                <w:sz w:val="24"/>
                <w:szCs w:val="24"/>
                <w:highlight w:val="none"/>
              </w:rPr>
              <w:t xml:space="preserve"> </w:t>
            </w:r>
            <w:r>
              <w:rPr>
                <w:rFonts w:hint="eastAsia" w:ascii="宋体" w:hAnsi="宋体" w:eastAsia="宋体" w:cs="宋体"/>
                <w:color w:val="auto"/>
                <w:spacing w:val="-9"/>
                <w:sz w:val="24"/>
                <w:szCs w:val="24"/>
                <w:highlight w:val="none"/>
              </w:rPr>
              <w:t>时-9</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9"/>
                <w:sz w:val="24"/>
                <w:szCs w:val="24"/>
                <w:highlight w:val="none"/>
              </w:rPr>
              <w:t>时连续作</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业 2 次</w:t>
            </w:r>
            <w:r>
              <w:rPr>
                <w:rFonts w:hint="eastAsia" w:ascii="宋体" w:hAnsi="宋体" w:eastAsia="宋体" w:cs="宋体"/>
                <w:color w:val="auto"/>
                <w:spacing w:val="-20"/>
                <w:sz w:val="24"/>
                <w:szCs w:val="24"/>
                <w:highlight w:val="none"/>
              </w:rPr>
              <w:t xml:space="preserve"> </w:t>
            </w:r>
            <w:r>
              <w:rPr>
                <w:rFonts w:hint="eastAsia" w:ascii="宋体" w:hAnsi="宋体" w:eastAsia="宋体" w:cs="宋体"/>
                <w:color w:val="auto"/>
                <w:spacing w:val="-6"/>
                <w:sz w:val="24"/>
                <w:szCs w:val="24"/>
                <w:highlight w:val="none"/>
              </w:rPr>
              <w:t>，里程22</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6"/>
                <w:sz w:val="24"/>
                <w:szCs w:val="24"/>
                <w:highlight w:val="none"/>
              </w:rPr>
              <w:t>公里</w:t>
            </w:r>
          </w:p>
        </w:tc>
        <w:tc>
          <w:tcPr>
            <w:tcW w:w="790" w:type="pct"/>
            <w:vMerge w:val="restart"/>
            <w:tcBorders>
              <w:bottom w:val="nil"/>
            </w:tcBorders>
            <w:noWrap w:val="0"/>
            <w:vAlign w:val="center"/>
          </w:tcPr>
          <w:p w14:paraId="28A2A0F3">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w w:val="96"/>
                <w:sz w:val="24"/>
                <w:szCs w:val="24"/>
                <w:highlight w:val="none"/>
              </w:rPr>
              <w:t>44</w:t>
            </w:r>
          </w:p>
        </w:tc>
        <w:tc>
          <w:tcPr>
            <w:tcW w:w="419" w:type="pct"/>
            <w:vMerge w:val="restart"/>
            <w:tcBorders>
              <w:bottom w:val="nil"/>
            </w:tcBorders>
            <w:noWrap w:val="0"/>
            <w:vAlign w:val="center"/>
          </w:tcPr>
          <w:p w14:paraId="4465B8C9">
            <w:pPr>
              <w:pStyle w:val="264"/>
              <w:keepNext w:val="0"/>
              <w:keepLines w:val="0"/>
              <w:pageBreakBefore w:val="0"/>
              <w:widowControl w:val="0"/>
              <w:kinsoku/>
              <w:wordWrap/>
              <w:overflowPunct/>
              <w:topLinePunct w:val="0"/>
              <w:autoSpaceDE/>
              <w:autoSpaceDN/>
              <w:bidi w:val="0"/>
              <w:adjustRightInd/>
              <w:snapToGrid w:val="0"/>
              <w:spacing w:before="68"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每</w:t>
            </w:r>
            <w:r>
              <w:rPr>
                <w:rFonts w:hint="eastAsia" w:ascii="宋体" w:hAnsi="宋体" w:eastAsia="宋体" w:cs="宋体"/>
                <w:color w:val="auto"/>
                <w:spacing w:val="14"/>
                <w:w w:val="101"/>
                <w:sz w:val="24"/>
                <w:szCs w:val="24"/>
                <w:highlight w:val="none"/>
              </w:rPr>
              <w:t xml:space="preserve"> </w:t>
            </w:r>
            <w:r>
              <w:rPr>
                <w:rFonts w:hint="eastAsia" w:ascii="宋体" w:hAnsi="宋体" w:eastAsia="宋体" w:cs="宋体"/>
                <w:color w:val="auto"/>
                <w:spacing w:val="-7"/>
                <w:sz w:val="24"/>
                <w:szCs w:val="24"/>
                <w:highlight w:val="none"/>
              </w:rPr>
              <w:t>日</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7"/>
                <w:sz w:val="24"/>
                <w:szCs w:val="24"/>
                <w:highlight w:val="none"/>
              </w:rPr>
              <w:t>点前完成</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7"/>
                <w:sz w:val="24"/>
                <w:szCs w:val="24"/>
                <w:highlight w:val="none"/>
              </w:rPr>
              <w:t>一</w:t>
            </w:r>
            <w:r>
              <w:rPr>
                <w:rFonts w:hint="eastAsia" w:ascii="宋体" w:hAnsi="宋体" w:eastAsia="宋体" w:cs="宋体"/>
                <w:color w:val="auto"/>
                <w:spacing w:val="6"/>
                <w:sz w:val="24"/>
                <w:szCs w:val="24"/>
                <w:highlight w:val="none"/>
              </w:rPr>
              <w:t>次道路洗扫，</w:t>
            </w:r>
            <w:r>
              <w:rPr>
                <w:rFonts w:hint="eastAsia" w:ascii="宋体" w:hAnsi="宋体" w:eastAsia="宋体" w:cs="宋体"/>
                <w:color w:val="auto"/>
                <w:spacing w:val="-20"/>
                <w:sz w:val="24"/>
                <w:szCs w:val="24"/>
                <w:highlight w:val="none"/>
              </w:rPr>
              <w:t xml:space="preserve"> </w:t>
            </w:r>
            <w:r>
              <w:rPr>
                <w:rFonts w:hint="eastAsia" w:ascii="宋体" w:hAnsi="宋体" w:eastAsia="宋体" w:cs="宋体"/>
                <w:color w:val="auto"/>
                <w:spacing w:val="6"/>
                <w:sz w:val="24"/>
                <w:szCs w:val="24"/>
                <w:highlight w:val="none"/>
              </w:rPr>
              <w:t>里程</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22 公里</w:t>
            </w:r>
          </w:p>
        </w:tc>
        <w:tc>
          <w:tcPr>
            <w:tcW w:w="417" w:type="pct"/>
            <w:vMerge w:val="restart"/>
            <w:tcBorders>
              <w:bottom w:val="nil"/>
            </w:tcBorders>
            <w:noWrap w:val="0"/>
            <w:vAlign w:val="center"/>
          </w:tcPr>
          <w:p w14:paraId="1D92B9D8">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22</w:t>
            </w:r>
          </w:p>
        </w:tc>
      </w:tr>
      <w:tr w14:paraId="29237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99" w:type="pct"/>
            <w:vMerge w:val="continue"/>
            <w:tcBorders>
              <w:top w:val="nil"/>
            </w:tcBorders>
            <w:noWrap w:val="0"/>
            <w:vAlign w:val="center"/>
          </w:tcPr>
          <w:p w14:paraId="7786423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580" w:type="pct"/>
            <w:vMerge w:val="continue"/>
            <w:tcBorders>
              <w:top w:val="nil"/>
            </w:tcBorders>
            <w:noWrap w:val="0"/>
            <w:vAlign w:val="center"/>
          </w:tcPr>
          <w:p w14:paraId="20F8EEB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p>
        </w:tc>
        <w:tc>
          <w:tcPr>
            <w:tcW w:w="357" w:type="pct"/>
            <w:vMerge w:val="continue"/>
            <w:tcBorders>
              <w:top w:val="nil"/>
            </w:tcBorders>
            <w:noWrap w:val="0"/>
            <w:vAlign w:val="center"/>
          </w:tcPr>
          <w:p w14:paraId="696BB88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135" w:type="pct"/>
            <w:noWrap w:val="0"/>
            <w:vAlign w:val="center"/>
          </w:tcPr>
          <w:p w14:paraId="6121F2AF">
            <w:pPr>
              <w:pStyle w:val="264"/>
              <w:keepNext w:val="0"/>
              <w:keepLines w:val="0"/>
              <w:pageBreakBefore w:val="0"/>
              <w:widowControl w:val="0"/>
              <w:kinsoku/>
              <w:wordWrap/>
              <w:overflowPunct/>
              <w:topLinePunct w:val="0"/>
              <w:autoSpaceDE/>
              <w:autoSpaceDN/>
              <w:bidi w:val="0"/>
              <w:adjustRightInd/>
              <w:snapToGrid w:val="0"/>
              <w:spacing w:before="68"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2．下午 16</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13"/>
                <w:sz w:val="24"/>
                <w:szCs w:val="24"/>
                <w:highlight w:val="none"/>
              </w:rPr>
              <w:t>时-18</w:t>
            </w:r>
            <w:r>
              <w:rPr>
                <w:rFonts w:hint="eastAsia" w:ascii="宋体" w:hAnsi="宋体" w:eastAsia="宋体" w:cs="宋体"/>
                <w:color w:val="auto"/>
                <w:spacing w:val="18"/>
                <w:w w:val="101"/>
                <w:sz w:val="24"/>
                <w:szCs w:val="24"/>
                <w:highlight w:val="none"/>
              </w:rPr>
              <w:t xml:space="preserve"> </w:t>
            </w:r>
            <w:r>
              <w:rPr>
                <w:rFonts w:hint="eastAsia" w:ascii="宋体" w:hAnsi="宋体" w:eastAsia="宋体" w:cs="宋体"/>
                <w:color w:val="auto"/>
                <w:spacing w:val="-13"/>
                <w:sz w:val="24"/>
                <w:szCs w:val="24"/>
                <w:highlight w:val="none"/>
              </w:rPr>
              <w:t>时连续</w:t>
            </w:r>
            <w:r>
              <w:rPr>
                <w:rFonts w:hint="eastAsia" w:ascii="宋体" w:hAnsi="宋体" w:eastAsia="宋体" w:cs="宋体"/>
                <w:color w:val="auto"/>
                <w:sz w:val="24"/>
                <w:szCs w:val="24"/>
                <w:highlight w:val="none"/>
              </w:rPr>
              <w:t xml:space="preserve"> 作业2 次，里程22 公里</w:t>
            </w:r>
          </w:p>
        </w:tc>
        <w:tc>
          <w:tcPr>
            <w:tcW w:w="790" w:type="pct"/>
            <w:vMerge w:val="continue"/>
            <w:tcBorders>
              <w:top w:val="nil"/>
            </w:tcBorders>
            <w:noWrap w:val="0"/>
            <w:vAlign w:val="center"/>
          </w:tcPr>
          <w:p w14:paraId="0C05816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419" w:type="pct"/>
            <w:vMerge w:val="continue"/>
            <w:tcBorders>
              <w:top w:val="nil"/>
            </w:tcBorders>
            <w:noWrap w:val="0"/>
            <w:vAlign w:val="center"/>
          </w:tcPr>
          <w:p w14:paraId="71DE4CF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p>
        </w:tc>
        <w:tc>
          <w:tcPr>
            <w:tcW w:w="417" w:type="pct"/>
            <w:vMerge w:val="continue"/>
            <w:tcBorders>
              <w:top w:val="nil"/>
            </w:tcBorders>
            <w:noWrap w:val="0"/>
            <w:vAlign w:val="center"/>
          </w:tcPr>
          <w:p w14:paraId="29EB2C4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p>
        </w:tc>
      </w:tr>
      <w:tr w14:paraId="30D96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99" w:type="pct"/>
            <w:noWrap w:val="0"/>
            <w:vAlign w:val="center"/>
          </w:tcPr>
          <w:p w14:paraId="346F9F1F">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80" w:type="pct"/>
            <w:noWrap w:val="0"/>
            <w:vAlign w:val="center"/>
          </w:tcPr>
          <w:p w14:paraId="74E06B44">
            <w:pPr>
              <w:pStyle w:val="264"/>
              <w:keepNext w:val="0"/>
              <w:keepLines w:val="0"/>
              <w:pageBreakBefore w:val="0"/>
              <w:widowControl w:val="0"/>
              <w:kinsoku/>
              <w:wordWrap/>
              <w:overflowPunct/>
              <w:topLinePunct w:val="0"/>
              <w:autoSpaceDE/>
              <w:autoSpaceDN/>
              <w:bidi w:val="0"/>
              <w:adjustRightInd/>
              <w:snapToGrid w:val="0"/>
              <w:spacing w:before="28"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1．黄河路（奥园路-龙江路）2．庆阳路（奥园路-龙江路）3．汉江路（奥园路-龙江路）4．奥园路（黄河路-汉江路）5．</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z w:val="24"/>
                <w:szCs w:val="24"/>
                <w:highlight w:val="none"/>
              </w:rPr>
              <w:t>顺园路（黄河路-汉江路）</w:t>
            </w:r>
            <w:r>
              <w:rPr>
                <w:rFonts w:hint="eastAsia" w:ascii="宋体" w:hAnsi="宋体" w:eastAsia="宋体" w:cs="宋体"/>
                <w:color w:val="auto"/>
                <w:spacing w:val="-2"/>
                <w:sz w:val="24"/>
                <w:szCs w:val="24"/>
                <w:highlight w:val="none"/>
              </w:rPr>
              <w:t>6．</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2"/>
                <w:sz w:val="24"/>
                <w:szCs w:val="24"/>
                <w:highlight w:val="none"/>
              </w:rPr>
              <w:t>龙江路（黄河路-汉江路）</w:t>
            </w:r>
          </w:p>
        </w:tc>
        <w:tc>
          <w:tcPr>
            <w:tcW w:w="357" w:type="pct"/>
            <w:noWrap w:val="0"/>
            <w:vAlign w:val="center"/>
          </w:tcPr>
          <w:p w14:paraId="0A607F4E">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4.35</w:t>
            </w:r>
          </w:p>
        </w:tc>
        <w:tc>
          <w:tcPr>
            <w:tcW w:w="1135" w:type="pct"/>
            <w:noWrap w:val="0"/>
            <w:vAlign w:val="center"/>
          </w:tcPr>
          <w:p w14:paraId="15AAFBD7">
            <w:pPr>
              <w:pStyle w:val="264"/>
              <w:keepNext w:val="0"/>
              <w:keepLines w:val="0"/>
              <w:pageBreakBefore w:val="0"/>
              <w:widowControl w:val="0"/>
              <w:kinsoku/>
              <w:wordWrap/>
              <w:overflowPunct/>
              <w:topLinePunct w:val="0"/>
              <w:autoSpaceDE/>
              <w:autoSpaceDN/>
              <w:bidi w:val="0"/>
              <w:adjustRightInd/>
              <w:snapToGrid w:val="0"/>
              <w:spacing w:before="28"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1．上午 6</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10"/>
                <w:sz w:val="24"/>
                <w:szCs w:val="24"/>
                <w:highlight w:val="none"/>
              </w:rPr>
              <w:t>时-7</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10"/>
                <w:sz w:val="24"/>
                <w:szCs w:val="24"/>
                <w:highlight w:val="none"/>
              </w:rPr>
              <w:t>时，9</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10"/>
                <w:sz w:val="24"/>
                <w:szCs w:val="24"/>
                <w:highlight w:val="none"/>
              </w:rPr>
              <w:t>时-10</w:t>
            </w:r>
            <w:r>
              <w:rPr>
                <w:rFonts w:hint="eastAsia" w:ascii="宋体" w:hAnsi="宋体" w:eastAsia="宋体" w:cs="宋体"/>
                <w:color w:val="auto"/>
                <w:spacing w:val="27"/>
                <w:w w:val="101"/>
                <w:sz w:val="24"/>
                <w:szCs w:val="24"/>
                <w:highlight w:val="none"/>
              </w:rPr>
              <w:t xml:space="preserve"> </w:t>
            </w:r>
            <w:r>
              <w:rPr>
                <w:rFonts w:hint="eastAsia" w:ascii="宋体" w:hAnsi="宋体" w:eastAsia="宋体" w:cs="宋体"/>
                <w:color w:val="auto"/>
                <w:spacing w:val="-10"/>
                <w:sz w:val="24"/>
                <w:szCs w:val="24"/>
                <w:highlight w:val="none"/>
              </w:rPr>
              <w:t>时连续作业，每时段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各路段连续作业 2</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1"/>
                <w:sz w:val="24"/>
                <w:szCs w:val="24"/>
                <w:highlight w:val="none"/>
              </w:rPr>
              <w:t>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里程 17.4 公里；2．下午</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15</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3"/>
                <w:sz w:val="24"/>
                <w:szCs w:val="24"/>
                <w:highlight w:val="none"/>
              </w:rPr>
              <w:t>点-16</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3"/>
                <w:sz w:val="24"/>
                <w:szCs w:val="24"/>
                <w:highlight w:val="none"/>
              </w:rPr>
              <w:t>点连续作业 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，里程 8.7 公里</w:t>
            </w:r>
          </w:p>
        </w:tc>
        <w:tc>
          <w:tcPr>
            <w:tcW w:w="790" w:type="pct"/>
            <w:noWrap w:val="0"/>
            <w:vAlign w:val="center"/>
          </w:tcPr>
          <w:p w14:paraId="782AD1B8">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26.1</w:t>
            </w:r>
          </w:p>
        </w:tc>
        <w:tc>
          <w:tcPr>
            <w:tcW w:w="419" w:type="pct"/>
            <w:noWrap w:val="0"/>
            <w:vAlign w:val="center"/>
          </w:tcPr>
          <w:p w14:paraId="432315A0">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417" w:type="pct"/>
            <w:noWrap w:val="0"/>
            <w:vAlign w:val="center"/>
          </w:tcPr>
          <w:p w14:paraId="5FC2EEFF">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09AB9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99" w:type="pct"/>
            <w:noWrap w:val="0"/>
            <w:vAlign w:val="center"/>
          </w:tcPr>
          <w:p w14:paraId="1D27A8C3">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80" w:type="pct"/>
            <w:noWrap w:val="0"/>
            <w:vAlign w:val="center"/>
          </w:tcPr>
          <w:p w14:paraId="57AD144B">
            <w:pPr>
              <w:pStyle w:val="264"/>
              <w:keepNext w:val="0"/>
              <w:keepLines w:val="0"/>
              <w:pageBreakBefore w:val="0"/>
              <w:widowControl w:val="0"/>
              <w:kinsoku/>
              <w:wordWrap/>
              <w:overflowPunct/>
              <w:topLinePunct w:val="0"/>
              <w:autoSpaceDE/>
              <w:autoSpaceDN/>
              <w:bidi w:val="0"/>
              <w:adjustRightInd/>
              <w:snapToGrid w:val="0"/>
              <w:spacing w:before="215"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z w:val="24"/>
                <w:szCs w:val="24"/>
                <w:highlight w:val="none"/>
              </w:rPr>
              <w:t>勤奋路（丽园路-黄河路）2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建业路（丽园路-黄河路）3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丽园路（勤奋路-薛冶路）4．</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z w:val="24"/>
                <w:szCs w:val="24"/>
                <w:highlight w:val="none"/>
              </w:rPr>
              <w:t>瀛平路（勤奋路-临平路）</w:t>
            </w:r>
            <w:r>
              <w:rPr>
                <w:rFonts w:hint="eastAsia" w:ascii="宋体" w:hAnsi="宋体" w:eastAsia="宋体" w:cs="宋体"/>
                <w:color w:val="auto"/>
                <w:spacing w:val="-1"/>
                <w:sz w:val="24"/>
                <w:szCs w:val="24"/>
                <w:highlight w:val="none"/>
              </w:rPr>
              <w:t>5．</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黄河路（勤奋路-薛冶路）</w:t>
            </w:r>
          </w:p>
        </w:tc>
        <w:tc>
          <w:tcPr>
            <w:tcW w:w="357" w:type="pct"/>
            <w:noWrap w:val="0"/>
            <w:vAlign w:val="center"/>
          </w:tcPr>
          <w:p w14:paraId="78779C1D">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135" w:type="pct"/>
            <w:noWrap w:val="0"/>
            <w:vAlign w:val="center"/>
          </w:tcPr>
          <w:p w14:paraId="1E656B58">
            <w:pPr>
              <w:pStyle w:val="264"/>
              <w:keepNext w:val="0"/>
              <w:keepLines w:val="0"/>
              <w:pageBreakBefore w:val="0"/>
              <w:widowControl w:val="0"/>
              <w:kinsoku/>
              <w:wordWrap/>
              <w:overflowPunct/>
              <w:topLinePunct w:val="0"/>
              <w:autoSpaceDE/>
              <w:autoSpaceDN/>
              <w:bidi w:val="0"/>
              <w:adjustRightInd/>
              <w:snapToGrid w:val="0"/>
              <w:spacing w:before="101"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1．上午 6</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10"/>
                <w:sz w:val="24"/>
                <w:szCs w:val="24"/>
                <w:highlight w:val="none"/>
              </w:rPr>
              <w:t>时-7</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10"/>
                <w:sz w:val="24"/>
                <w:szCs w:val="24"/>
                <w:highlight w:val="none"/>
              </w:rPr>
              <w:t>时，9</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10"/>
                <w:sz w:val="24"/>
                <w:szCs w:val="24"/>
                <w:highlight w:val="none"/>
              </w:rPr>
              <w:t>时-10</w:t>
            </w:r>
            <w:r>
              <w:rPr>
                <w:rFonts w:hint="eastAsia" w:ascii="宋体" w:hAnsi="宋体" w:eastAsia="宋体" w:cs="宋体"/>
                <w:color w:val="auto"/>
                <w:spacing w:val="27"/>
                <w:w w:val="101"/>
                <w:sz w:val="24"/>
                <w:szCs w:val="24"/>
                <w:highlight w:val="none"/>
              </w:rPr>
              <w:t xml:space="preserve"> </w:t>
            </w:r>
            <w:r>
              <w:rPr>
                <w:rFonts w:hint="eastAsia" w:ascii="宋体" w:hAnsi="宋体" w:eastAsia="宋体" w:cs="宋体"/>
                <w:color w:val="auto"/>
                <w:spacing w:val="-10"/>
                <w:sz w:val="24"/>
                <w:szCs w:val="24"/>
                <w:highlight w:val="none"/>
              </w:rPr>
              <w:t>时连续作业，每时段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各路段连续作业 1</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里程10 公里</w:t>
            </w:r>
            <w:r>
              <w:rPr>
                <w:rFonts w:hint="eastAsia" w:ascii="宋体" w:hAnsi="宋体" w:eastAsia="宋体" w:cs="宋体"/>
                <w:color w:val="auto"/>
                <w:spacing w:val="-13"/>
                <w:sz w:val="24"/>
                <w:szCs w:val="24"/>
                <w:highlight w:val="none"/>
              </w:rPr>
              <w:t>2．下午 15</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13"/>
                <w:sz w:val="24"/>
                <w:szCs w:val="24"/>
                <w:highlight w:val="none"/>
              </w:rPr>
              <w:t>点-16</w:t>
            </w:r>
            <w:r>
              <w:rPr>
                <w:rFonts w:hint="eastAsia" w:ascii="宋体" w:hAnsi="宋体" w:eastAsia="宋体" w:cs="宋体"/>
                <w:color w:val="auto"/>
                <w:spacing w:val="12"/>
                <w:w w:val="101"/>
                <w:sz w:val="24"/>
                <w:szCs w:val="24"/>
                <w:highlight w:val="none"/>
              </w:rPr>
              <w:t xml:space="preserve"> </w:t>
            </w:r>
            <w:r>
              <w:rPr>
                <w:rFonts w:hint="eastAsia" w:ascii="宋体" w:hAnsi="宋体" w:eastAsia="宋体" w:cs="宋体"/>
                <w:color w:val="auto"/>
                <w:spacing w:val="-13"/>
                <w:sz w:val="24"/>
                <w:szCs w:val="24"/>
                <w:highlight w:val="none"/>
              </w:rPr>
              <w:t>点连续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作业1 次</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1"/>
                <w:sz w:val="24"/>
                <w:szCs w:val="24"/>
                <w:highlight w:val="none"/>
              </w:rPr>
              <w:t>，里程5 公里</w:t>
            </w:r>
          </w:p>
        </w:tc>
        <w:tc>
          <w:tcPr>
            <w:tcW w:w="790" w:type="pct"/>
            <w:noWrap w:val="0"/>
            <w:vAlign w:val="center"/>
          </w:tcPr>
          <w:p w14:paraId="28F71348">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15</w:t>
            </w:r>
          </w:p>
        </w:tc>
        <w:tc>
          <w:tcPr>
            <w:tcW w:w="419" w:type="pct"/>
            <w:noWrap w:val="0"/>
            <w:vAlign w:val="center"/>
          </w:tcPr>
          <w:p w14:paraId="65852FE4">
            <w:pPr>
              <w:pStyle w:val="264"/>
              <w:keepNext w:val="0"/>
              <w:keepLines w:val="0"/>
              <w:pageBreakBefore w:val="0"/>
              <w:widowControl w:val="0"/>
              <w:kinsoku/>
              <w:wordWrap/>
              <w:overflowPunct/>
              <w:topLinePunct w:val="0"/>
              <w:autoSpaceDE/>
              <w:autoSpaceDN/>
              <w:bidi w:val="0"/>
              <w:adjustRightInd/>
              <w:snapToGrid w:val="0"/>
              <w:spacing w:before="69"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每周三、周六开展1</w:t>
            </w:r>
            <w:r>
              <w:rPr>
                <w:rFonts w:hint="eastAsia" w:ascii="宋体" w:hAnsi="宋体" w:eastAsia="宋体" w:cs="宋体"/>
                <w:color w:val="auto"/>
                <w:spacing w:val="-9"/>
                <w:sz w:val="24"/>
                <w:szCs w:val="24"/>
                <w:highlight w:val="none"/>
              </w:rPr>
              <w:t>次道路洗扫，6</w:t>
            </w:r>
            <w:r>
              <w:rPr>
                <w:rFonts w:hint="eastAsia" w:ascii="宋体" w:hAnsi="宋体" w:eastAsia="宋体" w:cs="宋体"/>
                <w:color w:val="auto"/>
                <w:spacing w:val="17"/>
                <w:w w:val="102"/>
                <w:sz w:val="24"/>
                <w:szCs w:val="24"/>
                <w:highlight w:val="none"/>
              </w:rPr>
              <w:t xml:space="preserve"> </w:t>
            </w:r>
            <w:r>
              <w:rPr>
                <w:rFonts w:hint="eastAsia" w:ascii="宋体" w:hAnsi="宋体" w:eastAsia="宋体" w:cs="宋体"/>
                <w:color w:val="auto"/>
                <w:spacing w:val="-9"/>
                <w:sz w:val="24"/>
                <w:szCs w:val="24"/>
                <w:highlight w:val="none"/>
              </w:rPr>
              <w:t>点前</w:t>
            </w:r>
            <w:r>
              <w:rPr>
                <w:rFonts w:hint="eastAsia" w:ascii="宋体" w:hAnsi="宋体" w:eastAsia="宋体" w:cs="宋体"/>
                <w:color w:val="auto"/>
                <w:spacing w:val="-9"/>
                <w:w w:val="99"/>
                <w:sz w:val="24"/>
                <w:szCs w:val="24"/>
                <w:highlight w:val="none"/>
              </w:rPr>
              <w:t>完成洗扫工作，里程</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8"/>
                <w:w w:val="97"/>
                <w:sz w:val="24"/>
                <w:szCs w:val="24"/>
                <w:highlight w:val="none"/>
              </w:rPr>
              <w:t>20</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8"/>
                <w:w w:val="97"/>
                <w:sz w:val="24"/>
                <w:szCs w:val="24"/>
                <w:highlight w:val="none"/>
              </w:rPr>
              <w:t>公里</w:t>
            </w:r>
          </w:p>
        </w:tc>
        <w:tc>
          <w:tcPr>
            <w:tcW w:w="417" w:type="pct"/>
            <w:noWrap w:val="0"/>
            <w:vAlign w:val="center"/>
          </w:tcPr>
          <w:p w14:paraId="1FBF853D">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lang w:val="en-US" w:eastAsia="zh-CN"/>
              </w:rPr>
              <w:t>2</w:t>
            </w:r>
            <w:r>
              <w:rPr>
                <w:rFonts w:hint="eastAsia" w:ascii="宋体" w:hAnsi="宋体" w:eastAsia="宋体" w:cs="宋体"/>
                <w:color w:val="auto"/>
                <w:spacing w:val="-14"/>
                <w:sz w:val="24"/>
                <w:szCs w:val="24"/>
                <w:highlight w:val="none"/>
              </w:rPr>
              <w:t>0</w:t>
            </w:r>
          </w:p>
        </w:tc>
      </w:tr>
      <w:tr w14:paraId="747CC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99" w:type="pct"/>
            <w:vMerge w:val="restart"/>
            <w:tcBorders>
              <w:bottom w:val="nil"/>
            </w:tcBorders>
            <w:noWrap w:val="0"/>
            <w:vAlign w:val="center"/>
          </w:tcPr>
          <w:p w14:paraId="23ED2001">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80" w:type="pct"/>
            <w:noWrap w:val="0"/>
            <w:vAlign w:val="center"/>
          </w:tcPr>
          <w:p w14:paraId="31F0E2A8">
            <w:pPr>
              <w:pStyle w:val="264"/>
              <w:keepNext w:val="0"/>
              <w:keepLines w:val="0"/>
              <w:pageBreakBefore w:val="0"/>
              <w:widowControl w:val="0"/>
              <w:kinsoku/>
              <w:wordWrap/>
              <w:overflowPunct/>
              <w:topLinePunct w:val="0"/>
              <w:autoSpaceDE/>
              <w:autoSpaceDN/>
              <w:bidi w:val="0"/>
              <w:adjustRightInd/>
              <w:snapToGrid w:val="0"/>
              <w:spacing w:before="96"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8"/>
                <w:sz w:val="24"/>
                <w:szCs w:val="24"/>
                <w:highlight w:val="none"/>
                <w:lang w:val="en-US" w:eastAsia="zh-CN"/>
              </w:rPr>
              <w:t>.</w:t>
            </w:r>
            <w:r>
              <w:rPr>
                <w:rFonts w:hint="eastAsia" w:ascii="宋体" w:hAnsi="宋体" w:eastAsia="宋体" w:cs="宋体"/>
                <w:color w:val="auto"/>
                <w:spacing w:val="-8"/>
                <w:sz w:val="24"/>
                <w:szCs w:val="24"/>
                <w:highlight w:val="none"/>
              </w:rPr>
              <w:t>黄河路（</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8"/>
                <w:sz w:val="24"/>
                <w:szCs w:val="24"/>
                <w:highlight w:val="none"/>
              </w:rPr>
              <w:t>吕墅西路-德胜河）</w:t>
            </w:r>
          </w:p>
        </w:tc>
        <w:tc>
          <w:tcPr>
            <w:tcW w:w="357" w:type="pct"/>
            <w:vMerge w:val="restart"/>
            <w:tcBorders>
              <w:bottom w:val="nil"/>
            </w:tcBorders>
            <w:noWrap w:val="0"/>
            <w:vAlign w:val="center"/>
          </w:tcPr>
          <w:p w14:paraId="68ABEF62">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35" w:type="pct"/>
            <w:vMerge w:val="restart"/>
            <w:tcBorders>
              <w:bottom w:val="nil"/>
            </w:tcBorders>
            <w:noWrap w:val="0"/>
            <w:vAlign w:val="center"/>
          </w:tcPr>
          <w:p w14:paraId="3225844E">
            <w:pPr>
              <w:pStyle w:val="264"/>
              <w:keepNext w:val="0"/>
              <w:keepLines w:val="0"/>
              <w:pageBreakBefore w:val="0"/>
              <w:widowControl w:val="0"/>
              <w:kinsoku/>
              <w:wordWrap/>
              <w:overflowPunct/>
              <w:topLinePunct w:val="0"/>
              <w:autoSpaceDE/>
              <w:autoSpaceDN/>
              <w:bidi w:val="0"/>
              <w:adjustRightInd/>
              <w:snapToGrid w:val="0"/>
              <w:spacing w:before="30"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1．上午 6</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10"/>
                <w:sz w:val="24"/>
                <w:szCs w:val="24"/>
                <w:highlight w:val="none"/>
              </w:rPr>
              <w:t>时-7</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10"/>
                <w:sz w:val="24"/>
                <w:szCs w:val="24"/>
                <w:highlight w:val="none"/>
              </w:rPr>
              <w:t>时，9</w:t>
            </w:r>
            <w:r>
              <w:rPr>
                <w:rFonts w:hint="eastAsia" w:ascii="宋体" w:hAnsi="宋体" w:eastAsia="宋体" w:cs="宋体"/>
                <w:color w:val="auto"/>
                <w:spacing w:val="15"/>
                <w:w w:val="101"/>
                <w:sz w:val="24"/>
                <w:szCs w:val="24"/>
                <w:highlight w:val="none"/>
              </w:rPr>
              <w:t xml:space="preserve"> </w:t>
            </w:r>
            <w:r>
              <w:rPr>
                <w:rFonts w:hint="eastAsia" w:ascii="宋体" w:hAnsi="宋体" w:eastAsia="宋体" w:cs="宋体"/>
                <w:color w:val="auto"/>
                <w:spacing w:val="-10"/>
                <w:sz w:val="24"/>
                <w:szCs w:val="24"/>
                <w:highlight w:val="none"/>
              </w:rPr>
              <w:t>时-10</w:t>
            </w:r>
            <w:r>
              <w:rPr>
                <w:rFonts w:hint="eastAsia" w:ascii="宋体" w:hAnsi="宋体" w:eastAsia="宋体" w:cs="宋体"/>
                <w:color w:val="auto"/>
                <w:spacing w:val="27"/>
                <w:w w:val="101"/>
                <w:sz w:val="24"/>
                <w:szCs w:val="24"/>
                <w:highlight w:val="none"/>
              </w:rPr>
              <w:t xml:space="preserve"> </w:t>
            </w:r>
            <w:r>
              <w:rPr>
                <w:rFonts w:hint="eastAsia" w:ascii="宋体" w:hAnsi="宋体" w:eastAsia="宋体" w:cs="宋体"/>
                <w:color w:val="auto"/>
                <w:spacing w:val="-10"/>
                <w:sz w:val="24"/>
                <w:szCs w:val="24"/>
                <w:highlight w:val="none"/>
              </w:rPr>
              <w:t>时连续作业，每时段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各路段作业1 次，里程4</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4"/>
                <w:sz w:val="24"/>
                <w:szCs w:val="24"/>
                <w:highlight w:val="none"/>
              </w:rPr>
              <w:t>公里</w:t>
            </w:r>
          </w:p>
        </w:tc>
        <w:tc>
          <w:tcPr>
            <w:tcW w:w="790" w:type="pct"/>
            <w:vMerge w:val="restart"/>
            <w:tcBorders>
              <w:bottom w:val="nil"/>
            </w:tcBorders>
            <w:noWrap w:val="0"/>
            <w:vAlign w:val="center"/>
          </w:tcPr>
          <w:p w14:paraId="3533D121">
            <w:pPr>
              <w:pStyle w:val="264"/>
              <w:keepNext w:val="0"/>
              <w:keepLines w:val="0"/>
              <w:pageBreakBefore w:val="0"/>
              <w:widowControl w:val="0"/>
              <w:kinsoku/>
              <w:wordWrap/>
              <w:overflowPunct/>
              <w:topLinePunct w:val="0"/>
              <w:autoSpaceDE/>
              <w:autoSpaceDN/>
              <w:bidi w:val="0"/>
              <w:adjustRightInd/>
              <w:snapToGrid w:val="0"/>
              <w:spacing w:before="85"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19" w:type="pct"/>
            <w:vMerge w:val="restart"/>
            <w:tcBorders>
              <w:bottom w:val="nil"/>
            </w:tcBorders>
            <w:noWrap w:val="0"/>
            <w:vAlign w:val="center"/>
          </w:tcPr>
          <w:p w14:paraId="463772ED">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417" w:type="pct"/>
            <w:vMerge w:val="restart"/>
            <w:tcBorders>
              <w:bottom w:val="nil"/>
            </w:tcBorders>
            <w:noWrap w:val="0"/>
            <w:vAlign w:val="center"/>
          </w:tcPr>
          <w:p w14:paraId="67DA83F4">
            <w:pPr>
              <w:pStyle w:val="264"/>
              <w:keepNext w:val="0"/>
              <w:keepLines w:val="0"/>
              <w:pageBreakBefore w:val="0"/>
              <w:widowControl w:val="0"/>
              <w:kinsoku/>
              <w:wordWrap/>
              <w:overflowPunct/>
              <w:topLinePunct w:val="0"/>
              <w:autoSpaceDE/>
              <w:autoSpaceDN/>
              <w:bidi w:val="0"/>
              <w:adjustRightInd/>
              <w:snapToGrid w:val="0"/>
              <w:spacing w:before="86"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7C85D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99" w:type="pct"/>
            <w:vMerge w:val="continue"/>
            <w:tcBorders>
              <w:top w:val="nil"/>
            </w:tcBorders>
            <w:noWrap w:val="0"/>
            <w:vAlign w:val="center"/>
          </w:tcPr>
          <w:p w14:paraId="52F1A08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580" w:type="pct"/>
            <w:noWrap w:val="0"/>
            <w:vAlign w:val="center"/>
          </w:tcPr>
          <w:p w14:paraId="61209027">
            <w:pPr>
              <w:pStyle w:val="264"/>
              <w:keepNext w:val="0"/>
              <w:keepLines w:val="0"/>
              <w:pageBreakBefore w:val="0"/>
              <w:widowControl w:val="0"/>
              <w:kinsoku/>
              <w:wordWrap/>
              <w:overflowPunct/>
              <w:topLinePunct w:val="0"/>
              <w:autoSpaceDE/>
              <w:autoSpaceDN/>
              <w:bidi w:val="0"/>
              <w:adjustRightInd/>
              <w:snapToGrid w:val="0"/>
              <w:spacing w:before="73"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2．吕汤路（</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6"/>
                <w:sz w:val="24"/>
                <w:szCs w:val="24"/>
                <w:highlight w:val="none"/>
              </w:rPr>
              <w:t>吕墅一路-如意私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房菜）</w:t>
            </w:r>
          </w:p>
        </w:tc>
        <w:tc>
          <w:tcPr>
            <w:tcW w:w="357" w:type="pct"/>
            <w:vMerge w:val="continue"/>
            <w:tcBorders>
              <w:top w:val="nil"/>
            </w:tcBorders>
            <w:noWrap w:val="0"/>
            <w:vAlign w:val="center"/>
          </w:tcPr>
          <w:p w14:paraId="0F5B52F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135" w:type="pct"/>
            <w:vMerge w:val="continue"/>
            <w:tcBorders>
              <w:top w:val="nil"/>
            </w:tcBorders>
            <w:noWrap w:val="0"/>
            <w:vAlign w:val="center"/>
          </w:tcPr>
          <w:p w14:paraId="65C9D49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p>
        </w:tc>
        <w:tc>
          <w:tcPr>
            <w:tcW w:w="790" w:type="pct"/>
            <w:vMerge w:val="continue"/>
            <w:tcBorders>
              <w:top w:val="nil"/>
            </w:tcBorders>
            <w:noWrap w:val="0"/>
            <w:vAlign w:val="center"/>
          </w:tcPr>
          <w:p w14:paraId="500D94C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p>
        </w:tc>
        <w:tc>
          <w:tcPr>
            <w:tcW w:w="419" w:type="pct"/>
            <w:vMerge w:val="continue"/>
            <w:tcBorders>
              <w:top w:val="nil"/>
            </w:tcBorders>
            <w:noWrap w:val="0"/>
            <w:vAlign w:val="center"/>
          </w:tcPr>
          <w:p w14:paraId="6012E62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p>
        </w:tc>
        <w:tc>
          <w:tcPr>
            <w:tcW w:w="417" w:type="pct"/>
            <w:vMerge w:val="continue"/>
            <w:tcBorders>
              <w:top w:val="nil"/>
            </w:tcBorders>
            <w:noWrap w:val="0"/>
            <w:vAlign w:val="center"/>
          </w:tcPr>
          <w:p w14:paraId="385D927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p>
        </w:tc>
      </w:tr>
    </w:tbl>
    <w:p w14:paraId="70B12665">
      <w:pPr>
        <w:keepNext w:val="0"/>
        <w:keepLines w:val="0"/>
        <w:pageBreakBefore w:val="0"/>
        <w:wordWrap/>
        <w:overflowPunct/>
        <w:topLinePunct w:val="0"/>
        <w:bidi w:val="0"/>
        <w:spacing w:line="360" w:lineRule="auto"/>
        <w:ind w:firstLine="241" w:firstLineChars="100"/>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注 ：上述为目前暂定范围，具体作业范围以采购人实际需求为准。</w:t>
      </w:r>
    </w:p>
    <w:p w14:paraId="5906F11F">
      <w:pPr>
        <w:keepNext w:val="0"/>
        <w:keepLines w:val="0"/>
        <w:pageBreakBefore w:val="0"/>
        <w:wordWrap/>
        <w:overflowPunct/>
        <w:topLinePunct w:val="0"/>
        <w:bidi w:val="0"/>
        <w:spacing w:line="360" w:lineRule="auto"/>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2.机械化车辆要求</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6"/>
        <w:gridCol w:w="2469"/>
        <w:gridCol w:w="3588"/>
      </w:tblGrid>
      <w:tr w14:paraId="6661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348" w:type="pct"/>
            <w:noWrap w:val="0"/>
            <w:vAlign w:val="center"/>
          </w:tcPr>
          <w:p w14:paraId="46B1820F">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i w:val="0"/>
                <w:strike w:val="0"/>
                <w:color w:val="auto"/>
                <w:spacing w:val="-7"/>
                <w:sz w:val="24"/>
                <w:highlight w:val="none"/>
                <w:u w:val="none"/>
                <w:vertAlign w:val="baseline"/>
                <w:lang w:val="en-US" w:eastAsia="zh-CN"/>
              </w:rPr>
              <w:t>车型</w:t>
            </w:r>
          </w:p>
        </w:tc>
        <w:tc>
          <w:tcPr>
            <w:tcW w:w="1488" w:type="pct"/>
            <w:noWrap w:val="0"/>
            <w:vAlign w:val="center"/>
          </w:tcPr>
          <w:p w14:paraId="48E6BCBA">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i w:val="0"/>
                <w:strike w:val="0"/>
                <w:color w:val="auto"/>
                <w:spacing w:val="-7"/>
                <w:sz w:val="24"/>
                <w:highlight w:val="none"/>
                <w:u w:val="none"/>
                <w:vertAlign w:val="baseline"/>
                <w:lang w:val="en-US" w:eastAsia="zh-CN"/>
              </w:rPr>
              <w:t>最低配置数量</w:t>
            </w:r>
          </w:p>
        </w:tc>
        <w:tc>
          <w:tcPr>
            <w:tcW w:w="2163" w:type="pct"/>
            <w:noWrap w:val="0"/>
            <w:vAlign w:val="center"/>
          </w:tcPr>
          <w:p w14:paraId="1E168100">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i w:val="0"/>
                <w:strike w:val="0"/>
                <w:color w:val="auto"/>
                <w:spacing w:val="-7"/>
                <w:sz w:val="24"/>
                <w:highlight w:val="none"/>
                <w:u w:val="none"/>
                <w:vertAlign w:val="baseline"/>
                <w:lang w:val="en-US" w:eastAsia="zh-CN"/>
              </w:rPr>
              <w:t>要求</w:t>
            </w:r>
          </w:p>
        </w:tc>
      </w:tr>
      <w:tr w14:paraId="61F2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8" w:type="pct"/>
            <w:noWrap w:val="0"/>
            <w:vAlign w:val="center"/>
          </w:tcPr>
          <w:p w14:paraId="63E19C6A">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t>洒水车</w:t>
            </w:r>
          </w:p>
        </w:tc>
        <w:tc>
          <w:tcPr>
            <w:tcW w:w="1488" w:type="pct"/>
            <w:noWrap w:val="0"/>
            <w:vAlign w:val="center"/>
          </w:tcPr>
          <w:p w14:paraId="6EC10614">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t>1辆</w:t>
            </w:r>
          </w:p>
        </w:tc>
        <w:tc>
          <w:tcPr>
            <w:tcW w:w="2163" w:type="pct"/>
            <w:noWrap w:val="0"/>
            <w:vAlign w:val="center"/>
          </w:tcPr>
          <w:p w14:paraId="5529583D">
            <w:pPr>
              <w:pStyle w:val="18"/>
              <w:snapToGrid w:val="0"/>
              <w:spacing w:after="120" w:line="240" w:lineRule="auto"/>
              <w:ind w:left="0" w:leftChars="0" w:right="0" w:rightChars="0" w:firstLine="0" w:firstLineChars="0"/>
              <w:jc w:val="cente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宋体" w:hAnsi="宋体" w:eastAsia="宋体" w:cs="Times New Roman"/>
                <w:b w:val="0"/>
                <w:bCs w:val="0"/>
                <w:color w:val="auto"/>
                <w:kern w:val="0"/>
                <w:sz w:val="24"/>
                <w:szCs w:val="24"/>
                <w:highlight w:val="none"/>
                <w:lang w:val="en-US" w:eastAsia="zh-CN"/>
              </w:rPr>
              <w:t>行驶证核定载质量≥10吨</w:t>
            </w:r>
          </w:p>
        </w:tc>
      </w:tr>
      <w:tr w14:paraId="64BE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8" w:type="pct"/>
            <w:noWrap w:val="0"/>
            <w:vAlign w:val="center"/>
          </w:tcPr>
          <w:p w14:paraId="5E9744C0">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t>洗扫车</w:t>
            </w:r>
          </w:p>
        </w:tc>
        <w:tc>
          <w:tcPr>
            <w:tcW w:w="1488" w:type="pct"/>
            <w:noWrap w:val="0"/>
            <w:vAlign w:val="center"/>
          </w:tcPr>
          <w:p w14:paraId="345E0AF1">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t>1辆</w:t>
            </w:r>
          </w:p>
        </w:tc>
        <w:tc>
          <w:tcPr>
            <w:tcW w:w="2163" w:type="pct"/>
            <w:noWrap w:val="0"/>
            <w:vAlign w:val="center"/>
          </w:tcPr>
          <w:p w14:paraId="21996C0C">
            <w:pPr>
              <w:pStyle w:val="18"/>
              <w:snapToGrid w:val="0"/>
              <w:spacing w:after="120" w:line="240" w:lineRule="auto"/>
              <w:ind w:left="0" w:leftChars="0" w:right="0" w:rightChars="0" w:firstLine="0" w:firstLineChars="0"/>
              <w:jc w:val="cente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宋体" w:hAnsi="宋体" w:eastAsia="宋体" w:cs="Times New Roman"/>
                <w:b w:val="0"/>
                <w:bCs w:val="0"/>
                <w:color w:val="auto"/>
                <w:kern w:val="0"/>
                <w:sz w:val="24"/>
                <w:szCs w:val="24"/>
                <w:highlight w:val="none"/>
                <w:lang w:val="en-US" w:eastAsia="zh-CN"/>
              </w:rPr>
              <w:t>行驶证核定载质量≥5吨</w:t>
            </w:r>
          </w:p>
        </w:tc>
      </w:tr>
      <w:tr w14:paraId="0D47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8" w:type="pct"/>
            <w:noWrap w:val="0"/>
            <w:vAlign w:val="center"/>
          </w:tcPr>
          <w:p w14:paraId="40BF9526">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t>雾炮车（抑尘车）</w:t>
            </w:r>
          </w:p>
        </w:tc>
        <w:tc>
          <w:tcPr>
            <w:tcW w:w="1488" w:type="pct"/>
            <w:noWrap w:val="0"/>
            <w:vAlign w:val="center"/>
          </w:tcPr>
          <w:p w14:paraId="008ECA3E">
            <w:pPr>
              <w:pStyle w:val="18"/>
              <w:snapToGrid w:val="0"/>
              <w:spacing w:after="120" w:line="240" w:lineRule="auto"/>
              <w:ind w:left="0" w:leftChars="0" w:right="0" w:rightChars="0" w:firstLine="0" w:firstLineChars="0"/>
              <w:jc w:val="center"/>
              <w:rPr>
                <w:rFonts w:hint="default"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t>1辆</w:t>
            </w:r>
          </w:p>
        </w:tc>
        <w:tc>
          <w:tcPr>
            <w:tcW w:w="2163" w:type="pct"/>
            <w:noWrap w:val="0"/>
            <w:vAlign w:val="center"/>
          </w:tcPr>
          <w:p w14:paraId="214B7A71">
            <w:pPr>
              <w:pStyle w:val="18"/>
              <w:snapToGrid w:val="0"/>
              <w:spacing w:after="120" w:line="240" w:lineRule="auto"/>
              <w:ind w:left="0" w:leftChars="0" w:right="0" w:rightChars="0" w:firstLine="0" w:firstLineChars="0"/>
              <w:jc w:val="center"/>
              <w:rPr>
                <w:rFonts w:hint="eastAsia" w:ascii="方正仿宋_GB2312" w:hAnsi="方正仿宋_GB2312" w:eastAsia="宋体" w:cs="方正仿宋_GB2312"/>
                <w:b w:val="0"/>
                <w:i w:val="0"/>
                <w:strike w:val="0"/>
                <w:color w:val="auto"/>
                <w:spacing w:val="-7"/>
                <w:sz w:val="24"/>
                <w:highlight w:val="none"/>
                <w:u w:val="none"/>
                <w:vertAlign w:val="baseline"/>
                <w:lang w:val="en-US" w:eastAsia="zh-CN"/>
              </w:rPr>
            </w:pPr>
            <w:r>
              <w:rPr>
                <w:rFonts w:hint="eastAsia" w:ascii="宋体" w:hAnsi="宋体" w:eastAsia="宋体" w:cs="Times New Roman"/>
                <w:b w:val="0"/>
                <w:bCs w:val="0"/>
                <w:color w:val="auto"/>
                <w:kern w:val="0"/>
                <w:sz w:val="24"/>
                <w:szCs w:val="24"/>
                <w:highlight w:val="none"/>
                <w:lang w:val="en-US" w:eastAsia="zh-CN"/>
              </w:rPr>
              <w:t>行驶证核定载质量≥8吨</w:t>
            </w:r>
          </w:p>
        </w:tc>
      </w:tr>
    </w:tbl>
    <w:p w14:paraId="09BE2FB5">
      <w:pPr>
        <w:keepNext w:val="0"/>
        <w:keepLines w:val="0"/>
        <w:pageBreakBefore w:val="0"/>
        <w:wordWrap/>
        <w:overflowPunct/>
        <w:topLinePunct w:val="0"/>
        <w:bidi w:val="0"/>
        <w:spacing w:line="360" w:lineRule="auto"/>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四、服务要求</w:t>
      </w:r>
    </w:p>
    <w:p w14:paraId="0E081B89">
      <w:pPr>
        <w:keepNext w:val="0"/>
        <w:keepLines w:val="0"/>
        <w:pageBreakBefore w:val="0"/>
        <w:wordWrap/>
        <w:overflowPunct/>
        <w:topLinePunct w:val="0"/>
        <w:bidi w:val="0"/>
        <w:spacing w:line="360" w:lineRule="auto"/>
        <w:ind w:firstLine="482" w:firstLineChars="200"/>
        <w:textAlignment w:val="auto"/>
        <w:outlineLvl w:val="9"/>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（一）总体要求</w:t>
      </w:r>
    </w:p>
    <w:p w14:paraId="10A7847D">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如出现中标人自身管理或沟通不利使员工通过各类渠道或以其他方式对采购人的声誉造成不利影响，以及因中标人服务质量或员工素质等原因有损采购人的社会公众形象、口碑等情况，中标人必须第一时间负责将不利影响降到最低并及时妥善处理，同时承担由此造成的声誉损失后果。采购人保留从经济、法律或其他形式向中标人追究责任的权利。</w:t>
      </w:r>
    </w:p>
    <w:p w14:paraId="106632CF">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中标人擅自将服务合同转包给第三人的，以及中标人违反法律法规、规章或其他相关规范性文件的规定，影响合同履行的，采购人可以单方面解除合同而无须向中标人支付任何费用或承担其他任何责任，由此产生的经济损失和法律责任均由中标人承担。</w:t>
      </w:r>
    </w:p>
    <w:p w14:paraId="37FDB7AF">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3．中标人按相关要求进行作业，作业中如发生安全事故等，由中标人承担全部经济和法律责任。中标人应购买相关商业保险。</w:t>
      </w:r>
    </w:p>
    <w:p w14:paraId="3B0B4073">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（二）机械化作业基本要求</w:t>
      </w:r>
    </w:p>
    <w:p w14:paraId="68F0F700">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1．作业时间安排：</w:t>
      </w:r>
    </w:p>
    <w:p w14:paraId="7AA1620E">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①城市道路环卫机械化作业应充分考虑道路交通状况，日间安排机械化洒水作业，夜间安排机械化清扫作业，机械化清洗作业可根据实际情况和需要安排在日间或夜间进行。</w:t>
      </w:r>
    </w:p>
    <w:p w14:paraId="1D9A22C4">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②当气温≤5℃时，桥面、坡道的冲洗及清洗作业应暂停；当气温≤2℃时，必须停止全部冲洗及清洗作业，与此同时道路清扫全部采用干扫（不喷水）作业方式。</w:t>
      </w:r>
    </w:p>
    <w:p w14:paraId="6ACAD773">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③如遇降雨天气，降雨量达到10～25mm/h则暂停该时段洒水、洗扫等相关作业。</w:t>
      </w:r>
    </w:p>
    <w:p w14:paraId="5CD5B6A6">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2．作业行驶要求：</w:t>
      </w:r>
    </w:p>
    <w:p w14:paraId="01894321">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清扫作业时选用一挡，行驶速度不超过12公里/小时，副机转速不超过1800转/分，应严格按照放刷、喷水、调整箱体压力和刷盘转速、清扫的顺序进行操作；非特殊气候情况下，避免"干扫"；作业时禁止扫刷、吸嘴不落地；</w:t>
      </w:r>
    </w:p>
    <w:p w14:paraId="5F935C95">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②洒水作业时控制车速不超过30公里/小时，喷水口喷水有力，不得出现断续喷水的现象，洒水作业应覆盖道路的所有机动车道，不得漏洒，作业后路面无干燥路段和片区；</w:t>
      </w:r>
    </w:p>
    <w:p w14:paraId="1542521D">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③清洗作业车速不超过12公里/小时，副发动机转速控制在1800转/分（正常档），路面较脏时，副发动机转速控制在2000转/分（强洗档），并应开双侧吸嘴喷杆喷水。</w:t>
      </w:r>
    </w:p>
    <w:p w14:paraId="50CCD2F3">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④作业时须开启警示灯和示宽灯，夜间禁鸣，日间适当鸣号。</w:t>
      </w:r>
    </w:p>
    <w:p w14:paraId="0A80C229">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⑤作业人员必须按照规定的时间、线路、频次和作业模式作业；作业时应穿戴统一的、具有明显警示标识的工作服，并保持着装整洁。不得有滞留马路和加油加水超时等情况。</w:t>
      </w:r>
    </w:p>
    <w:p w14:paraId="35587C47">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注：上述要求，采购人不定期进行核查，若有违反，每发现一次扣除1000元/项。</w:t>
      </w:r>
    </w:p>
    <w:p w14:paraId="5277B988">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3．机械化作业车辆容貌要求：</w:t>
      </w:r>
    </w:p>
    <w:p w14:paraId="3EF9A36D">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①车体整洁明亮、各种配件齐全、使用功能齐备，各项作业装置保持完好、有效。车身如有宣传标贴，须保持清洁完整。</w:t>
      </w:r>
    </w:p>
    <w:p w14:paraId="7B2AC909">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②应保持标志清晰、齐全，车体无破损、无锈蚀、无污物、无灰垢。车尾应有反光标志（或加贴反光膜）。车体杜绝吊挂、抛洒污物，滴漏水、油液体等现象。</w:t>
      </w:r>
    </w:p>
    <w:p w14:paraId="166BEFF7">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注：上述要求，采购人不定期进行核查，若有违反，每发现一次扣除200元。</w:t>
      </w:r>
    </w:p>
    <w:p w14:paraId="1ED250F9">
      <w:pPr>
        <w:keepNext w:val="0"/>
        <w:keepLines w:val="0"/>
        <w:pageBreakBefore w:val="0"/>
        <w:wordWrap/>
        <w:overflowPunct/>
        <w:topLinePunct w:val="0"/>
        <w:bidi w:val="0"/>
        <w:spacing w:line="360" w:lineRule="auto"/>
        <w:ind w:firstLine="482" w:firstLineChars="200"/>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（三）调度和管理要求</w:t>
      </w:r>
    </w:p>
    <w:p w14:paraId="18C30FB6">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①科学合理调配作业车辆分布比例及运行。每班作业应按规定填写出车日志，作业车辆应在规定地点取水、清洁污物箱，机械化作业收集的垃圾倒入指定转运站。</w:t>
      </w:r>
    </w:p>
    <w:p w14:paraId="6DB192EB">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②建立健全车辆维修、保养和检查制度，必须确保出车车况良好。</w:t>
      </w:r>
    </w:p>
    <w:p w14:paraId="350FA3E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③如遇死角、深沟、道路两侧行道树过低过近、垃圾杂物体积过长过大、落叶季节、窨井腰眼不畅通、有杂物或被堵塞等工况无法满足环卫机械化作业条件时，需组织人工配合作业。</w:t>
      </w:r>
    </w:p>
    <w:p w14:paraId="7EAF4FBD">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（四）其他要求</w:t>
      </w:r>
    </w:p>
    <w:p w14:paraId="3969E0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highlight w:val="none"/>
          <w:u w:val="single"/>
          <w:lang w:val="en-US" w:eastAsia="zh-CN"/>
        </w:rPr>
        <w:t xml:space="preserve"> 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AD0264">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outlineLvl w:val="9"/>
        <w:rPr>
          <w:rFonts w:hint="default"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五、人员及实施要求</w:t>
      </w:r>
    </w:p>
    <w:p w14:paraId="5B6F27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（一）项目人员要求</w:t>
      </w:r>
    </w:p>
    <w:p w14:paraId="527753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1.项目需配备专业团队，团队人员应具有与本项目相关的技术能力。团队主要成员须全程参与本项目，不得擅自更换，确因特殊情况需变更的，须经采购人书面同意并提前15日报备。</w:t>
      </w:r>
    </w:p>
    <w:p w14:paraId="023E73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2.项目团队应指定1名专职联络员，负责与采购人的日常沟通协调，确保信息传递及时准确，响应采购人服务需求。</w:t>
      </w:r>
    </w:p>
    <w:p w14:paraId="0FDCB5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（二）项目实施要求</w:t>
      </w:r>
    </w:p>
    <w:p w14:paraId="1F4ED7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1.</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eastAsia="宋体" w:cs="宋体"/>
          <w:b w:val="0"/>
          <w:bCs/>
          <w:color w:val="auto"/>
          <w:sz w:val="24"/>
          <w:szCs w:val="24"/>
          <w:highlight w:val="none"/>
          <w:u w:val="none"/>
          <w:lang w:eastAsia="zh-CN"/>
        </w:rPr>
        <w:t>须制定详细的项目实施方案，明确各阶段工作内容、时间节点、人员分工及质量保障措施。</w:t>
      </w:r>
    </w:p>
    <w:p w14:paraId="75DA48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2.</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eastAsia="宋体" w:cs="宋体"/>
          <w:b w:val="0"/>
          <w:bCs/>
          <w:color w:val="auto"/>
          <w:sz w:val="24"/>
          <w:szCs w:val="24"/>
          <w:highlight w:val="none"/>
          <w:u w:val="none"/>
          <w:lang w:eastAsia="zh-CN"/>
        </w:rPr>
        <w:t>须建立项目质量内控机制，对服务成果实行审核制度，确保出具的监测报表数据准确、依据充分、结论客观。</w:t>
      </w:r>
    </w:p>
    <w:p w14:paraId="538D58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3.</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eastAsia="宋体" w:cs="宋体"/>
          <w:b w:val="0"/>
          <w:bCs/>
          <w:color w:val="auto"/>
          <w:sz w:val="24"/>
          <w:szCs w:val="24"/>
          <w:highlight w:val="none"/>
          <w:u w:val="none"/>
          <w:lang w:eastAsia="zh-CN"/>
        </w:rPr>
        <w:t>须严格遵守保密规定，对服务过程中接触的监测数据履行保密义务，未经采购人书面许可不得对外披露或用于其他用途。</w:t>
      </w:r>
    </w:p>
    <w:p w14:paraId="60DC38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t>4.</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eastAsia="宋体" w:cs="宋体"/>
          <w:b w:val="0"/>
          <w:bCs/>
          <w:color w:val="auto"/>
          <w:sz w:val="24"/>
          <w:szCs w:val="24"/>
          <w:highlight w:val="none"/>
          <w:u w:val="none"/>
          <w:lang w:eastAsia="zh-CN"/>
        </w:rPr>
        <w:t>须接受采购人及其上级主管部门的监督检查，配合做好相关审计、巡查及考核工作，按要求及时提供工作资料及情况说明。</w:t>
      </w:r>
    </w:p>
    <w:p w14:paraId="5D26CF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、知识产权归属</w:t>
      </w:r>
    </w:p>
    <w:p w14:paraId="3C2BCF2F">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在服务过程中形成的数据报表，其知识产权归采购人所有。</w:t>
      </w:r>
    </w:p>
    <w:p w14:paraId="1B4E40E5">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须保证所提交的成果文件不侵犯任何第三方的知识产权，如因知识产权纠纷导致采购人损失的，由</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承担全部法律责任及赔偿责任。</w:t>
      </w:r>
    </w:p>
    <w:p w14:paraId="448C7D39">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3.未经采购人书面许可，</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不得将本项目成果用于其他项目或对外公开发表、出版。</w:t>
      </w:r>
    </w:p>
    <w:p w14:paraId="5D48FC11">
      <w:pPr>
        <w:spacing w:line="360" w:lineRule="auto"/>
        <w:contextualSpacing/>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七、保密义务</w:t>
      </w:r>
    </w:p>
    <w:p w14:paraId="5C09C5E6">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须对服务过程中知悉的采购人商业秘密、技术秘密、财政资金信息、项目资料及相关数据严格保密，保密期限自合同签订之日起至永久。</w:t>
      </w:r>
    </w:p>
    <w:p w14:paraId="2BA40147">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违反保密义务导致采购人损失的，须承担相应的赔偿责任；构成犯罪的，依法移送司法机关追究刑事责任。</w:t>
      </w:r>
    </w:p>
    <w:p w14:paraId="275AEAC5">
      <w:pPr>
        <w:spacing w:line="360" w:lineRule="auto"/>
        <w:contextualSpacing/>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八、违约责任</w:t>
      </w:r>
    </w:p>
    <w:p w14:paraId="068AFBC2">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未按合同约定时间交付服务成果的，每延迟1日按合同金额的0.1%向采购人支付违约金，延迟超过15日的，采购人有权解除合同并要求</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赔偿损失。</w:t>
      </w:r>
    </w:p>
    <w:p w14:paraId="6FAC7583">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提交的服务成果不符合质量要求，经采购人提出后未在指定期限内整改或整改后仍不符合要求的，采购人有权拒付相应款项并要求</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承担违约责任。</w:t>
      </w:r>
    </w:p>
    <w:p w14:paraId="3085E882">
      <w:pPr>
        <w:keepNext w:val="0"/>
        <w:keepLines w:val="0"/>
        <w:pageBreakBefore w:val="0"/>
        <w:wordWrap/>
        <w:overflowPunct/>
        <w:topLinePunct w:val="0"/>
        <w:bidi w:val="0"/>
        <w:spacing w:line="360" w:lineRule="auto"/>
        <w:ind w:firstLine="480" w:firstLineChars="200"/>
        <w:textAlignment w:val="auto"/>
        <w:outlineLvl w:val="9"/>
        <w:rPr>
          <w:rFonts w:hint="eastAsia" w:ascii="宋体" w:hAnsi="宋体" w:cs="宋体"/>
          <w:b/>
          <w:bCs/>
          <w:color w:val="auto"/>
          <w:sz w:val="24"/>
          <w:highlight w:val="none"/>
        </w:rPr>
      </w:pPr>
      <w:r>
        <w:rPr>
          <w:rFonts w:hint="eastAsia" w:ascii="宋体" w:hAnsi="宋体" w:cs="宋体"/>
          <w:color w:val="auto"/>
          <w:sz w:val="24"/>
          <w:highlight w:val="none"/>
        </w:rPr>
        <w:t>3.因</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原因导致采购人被上级部门通报批评或产生其他不良影响的，采购人有权解除合同，</w:t>
      </w:r>
      <w:r>
        <w:rPr>
          <w:rFonts w:hint="eastAsia" w:ascii="宋体" w:hAnsi="宋体" w:eastAsia="宋体" w:cs="宋体"/>
          <w:b w:val="0"/>
          <w:bCs/>
          <w:color w:val="auto"/>
          <w:sz w:val="24"/>
          <w:szCs w:val="24"/>
          <w:highlight w:val="none"/>
          <w:u w:val="none"/>
          <w:lang w:val="en-US" w:eastAsia="zh-CN"/>
        </w:rPr>
        <w:t>中标人</w:t>
      </w:r>
      <w:r>
        <w:rPr>
          <w:rFonts w:hint="eastAsia" w:ascii="宋体" w:hAnsi="宋体" w:cs="宋体"/>
          <w:color w:val="auto"/>
          <w:sz w:val="24"/>
          <w:highlight w:val="none"/>
        </w:rPr>
        <w:t>须退还已收款项并赔偿采购人全部损失。</w:t>
      </w:r>
    </w:p>
    <w:p w14:paraId="4CA9B4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jc w:val="left"/>
        <w:textAlignment w:val="auto"/>
        <w:outlineLvl w:val="9"/>
        <w:rPr>
          <w:rFonts w:hint="default"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九、考核办法</w:t>
      </w:r>
    </w:p>
    <w:p w14:paraId="557299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1.考核大于90分(含90分)，支付中标人全部服务费用；</w:t>
      </w:r>
    </w:p>
    <w:p w14:paraId="2F26D0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2.考核88分至90分之间，扣全部服务费用的1%；</w:t>
      </w:r>
    </w:p>
    <w:p w14:paraId="152E3A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3.考核85分至88分之间，扣全部服务费用的2%；</w:t>
      </w:r>
    </w:p>
    <w:p w14:paraId="1538CB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4.考核80分至85分之间，扣全部服务费用的5%；</w:t>
      </w:r>
    </w:p>
    <w:p w14:paraId="4FB048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5.考核70分至80分之间，扣全部服务费用的 10%,采购人提出警告,中标人向采购人提交整改报告并完成整改；</w:t>
      </w:r>
    </w:p>
    <w:p w14:paraId="401C1E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0" w:firstLineChars="200"/>
        <w:jc w:val="left"/>
        <w:textAlignment w:val="auto"/>
        <w:outlineLvl w:val="9"/>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6.考核低于70分，扣全部服务费用的15%，并且取消下一年度合同续签资格。</w:t>
      </w:r>
    </w:p>
    <w:p w14:paraId="163673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10" w:rightChars="0" w:firstLine="482" w:firstLineChars="200"/>
        <w:jc w:val="left"/>
        <w:textAlignment w:val="auto"/>
        <w:outlineLvl w:val="9"/>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lang w:val="en-US" w:eastAsia="zh-CN"/>
        </w:rPr>
        <w:t>十</w:t>
      </w:r>
      <w:r>
        <w:rPr>
          <w:rFonts w:hint="eastAsia" w:ascii="宋体" w:hAnsi="宋体" w:eastAsia="宋体" w:cs="宋体"/>
          <w:b/>
          <w:color w:val="auto"/>
          <w:sz w:val="24"/>
          <w:szCs w:val="24"/>
          <w:highlight w:val="none"/>
          <w:u w:val="none"/>
        </w:rPr>
        <w:t>、报价方式</w:t>
      </w:r>
    </w:p>
    <w:p w14:paraId="5217D26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本项目投标报价为</w:t>
      </w:r>
      <w:r>
        <w:rPr>
          <w:rFonts w:hint="eastAsia" w:ascii="宋体" w:hAnsi="宋体" w:eastAsia="宋体" w:cs="宋体"/>
          <w:b/>
          <w:bCs/>
          <w:color w:val="auto"/>
          <w:sz w:val="24"/>
          <w:szCs w:val="24"/>
          <w:highlight w:val="none"/>
          <w:lang w:val="en-US" w:eastAsia="zh-CN"/>
        </w:rPr>
        <w:t>固定单价</w:t>
      </w:r>
      <w:r>
        <w:rPr>
          <w:rFonts w:hint="eastAsia" w:ascii="宋体" w:hAnsi="宋体" w:eastAsia="宋体" w:cs="宋体"/>
          <w:color w:val="auto"/>
          <w:sz w:val="24"/>
          <w:szCs w:val="24"/>
          <w:highlight w:val="none"/>
          <w:lang w:val="en-US" w:eastAsia="zh-CN"/>
        </w:rPr>
        <w:t>，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0EC9A9FB">
      <w:p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br w:type="page"/>
      </w:r>
    </w:p>
    <w:p w14:paraId="244B58E3">
      <w:pPr>
        <w:spacing w:line="360" w:lineRule="auto"/>
        <w:jc w:val="center"/>
        <w:outlineLvl w:val="0"/>
        <w:rPr>
          <w:b/>
          <w:color w:val="auto"/>
          <w:sz w:val="36"/>
          <w:szCs w:val="36"/>
          <w:highlight w:val="none"/>
        </w:rPr>
      </w:pPr>
      <w:bookmarkStart w:id="813" w:name="_Toc99301425"/>
      <w:bookmarkStart w:id="814" w:name="_Toc13366"/>
      <w:r>
        <w:rPr>
          <w:b/>
          <w:color w:val="auto"/>
          <w:sz w:val="36"/>
          <w:szCs w:val="36"/>
          <w:highlight w:val="none"/>
        </w:rPr>
        <w:t>第六章   拟签订的合同文本</w:t>
      </w:r>
      <w:bookmarkEnd w:id="813"/>
      <w:bookmarkEnd w:id="814"/>
    </w:p>
    <w:p w14:paraId="07E04CA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5" w:name="_Toc99301426"/>
      <w:bookmarkStart w:id="816" w:name="_Toc18832"/>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常州市新北区薛家镇人民政府</w:t>
      </w:r>
      <w:r>
        <w:rPr>
          <w:rFonts w:hint="eastAsia" w:ascii="宋体" w:hAnsi="宋体" w:eastAsia="宋体" w:cs="宋体"/>
          <w:color w:val="auto"/>
          <w:sz w:val="24"/>
          <w:szCs w:val="24"/>
          <w:highlight w:val="none"/>
          <w:u w:val="single"/>
        </w:rPr>
        <w:t xml:space="preserve"> </w:t>
      </w:r>
    </w:p>
    <w:p w14:paraId="3EC90781">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3"/>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3"/>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3"/>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40C2B2B5">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CD357D4">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62EB10">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4535FC3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color w:val="auto"/>
          <w:highlight w:val="none"/>
          <w:lang w:val="en-US" w:eastAsia="zh-CN"/>
        </w:rPr>
      </w:pPr>
      <w:r>
        <w:rPr>
          <w:rFonts w:hint="eastAsia" w:ascii="宋体" w:hAnsi="宋体" w:eastAsia="宋体" w:cs="宋体"/>
          <w:b/>
          <w:bCs w:val="0"/>
          <w:color w:val="auto"/>
          <w:sz w:val="24"/>
          <w:szCs w:val="24"/>
          <w:highlight w:val="none"/>
          <w:lang w:eastAsia="zh-CN"/>
        </w:rPr>
        <w:t>服务期限：暂定三年，合同一年一签。第一年服务期限为</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年</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月</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日至</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年</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月</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日。其中前三个月为试用期，试用期满须经甲方考核，考核不合格，甲方可以解除合同。每年合同期满经甲方考核合格后可续签下一年度合同。</w:t>
      </w:r>
    </w:p>
    <w:p w14:paraId="45EE1EC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0E8C72E7">
      <w:pPr>
        <w:pStyle w:val="24"/>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rPr>
        <w:t>。</w:t>
      </w:r>
    </w:p>
    <w:p w14:paraId="4813236B">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包括招标文件所确定的采购范围</w:t>
      </w:r>
      <w:r>
        <w:rPr>
          <w:rFonts w:hint="eastAsia" w:hAnsi="宋体" w:cs="宋体"/>
          <w:color w:val="auto"/>
          <w:spacing w:val="2"/>
          <w:sz w:val="24"/>
          <w:szCs w:val="24"/>
          <w:highlight w:val="none"/>
          <w:u w:val="none"/>
          <w:lang w:val="en-US" w:eastAsia="zh-CN"/>
        </w:rPr>
        <w:t>内</w:t>
      </w:r>
      <w:r>
        <w:rPr>
          <w:rFonts w:hint="eastAsia" w:ascii="宋体" w:hAnsi="宋体" w:eastAsia="宋体" w:cs="宋体"/>
          <w:color w:val="auto"/>
          <w:spacing w:val="2"/>
          <w:sz w:val="24"/>
          <w:szCs w:val="24"/>
          <w:highlight w:val="none"/>
          <w:u w:val="none"/>
          <w:lang w:val="en-US" w:eastAsia="zh-CN"/>
        </w:rPr>
        <w:t>相应服务的提供、人员工资、福利，法定假日加班费、高温费、办公费以及管理、劳务、培训、利润、税金、车辆费用、设备费用，风险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04C07996">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2DDF6CAB">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6AF9125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00C94CBA">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JSZC-320411003-SYZB-G2026-0053</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75BF80">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2F2959FB">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4CC4F82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62F8AA4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76575BD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188FB9F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66BB324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结算方式：</w:t>
      </w:r>
      <w:r>
        <w:rPr>
          <w:rFonts w:hint="eastAsia" w:ascii="宋体" w:hAnsi="宋体" w:cs="宋体"/>
          <w:b/>
          <w:bCs/>
          <w:color w:val="auto"/>
          <w:sz w:val="24"/>
          <w:highlight w:val="none"/>
          <w:lang w:val="en-US" w:eastAsia="zh-CN"/>
        </w:rPr>
        <w:t>固定单价，按实际作业量结算。</w:t>
      </w:r>
    </w:p>
    <w:p w14:paraId="0BE1CA2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w:t>
      </w:r>
      <w:r>
        <w:rPr>
          <w:rFonts w:hint="eastAsia" w:ascii="宋体" w:hAnsi="宋体" w:cs="宋体"/>
          <w:bCs/>
          <w:color w:val="auto"/>
          <w:sz w:val="24"/>
          <w:highlight w:val="none"/>
          <w:lang w:val="en-US" w:eastAsia="zh-CN"/>
        </w:rPr>
        <w:t>每半年按实结算支付服务费用。最终结算金额以实际完成的作业量、作业车辆数量为依据。</w:t>
      </w:r>
    </w:p>
    <w:p w14:paraId="0480536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78F7E27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7D723FC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7C082F0B">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8D2646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38429CCE">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237B5E8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50D9F2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7E3F21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6CE4DA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30A9A7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601A11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43C3989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1E9D0B8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0CA8882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0FAA070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02F4040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2B7F76D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9C3DA1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28604624">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4F1F47C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承诺履行合同，不向甲方进行商业贿赂或者提供不正当利益。</w:t>
      </w:r>
    </w:p>
    <w:p w14:paraId="758AB5EB">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468632F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10C928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016A69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9CD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39731C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1C288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6F023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EF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D5A6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28B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289285B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5F177A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BC5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07DA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EA39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271D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C81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804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199F7713">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1" w:type="default"/>
          <w:footerReference r:id="rId12" w:type="default"/>
          <w:pgSz w:w="11906" w:h="16838"/>
          <w:pgMar w:top="1417" w:right="1800" w:bottom="2154" w:left="180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rFonts w:hint="eastAsia" w:eastAsia="宋体"/>
          <w:b/>
          <w:bCs/>
          <w:color w:val="auto"/>
          <w:highlight w:val="none"/>
          <w:lang w:eastAsia="zh-CN"/>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r>
        <w:rPr>
          <w:rFonts w:hint="eastAsia"/>
          <w:b/>
          <w:color w:val="auto"/>
          <w:highlight w:val="none"/>
          <w:lang w:eastAsia="zh-CN"/>
        </w:rPr>
        <w:t>（</w:t>
      </w:r>
      <w:r>
        <w:rPr>
          <w:rFonts w:hint="eastAsia"/>
          <w:b/>
          <w:color w:val="auto"/>
          <w:highlight w:val="none"/>
          <w:lang w:val="en-US" w:eastAsia="zh-CN"/>
        </w:rPr>
        <w:t>实质性格式</w:t>
      </w:r>
      <w:r>
        <w:rPr>
          <w:rFonts w:hint="eastAsia"/>
          <w:b/>
          <w:color w:val="auto"/>
          <w:highlight w:val="none"/>
          <w:lang w:eastAsia="zh-CN"/>
        </w:rPr>
        <w:t>）</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3"/>
        <w:spacing w:line="460" w:lineRule="exact"/>
        <w:ind w:firstLine="480"/>
        <w:rPr>
          <w:color w:val="auto"/>
          <w:highlight w:val="none"/>
        </w:rPr>
      </w:pPr>
    </w:p>
    <w:p w14:paraId="1B839D5D">
      <w:pPr>
        <w:pStyle w:val="3"/>
        <w:spacing w:line="460" w:lineRule="exact"/>
        <w:ind w:firstLine="480"/>
        <w:rPr>
          <w:color w:val="auto"/>
          <w:highlight w:val="none"/>
        </w:rPr>
      </w:pPr>
      <w:r>
        <w:rPr>
          <w:rFonts w:hint="eastAsia"/>
          <w:color w:val="auto"/>
          <w:highlight w:val="none"/>
        </w:rPr>
        <w:t>致：江苏尚阳工程管理有限公司</w:t>
      </w:r>
    </w:p>
    <w:p w14:paraId="1AD75FEC">
      <w:pPr>
        <w:pStyle w:val="3"/>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3"/>
        <w:spacing w:line="460" w:lineRule="exact"/>
        <w:ind w:firstLine="480"/>
        <w:rPr>
          <w:color w:val="auto"/>
          <w:highlight w:val="none"/>
        </w:rPr>
      </w:pPr>
    </w:p>
    <w:p w14:paraId="00C65AF4">
      <w:pPr>
        <w:pStyle w:val="3"/>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3"/>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3"/>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3"/>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3"/>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3"/>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3"/>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3"/>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3"/>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3"/>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3"/>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3"/>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3"/>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3"/>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3"/>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3"/>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3"/>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3"/>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3"/>
        <w:spacing w:line="460" w:lineRule="exact"/>
        <w:ind w:firstLine="480"/>
        <w:rPr>
          <w:color w:val="auto"/>
          <w:highlight w:val="none"/>
        </w:rPr>
      </w:pPr>
    </w:p>
    <w:p w14:paraId="38F69CC5">
      <w:pPr>
        <w:pStyle w:val="3"/>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3"/>
        <w:spacing w:line="460" w:lineRule="exact"/>
        <w:ind w:firstLine="480"/>
        <w:rPr>
          <w:color w:val="auto"/>
          <w:highlight w:val="none"/>
        </w:rPr>
      </w:pPr>
    </w:p>
    <w:p w14:paraId="716EE503">
      <w:pPr>
        <w:pStyle w:val="3"/>
        <w:spacing w:line="460" w:lineRule="exact"/>
        <w:ind w:firstLine="480"/>
        <w:rPr>
          <w:color w:val="auto"/>
          <w:highlight w:val="none"/>
        </w:rPr>
      </w:pPr>
    </w:p>
    <w:p w14:paraId="65C2E09D">
      <w:pPr>
        <w:pStyle w:val="3"/>
        <w:spacing w:line="460" w:lineRule="exact"/>
        <w:ind w:firstLine="480"/>
        <w:rPr>
          <w:color w:val="auto"/>
          <w:highlight w:val="none"/>
        </w:rPr>
      </w:pPr>
      <w:r>
        <w:rPr>
          <w:rFonts w:hint="eastAsia"/>
          <w:color w:val="auto"/>
          <w:highlight w:val="none"/>
        </w:rPr>
        <w:t>                                            投标人：（加盖公章）</w:t>
      </w:r>
    </w:p>
    <w:p w14:paraId="2A13F222">
      <w:pPr>
        <w:pStyle w:val="3"/>
        <w:spacing w:line="460" w:lineRule="exact"/>
        <w:ind w:firstLine="480"/>
        <w:rPr>
          <w:color w:val="auto"/>
          <w:highlight w:val="none"/>
        </w:rPr>
      </w:pPr>
      <w:r>
        <w:rPr>
          <w:rFonts w:hint="eastAsia"/>
          <w:color w:val="auto"/>
          <w:highlight w:val="none"/>
        </w:rPr>
        <w:t>                                           法定代表人（或单位负责人）签字或盖章：</w:t>
      </w:r>
    </w:p>
    <w:p w14:paraId="067CA634">
      <w:pPr>
        <w:pStyle w:val="3"/>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投标人</w:t>
      </w:r>
      <w:r>
        <w:rPr>
          <w:rFonts w:hint="eastAsia"/>
          <w:color w:val="auto"/>
          <w:sz w:val="24"/>
          <w:highlight w:val="none"/>
        </w:rPr>
        <w:t>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8977F6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其他未列明行业</w:t>
      </w:r>
      <w:r>
        <w:rPr>
          <w:rFonts w:hint="eastAsia" w:ascii="宋体" w:hAnsi="宋体" w:eastAsia="宋体" w:cs="宋体"/>
          <w:color w:val="auto"/>
          <w:sz w:val="24"/>
          <w:szCs w:val="24"/>
          <w:highlight w:val="none"/>
        </w:rPr>
        <w:t>。</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5639D41B">
      <w:pPr>
        <w:rPr>
          <w:rFonts w:hint="eastAsia"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r>
      <w:r>
        <w:rPr>
          <w:rFonts w:hint="eastAsia" w:ascii="Times New Roman" w:hAnsi="Times New Roman" w:eastAsia="宋体" w:cs="Times New Roman"/>
          <w:color w:val="auto"/>
          <w:spacing w:val="6"/>
          <w:sz w:val="24"/>
          <w:highlight w:val="none"/>
        </w:rPr>
        <w:t>3 本项目的特定资格要求</w:t>
      </w:r>
    </w:p>
    <w:p w14:paraId="3325EEC1">
      <w:pPr>
        <w:rPr>
          <w:rFonts w:ascii="Times New Roman" w:hAnsi="Times New Roman" w:eastAsia="宋体" w:cs="Times New Roman"/>
          <w:color w:val="auto"/>
          <w:spacing w:val="6"/>
          <w:sz w:val="24"/>
          <w:highlight w:val="none"/>
        </w:rPr>
      </w:pPr>
      <w:r>
        <w:rPr>
          <w:rFonts w:hint="eastAsia" w:cs="Times New Roman"/>
          <w:color w:val="auto"/>
          <w:spacing w:val="6"/>
          <w:sz w:val="24"/>
          <w:highlight w:val="none"/>
          <w:lang w:val="en-US" w:eastAsia="zh-CN"/>
        </w:rPr>
        <w:t>/</w:t>
      </w:r>
      <w:r>
        <w:rPr>
          <w:rFonts w:ascii="Times New Roman" w:hAnsi="Times New Roman" w:eastAsia="宋体" w:cs="Times New Roman"/>
          <w:color w:val="auto"/>
          <w:spacing w:val="6"/>
          <w:sz w:val="24"/>
          <w:highlight w:val="none"/>
        </w:rPr>
        <w:br w:type="page"/>
      </w:r>
    </w:p>
    <w:p w14:paraId="77606766">
      <w:pPr>
        <w:spacing w:line="360" w:lineRule="auto"/>
        <w:rPr>
          <w:rFonts w:ascii="宋体" w:hAnsi="宋体"/>
          <w:b/>
          <w:color w:val="auto"/>
          <w:sz w:val="32"/>
          <w:szCs w:val="32"/>
          <w:highlight w:val="none"/>
        </w:rPr>
      </w:pPr>
      <w:r>
        <w:rPr>
          <w:rFonts w:ascii="宋体" w:hAnsi="宋体"/>
          <w:b/>
          <w:color w:val="auto"/>
          <w:sz w:val="32"/>
          <w:szCs w:val="32"/>
          <w:highlight w:val="none"/>
        </w:rPr>
        <w:t>二、商务技术文件格式</w:t>
      </w:r>
      <w:bookmarkStart w:id="817" w:name="_Toc226337252"/>
      <w:bookmarkStart w:id="818" w:name="_Toc520356217"/>
      <w:bookmarkStart w:id="819" w:name="_Toc150774761"/>
      <w:bookmarkStart w:id="820" w:name="_Toc480942349"/>
      <w:bookmarkStart w:id="821" w:name="_Toc226309800"/>
      <w:bookmarkStart w:id="822" w:name="_Toc226965746"/>
      <w:bookmarkStart w:id="823" w:name="_Toc195842921"/>
      <w:bookmarkStart w:id="824" w:name="_Toc127151556"/>
      <w:bookmarkStart w:id="825" w:name="_Toc150480794"/>
      <w:bookmarkStart w:id="826" w:name="_Ref467988698"/>
      <w:bookmarkStart w:id="827" w:name="_Toc142311058"/>
      <w:bookmarkStart w:id="828" w:name="_Toc22696582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auto"/>
          <w:sz w:val="24"/>
          <w:highlight w:val="none"/>
        </w:rPr>
        <w:t>函</w:t>
      </w:r>
      <w:r>
        <w:rPr>
          <w:rFonts w:hint="eastAsia"/>
          <w:color w:val="auto"/>
          <w:sz w:val="24"/>
          <w:szCs w:val="20"/>
          <w:highlight w:val="none"/>
        </w:rPr>
        <w:t xml:space="preserve"> </w:t>
      </w:r>
      <w:r>
        <w:rPr>
          <w:rFonts w:hint="eastAsia"/>
          <w:color w:val="auto"/>
          <w:sz w:val="24"/>
          <w:highlight w:val="none"/>
          <w:lang w:val="en-US" w:eastAsia="zh-CN"/>
        </w:rPr>
        <w:t>（实质性格式）</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29" w:name="_Hlt520356243"/>
      <w:bookmarkEnd w:id="829"/>
      <w:bookmarkStart w:id="830" w:name="_Hlt520355938"/>
      <w:bookmarkEnd w:id="830"/>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r>
        <w:rPr>
          <w:rFonts w:hint="eastAsia"/>
          <w:color w:val="auto"/>
          <w:sz w:val="24"/>
          <w:highlight w:val="none"/>
          <w:lang w:val="en-US" w:eastAsia="zh-CN"/>
        </w:rPr>
        <w:t>（实质性格式）</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r>
        <w:rPr>
          <w:rFonts w:hint="eastAsia"/>
          <w:color w:val="auto"/>
          <w:sz w:val="24"/>
          <w:highlight w:val="none"/>
          <w:lang w:val="en-US" w:eastAsia="zh-CN"/>
        </w:rPr>
        <w:t>（实质性格式）</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spacing w:line="560" w:lineRule="exact"/>
        <w:ind w:firstLine="240" w:firstLineChars="100"/>
        <w:jc w:val="both"/>
        <w:rPr>
          <w:rFonts w:hint="eastAsia" w:ascii="黑体" w:hAnsi="黑体" w:eastAsia="黑体"/>
          <w:b/>
          <w:color w:val="auto"/>
          <w:sz w:val="32"/>
          <w:szCs w:val="32"/>
          <w:highlight w:val="none"/>
        </w:rPr>
      </w:pPr>
      <w:bookmarkStart w:id="831" w:name="_Hlt520343000"/>
      <w:bookmarkEnd w:id="831"/>
      <w:bookmarkStart w:id="832" w:name="_Hlt520355504"/>
      <w:bookmarkEnd w:id="832"/>
      <w:bookmarkStart w:id="833" w:name="_Hlt520271212"/>
      <w:bookmarkEnd w:id="833"/>
      <w:bookmarkStart w:id="834" w:name="_Hlt520274393"/>
      <w:bookmarkEnd w:id="834"/>
      <w:bookmarkStart w:id="835" w:name="_Hlt520274407"/>
      <w:bookmarkEnd w:id="835"/>
      <w:bookmarkStart w:id="836" w:name="_Hlt520273711"/>
      <w:bookmarkEnd w:id="836"/>
      <w:bookmarkStart w:id="837" w:name="_Hlt520274065"/>
      <w:bookmarkEnd w:id="837"/>
      <w:bookmarkStart w:id="838" w:name="_Hlt520350918"/>
      <w:bookmarkEnd w:id="838"/>
      <w:bookmarkStart w:id="839" w:name="_Hlt520343392"/>
      <w:bookmarkEnd w:id="839"/>
      <w:bookmarkStart w:id="840" w:name="_Hlt520274121"/>
      <w:bookmarkEnd w:id="840"/>
      <w:bookmarkStart w:id="841" w:name="_Toc142311059"/>
      <w:bookmarkStart w:id="842" w:name="_Toc195842922"/>
      <w:bookmarkStart w:id="843" w:name="_Toc226337253"/>
      <w:bookmarkStart w:id="844" w:name="_Toc480942350"/>
      <w:bookmarkStart w:id="845" w:name="_Toc520356218"/>
      <w:bookmarkStart w:id="846" w:name="_Toc226965747"/>
      <w:bookmarkStart w:id="847" w:name="_Toc127151557"/>
      <w:bookmarkStart w:id="848" w:name="_Toc264969247"/>
      <w:bookmarkStart w:id="849" w:name="_Toc305158899"/>
      <w:bookmarkStart w:id="850" w:name="_Toc150774762"/>
      <w:bookmarkStart w:id="851" w:name="_Toc150480795"/>
      <w:bookmarkStart w:id="852" w:name="_Toc305158825"/>
      <w:bookmarkStart w:id="853" w:name="_Toc226965830"/>
      <w:bookmarkStart w:id="854" w:name="_Ref467988705"/>
      <w:bookmarkStart w:id="855" w:name="_Toc265228395"/>
      <w:bookmarkStart w:id="856" w:name="_Toc226309801"/>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C59F181">
      <w:pPr>
        <w:spacing w:line="560" w:lineRule="exact"/>
        <w:ind w:firstLine="321" w:firstLineChars="100"/>
        <w:jc w:val="center"/>
        <w:rPr>
          <w:rFonts w:hint="eastAsia" w:ascii="黑体" w:hAnsi="黑体" w:eastAsia="黑体"/>
          <w:b/>
          <w:color w:val="auto"/>
          <w:sz w:val="32"/>
          <w:szCs w:val="32"/>
          <w:highlight w:val="none"/>
        </w:rPr>
      </w:pPr>
      <w:bookmarkStart w:id="857" w:name="_Toc164608672"/>
      <w:bookmarkStart w:id="858" w:name="_Toc195842923"/>
      <w:bookmarkStart w:id="859" w:name="_Toc264969248"/>
      <w:bookmarkStart w:id="860" w:name="_Toc265228396"/>
      <w:bookmarkStart w:id="861" w:name="_Toc226309802"/>
      <w:bookmarkStart w:id="862" w:name="_Toc226965831"/>
      <w:bookmarkStart w:id="863" w:name="_Toc164608827"/>
      <w:bookmarkStart w:id="864" w:name="_Toc305158826"/>
      <w:bookmarkStart w:id="865" w:name="_Toc226337254"/>
      <w:bookmarkStart w:id="866" w:name="_Toc226965748"/>
      <w:bookmarkStart w:id="867" w:name="_Toc305158900"/>
      <w:r>
        <w:rPr>
          <w:rFonts w:hint="eastAsia" w:ascii="黑体" w:hAnsi="黑体" w:eastAsia="黑体"/>
          <w:b/>
          <w:color w:val="auto"/>
          <w:sz w:val="32"/>
          <w:szCs w:val="32"/>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/三年</w:t>
            </w:r>
            <w:r>
              <w:rPr>
                <w:rFonts w:hint="eastAsia"/>
                <w:b/>
                <w:color w:val="auto"/>
                <w:sz w:val="24"/>
                <w:highlight w:val="none"/>
              </w:rPr>
              <w:t>）</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注:此表中的投标报价应和《投标分项报价表》中的总价相一致。</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E098D00">
      <w:pPr>
        <w:spacing w:line="360" w:lineRule="auto"/>
        <w:contextualSpacing/>
        <w:rPr>
          <w:rFonts w:hint="eastAsia"/>
          <w:color w:val="auto"/>
          <w:sz w:val="24"/>
          <w:szCs w:val="20"/>
          <w:highlight w:val="none"/>
        </w:rPr>
      </w:pPr>
      <w:bookmarkStart w:id="868" w:name="_Toc305158827"/>
      <w:bookmarkStart w:id="869" w:name="_Toc127151558"/>
      <w:bookmarkStart w:id="870" w:name="_Toc150774763"/>
      <w:bookmarkStart w:id="871" w:name="_Toc195842924"/>
      <w:bookmarkStart w:id="872" w:name="_Toc305158901"/>
      <w:bookmarkStart w:id="873" w:name="_Toc142311060"/>
      <w:bookmarkStart w:id="874" w:name="_Toc226965832"/>
      <w:bookmarkStart w:id="875" w:name="_Toc265228397"/>
      <w:bookmarkStart w:id="876" w:name="_Toc264969249"/>
      <w:bookmarkStart w:id="877" w:name="_Toc226965749"/>
      <w:bookmarkStart w:id="878" w:name="_Toc150480796"/>
      <w:bookmarkStart w:id="879" w:name="_Toc226337255"/>
      <w:bookmarkStart w:id="880" w:name="_Toc226309803"/>
      <w:r>
        <w:rPr>
          <w:color w:val="auto"/>
          <w:sz w:val="24"/>
          <w:szCs w:val="20"/>
          <w:highlight w:val="none"/>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14:paraId="665C0981">
      <w:pPr>
        <w:spacing w:line="360" w:lineRule="auto"/>
        <w:outlineLvl w:val="2"/>
        <w:rPr>
          <w:color w:val="auto"/>
          <w:sz w:val="24"/>
          <w:szCs w:val="20"/>
          <w:highlight w:val="none"/>
        </w:rPr>
      </w:pPr>
      <w:bookmarkStart w:id="881" w:name="_Toc226965835"/>
      <w:bookmarkStart w:id="882" w:name="_Toc142311062"/>
      <w:bookmarkStart w:id="883" w:name="_Toc226965752"/>
      <w:bookmarkStart w:id="884" w:name="_Toc127151562"/>
      <w:bookmarkStart w:id="885" w:name="_Toc150480798"/>
      <w:bookmarkStart w:id="886" w:name="_Toc150774765"/>
      <w:bookmarkStart w:id="887" w:name="_Toc226337258"/>
      <w:bookmarkStart w:id="888" w:name="_Toc195842927"/>
      <w:bookmarkStart w:id="889" w:name="_Toc265228400"/>
      <w:bookmarkStart w:id="890" w:name="_Toc264969252"/>
      <w:bookmarkStart w:id="891" w:name="_Toc305158830"/>
      <w:bookmarkStart w:id="892" w:name="_Toc305158904"/>
      <w:bookmarkStart w:id="893" w:name="_Toc226309806"/>
      <w:bookmarkStart w:id="894" w:name="_Toc127151561"/>
      <w:bookmarkStart w:id="895" w:name="_Toc305158903"/>
      <w:bookmarkStart w:id="896" w:name="_Toc150774764"/>
      <w:bookmarkStart w:id="897" w:name="_Toc226309805"/>
      <w:bookmarkStart w:id="898" w:name="_Toc265228399"/>
      <w:bookmarkStart w:id="899" w:name="_Toc264969251"/>
      <w:bookmarkStart w:id="900" w:name="_Toc195842926"/>
      <w:bookmarkStart w:id="901" w:name="_Toc226965834"/>
      <w:bookmarkStart w:id="902" w:name="_Toc226337257"/>
      <w:bookmarkStart w:id="903" w:name="_Toc150480797"/>
      <w:bookmarkStart w:id="904" w:name="_Toc305158829"/>
      <w:bookmarkStart w:id="905" w:name="_Toc226965751"/>
      <w:bookmarkStart w:id="906" w:name="_Toc142311061"/>
      <w:r>
        <w:rPr>
          <w:rFonts w:hint="eastAsia"/>
          <w:color w:val="auto"/>
          <w:sz w:val="24"/>
          <w:szCs w:val="20"/>
          <w:highlight w:val="none"/>
        </w:rPr>
        <w:t>5</w:t>
      </w:r>
      <w:r>
        <w:rPr>
          <w:color w:val="auto"/>
          <w:sz w:val="24"/>
          <w:szCs w:val="20"/>
          <w:highlight w:val="none"/>
        </w:rPr>
        <w:t xml:space="preserve">  投标分项报价表（实质性格式）</w:t>
      </w:r>
    </w:p>
    <w:p w14:paraId="4ABDE895">
      <w:pPr>
        <w:spacing w:line="360" w:lineRule="exact"/>
        <w:jc w:val="center"/>
        <w:rPr>
          <w:color w:val="auto"/>
          <w:sz w:val="36"/>
          <w:szCs w:val="36"/>
          <w:highlight w:val="none"/>
        </w:rPr>
      </w:pPr>
    </w:p>
    <w:p w14:paraId="5FABC288">
      <w:pPr>
        <w:spacing w:line="360" w:lineRule="exact"/>
        <w:jc w:val="center"/>
        <w:outlineLvl w:val="9"/>
        <w:rPr>
          <w:color w:val="auto"/>
          <w:sz w:val="36"/>
          <w:szCs w:val="36"/>
          <w:highlight w:val="none"/>
        </w:rPr>
      </w:pPr>
    </w:p>
    <w:p w14:paraId="66BB5C48">
      <w:pPr>
        <w:jc w:val="center"/>
        <w:outlineLvl w:val="9"/>
        <w:rPr>
          <w:b/>
          <w:color w:val="auto"/>
          <w:sz w:val="36"/>
          <w:szCs w:val="36"/>
          <w:highlight w:val="none"/>
        </w:rPr>
      </w:pPr>
      <w:r>
        <w:rPr>
          <w:rFonts w:hint="eastAsia"/>
          <w:b/>
          <w:color w:val="auto"/>
          <w:sz w:val="36"/>
          <w:szCs w:val="36"/>
          <w:highlight w:val="none"/>
        </w:rPr>
        <w:t>分项报价表</w:t>
      </w:r>
    </w:p>
    <w:p w14:paraId="1816AE8B">
      <w:pPr>
        <w:spacing w:line="260" w:lineRule="exact"/>
        <w:jc w:val="center"/>
        <w:outlineLvl w:val="9"/>
        <w:rPr>
          <w:color w:val="auto"/>
          <w:sz w:val="36"/>
          <w:szCs w:val="36"/>
          <w:highlight w:val="none"/>
        </w:rPr>
      </w:pPr>
    </w:p>
    <w:p w14:paraId="7A892ED4">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48239527">
      <w:pPr>
        <w:tabs>
          <w:tab w:val="left" w:pos="1800"/>
          <w:tab w:val="left" w:pos="5580"/>
        </w:tabs>
        <w:jc w:val="left"/>
        <w:outlineLvl w:val="9"/>
        <w:rPr>
          <w:rFonts w:hint="eastAsia"/>
          <w:color w:val="auto"/>
          <w:sz w:val="24"/>
          <w:highlight w:val="none"/>
        </w:rPr>
      </w:pPr>
    </w:p>
    <w:tbl>
      <w:tblPr>
        <w:tblStyle w:val="46"/>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859"/>
        <w:gridCol w:w="4183"/>
        <w:gridCol w:w="717"/>
        <w:gridCol w:w="600"/>
        <w:gridCol w:w="800"/>
        <w:gridCol w:w="822"/>
      </w:tblGrid>
      <w:tr w14:paraId="6549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72F866B9">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序号</w:t>
            </w:r>
          </w:p>
        </w:tc>
        <w:tc>
          <w:tcPr>
            <w:tcW w:w="859" w:type="dxa"/>
            <w:vMerge w:val="restart"/>
            <w:tcBorders>
              <w:top w:val="single" w:color="auto" w:sz="4" w:space="0"/>
              <w:left w:val="single" w:color="auto" w:sz="4" w:space="0"/>
              <w:bottom w:val="single" w:color="auto" w:sz="4" w:space="0"/>
              <w:right w:val="single" w:color="auto" w:sz="4" w:space="0"/>
            </w:tcBorders>
            <w:noWrap w:val="0"/>
            <w:vAlign w:val="center"/>
          </w:tcPr>
          <w:p w14:paraId="648A2A48">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分项名称</w:t>
            </w:r>
          </w:p>
        </w:tc>
        <w:tc>
          <w:tcPr>
            <w:tcW w:w="4183" w:type="dxa"/>
            <w:vMerge w:val="restart"/>
            <w:tcBorders>
              <w:top w:val="single" w:color="auto" w:sz="4" w:space="0"/>
              <w:left w:val="single" w:color="auto" w:sz="4" w:space="0"/>
              <w:bottom w:val="single" w:color="auto" w:sz="4" w:space="0"/>
              <w:right w:val="single" w:color="auto" w:sz="4" w:space="0"/>
            </w:tcBorders>
            <w:noWrap w:val="0"/>
            <w:vAlign w:val="center"/>
          </w:tcPr>
          <w:p w14:paraId="712621B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服务内容</w:t>
            </w:r>
          </w:p>
        </w:tc>
        <w:tc>
          <w:tcPr>
            <w:tcW w:w="717" w:type="dxa"/>
            <w:vMerge w:val="restart"/>
            <w:tcBorders>
              <w:top w:val="single" w:color="auto" w:sz="4" w:space="0"/>
              <w:left w:val="single" w:color="auto" w:sz="4" w:space="0"/>
              <w:bottom w:val="single" w:color="auto" w:sz="4" w:space="0"/>
              <w:right w:val="single" w:color="auto" w:sz="4" w:space="0"/>
            </w:tcBorders>
            <w:noWrap w:val="0"/>
            <w:vAlign w:val="center"/>
          </w:tcPr>
          <w:p w14:paraId="79DE033D">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数量</w:t>
            </w:r>
          </w:p>
        </w:tc>
        <w:tc>
          <w:tcPr>
            <w:tcW w:w="600" w:type="dxa"/>
            <w:vMerge w:val="restart"/>
            <w:tcBorders>
              <w:top w:val="single" w:color="auto" w:sz="4" w:space="0"/>
              <w:left w:val="single" w:color="auto" w:sz="4" w:space="0"/>
              <w:bottom w:val="single" w:color="auto" w:sz="4" w:space="0"/>
              <w:right w:val="single" w:color="auto" w:sz="4" w:space="0"/>
            </w:tcBorders>
            <w:noWrap w:val="0"/>
            <w:vAlign w:val="center"/>
          </w:tcPr>
          <w:p w14:paraId="00A8DDFE">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单位</w:t>
            </w:r>
          </w:p>
        </w:tc>
        <w:tc>
          <w:tcPr>
            <w:tcW w:w="1622" w:type="dxa"/>
            <w:gridSpan w:val="2"/>
            <w:tcBorders>
              <w:top w:val="single" w:color="auto" w:sz="4" w:space="0"/>
              <w:left w:val="single" w:color="auto" w:sz="4" w:space="0"/>
              <w:bottom w:val="single" w:color="auto" w:sz="4" w:space="0"/>
              <w:right w:val="single" w:color="auto" w:sz="4" w:space="0"/>
            </w:tcBorders>
            <w:noWrap w:val="0"/>
            <w:vAlign w:val="center"/>
          </w:tcPr>
          <w:p w14:paraId="5EFEDEE1">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lang w:val="en-US" w:eastAsia="zh-CN"/>
              </w:rPr>
              <w:t>投标</w:t>
            </w:r>
            <w:r>
              <w:rPr>
                <w:rFonts w:hint="eastAsia" w:ascii="宋体" w:hAnsi="宋体" w:cs="Arial"/>
                <w:color w:val="auto"/>
                <w:kern w:val="0"/>
                <w:sz w:val="24"/>
                <w:highlight w:val="none"/>
              </w:rPr>
              <w:t>价格</w:t>
            </w:r>
          </w:p>
        </w:tc>
      </w:tr>
      <w:tr w14:paraId="3451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1EFACA74">
            <w:pPr>
              <w:widowControl/>
              <w:jc w:val="left"/>
              <w:rPr>
                <w:rFonts w:ascii="宋体" w:hAnsi="宋体" w:cs="Arial"/>
                <w:color w:val="auto"/>
                <w:kern w:val="0"/>
                <w:sz w:val="24"/>
                <w:highlight w:val="none"/>
              </w:rPr>
            </w:pPr>
          </w:p>
        </w:tc>
        <w:tc>
          <w:tcPr>
            <w:tcW w:w="859" w:type="dxa"/>
            <w:vMerge w:val="continue"/>
            <w:tcBorders>
              <w:top w:val="single" w:color="auto" w:sz="4" w:space="0"/>
              <w:left w:val="single" w:color="auto" w:sz="4" w:space="0"/>
              <w:bottom w:val="single" w:color="auto" w:sz="4" w:space="0"/>
              <w:right w:val="single" w:color="auto" w:sz="4" w:space="0"/>
            </w:tcBorders>
            <w:noWrap w:val="0"/>
            <w:vAlign w:val="center"/>
          </w:tcPr>
          <w:p w14:paraId="07D87EB4">
            <w:pPr>
              <w:widowControl/>
              <w:jc w:val="left"/>
              <w:rPr>
                <w:rFonts w:ascii="宋体" w:hAnsi="宋体" w:cs="Arial"/>
                <w:color w:val="auto"/>
                <w:kern w:val="0"/>
                <w:sz w:val="24"/>
                <w:highlight w:val="none"/>
              </w:rPr>
            </w:pPr>
          </w:p>
        </w:tc>
        <w:tc>
          <w:tcPr>
            <w:tcW w:w="4183" w:type="dxa"/>
            <w:vMerge w:val="continue"/>
            <w:tcBorders>
              <w:top w:val="single" w:color="auto" w:sz="4" w:space="0"/>
              <w:left w:val="single" w:color="auto" w:sz="4" w:space="0"/>
              <w:bottom w:val="single" w:color="auto" w:sz="4" w:space="0"/>
              <w:right w:val="single" w:color="auto" w:sz="4" w:space="0"/>
            </w:tcBorders>
            <w:noWrap w:val="0"/>
            <w:vAlign w:val="center"/>
          </w:tcPr>
          <w:p w14:paraId="47E87FA5">
            <w:pPr>
              <w:widowControl/>
              <w:jc w:val="left"/>
              <w:rPr>
                <w:rFonts w:ascii="宋体" w:hAnsi="宋体" w:cs="Arial"/>
                <w:color w:val="auto"/>
                <w:kern w:val="0"/>
                <w:sz w:val="24"/>
                <w:highlight w:val="none"/>
              </w:rPr>
            </w:pPr>
          </w:p>
        </w:tc>
        <w:tc>
          <w:tcPr>
            <w:tcW w:w="717" w:type="dxa"/>
            <w:vMerge w:val="continue"/>
            <w:tcBorders>
              <w:top w:val="single" w:color="auto" w:sz="4" w:space="0"/>
              <w:left w:val="single" w:color="auto" w:sz="4" w:space="0"/>
              <w:bottom w:val="single" w:color="auto" w:sz="4" w:space="0"/>
              <w:right w:val="single" w:color="auto" w:sz="4" w:space="0"/>
            </w:tcBorders>
            <w:noWrap w:val="0"/>
            <w:vAlign w:val="center"/>
          </w:tcPr>
          <w:p w14:paraId="6EE2A962">
            <w:pPr>
              <w:widowControl/>
              <w:jc w:val="left"/>
              <w:rPr>
                <w:rFonts w:ascii="宋体" w:hAnsi="宋体" w:cs="Arial"/>
                <w:color w:val="auto"/>
                <w:kern w:val="0"/>
                <w:sz w:val="24"/>
                <w:highlight w:val="none"/>
              </w:rPr>
            </w:pPr>
          </w:p>
        </w:tc>
        <w:tc>
          <w:tcPr>
            <w:tcW w:w="600" w:type="dxa"/>
            <w:vMerge w:val="continue"/>
            <w:tcBorders>
              <w:top w:val="single" w:color="auto" w:sz="4" w:space="0"/>
              <w:left w:val="single" w:color="auto" w:sz="4" w:space="0"/>
              <w:bottom w:val="single" w:color="auto" w:sz="4" w:space="0"/>
              <w:right w:val="single" w:color="auto" w:sz="4" w:space="0"/>
            </w:tcBorders>
            <w:noWrap w:val="0"/>
            <w:vAlign w:val="center"/>
          </w:tcPr>
          <w:p w14:paraId="10972652">
            <w:pPr>
              <w:widowControl/>
              <w:jc w:val="left"/>
              <w:rPr>
                <w:rFonts w:ascii="宋体" w:hAnsi="宋体" w:cs="Arial"/>
                <w:color w:val="auto"/>
                <w:kern w:val="0"/>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6A2DE92B">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单价</w:t>
            </w:r>
          </w:p>
        </w:tc>
        <w:tc>
          <w:tcPr>
            <w:tcW w:w="822" w:type="dxa"/>
            <w:tcBorders>
              <w:top w:val="single" w:color="auto" w:sz="4" w:space="0"/>
              <w:left w:val="single" w:color="auto" w:sz="4" w:space="0"/>
              <w:bottom w:val="single" w:color="auto" w:sz="4" w:space="0"/>
              <w:right w:val="single" w:color="auto" w:sz="4" w:space="0"/>
            </w:tcBorders>
            <w:noWrap w:val="0"/>
            <w:vAlign w:val="center"/>
          </w:tcPr>
          <w:p w14:paraId="5BFD8CB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合价</w:t>
            </w:r>
          </w:p>
        </w:tc>
      </w:tr>
      <w:tr w14:paraId="0A02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1C17BD3">
            <w:pPr>
              <w:widowControl/>
              <w:snapToGrid w:val="0"/>
              <w:spacing w:line="360" w:lineRule="auto"/>
              <w:jc w:val="center"/>
              <w:rPr>
                <w:rFonts w:hint="eastAsia" w:ascii="宋体" w:hAnsi="宋体" w:eastAsia="宋体" w:cs="Arial"/>
                <w:color w:val="auto"/>
                <w:kern w:val="0"/>
                <w:sz w:val="24"/>
                <w:highlight w:val="non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636082E6">
            <w:pPr>
              <w:widowControl/>
              <w:snapToGrid w:val="0"/>
              <w:spacing w:line="360" w:lineRule="auto"/>
              <w:jc w:val="center"/>
              <w:rPr>
                <w:rFonts w:hint="eastAsia" w:ascii="宋体" w:hAnsi="宋体" w:eastAsia="宋体" w:cs="Arial"/>
                <w:color w:val="auto"/>
                <w:kern w:val="0"/>
                <w:sz w:val="24"/>
                <w:highlight w:val="none"/>
                <w:lang w:val="en-US" w:eastAsia="zh-CN"/>
              </w:rPr>
            </w:pPr>
          </w:p>
        </w:tc>
        <w:tc>
          <w:tcPr>
            <w:tcW w:w="4183" w:type="dxa"/>
            <w:tcBorders>
              <w:top w:val="single" w:color="auto" w:sz="4" w:space="0"/>
              <w:left w:val="single" w:color="auto" w:sz="4" w:space="0"/>
              <w:bottom w:val="single" w:color="auto" w:sz="4" w:space="0"/>
              <w:right w:val="single" w:color="auto" w:sz="4" w:space="0"/>
            </w:tcBorders>
            <w:noWrap w:val="0"/>
            <w:vAlign w:val="center"/>
          </w:tcPr>
          <w:p w14:paraId="77D5938A">
            <w:pPr>
              <w:widowControl/>
              <w:snapToGrid w:val="0"/>
              <w:spacing w:line="360" w:lineRule="auto"/>
              <w:jc w:val="center"/>
              <w:rPr>
                <w:rFonts w:hint="eastAsia" w:ascii="宋体" w:hAnsi="宋体" w:eastAsia="宋体" w:cs="Arial"/>
                <w:color w:val="auto"/>
                <w:kern w:val="0"/>
                <w:sz w:val="24"/>
                <w:highlight w:val="none"/>
              </w:rPr>
            </w:pPr>
          </w:p>
        </w:tc>
        <w:tc>
          <w:tcPr>
            <w:tcW w:w="717" w:type="dxa"/>
            <w:tcBorders>
              <w:top w:val="single" w:color="auto" w:sz="4" w:space="0"/>
              <w:left w:val="single" w:color="auto" w:sz="4" w:space="0"/>
              <w:bottom w:val="single" w:color="auto" w:sz="4" w:space="0"/>
              <w:right w:val="single" w:color="auto" w:sz="4" w:space="0"/>
            </w:tcBorders>
            <w:noWrap w:val="0"/>
            <w:vAlign w:val="center"/>
          </w:tcPr>
          <w:p w14:paraId="09A63186">
            <w:pPr>
              <w:widowControl/>
              <w:snapToGrid w:val="0"/>
              <w:spacing w:line="360" w:lineRule="auto"/>
              <w:jc w:val="center"/>
              <w:rPr>
                <w:rFonts w:hint="default" w:ascii="宋体" w:hAnsi="宋体" w:eastAsia="宋体" w:cs="Arial"/>
                <w:color w:val="auto"/>
                <w:kern w:val="0"/>
                <w:sz w:val="24"/>
                <w:highlight w:val="none"/>
                <w:lang w:val="en-US" w:eastAsia="zh-CN"/>
              </w:rPr>
            </w:pPr>
          </w:p>
        </w:tc>
        <w:tc>
          <w:tcPr>
            <w:tcW w:w="600" w:type="dxa"/>
            <w:tcBorders>
              <w:top w:val="single" w:color="auto" w:sz="4" w:space="0"/>
              <w:left w:val="single" w:color="auto" w:sz="4" w:space="0"/>
              <w:bottom w:val="single" w:color="auto" w:sz="4" w:space="0"/>
              <w:right w:val="single" w:color="auto" w:sz="4" w:space="0"/>
            </w:tcBorders>
            <w:noWrap w:val="0"/>
            <w:vAlign w:val="center"/>
          </w:tcPr>
          <w:p w14:paraId="1B4E14DC">
            <w:pPr>
              <w:widowControl/>
              <w:snapToGrid w:val="0"/>
              <w:spacing w:line="360" w:lineRule="auto"/>
              <w:jc w:val="center"/>
              <w:rPr>
                <w:rFonts w:hint="eastAsia" w:ascii="宋体" w:hAnsi="宋体" w:eastAsia="宋体" w:cs="Arial"/>
                <w:color w:val="auto"/>
                <w:kern w:val="0"/>
                <w:sz w:val="24"/>
                <w:highlight w:val="none"/>
                <w:lang w:val="en-US" w:eastAsia="zh-CN"/>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35923AE8">
            <w:pPr>
              <w:widowControl/>
              <w:snapToGrid w:val="0"/>
              <w:spacing w:line="360" w:lineRule="auto"/>
              <w:jc w:val="center"/>
              <w:rPr>
                <w:rFonts w:hint="eastAsia" w:ascii="宋体" w:hAnsi="宋体" w:eastAsia="宋体" w:cs="Arial"/>
                <w:color w:val="auto"/>
                <w:kern w:val="0"/>
                <w:sz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5EA4CA5D">
            <w:pPr>
              <w:widowControl/>
              <w:snapToGrid w:val="0"/>
              <w:spacing w:line="360" w:lineRule="auto"/>
              <w:jc w:val="center"/>
              <w:rPr>
                <w:rFonts w:hint="eastAsia" w:ascii="宋体" w:hAnsi="宋体" w:eastAsia="宋体" w:cs="Arial"/>
                <w:color w:val="auto"/>
                <w:kern w:val="0"/>
                <w:sz w:val="24"/>
                <w:highlight w:val="none"/>
              </w:rPr>
            </w:pPr>
          </w:p>
        </w:tc>
      </w:tr>
      <w:tr w14:paraId="4CF7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E01C233">
            <w:pPr>
              <w:widowControl/>
              <w:snapToGrid w:val="0"/>
              <w:spacing w:line="360" w:lineRule="auto"/>
              <w:jc w:val="center"/>
              <w:rPr>
                <w:rFonts w:hint="eastAsia" w:ascii="宋体" w:hAnsi="宋体" w:eastAsia="宋体" w:cs="Arial"/>
                <w:color w:val="auto"/>
                <w:kern w:val="0"/>
                <w:sz w:val="24"/>
                <w:highlight w:val="non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0C87596C">
            <w:pPr>
              <w:widowControl/>
              <w:snapToGrid w:val="0"/>
              <w:spacing w:line="360" w:lineRule="auto"/>
              <w:jc w:val="center"/>
              <w:rPr>
                <w:rFonts w:hint="eastAsia" w:ascii="宋体" w:hAnsi="宋体" w:eastAsia="宋体" w:cs="Arial"/>
                <w:color w:val="auto"/>
                <w:kern w:val="0"/>
                <w:sz w:val="24"/>
                <w:highlight w:val="none"/>
                <w:lang w:val="en-US" w:eastAsia="zh-CN"/>
              </w:rPr>
            </w:pPr>
          </w:p>
        </w:tc>
        <w:tc>
          <w:tcPr>
            <w:tcW w:w="4183" w:type="dxa"/>
            <w:tcBorders>
              <w:top w:val="single" w:color="auto" w:sz="4" w:space="0"/>
              <w:left w:val="single" w:color="auto" w:sz="4" w:space="0"/>
              <w:bottom w:val="single" w:color="auto" w:sz="4" w:space="0"/>
              <w:right w:val="single" w:color="auto" w:sz="4" w:space="0"/>
            </w:tcBorders>
            <w:noWrap w:val="0"/>
            <w:vAlign w:val="center"/>
          </w:tcPr>
          <w:p w14:paraId="1F7638A3">
            <w:pPr>
              <w:widowControl/>
              <w:snapToGrid w:val="0"/>
              <w:spacing w:line="360" w:lineRule="auto"/>
              <w:jc w:val="center"/>
              <w:rPr>
                <w:rFonts w:hint="eastAsia" w:ascii="宋体" w:hAnsi="宋体" w:eastAsia="宋体" w:cs="Arial"/>
                <w:color w:val="auto"/>
                <w:kern w:val="0"/>
                <w:sz w:val="24"/>
                <w:highlight w:val="none"/>
              </w:rPr>
            </w:pPr>
          </w:p>
        </w:tc>
        <w:tc>
          <w:tcPr>
            <w:tcW w:w="717" w:type="dxa"/>
            <w:tcBorders>
              <w:top w:val="single" w:color="auto" w:sz="4" w:space="0"/>
              <w:left w:val="single" w:color="auto" w:sz="4" w:space="0"/>
              <w:bottom w:val="single" w:color="auto" w:sz="4" w:space="0"/>
              <w:right w:val="single" w:color="auto" w:sz="4" w:space="0"/>
            </w:tcBorders>
            <w:noWrap w:val="0"/>
            <w:vAlign w:val="center"/>
          </w:tcPr>
          <w:p w14:paraId="2B663C58">
            <w:pPr>
              <w:widowControl/>
              <w:snapToGrid w:val="0"/>
              <w:spacing w:line="360" w:lineRule="auto"/>
              <w:jc w:val="center"/>
              <w:rPr>
                <w:rFonts w:hint="default" w:ascii="宋体" w:hAnsi="宋体" w:eastAsia="宋体" w:cs="Arial"/>
                <w:color w:val="auto"/>
                <w:kern w:val="0"/>
                <w:sz w:val="24"/>
                <w:highlight w:val="none"/>
                <w:lang w:val="en-US" w:eastAsia="zh-CN"/>
              </w:rPr>
            </w:pPr>
          </w:p>
        </w:tc>
        <w:tc>
          <w:tcPr>
            <w:tcW w:w="600" w:type="dxa"/>
            <w:tcBorders>
              <w:top w:val="single" w:color="auto" w:sz="4" w:space="0"/>
              <w:left w:val="single" w:color="auto" w:sz="4" w:space="0"/>
              <w:bottom w:val="single" w:color="auto" w:sz="4" w:space="0"/>
              <w:right w:val="single" w:color="auto" w:sz="4" w:space="0"/>
            </w:tcBorders>
            <w:noWrap w:val="0"/>
            <w:vAlign w:val="center"/>
          </w:tcPr>
          <w:p w14:paraId="635182E3">
            <w:pPr>
              <w:widowControl/>
              <w:snapToGrid w:val="0"/>
              <w:spacing w:line="360" w:lineRule="auto"/>
              <w:jc w:val="center"/>
              <w:rPr>
                <w:rFonts w:hint="eastAsia" w:ascii="宋体" w:hAnsi="宋体" w:eastAsia="宋体" w:cs="Arial"/>
                <w:color w:val="auto"/>
                <w:kern w:val="0"/>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42E0EF0D">
            <w:pPr>
              <w:widowControl/>
              <w:snapToGrid w:val="0"/>
              <w:spacing w:line="360" w:lineRule="auto"/>
              <w:jc w:val="center"/>
              <w:rPr>
                <w:rFonts w:hint="eastAsia" w:ascii="宋体" w:hAnsi="宋体" w:eastAsia="宋体" w:cs="Arial"/>
                <w:color w:val="auto"/>
                <w:kern w:val="0"/>
                <w:sz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2DB97A55">
            <w:pPr>
              <w:widowControl/>
              <w:snapToGrid w:val="0"/>
              <w:spacing w:line="360" w:lineRule="auto"/>
              <w:jc w:val="center"/>
              <w:rPr>
                <w:rFonts w:hint="eastAsia" w:ascii="宋体" w:hAnsi="宋体" w:eastAsia="宋体" w:cs="Arial"/>
                <w:color w:val="auto"/>
                <w:kern w:val="0"/>
                <w:sz w:val="24"/>
                <w:highlight w:val="none"/>
              </w:rPr>
            </w:pPr>
          </w:p>
        </w:tc>
      </w:tr>
      <w:tr w14:paraId="1781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A1F4AA5">
            <w:pPr>
              <w:widowControl/>
              <w:snapToGrid w:val="0"/>
              <w:spacing w:line="360" w:lineRule="auto"/>
              <w:jc w:val="center"/>
              <w:rPr>
                <w:rFonts w:hint="eastAsia" w:ascii="宋体" w:hAnsi="宋体" w:eastAsia="宋体" w:cs="Arial"/>
                <w:color w:val="auto"/>
                <w:kern w:val="0"/>
                <w:sz w:val="24"/>
                <w:highlight w:val="non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673C2430">
            <w:pPr>
              <w:widowControl/>
              <w:snapToGrid w:val="0"/>
              <w:spacing w:line="360" w:lineRule="auto"/>
              <w:jc w:val="center"/>
              <w:rPr>
                <w:rFonts w:hint="eastAsia" w:ascii="宋体" w:hAnsi="宋体" w:eastAsia="宋体" w:cs="Arial"/>
                <w:color w:val="auto"/>
                <w:kern w:val="0"/>
                <w:sz w:val="24"/>
                <w:highlight w:val="none"/>
                <w:lang w:val="en-US" w:eastAsia="zh-CN"/>
              </w:rPr>
            </w:pPr>
          </w:p>
        </w:tc>
        <w:tc>
          <w:tcPr>
            <w:tcW w:w="4183" w:type="dxa"/>
            <w:tcBorders>
              <w:top w:val="single" w:color="auto" w:sz="4" w:space="0"/>
              <w:left w:val="single" w:color="auto" w:sz="4" w:space="0"/>
              <w:bottom w:val="single" w:color="auto" w:sz="4" w:space="0"/>
              <w:right w:val="single" w:color="auto" w:sz="4" w:space="0"/>
            </w:tcBorders>
            <w:noWrap w:val="0"/>
            <w:vAlign w:val="center"/>
          </w:tcPr>
          <w:p w14:paraId="2A48839F">
            <w:pPr>
              <w:widowControl/>
              <w:snapToGrid w:val="0"/>
              <w:spacing w:line="360" w:lineRule="auto"/>
              <w:jc w:val="center"/>
              <w:rPr>
                <w:rFonts w:hint="eastAsia" w:ascii="宋体" w:hAnsi="宋体" w:eastAsia="宋体" w:cs="Arial"/>
                <w:color w:val="auto"/>
                <w:kern w:val="0"/>
                <w:sz w:val="24"/>
                <w:highlight w:val="none"/>
              </w:rPr>
            </w:pPr>
          </w:p>
        </w:tc>
        <w:tc>
          <w:tcPr>
            <w:tcW w:w="717" w:type="dxa"/>
            <w:tcBorders>
              <w:top w:val="single" w:color="auto" w:sz="4" w:space="0"/>
              <w:left w:val="single" w:color="auto" w:sz="4" w:space="0"/>
              <w:bottom w:val="single" w:color="auto" w:sz="4" w:space="0"/>
              <w:right w:val="single" w:color="auto" w:sz="4" w:space="0"/>
            </w:tcBorders>
            <w:noWrap w:val="0"/>
            <w:vAlign w:val="center"/>
          </w:tcPr>
          <w:p w14:paraId="1B942162">
            <w:pPr>
              <w:widowControl/>
              <w:snapToGrid w:val="0"/>
              <w:spacing w:line="360" w:lineRule="auto"/>
              <w:jc w:val="center"/>
              <w:rPr>
                <w:rFonts w:hint="default" w:ascii="宋体" w:hAnsi="宋体" w:eastAsia="宋体" w:cs="Arial"/>
                <w:color w:val="auto"/>
                <w:kern w:val="0"/>
                <w:sz w:val="24"/>
                <w:highlight w:val="none"/>
                <w:lang w:val="en-US" w:eastAsia="zh-CN"/>
              </w:rPr>
            </w:pPr>
          </w:p>
        </w:tc>
        <w:tc>
          <w:tcPr>
            <w:tcW w:w="600" w:type="dxa"/>
            <w:tcBorders>
              <w:top w:val="single" w:color="auto" w:sz="4" w:space="0"/>
              <w:left w:val="single" w:color="auto" w:sz="4" w:space="0"/>
              <w:bottom w:val="single" w:color="auto" w:sz="4" w:space="0"/>
              <w:right w:val="single" w:color="auto" w:sz="4" w:space="0"/>
            </w:tcBorders>
            <w:noWrap w:val="0"/>
            <w:vAlign w:val="center"/>
          </w:tcPr>
          <w:p w14:paraId="731B049A">
            <w:pPr>
              <w:widowControl/>
              <w:snapToGrid w:val="0"/>
              <w:spacing w:line="360" w:lineRule="auto"/>
              <w:jc w:val="center"/>
              <w:rPr>
                <w:rFonts w:hint="eastAsia" w:ascii="宋体" w:hAnsi="宋体" w:eastAsia="宋体" w:cs="Arial"/>
                <w:color w:val="auto"/>
                <w:kern w:val="0"/>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75F9C8D9">
            <w:pPr>
              <w:widowControl/>
              <w:snapToGrid w:val="0"/>
              <w:spacing w:line="360" w:lineRule="auto"/>
              <w:jc w:val="center"/>
              <w:rPr>
                <w:rFonts w:hint="eastAsia" w:ascii="宋体" w:hAnsi="宋体" w:eastAsia="宋体" w:cs="Arial"/>
                <w:color w:val="auto"/>
                <w:kern w:val="0"/>
                <w:sz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19314F8B">
            <w:pPr>
              <w:widowControl/>
              <w:snapToGrid w:val="0"/>
              <w:spacing w:line="360" w:lineRule="auto"/>
              <w:jc w:val="center"/>
              <w:rPr>
                <w:rFonts w:hint="eastAsia" w:ascii="宋体" w:hAnsi="宋体" w:eastAsia="宋体" w:cs="Arial"/>
                <w:color w:val="auto"/>
                <w:kern w:val="0"/>
                <w:sz w:val="24"/>
                <w:highlight w:val="none"/>
              </w:rPr>
            </w:pPr>
          </w:p>
        </w:tc>
      </w:tr>
      <w:tr w14:paraId="3336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617FE5F4">
            <w:pPr>
              <w:widowControl/>
              <w:snapToGrid w:val="0"/>
              <w:spacing w:line="360" w:lineRule="auto"/>
              <w:jc w:val="center"/>
              <w:rPr>
                <w:rFonts w:hint="eastAsia" w:ascii="宋体" w:hAnsi="宋体" w:eastAsia="宋体" w:cs="Arial"/>
                <w:color w:val="auto"/>
                <w:kern w:val="0"/>
                <w:sz w:val="24"/>
                <w:highlight w:val="none"/>
              </w:rPr>
            </w:pPr>
          </w:p>
        </w:tc>
        <w:tc>
          <w:tcPr>
            <w:tcW w:w="859" w:type="dxa"/>
            <w:tcBorders>
              <w:top w:val="single" w:color="auto" w:sz="4" w:space="0"/>
              <w:left w:val="single" w:color="auto" w:sz="4" w:space="0"/>
              <w:bottom w:val="single" w:color="auto" w:sz="4" w:space="0"/>
              <w:right w:val="single" w:color="auto" w:sz="4" w:space="0"/>
            </w:tcBorders>
            <w:noWrap w:val="0"/>
            <w:vAlign w:val="center"/>
          </w:tcPr>
          <w:p w14:paraId="03F6F8B4">
            <w:pPr>
              <w:widowControl/>
              <w:snapToGrid w:val="0"/>
              <w:spacing w:line="360" w:lineRule="auto"/>
              <w:jc w:val="center"/>
              <w:rPr>
                <w:rFonts w:hint="eastAsia" w:ascii="宋体" w:hAnsi="宋体" w:eastAsia="宋体" w:cs="Arial"/>
                <w:color w:val="auto"/>
                <w:kern w:val="0"/>
                <w:sz w:val="24"/>
                <w:highlight w:val="none"/>
                <w:lang w:val="en-US" w:eastAsia="zh-CN"/>
              </w:rPr>
            </w:pPr>
          </w:p>
        </w:tc>
        <w:tc>
          <w:tcPr>
            <w:tcW w:w="4183" w:type="dxa"/>
            <w:tcBorders>
              <w:top w:val="single" w:color="auto" w:sz="4" w:space="0"/>
              <w:left w:val="single" w:color="auto" w:sz="4" w:space="0"/>
              <w:bottom w:val="single" w:color="auto" w:sz="4" w:space="0"/>
              <w:right w:val="single" w:color="auto" w:sz="4" w:space="0"/>
            </w:tcBorders>
            <w:noWrap w:val="0"/>
            <w:vAlign w:val="center"/>
          </w:tcPr>
          <w:p w14:paraId="2E9E7FF8">
            <w:pPr>
              <w:widowControl/>
              <w:snapToGrid w:val="0"/>
              <w:spacing w:line="360" w:lineRule="auto"/>
              <w:jc w:val="center"/>
              <w:rPr>
                <w:rFonts w:hint="eastAsia" w:ascii="宋体" w:hAnsi="宋体" w:eastAsia="宋体" w:cs="Arial"/>
                <w:color w:val="auto"/>
                <w:kern w:val="0"/>
                <w:sz w:val="24"/>
                <w:highlight w:val="none"/>
              </w:rPr>
            </w:pPr>
          </w:p>
        </w:tc>
        <w:tc>
          <w:tcPr>
            <w:tcW w:w="717" w:type="dxa"/>
            <w:tcBorders>
              <w:top w:val="single" w:color="auto" w:sz="4" w:space="0"/>
              <w:left w:val="single" w:color="auto" w:sz="4" w:space="0"/>
              <w:bottom w:val="single" w:color="auto" w:sz="4" w:space="0"/>
              <w:right w:val="single" w:color="auto" w:sz="4" w:space="0"/>
            </w:tcBorders>
            <w:noWrap w:val="0"/>
            <w:vAlign w:val="center"/>
          </w:tcPr>
          <w:p w14:paraId="6FE7EDC0">
            <w:pPr>
              <w:widowControl/>
              <w:snapToGrid w:val="0"/>
              <w:spacing w:line="360" w:lineRule="auto"/>
              <w:jc w:val="center"/>
              <w:rPr>
                <w:rFonts w:hint="default" w:ascii="宋体" w:hAnsi="宋体" w:eastAsia="宋体" w:cs="Arial"/>
                <w:color w:val="auto"/>
                <w:kern w:val="0"/>
                <w:sz w:val="24"/>
                <w:highlight w:val="none"/>
                <w:lang w:val="en-US" w:eastAsia="zh-CN"/>
              </w:rPr>
            </w:pPr>
          </w:p>
        </w:tc>
        <w:tc>
          <w:tcPr>
            <w:tcW w:w="600" w:type="dxa"/>
            <w:tcBorders>
              <w:top w:val="single" w:color="auto" w:sz="4" w:space="0"/>
              <w:left w:val="single" w:color="auto" w:sz="4" w:space="0"/>
              <w:bottom w:val="single" w:color="auto" w:sz="4" w:space="0"/>
              <w:right w:val="single" w:color="auto" w:sz="4" w:space="0"/>
            </w:tcBorders>
            <w:noWrap w:val="0"/>
            <w:vAlign w:val="center"/>
          </w:tcPr>
          <w:p w14:paraId="292F7EFB">
            <w:pPr>
              <w:widowControl/>
              <w:snapToGrid w:val="0"/>
              <w:spacing w:line="360" w:lineRule="auto"/>
              <w:jc w:val="center"/>
              <w:rPr>
                <w:rFonts w:hint="eastAsia" w:ascii="宋体" w:hAnsi="宋体" w:eastAsia="宋体" w:cs="Arial"/>
                <w:color w:val="auto"/>
                <w:kern w:val="0"/>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45303BA9">
            <w:pPr>
              <w:widowControl/>
              <w:snapToGrid w:val="0"/>
              <w:spacing w:line="360" w:lineRule="auto"/>
              <w:jc w:val="center"/>
              <w:rPr>
                <w:rFonts w:hint="eastAsia" w:ascii="宋体" w:hAnsi="宋体" w:eastAsia="宋体" w:cs="Arial"/>
                <w:color w:val="auto"/>
                <w:kern w:val="0"/>
                <w:sz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768094DD">
            <w:pPr>
              <w:widowControl/>
              <w:snapToGrid w:val="0"/>
              <w:spacing w:line="360" w:lineRule="auto"/>
              <w:jc w:val="center"/>
              <w:rPr>
                <w:rFonts w:hint="eastAsia" w:ascii="宋体" w:hAnsi="宋体" w:eastAsia="宋体" w:cs="Arial"/>
                <w:color w:val="auto"/>
                <w:kern w:val="0"/>
                <w:sz w:val="24"/>
                <w:highlight w:val="none"/>
              </w:rPr>
            </w:pPr>
          </w:p>
        </w:tc>
      </w:tr>
      <w:tr w14:paraId="4D71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711" w:type="dxa"/>
            <w:gridSpan w:val="3"/>
            <w:tcBorders>
              <w:top w:val="single" w:color="auto" w:sz="4" w:space="0"/>
              <w:left w:val="single" w:color="auto" w:sz="4" w:space="0"/>
              <w:bottom w:val="single" w:color="auto" w:sz="4" w:space="0"/>
              <w:right w:val="single" w:color="auto" w:sz="4" w:space="0"/>
            </w:tcBorders>
            <w:noWrap w:val="0"/>
            <w:vAlign w:val="center"/>
          </w:tcPr>
          <w:p w14:paraId="71E488B8">
            <w:pPr>
              <w:widowControl/>
              <w:snapToGrid w:val="0"/>
              <w:spacing w:line="360" w:lineRule="auto"/>
              <w:jc w:val="center"/>
              <w:rPr>
                <w:rFonts w:hint="eastAsia" w:ascii="宋体" w:hAnsi="宋体" w:eastAsia="宋体" w:cs="Arial"/>
                <w:color w:val="auto"/>
                <w:kern w:val="0"/>
                <w:sz w:val="24"/>
                <w:highlight w:val="none"/>
                <w:lang w:eastAsia="zh-CN"/>
              </w:rPr>
            </w:pPr>
            <w:r>
              <w:rPr>
                <w:rFonts w:hint="eastAsia" w:ascii="宋体" w:hAnsi="宋体" w:cs="Arial"/>
                <w:color w:val="auto"/>
                <w:kern w:val="0"/>
                <w:sz w:val="24"/>
                <w:highlight w:val="none"/>
              </w:rPr>
              <w:t>总价</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一年</w:t>
            </w:r>
            <w:r>
              <w:rPr>
                <w:rFonts w:hint="eastAsia" w:ascii="宋体" w:hAnsi="宋体" w:cs="Arial"/>
                <w:color w:val="auto"/>
                <w:kern w:val="0"/>
                <w:sz w:val="24"/>
                <w:highlight w:val="none"/>
                <w:lang w:eastAsia="zh-CN"/>
              </w:rPr>
              <w:t>）</w:t>
            </w:r>
          </w:p>
        </w:tc>
        <w:tc>
          <w:tcPr>
            <w:tcW w:w="2939" w:type="dxa"/>
            <w:gridSpan w:val="4"/>
            <w:tcBorders>
              <w:top w:val="single" w:color="auto" w:sz="4" w:space="0"/>
              <w:left w:val="single" w:color="auto" w:sz="4" w:space="0"/>
              <w:bottom w:val="single" w:color="auto" w:sz="4" w:space="0"/>
              <w:right w:val="single" w:color="auto" w:sz="4" w:space="0"/>
            </w:tcBorders>
            <w:noWrap w:val="0"/>
            <w:vAlign w:val="center"/>
          </w:tcPr>
          <w:p w14:paraId="398879B3">
            <w:pPr>
              <w:widowControl/>
              <w:snapToGrid w:val="0"/>
              <w:spacing w:line="360" w:lineRule="auto"/>
              <w:jc w:val="center"/>
              <w:rPr>
                <w:rFonts w:ascii="宋体" w:hAnsi="宋体" w:cs="Arial"/>
                <w:color w:val="auto"/>
                <w:kern w:val="0"/>
                <w:sz w:val="24"/>
                <w:highlight w:val="none"/>
              </w:rPr>
            </w:pPr>
          </w:p>
        </w:tc>
      </w:tr>
      <w:tr w14:paraId="0319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711" w:type="dxa"/>
            <w:gridSpan w:val="3"/>
            <w:tcBorders>
              <w:top w:val="single" w:color="auto" w:sz="4" w:space="0"/>
              <w:left w:val="single" w:color="auto" w:sz="4" w:space="0"/>
              <w:bottom w:val="single" w:color="auto" w:sz="4" w:space="0"/>
              <w:right w:val="single" w:color="auto" w:sz="4" w:space="0"/>
            </w:tcBorders>
            <w:noWrap w:val="0"/>
            <w:vAlign w:val="center"/>
          </w:tcPr>
          <w:p w14:paraId="0AC39C91">
            <w:pPr>
              <w:widowControl/>
              <w:snapToGrid w:val="0"/>
              <w:spacing w:line="360" w:lineRule="auto"/>
              <w:jc w:val="center"/>
              <w:rPr>
                <w:rFonts w:hint="eastAsia" w:ascii="宋体" w:hAnsi="宋体" w:cs="Arial"/>
                <w:color w:val="auto"/>
                <w:kern w:val="0"/>
                <w:sz w:val="24"/>
                <w:highlight w:val="none"/>
              </w:rPr>
            </w:pPr>
            <w:r>
              <w:rPr>
                <w:rFonts w:hint="eastAsia" w:ascii="宋体" w:hAnsi="宋体" w:cs="Arial"/>
                <w:color w:val="auto"/>
                <w:kern w:val="0"/>
                <w:sz w:val="24"/>
                <w:highlight w:val="none"/>
              </w:rPr>
              <w:t>总价</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三年</w:t>
            </w:r>
            <w:r>
              <w:rPr>
                <w:rFonts w:hint="eastAsia" w:ascii="宋体" w:hAnsi="宋体" w:cs="Arial"/>
                <w:color w:val="auto"/>
                <w:kern w:val="0"/>
                <w:sz w:val="24"/>
                <w:highlight w:val="none"/>
                <w:lang w:eastAsia="zh-CN"/>
              </w:rPr>
              <w:t>）</w:t>
            </w:r>
          </w:p>
        </w:tc>
        <w:tc>
          <w:tcPr>
            <w:tcW w:w="2939" w:type="dxa"/>
            <w:gridSpan w:val="4"/>
            <w:tcBorders>
              <w:top w:val="single" w:color="auto" w:sz="4" w:space="0"/>
              <w:left w:val="single" w:color="auto" w:sz="4" w:space="0"/>
              <w:bottom w:val="single" w:color="auto" w:sz="4" w:space="0"/>
              <w:right w:val="single" w:color="auto" w:sz="4" w:space="0"/>
            </w:tcBorders>
            <w:noWrap w:val="0"/>
            <w:vAlign w:val="center"/>
          </w:tcPr>
          <w:p w14:paraId="4023256C">
            <w:pPr>
              <w:widowControl/>
              <w:snapToGrid w:val="0"/>
              <w:spacing w:line="360" w:lineRule="auto"/>
              <w:jc w:val="center"/>
              <w:rPr>
                <w:rFonts w:ascii="宋体" w:hAnsi="宋体" w:cs="Arial"/>
                <w:color w:val="auto"/>
                <w:kern w:val="0"/>
                <w:sz w:val="24"/>
                <w:highlight w:val="none"/>
              </w:rPr>
            </w:pPr>
          </w:p>
        </w:tc>
      </w:tr>
    </w:tbl>
    <w:p w14:paraId="3D61B058">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注：</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.如果不提供分项报价将视为没有实质性响应</w:t>
      </w:r>
      <w:r>
        <w:rPr>
          <w:rFonts w:hint="eastAsia" w:ascii="宋体" w:hAnsi="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rPr>
        <w:t>文件</w:t>
      </w:r>
      <w:r>
        <w:rPr>
          <w:rFonts w:hint="eastAsia" w:ascii="宋体" w:hAnsi="宋体" w:eastAsia="宋体" w:cs="Times New Roman"/>
          <w:color w:val="auto"/>
          <w:sz w:val="24"/>
          <w:szCs w:val="24"/>
          <w:highlight w:val="none"/>
          <w:lang w:eastAsia="zh-CN"/>
        </w:rPr>
        <w:t>。</w:t>
      </w:r>
    </w:p>
    <w:p w14:paraId="3E5A2DE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.本表行数可以按照项目分项情况增加。</w:t>
      </w:r>
    </w:p>
    <w:p w14:paraId="7A39C4B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.上述各项的服务内容如表格中填写不下的，可以逐项另页描述。</w:t>
      </w:r>
    </w:p>
    <w:p w14:paraId="202CD12A">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lang w:val="zh-CN"/>
        </w:rPr>
        <w:t xml:space="preserve">                  </w:t>
      </w:r>
    </w:p>
    <w:p w14:paraId="691C7545">
      <w:pPr>
        <w:autoSpaceDE w:val="0"/>
        <w:autoSpaceDN w:val="0"/>
        <w:adjustRightInd w:val="0"/>
        <w:snapToGrid w:val="0"/>
        <w:spacing w:before="25" w:after="25" w:line="360" w:lineRule="auto"/>
        <w:outlineLvl w:val="9"/>
        <w:rPr>
          <w:color w:val="auto"/>
          <w:sz w:val="24"/>
          <w:highlight w:val="none"/>
          <w:lang w:val="zh-CN"/>
        </w:rPr>
      </w:pPr>
      <w:r>
        <w:rPr>
          <w:rFonts w:hint="eastAsia"/>
          <w:color w:val="auto"/>
          <w:sz w:val="24"/>
          <w:highlight w:val="none"/>
          <w:lang w:val="en-US" w:eastAsia="zh-CN"/>
        </w:rPr>
        <w:t>投标人</w:t>
      </w:r>
      <w:r>
        <w:rPr>
          <w:color w:val="auto"/>
          <w:sz w:val="24"/>
          <w:highlight w:val="none"/>
        </w:rPr>
        <w:t>名称（加盖公章）</w:t>
      </w:r>
      <w:r>
        <w:rPr>
          <w:color w:val="auto"/>
          <w:sz w:val="24"/>
          <w:highlight w:val="none"/>
          <w:lang w:val="zh-CN"/>
        </w:rPr>
        <w:t>：____________</w:t>
      </w:r>
    </w:p>
    <w:p w14:paraId="7D95C649">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77E4C029">
      <w:pPr>
        <w:rPr>
          <w:rFonts w:hint="eastAsia"/>
          <w:color w:val="auto"/>
          <w:sz w:val="24"/>
          <w:szCs w:val="20"/>
          <w:highlight w:val="none"/>
          <w:lang w:val="en-US" w:eastAsia="zh-CN"/>
        </w:rPr>
      </w:pPr>
      <w:r>
        <w:rPr>
          <w:rFonts w:hint="eastAsia"/>
          <w:color w:val="auto"/>
          <w:sz w:val="24"/>
          <w:szCs w:val="20"/>
          <w:highlight w:val="none"/>
          <w:lang w:val="en-US" w:eastAsia="zh-CN"/>
        </w:rPr>
        <w:br w:type="page"/>
      </w:r>
    </w:p>
    <w:p w14:paraId="7B61BB0B">
      <w:pPr>
        <w:spacing w:line="360" w:lineRule="exact"/>
        <w:jc w:val="both"/>
        <w:rPr>
          <w:color w:val="auto"/>
          <w:sz w:val="24"/>
          <w:szCs w:val="20"/>
          <w:highlight w:val="none"/>
        </w:rPr>
      </w:pPr>
      <w:r>
        <w:rPr>
          <w:rFonts w:hint="eastAsia"/>
          <w:color w:val="auto"/>
          <w:sz w:val="24"/>
          <w:szCs w:val="20"/>
          <w:highlight w:val="none"/>
          <w:lang w:val="en-US" w:eastAsia="zh-CN"/>
        </w:rPr>
        <w:t>6</w:t>
      </w:r>
      <w:r>
        <w:rPr>
          <w:color w:val="auto"/>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65F465BD">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）实施方案</w:t>
      </w:r>
    </w:p>
    <w:p w14:paraId="5160C3E0">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）质量进度方案</w:t>
      </w:r>
    </w:p>
    <w:p w14:paraId="7C1ECDDD">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）人员配备方案</w:t>
      </w:r>
    </w:p>
    <w:p w14:paraId="34D47B7B">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）应急预案</w:t>
      </w:r>
    </w:p>
    <w:p w14:paraId="62E0029C">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）后期服务方案</w:t>
      </w:r>
    </w:p>
    <w:p w14:paraId="551A71C5">
      <w:pPr>
        <w:spacing w:line="560" w:lineRule="exact"/>
        <w:ind w:firstLine="480"/>
        <w:rPr>
          <w:rFonts w:hint="eastAsia"/>
          <w:color w:val="auto"/>
          <w:sz w:val="24"/>
          <w:szCs w:val="20"/>
          <w:highlight w:val="none"/>
          <w:lang w:eastAsia="zh-CN"/>
        </w:rPr>
      </w:pPr>
    </w:p>
    <w:p w14:paraId="36A2C14D">
      <w:pPr>
        <w:snapToGrid w:val="0"/>
        <w:spacing w:line="560" w:lineRule="exact"/>
        <w:ind w:firstLine="480" w:firstLineChars="200"/>
        <w:rPr>
          <w:rFonts w:hint="eastAsia" w:eastAsia="宋体"/>
          <w:color w:val="auto"/>
          <w:sz w:val="24"/>
          <w:szCs w:val="20"/>
          <w:highlight w:val="none"/>
          <w:lang w:val="en-US" w:eastAsia="zh-CN"/>
        </w:rPr>
        <w:sectPr>
          <w:headerReference r:id="rId20" w:type="first"/>
          <w:footerReference r:id="rId22" w:type="first"/>
          <w:headerReference r:id="rId19" w:type="even"/>
          <w:footerReference r:id="rId21"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E892211">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7" w:name="_Toc288738839"/>
      <w:bookmarkStart w:id="908" w:name="_Toc288738397"/>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7"/>
      <w:bookmarkEnd w:id="908"/>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D3257BF-95E1-4CDE-8425-503AF30B480D}"/>
  </w:font>
  <w:font w:name="黑体">
    <w:panose1 w:val="02010609060101010101"/>
    <w:charset w:val="86"/>
    <w:family w:val="auto"/>
    <w:pitch w:val="default"/>
    <w:sig w:usb0="800002BF" w:usb1="38CF7CFA" w:usb2="00000016" w:usb3="00000000" w:csb0="00040001" w:csb1="00000000"/>
    <w:embedRegular r:id="rId2" w:fontKey="{5C9DDC6A-3025-4952-BE22-9F818D27133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23361D3-5507-4403-AC65-D546B51290FD}"/>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embedRegular r:id="rId4" w:fontKey="{3CDD2A7B-D4EF-4FA8-9C71-E4AB78703D34}"/>
  </w:font>
  <w:font w:name="等线">
    <w:panose1 w:val="02010600030101010101"/>
    <w:charset w:val="86"/>
    <w:family w:val="auto"/>
    <w:pitch w:val="default"/>
    <w:sig w:usb0="A00002BF" w:usb1="38CF7CFA" w:usb2="00000016" w:usb3="00000000" w:csb0="0004000F" w:csb1="00000000"/>
  </w:font>
  <w:font w:name="CESI黑体-GB2312">
    <w:altName w:val="黑体"/>
    <w:panose1 w:val="00000000000000000000"/>
    <w:charset w:val="86"/>
    <w:family w:val="auto"/>
    <w:pitch w:val="default"/>
    <w:sig w:usb0="00000000" w:usb1="00000000" w:usb2="00000012" w:usb3="00000000" w:csb0="0004000F" w:csb1="00000000"/>
    <w:embedRegular r:id="rId5" w:fontKey="{DFD4E556-21C5-4BEE-B8AD-F009B24DBFF5}"/>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29"/>
      <w:ind w:right="360"/>
    </w:pPr>
  </w:p>
  <w:p w14:paraId="5E817E1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FC425C5">
    <w:pPr>
      <w:pStyle w:val="29"/>
      <w:ind w:right="360"/>
    </w:pPr>
  </w:p>
  <w:p w14:paraId="48C23BC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2026-2028年薛家重点道路保洁及降尘作业项目</w:t>
    </w:r>
    <w:r>
      <w:rPr>
        <w:rFonts w:hint="eastAsia"/>
        <w:color w:val="auto"/>
      </w:rPr>
      <w:t>公开招标</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color w:val="auto"/>
        <w:lang w:eastAsia="zh-CN"/>
      </w:rPr>
      <w:t>2026-2028年薛家重点道路保洁及降尘作业项目</w:t>
    </w:r>
    <w:r>
      <w:rPr>
        <w:rFonts w:hint="eastAsia"/>
        <w:color w:val="auto"/>
      </w:rPr>
      <w:t>公开</w:t>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2026-2028年薛家重点道路保洁及降尘作业项目</w:t>
    </w:r>
    <w:r>
      <w:rPr>
        <w:rFonts w:hint="eastAsia"/>
        <w:color w:val="auto"/>
      </w:rPr>
      <w:t>公开</w:t>
    </w:r>
    <w:r>
      <w:rPr>
        <w:rFonts w:hint="eastAsia"/>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2026-2028年薛家重点道路保洁及降尘作业项目</w:t>
    </w:r>
    <w:r>
      <w:rPr>
        <w:rFonts w:hint="eastAsia"/>
        <w:color w:val="auto"/>
      </w:rPr>
      <w:t>公开招</w:t>
    </w:r>
    <w:r>
      <w:rPr>
        <w:rFonts w:hint="eastAsia"/>
      </w:rPr>
      <w:t>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pPr>
    <w:r>
      <w:rPr>
        <w:rFonts w:hint="eastAsia"/>
        <w:color w:val="auto"/>
        <w:lang w:eastAsia="zh-CN"/>
      </w:rPr>
      <w:t>2026-2028年薛家重点道路保洁及降尘作业项目</w:t>
    </w:r>
    <w:r>
      <w:rPr>
        <w:rFonts w:hint="eastAsia"/>
        <w:color w:val="auto"/>
      </w:rPr>
      <w:t>公开招</w:t>
    </w:r>
    <w:r>
      <w:rPr>
        <w:rFonts w:hint="eastAsia"/>
      </w:rPr>
      <w:t>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2026-2028年薛家重点道路保洁及降尘作业项目</w:t>
    </w:r>
    <w:r>
      <w:rPr>
        <w:rFonts w:hint="eastAsia"/>
        <w:color w:val="auto"/>
      </w:rPr>
      <w:t>公开招</w:t>
    </w:r>
    <w:r>
      <w:rPr>
        <w:rFonts w:hint="eastAsia"/>
      </w:rPr>
      <w:t>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F01BD2"/>
    <w:rsid w:val="02761617"/>
    <w:rsid w:val="027C457E"/>
    <w:rsid w:val="028077D7"/>
    <w:rsid w:val="02A12F56"/>
    <w:rsid w:val="02FE3778"/>
    <w:rsid w:val="03123F9D"/>
    <w:rsid w:val="033A0998"/>
    <w:rsid w:val="03594149"/>
    <w:rsid w:val="03741BF7"/>
    <w:rsid w:val="037C2718"/>
    <w:rsid w:val="04166978"/>
    <w:rsid w:val="042C2BE0"/>
    <w:rsid w:val="044F484E"/>
    <w:rsid w:val="046F5C3F"/>
    <w:rsid w:val="047F2D99"/>
    <w:rsid w:val="048B7990"/>
    <w:rsid w:val="048F1A9B"/>
    <w:rsid w:val="04AB0032"/>
    <w:rsid w:val="04F80D9E"/>
    <w:rsid w:val="05401FC4"/>
    <w:rsid w:val="05421EFD"/>
    <w:rsid w:val="054757C2"/>
    <w:rsid w:val="056D3D17"/>
    <w:rsid w:val="05875D77"/>
    <w:rsid w:val="05AF4562"/>
    <w:rsid w:val="05C574CF"/>
    <w:rsid w:val="05CA69C2"/>
    <w:rsid w:val="05D435B9"/>
    <w:rsid w:val="06613640"/>
    <w:rsid w:val="067B7666"/>
    <w:rsid w:val="06C9717C"/>
    <w:rsid w:val="07004D9A"/>
    <w:rsid w:val="07053AED"/>
    <w:rsid w:val="07251BF4"/>
    <w:rsid w:val="072A06D6"/>
    <w:rsid w:val="07366434"/>
    <w:rsid w:val="07375B39"/>
    <w:rsid w:val="07486125"/>
    <w:rsid w:val="074A7417"/>
    <w:rsid w:val="075B2E8F"/>
    <w:rsid w:val="07AD2313"/>
    <w:rsid w:val="08044557"/>
    <w:rsid w:val="080D6DA9"/>
    <w:rsid w:val="08146F71"/>
    <w:rsid w:val="084542FA"/>
    <w:rsid w:val="08614263"/>
    <w:rsid w:val="08744BDF"/>
    <w:rsid w:val="08E92ED7"/>
    <w:rsid w:val="091E1A28"/>
    <w:rsid w:val="093C3886"/>
    <w:rsid w:val="093F332C"/>
    <w:rsid w:val="09912903"/>
    <w:rsid w:val="09C555AA"/>
    <w:rsid w:val="0A0A31C0"/>
    <w:rsid w:val="0A0D3022"/>
    <w:rsid w:val="0A2F1DB7"/>
    <w:rsid w:val="0A565CCA"/>
    <w:rsid w:val="0A603399"/>
    <w:rsid w:val="0A782765"/>
    <w:rsid w:val="0A8E3FFB"/>
    <w:rsid w:val="0AC27289"/>
    <w:rsid w:val="0B2E5519"/>
    <w:rsid w:val="0B302536"/>
    <w:rsid w:val="0B571845"/>
    <w:rsid w:val="0B660C1A"/>
    <w:rsid w:val="0BB407B3"/>
    <w:rsid w:val="0BB84D66"/>
    <w:rsid w:val="0BCE53E7"/>
    <w:rsid w:val="0BE72312"/>
    <w:rsid w:val="0C1459AC"/>
    <w:rsid w:val="0C422471"/>
    <w:rsid w:val="0C5E2E05"/>
    <w:rsid w:val="0C5F24C0"/>
    <w:rsid w:val="0CB03D2F"/>
    <w:rsid w:val="0CC90B9E"/>
    <w:rsid w:val="0CCB058F"/>
    <w:rsid w:val="0D2B567D"/>
    <w:rsid w:val="0D2D431B"/>
    <w:rsid w:val="0D597A12"/>
    <w:rsid w:val="0D5E3DDF"/>
    <w:rsid w:val="0D7F0920"/>
    <w:rsid w:val="0D9C0677"/>
    <w:rsid w:val="0DAD00CC"/>
    <w:rsid w:val="0DAF0B93"/>
    <w:rsid w:val="0DB82981"/>
    <w:rsid w:val="0DC21F49"/>
    <w:rsid w:val="0DD759F4"/>
    <w:rsid w:val="0DFC2E62"/>
    <w:rsid w:val="0E05748E"/>
    <w:rsid w:val="0E540297"/>
    <w:rsid w:val="0E5A59B2"/>
    <w:rsid w:val="0E804E81"/>
    <w:rsid w:val="0E8B5269"/>
    <w:rsid w:val="0E9E53ED"/>
    <w:rsid w:val="0ED1350D"/>
    <w:rsid w:val="0EE3661B"/>
    <w:rsid w:val="0EF33DE6"/>
    <w:rsid w:val="0F292A9D"/>
    <w:rsid w:val="0F3708F0"/>
    <w:rsid w:val="0F380715"/>
    <w:rsid w:val="0F3B1B8F"/>
    <w:rsid w:val="0F900551"/>
    <w:rsid w:val="0FA77AC3"/>
    <w:rsid w:val="0FAC4FDD"/>
    <w:rsid w:val="0FDD23A2"/>
    <w:rsid w:val="0FE85F90"/>
    <w:rsid w:val="0FF21268"/>
    <w:rsid w:val="1013670F"/>
    <w:rsid w:val="106D19B8"/>
    <w:rsid w:val="106E2498"/>
    <w:rsid w:val="108A0980"/>
    <w:rsid w:val="109D108C"/>
    <w:rsid w:val="10B26094"/>
    <w:rsid w:val="10DC1D49"/>
    <w:rsid w:val="11276C93"/>
    <w:rsid w:val="11301BE1"/>
    <w:rsid w:val="1138046C"/>
    <w:rsid w:val="113879FA"/>
    <w:rsid w:val="1172177E"/>
    <w:rsid w:val="117C423F"/>
    <w:rsid w:val="11966C2F"/>
    <w:rsid w:val="11D87F8D"/>
    <w:rsid w:val="122600A1"/>
    <w:rsid w:val="124B6EFE"/>
    <w:rsid w:val="12B17AB7"/>
    <w:rsid w:val="12C908D6"/>
    <w:rsid w:val="12D2234F"/>
    <w:rsid w:val="12D439DD"/>
    <w:rsid w:val="13203999"/>
    <w:rsid w:val="13372CCF"/>
    <w:rsid w:val="134000FB"/>
    <w:rsid w:val="135875D7"/>
    <w:rsid w:val="135A251D"/>
    <w:rsid w:val="1364392F"/>
    <w:rsid w:val="136F66CF"/>
    <w:rsid w:val="137632D9"/>
    <w:rsid w:val="145D23C6"/>
    <w:rsid w:val="14BA7B23"/>
    <w:rsid w:val="14BC7273"/>
    <w:rsid w:val="14F9167E"/>
    <w:rsid w:val="14FA29CF"/>
    <w:rsid w:val="15270F29"/>
    <w:rsid w:val="15323E58"/>
    <w:rsid w:val="15387F8D"/>
    <w:rsid w:val="153B3244"/>
    <w:rsid w:val="153E24C4"/>
    <w:rsid w:val="155C2C83"/>
    <w:rsid w:val="15985D92"/>
    <w:rsid w:val="15A64936"/>
    <w:rsid w:val="15AE34DE"/>
    <w:rsid w:val="15AE376F"/>
    <w:rsid w:val="15B504E1"/>
    <w:rsid w:val="15D54BA9"/>
    <w:rsid w:val="16285FB7"/>
    <w:rsid w:val="163D11BB"/>
    <w:rsid w:val="16442095"/>
    <w:rsid w:val="165810F8"/>
    <w:rsid w:val="165E3157"/>
    <w:rsid w:val="16BB7EF6"/>
    <w:rsid w:val="17464EDF"/>
    <w:rsid w:val="174C429D"/>
    <w:rsid w:val="1756574D"/>
    <w:rsid w:val="175A7EC9"/>
    <w:rsid w:val="17711974"/>
    <w:rsid w:val="17AB1930"/>
    <w:rsid w:val="17B16D61"/>
    <w:rsid w:val="17F93E0B"/>
    <w:rsid w:val="182E4DAB"/>
    <w:rsid w:val="1866030F"/>
    <w:rsid w:val="188D727F"/>
    <w:rsid w:val="18976BAC"/>
    <w:rsid w:val="189A635D"/>
    <w:rsid w:val="18DB006D"/>
    <w:rsid w:val="18E91847"/>
    <w:rsid w:val="18F90F15"/>
    <w:rsid w:val="18FE29CF"/>
    <w:rsid w:val="19037516"/>
    <w:rsid w:val="197669C8"/>
    <w:rsid w:val="19965929"/>
    <w:rsid w:val="199E6903"/>
    <w:rsid w:val="19E85593"/>
    <w:rsid w:val="1A053A20"/>
    <w:rsid w:val="1A235A37"/>
    <w:rsid w:val="1A693E78"/>
    <w:rsid w:val="1A797BAB"/>
    <w:rsid w:val="1A8B7BFC"/>
    <w:rsid w:val="1A9E670A"/>
    <w:rsid w:val="1ABB2ACE"/>
    <w:rsid w:val="1B204F41"/>
    <w:rsid w:val="1B3A2DE8"/>
    <w:rsid w:val="1B670A02"/>
    <w:rsid w:val="1B6C00C4"/>
    <w:rsid w:val="1BB13D28"/>
    <w:rsid w:val="1BCD0283"/>
    <w:rsid w:val="1BD566F5"/>
    <w:rsid w:val="1C02080D"/>
    <w:rsid w:val="1C455CA5"/>
    <w:rsid w:val="1C4F731E"/>
    <w:rsid w:val="1C8D6AE1"/>
    <w:rsid w:val="1C9D42AD"/>
    <w:rsid w:val="1CB84DBF"/>
    <w:rsid w:val="1CBD6E94"/>
    <w:rsid w:val="1CBE61EC"/>
    <w:rsid w:val="1CCE79E9"/>
    <w:rsid w:val="1D214EDE"/>
    <w:rsid w:val="1D2C69D2"/>
    <w:rsid w:val="1D5F1562"/>
    <w:rsid w:val="1D68754A"/>
    <w:rsid w:val="1D6D2C92"/>
    <w:rsid w:val="1D750D86"/>
    <w:rsid w:val="1DF517C5"/>
    <w:rsid w:val="1E546F73"/>
    <w:rsid w:val="1EA00084"/>
    <w:rsid w:val="1EAA5345"/>
    <w:rsid w:val="1EB81AFB"/>
    <w:rsid w:val="1ED41ADC"/>
    <w:rsid w:val="1EDE2CAF"/>
    <w:rsid w:val="1F0D582F"/>
    <w:rsid w:val="1F466F95"/>
    <w:rsid w:val="1F5C4F99"/>
    <w:rsid w:val="1F5F2643"/>
    <w:rsid w:val="1FBE5319"/>
    <w:rsid w:val="1FC11D29"/>
    <w:rsid w:val="1FCA128A"/>
    <w:rsid w:val="1FDC6A71"/>
    <w:rsid w:val="1FE87F35"/>
    <w:rsid w:val="200A700D"/>
    <w:rsid w:val="200C041C"/>
    <w:rsid w:val="20195183"/>
    <w:rsid w:val="20805C01"/>
    <w:rsid w:val="20DB0B4D"/>
    <w:rsid w:val="20F070A1"/>
    <w:rsid w:val="20FF6149"/>
    <w:rsid w:val="21001369"/>
    <w:rsid w:val="21182167"/>
    <w:rsid w:val="2121150A"/>
    <w:rsid w:val="2132348A"/>
    <w:rsid w:val="215A6C10"/>
    <w:rsid w:val="218B501C"/>
    <w:rsid w:val="21A8615F"/>
    <w:rsid w:val="21D75FA1"/>
    <w:rsid w:val="21FB262E"/>
    <w:rsid w:val="2239193A"/>
    <w:rsid w:val="22506DDC"/>
    <w:rsid w:val="226A06FE"/>
    <w:rsid w:val="227040E3"/>
    <w:rsid w:val="229212D1"/>
    <w:rsid w:val="2298179E"/>
    <w:rsid w:val="22CF641B"/>
    <w:rsid w:val="23206C6F"/>
    <w:rsid w:val="234636C5"/>
    <w:rsid w:val="235B437F"/>
    <w:rsid w:val="23803162"/>
    <w:rsid w:val="238E0C0F"/>
    <w:rsid w:val="23960D09"/>
    <w:rsid w:val="239E00B4"/>
    <w:rsid w:val="23D14071"/>
    <w:rsid w:val="23EF1D66"/>
    <w:rsid w:val="240A715C"/>
    <w:rsid w:val="240B5D75"/>
    <w:rsid w:val="242B34A5"/>
    <w:rsid w:val="24D97E4C"/>
    <w:rsid w:val="24E0203E"/>
    <w:rsid w:val="251C079D"/>
    <w:rsid w:val="251E74A4"/>
    <w:rsid w:val="252D51EA"/>
    <w:rsid w:val="257D2DBF"/>
    <w:rsid w:val="25D50209"/>
    <w:rsid w:val="25DC5E46"/>
    <w:rsid w:val="25F71C10"/>
    <w:rsid w:val="26242111"/>
    <w:rsid w:val="26335498"/>
    <w:rsid w:val="26734128"/>
    <w:rsid w:val="2691688E"/>
    <w:rsid w:val="26BE7FBB"/>
    <w:rsid w:val="26C34DCC"/>
    <w:rsid w:val="26D74FA2"/>
    <w:rsid w:val="26FE003E"/>
    <w:rsid w:val="2700039E"/>
    <w:rsid w:val="27083FF7"/>
    <w:rsid w:val="273B6B9C"/>
    <w:rsid w:val="27427F2B"/>
    <w:rsid w:val="2760322B"/>
    <w:rsid w:val="27843CE5"/>
    <w:rsid w:val="280254F9"/>
    <w:rsid w:val="28520641"/>
    <w:rsid w:val="286B1703"/>
    <w:rsid w:val="28861BF2"/>
    <w:rsid w:val="289035E9"/>
    <w:rsid w:val="28BF4863"/>
    <w:rsid w:val="28F20E26"/>
    <w:rsid w:val="2927562A"/>
    <w:rsid w:val="292860AC"/>
    <w:rsid w:val="296662B0"/>
    <w:rsid w:val="297F5466"/>
    <w:rsid w:val="29811B51"/>
    <w:rsid w:val="29F8164F"/>
    <w:rsid w:val="2A732452"/>
    <w:rsid w:val="2AB4113F"/>
    <w:rsid w:val="2AF332EA"/>
    <w:rsid w:val="2B0E622B"/>
    <w:rsid w:val="2B140D04"/>
    <w:rsid w:val="2B147E30"/>
    <w:rsid w:val="2B21663D"/>
    <w:rsid w:val="2B4C65E4"/>
    <w:rsid w:val="2B4E2C5C"/>
    <w:rsid w:val="2B9D7E8C"/>
    <w:rsid w:val="2BD46058"/>
    <w:rsid w:val="2C1005F7"/>
    <w:rsid w:val="2C421158"/>
    <w:rsid w:val="2C444EE5"/>
    <w:rsid w:val="2C80255E"/>
    <w:rsid w:val="2C923702"/>
    <w:rsid w:val="2CC54755"/>
    <w:rsid w:val="2CC557A9"/>
    <w:rsid w:val="2CCF2447"/>
    <w:rsid w:val="2CDB6C56"/>
    <w:rsid w:val="2CF87D27"/>
    <w:rsid w:val="2D11433C"/>
    <w:rsid w:val="2D53381B"/>
    <w:rsid w:val="2D721C3A"/>
    <w:rsid w:val="2DC021D7"/>
    <w:rsid w:val="2DCB03B2"/>
    <w:rsid w:val="2E290FE3"/>
    <w:rsid w:val="2E3E69B3"/>
    <w:rsid w:val="2E5A1FFE"/>
    <w:rsid w:val="2E861403"/>
    <w:rsid w:val="2EB7357A"/>
    <w:rsid w:val="2ED457CC"/>
    <w:rsid w:val="2EF610A0"/>
    <w:rsid w:val="2F0E55AC"/>
    <w:rsid w:val="2F9B48B1"/>
    <w:rsid w:val="2FC16088"/>
    <w:rsid w:val="2FC7383A"/>
    <w:rsid w:val="2FED406A"/>
    <w:rsid w:val="2FFA3814"/>
    <w:rsid w:val="300B48FC"/>
    <w:rsid w:val="300D5278"/>
    <w:rsid w:val="301B756B"/>
    <w:rsid w:val="30536E9C"/>
    <w:rsid w:val="306163DC"/>
    <w:rsid w:val="306925E3"/>
    <w:rsid w:val="309452F0"/>
    <w:rsid w:val="30B03C1E"/>
    <w:rsid w:val="30E6139A"/>
    <w:rsid w:val="31266676"/>
    <w:rsid w:val="31274439"/>
    <w:rsid w:val="312B5BBD"/>
    <w:rsid w:val="31945C90"/>
    <w:rsid w:val="31B0350F"/>
    <w:rsid w:val="31D200FD"/>
    <w:rsid w:val="321F31E7"/>
    <w:rsid w:val="32432D5F"/>
    <w:rsid w:val="32517538"/>
    <w:rsid w:val="32E17386"/>
    <w:rsid w:val="32E7797D"/>
    <w:rsid w:val="32EB653A"/>
    <w:rsid w:val="333F550C"/>
    <w:rsid w:val="333F5C66"/>
    <w:rsid w:val="334A00AD"/>
    <w:rsid w:val="33913D9A"/>
    <w:rsid w:val="33C577E5"/>
    <w:rsid w:val="342D509C"/>
    <w:rsid w:val="3456735A"/>
    <w:rsid w:val="34732732"/>
    <w:rsid w:val="34880F47"/>
    <w:rsid w:val="34BB0952"/>
    <w:rsid w:val="34CD0057"/>
    <w:rsid w:val="34CD230A"/>
    <w:rsid w:val="34E02B31"/>
    <w:rsid w:val="34E11595"/>
    <w:rsid w:val="34E23788"/>
    <w:rsid w:val="34F560B3"/>
    <w:rsid w:val="35040F15"/>
    <w:rsid w:val="35336129"/>
    <w:rsid w:val="357E1B4C"/>
    <w:rsid w:val="358A6272"/>
    <w:rsid w:val="35A95619"/>
    <w:rsid w:val="35CB3858"/>
    <w:rsid w:val="35E131A4"/>
    <w:rsid w:val="35EF7B51"/>
    <w:rsid w:val="360B2D37"/>
    <w:rsid w:val="360C6A24"/>
    <w:rsid w:val="3616733E"/>
    <w:rsid w:val="36172963"/>
    <w:rsid w:val="361A48B6"/>
    <w:rsid w:val="36214B73"/>
    <w:rsid w:val="363E2205"/>
    <w:rsid w:val="367B6862"/>
    <w:rsid w:val="36941872"/>
    <w:rsid w:val="36B50780"/>
    <w:rsid w:val="36C50230"/>
    <w:rsid w:val="36E6103A"/>
    <w:rsid w:val="37517D16"/>
    <w:rsid w:val="37535139"/>
    <w:rsid w:val="37840064"/>
    <w:rsid w:val="37AA3134"/>
    <w:rsid w:val="37DF3665"/>
    <w:rsid w:val="38055562"/>
    <w:rsid w:val="3814146F"/>
    <w:rsid w:val="38855EC9"/>
    <w:rsid w:val="38AE1866"/>
    <w:rsid w:val="38BE64A7"/>
    <w:rsid w:val="38F65DA8"/>
    <w:rsid w:val="392801F7"/>
    <w:rsid w:val="397651E3"/>
    <w:rsid w:val="398F42B0"/>
    <w:rsid w:val="39AB5E03"/>
    <w:rsid w:val="39C9502D"/>
    <w:rsid w:val="39CB1609"/>
    <w:rsid w:val="39E855FF"/>
    <w:rsid w:val="3A2A4F7A"/>
    <w:rsid w:val="3A2C09FC"/>
    <w:rsid w:val="3AD62A0C"/>
    <w:rsid w:val="3B2A7273"/>
    <w:rsid w:val="3B365BA1"/>
    <w:rsid w:val="3B5E1AF9"/>
    <w:rsid w:val="3B7F12F6"/>
    <w:rsid w:val="3B7F1D55"/>
    <w:rsid w:val="3BCB6780"/>
    <w:rsid w:val="3BE61375"/>
    <w:rsid w:val="3C1F4887"/>
    <w:rsid w:val="3C2846F1"/>
    <w:rsid w:val="3C4A614C"/>
    <w:rsid w:val="3C5457A1"/>
    <w:rsid w:val="3C596398"/>
    <w:rsid w:val="3C5B0135"/>
    <w:rsid w:val="3C643C9E"/>
    <w:rsid w:val="3C6A3D54"/>
    <w:rsid w:val="3C97441D"/>
    <w:rsid w:val="3CA20495"/>
    <w:rsid w:val="3CCB7B67"/>
    <w:rsid w:val="3CD613E9"/>
    <w:rsid w:val="3CD72BF9"/>
    <w:rsid w:val="3D313344"/>
    <w:rsid w:val="3D4A2CDD"/>
    <w:rsid w:val="3D4B31E4"/>
    <w:rsid w:val="3D5D19FB"/>
    <w:rsid w:val="3D7E4565"/>
    <w:rsid w:val="3D8A1F66"/>
    <w:rsid w:val="3D9A41C5"/>
    <w:rsid w:val="3DAC5616"/>
    <w:rsid w:val="3DD41A54"/>
    <w:rsid w:val="3DD735BC"/>
    <w:rsid w:val="3E0470F9"/>
    <w:rsid w:val="3E09134A"/>
    <w:rsid w:val="3E116ED0"/>
    <w:rsid w:val="3E2504E1"/>
    <w:rsid w:val="3E5E1ED1"/>
    <w:rsid w:val="3EA56DA8"/>
    <w:rsid w:val="3EAB71FE"/>
    <w:rsid w:val="3EB63280"/>
    <w:rsid w:val="3EC42C77"/>
    <w:rsid w:val="3EE53B65"/>
    <w:rsid w:val="3EEC4EF4"/>
    <w:rsid w:val="3EEE4396"/>
    <w:rsid w:val="3EF142B8"/>
    <w:rsid w:val="3F2033DB"/>
    <w:rsid w:val="3F6F2A2B"/>
    <w:rsid w:val="3FB847FD"/>
    <w:rsid w:val="3FDB2873"/>
    <w:rsid w:val="3FF07BB3"/>
    <w:rsid w:val="3FF35E0E"/>
    <w:rsid w:val="4019458C"/>
    <w:rsid w:val="403854EB"/>
    <w:rsid w:val="404D6B1C"/>
    <w:rsid w:val="406867FC"/>
    <w:rsid w:val="40970437"/>
    <w:rsid w:val="409B3439"/>
    <w:rsid w:val="40B76E3C"/>
    <w:rsid w:val="40D735C1"/>
    <w:rsid w:val="41033FEE"/>
    <w:rsid w:val="410A5BD1"/>
    <w:rsid w:val="41166258"/>
    <w:rsid w:val="416F6D2C"/>
    <w:rsid w:val="417575B0"/>
    <w:rsid w:val="41AE11D8"/>
    <w:rsid w:val="41C5681F"/>
    <w:rsid w:val="41D41C6F"/>
    <w:rsid w:val="41E07F64"/>
    <w:rsid w:val="41F13382"/>
    <w:rsid w:val="42234BB5"/>
    <w:rsid w:val="422449A5"/>
    <w:rsid w:val="423A3B78"/>
    <w:rsid w:val="425912B6"/>
    <w:rsid w:val="42595D90"/>
    <w:rsid w:val="42720799"/>
    <w:rsid w:val="427D1648"/>
    <w:rsid w:val="42B37AD7"/>
    <w:rsid w:val="42CD0A98"/>
    <w:rsid w:val="42CE4911"/>
    <w:rsid w:val="42D2623B"/>
    <w:rsid w:val="430F736E"/>
    <w:rsid w:val="431A0C09"/>
    <w:rsid w:val="43210EE4"/>
    <w:rsid w:val="434A7747"/>
    <w:rsid w:val="437B7F20"/>
    <w:rsid w:val="43931DE2"/>
    <w:rsid w:val="43B104BA"/>
    <w:rsid w:val="43B600AD"/>
    <w:rsid w:val="43B86866"/>
    <w:rsid w:val="44166A5A"/>
    <w:rsid w:val="445371D8"/>
    <w:rsid w:val="445643E2"/>
    <w:rsid w:val="44783E9F"/>
    <w:rsid w:val="4489508F"/>
    <w:rsid w:val="44E35950"/>
    <w:rsid w:val="4527251D"/>
    <w:rsid w:val="45350C77"/>
    <w:rsid w:val="45BB117C"/>
    <w:rsid w:val="45CC14CF"/>
    <w:rsid w:val="45EB6C16"/>
    <w:rsid w:val="46032B23"/>
    <w:rsid w:val="46152922"/>
    <w:rsid w:val="46194489"/>
    <w:rsid w:val="46897329"/>
    <w:rsid w:val="4690085B"/>
    <w:rsid w:val="46BF2EEE"/>
    <w:rsid w:val="46CE3571"/>
    <w:rsid w:val="46D00C57"/>
    <w:rsid w:val="47017ED3"/>
    <w:rsid w:val="4729480B"/>
    <w:rsid w:val="47296465"/>
    <w:rsid w:val="473604B5"/>
    <w:rsid w:val="477F6295"/>
    <w:rsid w:val="479B2226"/>
    <w:rsid w:val="47ED4AFD"/>
    <w:rsid w:val="480B336A"/>
    <w:rsid w:val="480E2158"/>
    <w:rsid w:val="481C5318"/>
    <w:rsid w:val="48286871"/>
    <w:rsid w:val="483879E2"/>
    <w:rsid w:val="484052C3"/>
    <w:rsid w:val="4857637F"/>
    <w:rsid w:val="485C23FD"/>
    <w:rsid w:val="486F0BD4"/>
    <w:rsid w:val="48A02FEC"/>
    <w:rsid w:val="490C21FE"/>
    <w:rsid w:val="49171181"/>
    <w:rsid w:val="4929464F"/>
    <w:rsid w:val="49331971"/>
    <w:rsid w:val="493F79D7"/>
    <w:rsid w:val="49644BD2"/>
    <w:rsid w:val="496B7A53"/>
    <w:rsid w:val="49D4237F"/>
    <w:rsid w:val="49DB54E4"/>
    <w:rsid w:val="49EC67F4"/>
    <w:rsid w:val="49F47B5D"/>
    <w:rsid w:val="4A1C322F"/>
    <w:rsid w:val="4A3B394B"/>
    <w:rsid w:val="4A450C78"/>
    <w:rsid w:val="4A6E2C61"/>
    <w:rsid w:val="4A840F83"/>
    <w:rsid w:val="4AC9585B"/>
    <w:rsid w:val="4AF30332"/>
    <w:rsid w:val="4B646309"/>
    <w:rsid w:val="4B65373A"/>
    <w:rsid w:val="4B6A35BC"/>
    <w:rsid w:val="4BAA5E35"/>
    <w:rsid w:val="4C026DB0"/>
    <w:rsid w:val="4C733BBD"/>
    <w:rsid w:val="4C8A3367"/>
    <w:rsid w:val="4C8C3872"/>
    <w:rsid w:val="4C930DA8"/>
    <w:rsid w:val="4CC654BF"/>
    <w:rsid w:val="4D00163A"/>
    <w:rsid w:val="4D015F24"/>
    <w:rsid w:val="4D2B1FDD"/>
    <w:rsid w:val="4D697710"/>
    <w:rsid w:val="4D6D5069"/>
    <w:rsid w:val="4D783DF7"/>
    <w:rsid w:val="4D820FE4"/>
    <w:rsid w:val="4D84637D"/>
    <w:rsid w:val="4DA55F18"/>
    <w:rsid w:val="4DAD6072"/>
    <w:rsid w:val="4DBB1907"/>
    <w:rsid w:val="4E0245DC"/>
    <w:rsid w:val="4E77378A"/>
    <w:rsid w:val="4E9F706E"/>
    <w:rsid w:val="4EA8070C"/>
    <w:rsid w:val="4EAA119F"/>
    <w:rsid w:val="4EFC3A63"/>
    <w:rsid w:val="4EFE1245"/>
    <w:rsid w:val="4F0F5BE3"/>
    <w:rsid w:val="4F2B262C"/>
    <w:rsid w:val="4F321701"/>
    <w:rsid w:val="4F566D5B"/>
    <w:rsid w:val="4F715FBE"/>
    <w:rsid w:val="4F9E06EF"/>
    <w:rsid w:val="4FB17E44"/>
    <w:rsid w:val="500A0A51"/>
    <w:rsid w:val="502E6961"/>
    <w:rsid w:val="50391590"/>
    <w:rsid w:val="50403400"/>
    <w:rsid w:val="505E5526"/>
    <w:rsid w:val="50792360"/>
    <w:rsid w:val="50814A2E"/>
    <w:rsid w:val="50C35389"/>
    <w:rsid w:val="50D254CE"/>
    <w:rsid w:val="510C1AD5"/>
    <w:rsid w:val="510F4A72"/>
    <w:rsid w:val="512C5624"/>
    <w:rsid w:val="51477E34"/>
    <w:rsid w:val="51A943A5"/>
    <w:rsid w:val="51AD5AB8"/>
    <w:rsid w:val="51CC12A0"/>
    <w:rsid w:val="52010488"/>
    <w:rsid w:val="520247C8"/>
    <w:rsid w:val="521F0CE5"/>
    <w:rsid w:val="52271947"/>
    <w:rsid w:val="522B5EBE"/>
    <w:rsid w:val="52422029"/>
    <w:rsid w:val="52616BAE"/>
    <w:rsid w:val="52814018"/>
    <w:rsid w:val="52854FEC"/>
    <w:rsid w:val="52923265"/>
    <w:rsid w:val="529C3721"/>
    <w:rsid w:val="52CF0C4F"/>
    <w:rsid w:val="52D37212"/>
    <w:rsid w:val="52F57B46"/>
    <w:rsid w:val="52FF3B12"/>
    <w:rsid w:val="5301404C"/>
    <w:rsid w:val="530F2B07"/>
    <w:rsid w:val="533267F6"/>
    <w:rsid w:val="53852DC9"/>
    <w:rsid w:val="53891AF7"/>
    <w:rsid w:val="53A438C3"/>
    <w:rsid w:val="53C17B7A"/>
    <w:rsid w:val="53EC4936"/>
    <w:rsid w:val="53F05258"/>
    <w:rsid w:val="53FA202D"/>
    <w:rsid w:val="540205AF"/>
    <w:rsid w:val="540C23E1"/>
    <w:rsid w:val="540D2581"/>
    <w:rsid w:val="542B1D44"/>
    <w:rsid w:val="54315AF7"/>
    <w:rsid w:val="546155E5"/>
    <w:rsid w:val="5479570C"/>
    <w:rsid w:val="549459BA"/>
    <w:rsid w:val="54B3453A"/>
    <w:rsid w:val="54BB568B"/>
    <w:rsid w:val="54C15ACB"/>
    <w:rsid w:val="54D57821"/>
    <w:rsid w:val="54D758A7"/>
    <w:rsid w:val="54D846ED"/>
    <w:rsid w:val="55016CDE"/>
    <w:rsid w:val="55040901"/>
    <w:rsid w:val="5541273A"/>
    <w:rsid w:val="558C3ECD"/>
    <w:rsid w:val="559032A2"/>
    <w:rsid w:val="559351F5"/>
    <w:rsid w:val="55A62D87"/>
    <w:rsid w:val="55D0773D"/>
    <w:rsid w:val="55E93137"/>
    <w:rsid w:val="56356D29"/>
    <w:rsid w:val="563F3703"/>
    <w:rsid w:val="56475F07"/>
    <w:rsid w:val="567E0D90"/>
    <w:rsid w:val="5684679D"/>
    <w:rsid w:val="56C034A3"/>
    <w:rsid w:val="56CD73C9"/>
    <w:rsid w:val="56DF05DE"/>
    <w:rsid w:val="56F70118"/>
    <w:rsid w:val="56F72230"/>
    <w:rsid w:val="5728063B"/>
    <w:rsid w:val="57A57DAA"/>
    <w:rsid w:val="57AD03DC"/>
    <w:rsid w:val="57C727B0"/>
    <w:rsid w:val="57DE484E"/>
    <w:rsid w:val="57FC6189"/>
    <w:rsid w:val="580E39B4"/>
    <w:rsid w:val="5823259F"/>
    <w:rsid w:val="582E57DE"/>
    <w:rsid w:val="583A0626"/>
    <w:rsid w:val="586C12F4"/>
    <w:rsid w:val="58882378"/>
    <w:rsid w:val="5898359F"/>
    <w:rsid w:val="58CE139A"/>
    <w:rsid w:val="590826D8"/>
    <w:rsid w:val="590E38BE"/>
    <w:rsid w:val="592216BA"/>
    <w:rsid w:val="592340EB"/>
    <w:rsid w:val="592F4F24"/>
    <w:rsid w:val="59690A2E"/>
    <w:rsid w:val="597B0EDE"/>
    <w:rsid w:val="59AC7302"/>
    <w:rsid w:val="59CA7788"/>
    <w:rsid w:val="5A056018"/>
    <w:rsid w:val="5A4C39FF"/>
    <w:rsid w:val="5AEE73F8"/>
    <w:rsid w:val="5B2B06FA"/>
    <w:rsid w:val="5B532A0F"/>
    <w:rsid w:val="5B5A2123"/>
    <w:rsid w:val="5B8352C6"/>
    <w:rsid w:val="5B8B43D5"/>
    <w:rsid w:val="5B9C1449"/>
    <w:rsid w:val="5BBC75A4"/>
    <w:rsid w:val="5BC26B5C"/>
    <w:rsid w:val="5BE9497A"/>
    <w:rsid w:val="5BF5775B"/>
    <w:rsid w:val="5C25339C"/>
    <w:rsid w:val="5C50535F"/>
    <w:rsid w:val="5C844CCC"/>
    <w:rsid w:val="5C993C03"/>
    <w:rsid w:val="5CCD707A"/>
    <w:rsid w:val="5D0F4C21"/>
    <w:rsid w:val="5D1859F9"/>
    <w:rsid w:val="5D1B53A8"/>
    <w:rsid w:val="5D423AD9"/>
    <w:rsid w:val="5D524382"/>
    <w:rsid w:val="5D536D5C"/>
    <w:rsid w:val="5D5E5A83"/>
    <w:rsid w:val="5D8C4BED"/>
    <w:rsid w:val="5D8C5540"/>
    <w:rsid w:val="5DB37D2C"/>
    <w:rsid w:val="5DCF73EF"/>
    <w:rsid w:val="5DF218C2"/>
    <w:rsid w:val="5DF721D2"/>
    <w:rsid w:val="5EFA5929"/>
    <w:rsid w:val="5F017575"/>
    <w:rsid w:val="5F073306"/>
    <w:rsid w:val="5F1119B5"/>
    <w:rsid w:val="5F531564"/>
    <w:rsid w:val="5F5350D7"/>
    <w:rsid w:val="5F5F73B9"/>
    <w:rsid w:val="5F795ED8"/>
    <w:rsid w:val="5F802A46"/>
    <w:rsid w:val="5F804D6C"/>
    <w:rsid w:val="5FBA5715"/>
    <w:rsid w:val="5FBD73F7"/>
    <w:rsid w:val="5FC07F36"/>
    <w:rsid w:val="5FE877C4"/>
    <w:rsid w:val="5FEF1CF6"/>
    <w:rsid w:val="60091ECD"/>
    <w:rsid w:val="60114363"/>
    <w:rsid w:val="602703B1"/>
    <w:rsid w:val="602B775D"/>
    <w:rsid w:val="602C7CF1"/>
    <w:rsid w:val="603E5C2B"/>
    <w:rsid w:val="60400C91"/>
    <w:rsid w:val="604A5EED"/>
    <w:rsid w:val="605F2220"/>
    <w:rsid w:val="60667274"/>
    <w:rsid w:val="606C3347"/>
    <w:rsid w:val="608166B4"/>
    <w:rsid w:val="608A688B"/>
    <w:rsid w:val="608F34D9"/>
    <w:rsid w:val="60C44F74"/>
    <w:rsid w:val="60DC120F"/>
    <w:rsid w:val="60F23368"/>
    <w:rsid w:val="611E3173"/>
    <w:rsid w:val="617B1E5D"/>
    <w:rsid w:val="61895909"/>
    <w:rsid w:val="61B94A27"/>
    <w:rsid w:val="61F5665D"/>
    <w:rsid w:val="62016C74"/>
    <w:rsid w:val="6204324A"/>
    <w:rsid w:val="623739EF"/>
    <w:rsid w:val="623C31ED"/>
    <w:rsid w:val="62865B5C"/>
    <w:rsid w:val="62C10F53"/>
    <w:rsid w:val="62F92E8C"/>
    <w:rsid w:val="62FE04A2"/>
    <w:rsid w:val="63053881"/>
    <w:rsid w:val="63C156E5"/>
    <w:rsid w:val="63E74D4D"/>
    <w:rsid w:val="63FB01D5"/>
    <w:rsid w:val="640209CD"/>
    <w:rsid w:val="64234664"/>
    <w:rsid w:val="647153D0"/>
    <w:rsid w:val="64735B49"/>
    <w:rsid w:val="64747A8A"/>
    <w:rsid w:val="64923598"/>
    <w:rsid w:val="649E7723"/>
    <w:rsid w:val="64A5210F"/>
    <w:rsid w:val="65364F6A"/>
    <w:rsid w:val="658D79C4"/>
    <w:rsid w:val="660B715E"/>
    <w:rsid w:val="66304E17"/>
    <w:rsid w:val="664B39FF"/>
    <w:rsid w:val="66B772E6"/>
    <w:rsid w:val="66CA24B2"/>
    <w:rsid w:val="66E13E6B"/>
    <w:rsid w:val="67577A52"/>
    <w:rsid w:val="676F7BC1"/>
    <w:rsid w:val="67851192"/>
    <w:rsid w:val="67A47F2F"/>
    <w:rsid w:val="67A96A9E"/>
    <w:rsid w:val="67AF479A"/>
    <w:rsid w:val="67C003E2"/>
    <w:rsid w:val="67C717AB"/>
    <w:rsid w:val="67F87268"/>
    <w:rsid w:val="6838144E"/>
    <w:rsid w:val="683B64F9"/>
    <w:rsid w:val="6848469A"/>
    <w:rsid w:val="684B0C2A"/>
    <w:rsid w:val="68531405"/>
    <w:rsid w:val="68790CF7"/>
    <w:rsid w:val="687C100B"/>
    <w:rsid w:val="689254AB"/>
    <w:rsid w:val="68A336B9"/>
    <w:rsid w:val="68AA7398"/>
    <w:rsid w:val="69272054"/>
    <w:rsid w:val="69283F28"/>
    <w:rsid w:val="692D388F"/>
    <w:rsid w:val="6942248C"/>
    <w:rsid w:val="6966319B"/>
    <w:rsid w:val="696D69A7"/>
    <w:rsid w:val="698C5584"/>
    <w:rsid w:val="69BF1AAA"/>
    <w:rsid w:val="69CE0BCF"/>
    <w:rsid w:val="69D92156"/>
    <w:rsid w:val="6A6D2E0E"/>
    <w:rsid w:val="6A8F4802"/>
    <w:rsid w:val="6A946AB8"/>
    <w:rsid w:val="6AAB2B20"/>
    <w:rsid w:val="6AB4102B"/>
    <w:rsid w:val="6ACA1723"/>
    <w:rsid w:val="6ACF541B"/>
    <w:rsid w:val="6AD62431"/>
    <w:rsid w:val="6B200D16"/>
    <w:rsid w:val="6B2519DB"/>
    <w:rsid w:val="6B3E3371"/>
    <w:rsid w:val="6B524E15"/>
    <w:rsid w:val="6B640ADF"/>
    <w:rsid w:val="6BA3608B"/>
    <w:rsid w:val="6BB63E9E"/>
    <w:rsid w:val="6BFE053D"/>
    <w:rsid w:val="6C1A459F"/>
    <w:rsid w:val="6C3F1E8F"/>
    <w:rsid w:val="6C4B5DA8"/>
    <w:rsid w:val="6C6E4D0A"/>
    <w:rsid w:val="6C88354C"/>
    <w:rsid w:val="6C8F3CA7"/>
    <w:rsid w:val="6C9500C9"/>
    <w:rsid w:val="6C9E3A9C"/>
    <w:rsid w:val="6CA93935"/>
    <w:rsid w:val="6CB63947"/>
    <w:rsid w:val="6CB85659"/>
    <w:rsid w:val="6CD419AC"/>
    <w:rsid w:val="6D0D4104"/>
    <w:rsid w:val="6D371181"/>
    <w:rsid w:val="6D3C3B0C"/>
    <w:rsid w:val="6D595D89"/>
    <w:rsid w:val="6D64140D"/>
    <w:rsid w:val="6D773C65"/>
    <w:rsid w:val="6D8A5754"/>
    <w:rsid w:val="6E061F60"/>
    <w:rsid w:val="6E0F3802"/>
    <w:rsid w:val="6E143CAC"/>
    <w:rsid w:val="6E3614EB"/>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E97BA5"/>
    <w:rsid w:val="6FF10430"/>
    <w:rsid w:val="70311EB7"/>
    <w:rsid w:val="70625D85"/>
    <w:rsid w:val="70853504"/>
    <w:rsid w:val="70C11743"/>
    <w:rsid w:val="70F0185C"/>
    <w:rsid w:val="70F5635D"/>
    <w:rsid w:val="7113780F"/>
    <w:rsid w:val="718906DB"/>
    <w:rsid w:val="71A62D95"/>
    <w:rsid w:val="71C16818"/>
    <w:rsid w:val="71C64881"/>
    <w:rsid w:val="71E909FE"/>
    <w:rsid w:val="71F15DA2"/>
    <w:rsid w:val="722E4900"/>
    <w:rsid w:val="723D30E3"/>
    <w:rsid w:val="724953A1"/>
    <w:rsid w:val="725162FB"/>
    <w:rsid w:val="725F05A5"/>
    <w:rsid w:val="72640321"/>
    <w:rsid w:val="728D4703"/>
    <w:rsid w:val="72A53E47"/>
    <w:rsid w:val="72AC71C6"/>
    <w:rsid w:val="72C85A38"/>
    <w:rsid w:val="73016E15"/>
    <w:rsid w:val="731A6C33"/>
    <w:rsid w:val="734D6933"/>
    <w:rsid w:val="735250B0"/>
    <w:rsid w:val="735A5AEC"/>
    <w:rsid w:val="735C0E17"/>
    <w:rsid w:val="73660117"/>
    <w:rsid w:val="737C2A4C"/>
    <w:rsid w:val="73990F3E"/>
    <w:rsid w:val="739D114F"/>
    <w:rsid w:val="73B15F3E"/>
    <w:rsid w:val="73BD5740"/>
    <w:rsid w:val="73CE3DC7"/>
    <w:rsid w:val="73FA5E3F"/>
    <w:rsid w:val="740B06A5"/>
    <w:rsid w:val="74212243"/>
    <w:rsid w:val="742C597A"/>
    <w:rsid w:val="7459167A"/>
    <w:rsid w:val="74675EA7"/>
    <w:rsid w:val="746C3D16"/>
    <w:rsid w:val="74940C67"/>
    <w:rsid w:val="74A13052"/>
    <w:rsid w:val="74AD7F42"/>
    <w:rsid w:val="74D774D1"/>
    <w:rsid w:val="74EE1B48"/>
    <w:rsid w:val="74F17E67"/>
    <w:rsid w:val="750F1851"/>
    <w:rsid w:val="752915E7"/>
    <w:rsid w:val="75296EFD"/>
    <w:rsid w:val="753E0157"/>
    <w:rsid w:val="756643B1"/>
    <w:rsid w:val="75B710B1"/>
    <w:rsid w:val="75D85012"/>
    <w:rsid w:val="76114C7B"/>
    <w:rsid w:val="767E1BCE"/>
    <w:rsid w:val="76830F93"/>
    <w:rsid w:val="76986298"/>
    <w:rsid w:val="76AA10B0"/>
    <w:rsid w:val="76E13FE0"/>
    <w:rsid w:val="7761385B"/>
    <w:rsid w:val="77BA41C7"/>
    <w:rsid w:val="77D706B7"/>
    <w:rsid w:val="77F26C6D"/>
    <w:rsid w:val="77F97408"/>
    <w:rsid w:val="78654DF4"/>
    <w:rsid w:val="787E7481"/>
    <w:rsid w:val="78BC6FC0"/>
    <w:rsid w:val="78C338C8"/>
    <w:rsid w:val="7964353D"/>
    <w:rsid w:val="7967623A"/>
    <w:rsid w:val="79A01DE7"/>
    <w:rsid w:val="79A12D07"/>
    <w:rsid w:val="79A378BF"/>
    <w:rsid w:val="79BE0C60"/>
    <w:rsid w:val="79D82893"/>
    <w:rsid w:val="7A5C1F07"/>
    <w:rsid w:val="7A6B3551"/>
    <w:rsid w:val="7AD73FF6"/>
    <w:rsid w:val="7AEE30CB"/>
    <w:rsid w:val="7AF64429"/>
    <w:rsid w:val="7B006494"/>
    <w:rsid w:val="7B1C36F3"/>
    <w:rsid w:val="7B6A2721"/>
    <w:rsid w:val="7BC506FF"/>
    <w:rsid w:val="7BE6740B"/>
    <w:rsid w:val="7C06069C"/>
    <w:rsid w:val="7C140C39"/>
    <w:rsid w:val="7C167908"/>
    <w:rsid w:val="7C513A51"/>
    <w:rsid w:val="7C5432CE"/>
    <w:rsid w:val="7CCD4D16"/>
    <w:rsid w:val="7D173AAB"/>
    <w:rsid w:val="7D256667"/>
    <w:rsid w:val="7D677171"/>
    <w:rsid w:val="7D9D1678"/>
    <w:rsid w:val="7DBF65C4"/>
    <w:rsid w:val="7E490D14"/>
    <w:rsid w:val="7E5A6A7D"/>
    <w:rsid w:val="7E8F05A6"/>
    <w:rsid w:val="7EAB1087"/>
    <w:rsid w:val="7ED625A7"/>
    <w:rsid w:val="7EDA3278"/>
    <w:rsid w:val="7EEB3B79"/>
    <w:rsid w:val="7EED5DB3"/>
    <w:rsid w:val="7F1301C5"/>
    <w:rsid w:val="7F2F5A5E"/>
    <w:rsid w:val="7F330B17"/>
    <w:rsid w:val="7F4F1B59"/>
    <w:rsid w:val="7F726F86"/>
    <w:rsid w:val="7F97D7F2"/>
    <w:rsid w:val="7F9D1317"/>
    <w:rsid w:val="7FAB12E6"/>
    <w:rsid w:val="7FD34C20"/>
    <w:rsid w:val="7FD60385"/>
    <w:rsid w:val="7FD665D7"/>
    <w:rsid w:val="7FEC5B1A"/>
    <w:rsid w:val="7FED45B7"/>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2">
    <w:name w:val="heading 4"/>
    <w:basedOn w:val="1"/>
    <w:next w:val="3"/>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link w:val="60"/>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8"/>
    <w:qFormat/>
    <w:uiPriority w:val="0"/>
    <w:pPr>
      <w:shd w:val="clear" w:color="auto" w:fill="000080"/>
    </w:pPr>
  </w:style>
  <w:style w:type="paragraph" w:styleId="16">
    <w:name w:val="annotation text"/>
    <w:basedOn w:val="1"/>
    <w:link w:val="69"/>
    <w:qFormat/>
    <w:uiPriority w:val="0"/>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link w:val="71"/>
    <w:qFormat/>
    <w:uiPriority w:val="0"/>
    <w:pPr>
      <w:tabs>
        <w:tab w:val="left" w:pos="567"/>
      </w:tabs>
      <w:spacing w:before="120" w:line="22" w:lineRule="atLeast"/>
    </w:pPr>
    <w:rPr>
      <w:rFonts w:ascii="宋体" w:hAnsi="宋体"/>
      <w:sz w:val="24"/>
    </w:rPr>
  </w:style>
  <w:style w:type="paragraph" w:styleId="19">
    <w:name w:val="Body Text Indent"/>
    <w:basedOn w:val="1"/>
    <w:next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3"/>
    <w:link w:val="7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4"/>
    <w:qFormat/>
    <w:uiPriority w:val="0"/>
    <w:pPr>
      <w:ind w:left="100" w:leftChars="2500"/>
    </w:pPr>
    <w:rPr>
      <w:rFonts w:ascii="仿宋_GB2312" w:hAnsi="宋体" w:eastAsia="仿宋_GB2312"/>
      <w:color w:val="000000"/>
      <w:sz w:val="24"/>
    </w:rPr>
  </w:style>
  <w:style w:type="paragraph" w:styleId="27">
    <w:name w:val="Body Text Indent 2"/>
    <w:basedOn w:val="1"/>
    <w:link w:val="75"/>
    <w:qFormat/>
    <w:uiPriority w:val="0"/>
    <w:pPr>
      <w:ind w:firstLine="480" w:firstLineChars="200"/>
    </w:pPr>
    <w:rPr>
      <w:rFonts w:ascii="仿宋_GB2312" w:eastAsia="仿宋_GB2312"/>
      <w:sz w:val="24"/>
    </w:rPr>
  </w:style>
  <w:style w:type="paragraph" w:styleId="28">
    <w:name w:val="Balloon Text"/>
    <w:basedOn w:val="1"/>
    <w:link w:val="76"/>
    <w:qFormat/>
    <w:uiPriority w:val="0"/>
    <w:rPr>
      <w:sz w:val="18"/>
      <w:szCs w:val="18"/>
    </w:rPr>
  </w:style>
  <w:style w:type="paragraph" w:styleId="29">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1"/>
    <w:qFormat/>
    <w:uiPriority w:val="0"/>
    <w:pPr>
      <w:jc w:val="center"/>
      <w:outlineLvl w:val="0"/>
    </w:pPr>
    <w:rPr>
      <w:b/>
      <w:sz w:val="32"/>
      <w:szCs w:val="20"/>
    </w:rPr>
  </w:style>
  <w:style w:type="paragraph" w:styleId="44">
    <w:name w:val="annotation subject"/>
    <w:basedOn w:val="16"/>
    <w:next w:val="16"/>
    <w:link w:val="82"/>
    <w:qFormat/>
    <w:uiPriority w:val="0"/>
    <w:rPr>
      <w:b/>
      <w:bCs/>
    </w:rPr>
  </w:style>
  <w:style w:type="paragraph" w:styleId="45">
    <w:name w:val="Body Text First Indent 2"/>
    <w:basedOn w:val="1"/>
    <w:next w:val="1"/>
    <w:link w:val="84"/>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basedOn w:val="49"/>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4"/>
    <w:qFormat/>
    <w:uiPriority w:val="0"/>
    <w:rPr>
      <w:rFonts w:ascii="宋体"/>
      <w:b/>
      <w:kern w:val="44"/>
      <w:sz w:val="32"/>
    </w:rPr>
  </w:style>
  <w:style w:type="character" w:customStyle="1" w:styleId="59">
    <w:name w:val="标题 2 字符"/>
    <w:link w:val="5"/>
    <w:qFormat/>
    <w:uiPriority w:val="0"/>
    <w:rPr>
      <w:rFonts w:ascii="Arial" w:hAnsi="Arial" w:eastAsia="黑体"/>
      <w:b/>
      <w:sz w:val="30"/>
      <w:lang w:val="en-US" w:eastAsia="zh-CN" w:bidi="ar-SA"/>
    </w:rPr>
  </w:style>
  <w:style w:type="character" w:customStyle="1" w:styleId="60">
    <w:name w:val="正文缩进 字符"/>
    <w:link w:val="3"/>
    <w:qFormat/>
    <w:uiPriority w:val="0"/>
    <w:rPr>
      <w:rFonts w:ascii="宋体" w:eastAsia="宋体"/>
      <w:kern w:val="2"/>
      <w:sz w:val="24"/>
      <w:szCs w:val="24"/>
      <w:lang w:val="en-US" w:eastAsia="zh-CN" w:bidi="ar-SA"/>
    </w:rPr>
  </w:style>
  <w:style w:type="character" w:customStyle="1" w:styleId="61">
    <w:name w:val="标题 3 字符"/>
    <w:link w:val="6"/>
    <w:qFormat/>
    <w:uiPriority w:val="0"/>
    <w:rPr>
      <w:rFonts w:ascii="宋体" w:eastAsia="宋体"/>
      <w:b/>
      <w:sz w:val="24"/>
      <w:u w:val="single"/>
      <w:lang w:val="en-US" w:eastAsia="zh-CN" w:bidi="ar-SA"/>
    </w:rPr>
  </w:style>
  <w:style w:type="character" w:customStyle="1" w:styleId="62">
    <w:name w:val="标题 4 字符"/>
    <w:link w:val="2"/>
    <w:qFormat/>
    <w:uiPriority w:val="0"/>
    <w:rPr>
      <w:rFonts w:ascii="Arial" w:hAnsi="Arial" w:eastAsia="黑体"/>
      <w:b/>
      <w:sz w:val="28"/>
    </w:rPr>
  </w:style>
  <w:style w:type="character" w:customStyle="1" w:styleId="63">
    <w:name w:val="标题 5 字符"/>
    <w:link w:val="7"/>
    <w:qFormat/>
    <w:uiPriority w:val="0"/>
    <w:rPr>
      <w:b/>
      <w:sz w:val="28"/>
    </w:rPr>
  </w:style>
  <w:style w:type="character" w:customStyle="1" w:styleId="64">
    <w:name w:val="标题 6 字符"/>
    <w:link w:val="8"/>
    <w:qFormat/>
    <w:uiPriority w:val="0"/>
    <w:rPr>
      <w:rFonts w:ascii="Arial" w:hAnsi="Arial" w:eastAsia="黑体"/>
      <w:b/>
      <w:sz w:val="24"/>
    </w:rPr>
  </w:style>
  <w:style w:type="character" w:customStyle="1" w:styleId="65">
    <w:name w:val="标题 7 字符"/>
    <w:link w:val="9"/>
    <w:qFormat/>
    <w:uiPriority w:val="0"/>
    <w:rPr>
      <w:b/>
      <w:sz w:val="24"/>
    </w:rPr>
  </w:style>
  <w:style w:type="character" w:customStyle="1" w:styleId="66">
    <w:name w:val="标题 8 字符"/>
    <w:link w:val="10"/>
    <w:qFormat/>
    <w:uiPriority w:val="0"/>
    <w:rPr>
      <w:rFonts w:ascii="Arial" w:hAnsi="Arial" w:eastAsia="黑体"/>
      <w:sz w:val="24"/>
    </w:rPr>
  </w:style>
  <w:style w:type="character" w:customStyle="1" w:styleId="67">
    <w:name w:val="标题 9 字符"/>
    <w:link w:val="11"/>
    <w:qFormat/>
    <w:uiPriority w:val="0"/>
    <w:rPr>
      <w:rFonts w:ascii="Arial" w:hAnsi="Arial" w:eastAsia="黑体"/>
      <w:sz w:val="21"/>
    </w:rPr>
  </w:style>
  <w:style w:type="character" w:customStyle="1" w:styleId="68">
    <w:name w:val="文档结构图 字符"/>
    <w:link w:val="15"/>
    <w:qFormat/>
    <w:uiPriority w:val="0"/>
    <w:rPr>
      <w:kern w:val="2"/>
      <w:sz w:val="21"/>
      <w:szCs w:val="24"/>
      <w:shd w:val="clear" w:color="auto" w:fill="000080"/>
    </w:rPr>
  </w:style>
  <w:style w:type="character" w:customStyle="1" w:styleId="69">
    <w:name w:val="批注文字 字符1"/>
    <w:link w:val="16"/>
    <w:qFormat/>
    <w:uiPriority w:val="99"/>
    <w:rPr>
      <w:kern w:val="2"/>
      <w:sz w:val="21"/>
      <w:szCs w:val="24"/>
    </w:rPr>
  </w:style>
  <w:style w:type="character" w:customStyle="1" w:styleId="70">
    <w:name w:val="正文文本 3 字符"/>
    <w:link w:val="17"/>
    <w:qFormat/>
    <w:uiPriority w:val="0"/>
    <w:rPr>
      <w:kern w:val="2"/>
      <w:sz w:val="16"/>
      <w:szCs w:val="16"/>
    </w:rPr>
  </w:style>
  <w:style w:type="character" w:customStyle="1" w:styleId="71">
    <w:name w:val="正文文本 字符"/>
    <w:link w:val="18"/>
    <w:qFormat/>
    <w:uiPriority w:val="0"/>
    <w:rPr>
      <w:rFonts w:ascii="宋体" w:hAnsi="宋体"/>
      <w:kern w:val="2"/>
      <w:sz w:val="24"/>
      <w:szCs w:val="24"/>
    </w:rPr>
  </w:style>
  <w:style w:type="character" w:customStyle="1" w:styleId="72">
    <w:name w:val="正文文本缩进 字符"/>
    <w:link w:val="19"/>
    <w:qFormat/>
    <w:uiPriority w:val="0"/>
    <w:rPr>
      <w:rFonts w:eastAsia="宋体"/>
      <w:kern w:val="2"/>
      <w:sz w:val="24"/>
      <w:szCs w:val="24"/>
      <w:lang w:val="en-US" w:eastAsia="zh-CN" w:bidi="ar-SA"/>
    </w:rPr>
  </w:style>
  <w:style w:type="character" w:customStyle="1" w:styleId="73">
    <w:name w:val="纯文本 字符2"/>
    <w:link w:val="24"/>
    <w:qFormat/>
    <w:uiPriority w:val="0"/>
    <w:rPr>
      <w:rFonts w:hint="eastAsia" w:ascii="宋体" w:hAnsi="Courier New" w:eastAsia="宋体" w:cs="宋体"/>
      <w:kern w:val="2"/>
      <w:sz w:val="21"/>
    </w:rPr>
  </w:style>
  <w:style w:type="character" w:customStyle="1" w:styleId="74">
    <w:name w:val="日期 字符"/>
    <w:link w:val="26"/>
    <w:qFormat/>
    <w:uiPriority w:val="0"/>
    <w:rPr>
      <w:rFonts w:ascii="仿宋_GB2312" w:hAnsi="宋体" w:eastAsia="仿宋_GB2312"/>
      <w:color w:val="000000"/>
      <w:kern w:val="2"/>
      <w:sz w:val="24"/>
      <w:szCs w:val="24"/>
    </w:rPr>
  </w:style>
  <w:style w:type="character" w:customStyle="1" w:styleId="75">
    <w:name w:val="正文文本缩进 2 字符"/>
    <w:link w:val="27"/>
    <w:qFormat/>
    <w:uiPriority w:val="0"/>
    <w:rPr>
      <w:rFonts w:ascii="仿宋_GB2312" w:eastAsia="仿宋_GB2312"/>
      <w:kern w:val="2"/>
      <w:sz w:val="24"/>
      <w:szCs w:val="24"/>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rFonts w:ascii="宋体" w:eastAsia="宋体"/>
      <w:sz w:val="18"/>
      <w:lang w:val="en-US" w:eastAsia="zh-CN" w:bidi="ar-SA"/>
    </w:rPr>
  </w:style>
  <w:style w:type="character" w:customStyle="1" w:styleId="78">
    <w:name w:val="页眉 字符"/>
    <w:link w:val="31"/>
    <w:qFormat/>
    <w:uiPriority w:val="0"/>
    <w:rPr>
      <w:rFonts w:eastAsia="宋体"/>
      <w:kern w:val="2"/>
      <w:sz w:val="18"/>
      <w:szCs w:val="18"/>
      <w:lang w:val="en-US" w:eastAsia="zh-CN" w:bidi="ar-SA"/>
    </w:rPr>
  </w:style>
  <w:style w:type="character" w:customStyle="1" w:styleId="79">
    <w:name w:val="正文文本缩进 3 字符"/>
    <w:link w:val="37"/>
    <w:qFormat/>
    <w:uiPriority w:val="0"/>
    <w:rPr>
      <w:rFonts w:ascii="宋体"/>
      <w:sz w:val="24"/>
    </w:rPr>
  </w:style>
  <w:style w:type="character" w:customStyle="1" w:styleId="80">
    <w:name w:val="HTML 预设格式 字符"/>
    <w:link w:val="40"/>
    <w:qFormat/>
    <w:uiPriority w:val="0"/>
    <w:rPr>
      <w:rFonts w:ascii="宋体" w:hAnsi="宋体" w:cs="宋体"/>
      <w:sz w:val="24"/>
      <w:szCs w:val="24"/>
    </w:rPr>
  </w:style>
  <w:style w:type="character" w:customStyle="1" w:styleId="81">
    <w:name w:val="标题 字符"/>
    <w:link w:val="43"/>
    <w:qFormat/>
    <w:uiPriority w:val="0"/>
    <w:rPr>
      <w:b/>
      <w:kern w:val="2"/>
      <w:sz w:val="32"/>
    </w:rPr>
  </w:style>
  <w:style w:type="character" w:customStyle="1" w:styleId="82">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45"/>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3"/>
    <w:link w:val="97"/>
    <w:qFormat/>
    <w:uiPriority w:val="0"/>
    <w:pPr>
      <w:jc w:val="center"/>
    </w:pPr>
    <w:rPr>
      <w:i w:val="0"/>
      <w:color w:val="000000"/>
      <w:sz w:val="28"/>
      <w:szCs w:val="21"/>
    </w:rPr>
  </w:style>
  <w:style w:type="paragraph" w:customStyle="1" w:styleId="99">
    <w:name w:val="正文小标题"/>
    <w:basedOn w:val="1"/>
    <w:next w:val="3"/>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5"/>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4"/>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5"/>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2"/>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 w:type="paragraph" w:customStyle="1" w:styleId="266">
    <w:name w:val="p0"/>
    <w:basedOn w:val="1"/>
    <w:qFormat/>
    <w:uiPriority w:val="0"/>
    <w:pPr>
      <w:widowControl/>
    </w:pPr>
    <w:rPr>
      <w:kern w:val="0"/>
      <w:szCs w:val="24"/>
    </w:rPr>
  </w:style>
  <w:style w:type="character" w:customStyle="1" w:styleId="267">
    <w:name w:val="font51"/>
    <w:basedOn w:val="49"/>
    <w:qFormat/>
    <w:uiPriority w:val="0"/>
    <w:rPr>
      <w:rFonts w:ascii="黑体" w:hAnsi="宋体" w:eastAsia="黑体" w:cs="黑体"/>
      <w:color w:val="000000"/>
      <w:sz w:val="16"/>
      <w:szCs w:val="16"/>
      <w:u w:val="none"/>
    </w:rPr>
  </w:style>
  <w:style w:type="paragraph" w:customStyle="1" w:styleId="268">
    <w:name w:val="msolistparagraph"/>
    <w:basedOn w:val="1"/>
    <w:qFormat/>
    <w:uiPriority w:val="0"/>
    <w:pPr>
      <w:ind w:firstLine="420" w:firstLineChars="200"/>
    </w:pPr>
    <w:rPr>
      <w:rFonts w:hint="eastAsia" w:ascii="等线" w:hAnsi="等线" w:eastAsia="等线" w:cs="Times New Roman"/>
      <w:szCs w:val="22"/>
    </w:rPr>
  </w:style>
  <w:style w:type="character" w:customStyle="1" w:styleId="269">
    <w:name w:val="font31"/>
    <w:basedOn w:val="4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17409</Words>
  <Characters>18096</Characters>
  <Lines>238</Lines>
  <Paragraphs>67</Paragraphs>
  <TotalTime>0</TotalTime>
  <ScaleCrop>false</ScaleCrop>
  <LinksUpToDate>false</LinksUpToDate>
  <CharactersWithSpaces>18359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c:creator>
  <cp:lastModifiedBy>圆圆</cp:lastModifiedBy>
  <cp:lastPrinted>2026-03-09T07:00:00Z</cp:lastPrinted>
  <dcterms:modified xsi:type="dcterms:W3CDTF">2026-07-30T01:55:10Z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5C91F6F7A3AD4C398B66E96A6AE86B87_13</vt:lpwstr>
  </property>
  <property fmtid="{D5CDD505-2E9C-101B-9397-08002B2CF9AE}" pid="4" name="KSOTemplateDocerSaveRecord">
    <vt:lpwstr>eyJoZGlkIjoiZDI2OTIxZjNiZjQyM2RhZGE1NjdmY2MxYTljZDAzODciLCJ1c2VySWQiOiIyMzc3NDY1ODEifQ==</vt:lpwstr>
  </property>
</Properties>
</file>