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r>
      <w:r/>
    </w:p>
    <w:p>
      <w:pPr>
        <w:jc w:val="center"/>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 xml:space="preserve">招 标 文 件</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ind w:left="-38" w:firstLine="36"/>
        <w:jc w:val="lef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rPr>
        <w:t xml:space="preserve">项目编号：</w:t>
      </w:r>
      <w:r>
        <w:rPr>
          <w:rFonts w:hint="eastAsia" w:ascii="宋体" w:hAnsi="宋体" w:cs="宋体"/>
          <w:b/>
          <w:color w:val="auto"/>
          <w:sz w:val="40"/>
          <w:szCs w:val="40"/>
          <w:highlight w:val="none"/>
          <w:lang w:eastAsia="zh-CN"/>
        </w:rPr>
        <w:t xml:space="preserve">JSZC-320581-HXGW-G2026-0030</w:t>
      </w:r>
      <w:r/>
    </w:p>
    <w:p>
      <w:pPr>
        <w:ind w:left="-38" w:firstLine="36"/>
        <w:jc w:val="left"/>
        <w:spacing w:line="360" w:lineRule="auto"/>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rPr>
        <w:t xml:space="preserve">项目名称：</w:t>
      </w:r>
      <w:r>
        <w:rPr>
          <w:rFonts w:hint="eastAsia" w:ascii="宋体" w:hAnsi="宋体" w:eastAsia="宋体" w:cs="宋体"/>
          <w:b/>
          <w:color w:val="auto"/>
          <w:sz w:val="40"/>
          <w:szCs w:val="40"/>
          <w:highlight w:val="none"/>
          <w:lang w:eastAsia="zh-CN"/>
        </w:rPr>
        <w:t xml:space="preserve">高新区2026-2028年限值限量监测站点运维服务</w:t>
      </w:r>
      <w:r/>
    </w:p>
    <w:p>
      <w:pPr>
        <w:ind w:left="-38" w:firstLine="36"/>
        <w:jc w:val="left"/>
        <w:spacing w:line="360" w:lineRule="auto"/>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项目属性：服务类项目</w:t>
      </w:r>
      <w:r/>
    </w:p>
    <w:p>
      <w:pPr>
        <w:ind w:left="-38" w:firstLine="36"/>
        <w:jc w:val="left"/>
        <w:spacing w:line="360" w:lineRule="auto"/>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rPr>
        <w:t xml:space="preserve">标的所属行业：</w:t>
      </w:r>
      <w:r>
        <w:rPr>
          <w:rFonts w:hint="eastAsia" w:ascii="宋体" w:hAnsi="宋体" w:eastAsia="宋体" w:cs="宋体"/>
          <w:b/>
          <w:color w:val="auto"/>
          <w:sz w:val="40"/>
          <w:szCs w:val="40"/>
          <w:highlight w:val="none"/>
          <w:lang w:eastAsia="zh-CN"/>
        </w:rPr>
        <w:t xml:space="preserve">其他未列明行业</w:t>
      </w:r>
      <w:r/>
    </w:p>
    <w:p>
      <w:pPr>
        <w:ind w:hanging="199"/>
        <w:jc w:val="left"/>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360" w:lineRule="auto"/>
        <w:rPr>
          <w:rFonts w:hint="eastAsia" w:ascii="宋体" w:hAnsi="宋体" w:eastAsia="宋体" w:cs="宋体"/>
          <w:b/>
          <w:color w:val="auto"/>
          <w:sz w:val="44"/>
          <w:szCs w:val="44"/>
          <w:highlight w:val="none"/>
          <w:u w:val="single"/>
        </w:rPr>
      </w:pPr>
      <w:r>
        <w:rPr>
          <w:rFonts w:hint="eastAsia" w:ascii="宋体" w:hAnsi="宋体" w:eastAsia="宋体" w:cs="宋体"/>
          <w:b/>
          <w:color w:val="auto"/>
          <w:sz w:val="44"/>
          <w:szCs w:val="44"/>
          <w:highlight w:val="none"/>
          <w:u w:val="singl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360" w:lineRule="auto"/>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t xml:space="preserve">涵熙（苏州）工程顾问有限公司</w:t>
      </w:r>
      <w:r/>
    </w:p>
    <w:p>
      <w:pPr>
        <w:jc w:val="center"/>
        <w:rPr>
          <w:rFonts w:hint="eastAsia" w:ascii="宋体" w:hAnsi="宋体" w:eastAsia="宋体" w:cs="宋体"/>
          <w:b/>
          <w:color w:val="auto"/>
          <w:sz w:val="44"/>
          <w:szCs w:val="44"/>
          <w:highlight w:val="none"/>
        </w:rPr>
        <w:sectPr>
          <w:headerReference w:type="default" r:id="rId9"/>
          <w:headerReference w:type="even" r:id="rId10"/>
          <w:headerReference w:type="first" r:id="rId11"/>
          <w:footerReference w:type="default" r:id="rId12"/>
          <w:footerReference w:type="even" r:id="rId13"/>
          <w:footnotePr/>
          <w:endnotePr/>
          <w:type w:val="nextPage"/>
          <w:pgSz w:w="11907" w:h="16840" w:orient="portrait"/>
          <w:pgMar w:top="1134" w:right="242" w:bottom="1418" w:left="1365" w:header="567" w:footer="794" w:gutter="0"/>
          <w:pgNumType w:start="0"/>
          <w:cols w:num="1" w:sep="0" w:space="720" w:equalWidth="1"/>
          <w:docGrid w:linePitch="360"/>
          <w:titlePg/>
        </w:sectPr>
      </w:pPr>
      <w:r>
        <w:rPr>
          <w:rFonts w:hint="eastAsia" w:ascii="宋体" w:hAnsi="宋体" w:eastAsia="宋体" w:cs="宋体"/>
          <w:b/>
          <w:color w:val="auto"/>
          <w:sz w:val="44"/>
          <w:szCs w:val="44"/>
          <w:highlight w:val="none"/>
          <w:lang w:eastAsia="zh-CN"/>
        </w:rPr>
        <w:t xml:space="preserve">2026</w:t>
      </w:r>
      <w:r>
        <w:rPr>
          <w:rFonts w:hint="eastAsia" w:ascii="宋体" w:hAnsi="宋体" w:eastAsia="宋体" w:cs="宋体"/>
          <w:b/>
          <w:color w:val="auto"/>
          <w:sz w:val="44"/>
          <w:szCs w:val="44"/>
          <w:highlight w:val="none"/>
        </w:rPr>
        <w:t xml:space="preserve">年</w:t>
      </w:r>
      <w:r>
        <w:rPr>
          <w:rFonts w:hint="eastAsia" w:ascii="宋体" w:hAnsi="宋体" w:cs="宋体"/>
          <w:b/>
          <w:color w:val="auto"/>
          <w:sz w:val="44"/>
          <w:szCs w:val="44"/>
          <w:highlight w:val="none"/>
          <w:lang w:val="en-US" w:eastAsia="zh-CN"/>
        </w:rPr>
        <w:t xml:space="preserve">07</w:t>
      </w:r>
      <w:r>
        <w:rPr>
          <w:rFonts w:hint="eastAsia" w:ascii="宋体" w:hAnsi="宋体" w:eastAsia="宋体" w:cs="宋体"/>
          <w:b/>
          <w:color w:val="auto"/>
          <w:sz w:val="44"/>
          <w:szCs w:val="44"/>
          <w:highlight w:val="none"/>
        </w:rPr>
        <w:t xml:space="preserve">月</w:t>
      </w:r>
      <w:r>
        <w:rPr>
          <w:rFonts w:hint="eastAsia" w:ascii="宋体" w:hAnsi="宋体" w:cs="宋体"/>
          <w:b/>
          <w:color w:val="auto"/>
          <w:sz w:val="44"/>
          <w:szCs w:val="44"/>
          <w:highlight w:val="none"/>
          <w:lang w:val="en-US" w:eastAsia="zh-CN"/>
        </w:rPr>
        <w:t xml:space="preserve">29</w:t>
      </w:r>
      <w:r>
        <w:rPr>
          <w:rFonts w:hint="eastAsia" w:ascii="宋体" w:hAnsi="宋体" w:eastAsia="宋体" w:cs="宋体"/>
          <w:b/>
          <w:color w:val="auto"/>
          <w:sz w:val="44"/>
          <w:szCs w:val="44"/>
          <w:highlight w:val="none"/>
        </w:rPr>
        <w:t xml:space="preserve">日</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目录</w:t>
      </w:r>
      <w:bookmarkStart w:id="0" w:name="_Toc158691765"/>
      <w:r/>
      <w:r/>
    </w:p>
    <w:p>
      <w:pPr>
        <w:pStyle w:val="93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_Toc817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第一章 投标邀请</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_Toc817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r/>
    </w:p>
    <w:p>
      <w:pPr>
        <w:pStyle w:val="93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_Toc28453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第二章 投标人须知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_Toc28453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27"/>
        <w:tabs>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_Toc28239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一、总则</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_Toc28239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27"/>
        <w:tabs>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_Toc30324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二、招标文件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_Toc30324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27"/>
        <w:tabs>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_Toc8455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三、投标文件的编制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_Toc8455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27"/>
        <w:tabs>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_Toc7284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四、投标文件的递交</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_Toc7284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6</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27"/>
        <w:tabs>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_Toc11307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五、开标与评审</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_Toc11307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7</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27"/>
        <w:tabs>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_Toc23743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六、定标</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_Toc23743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11</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27"/>
        <w:tabs>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_Toc15053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七、授予合同</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_Toc15053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12</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3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_Toc25715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第三章 合同文本</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_Toc25715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14</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3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_Toc8836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第四章 采购需求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_Toc8836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22</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3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_Toc25591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第五章 评审方法与评审标准</w:t>
      </w:r>
      <w:bookmarkStart w:id="333" w:name="_GoBack"/>
      <w:r/>
      <w:bookmarkEnd w:id="333"/>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_Toc25591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27</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3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_Toc26268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第六章 投标文件格式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_Toc26268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33</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_Toc7136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附件1 开标一览表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_Toc7136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35</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_Toc19945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2报价明细</w:t>
      </w:r>
      <w:r>
        <w:rPr>
          <w:rFonts w:hint="eastAsia" w:ascii="宋体" w:hAnsi="宋体" w:eastAsia="宋体" w:cs="宋体"/>
          <w:highlight w:val="none"/>
        </w:rPr>
        <w:t xml:space="preserve">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_Toc19945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36</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_Toc26112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具备履行合同所必需的设备和专业技术能力的书面声明</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_Toc26112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37</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_Toc26649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 参加政府采购活动前3年内在经营活动中没有重大违法记录的书面声明</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_Toc26649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38</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_Toc17377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 法人授权书</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_Toc17377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39</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_Toc1724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 投标函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_Toc1724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40</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_Toc1604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 xml:space="preserve">附件</w:t>
      </w:r>
      <w:r>
        <w:rPr>
          <w:rFonts w:hint="eastAsia" w:ascii="宋体" w:hAnsi="宋体" w:eastAsia="宋体" w:cs="宋体"/>
          <w:bCs/>
          <w:szCs w:val="28"/>
          <w:highlight w:val="none"/>
          <w:lang w:val="en-US" w:eastAsia="zh-CN"/>
        </w:rPr>
        <w:t xml:space="preserve">7</w:t>
      </w:r>
      <w:r>
        <w:rPr>
          <w:rFonts w:hint="eastAsia" w:ascii="宋体" w:hAnsi="宋体" w:eastAsia="宋体" w:cs="宋体"/>
          <w:bCs/>
          <w:szCs w:val="28"/>
          <w:highlight w:val="none"/>
        </w:rPr>
        <w:t xml:space="preserve"> 中小企业声明函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_Toc1604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41</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_Toc3925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 xml:space="preserve">附件</w:t>
      </w:r>
      <w:r>
        <w:rPr>
          <w:rFonts w:hint="eastAsia" w:ascii="宋体" w:hAnsi="宋体" w:eastAsia="宋体" w:cs="宋体"/>
          <w:bCs/>
          <w:szCs w:val="28"/>
          <w:highlight w:val="none"/>
          <w:lang w:val="en-US" w:eastAsia="zh-CN"/>
        </w:rPr>
        <w:t xml:space="preserve">8</w:t>
      </w:r>
      <w:r>
        <w:rPr>
          <w:rFonts w:hint="eastAsia" w:ascii="宋体" w:hAnsi="宋体" w:eastAsia="宋体" w:cs="宋体"/>
          <w:bCs/>
          <w:szCs w:val="28"/>
          <w:highlight w:val="none"/>
        </w:rPr>
        <w:t xml:space="preserve"> 残疾人福利性单位声明函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_Toc3925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42</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_Toc32083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项目</w:t>
      </w:r>
      <w:r>
        <w:rPr>
          <w:rFonts w:hint="eastAsia" w:ascii="宋体" w:hAnsi="宋体" w:eastAsia="宋体" w:cs="宋体"/>
          <w:highlight w:val="none"/>
        </w:rPr>
        <w:t xml:space="preserve">服务要求响应及偏离表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_Toc32083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43</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_Toc30518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 项目实施方案</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_Toc30518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44</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_Toc24488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附件1</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 项目组人员一览表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_Toc24488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45</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_Toc32498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附件1</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 业绩一览表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_Toc32498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46</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_Toc18015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附件1</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 商务条件响应及偏离表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_Toc18015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47</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_Toc12971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附件1</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供应商与其他单位存在直接控股、管理关系情况表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_Toc12971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48</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_Toc20160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 xml:space="preserve">附件1</w:t>
      </w:r>
      <w:r>
        <w:rPr>
          <w:rFonts w:hint="eastAsia" w:ascii="宋体" w:hAnsi="宋体" w:eastAsia="宋体" w:cs="宋体"/>
          <w:bCs/>
          <w:szCs w:val="28"/>
          <w:highlight w:val="none"/>
          <w:lang w:val="en-US" w:eastAsia="zh-CN"/>
        </w:rPr>
        <w:t xml:space="preserve">5 </w:t>
      </w:r>
      <w:r>
        <w:rPr>
          <w:rFonts w:hint="eastAsia" w:ascii="宋体" w:hAnsi="宋体" w:eastAsia="宋体" w:cs="宋体"/>
          <w:bCs/>
          <w:szCs w:val="28"/>
          <w:highlight w:val="none"/>
        </w:rPr>
        <w:t xml:space="preserve">关于符合本国产品标准的声明函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_Toc20160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49</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_Toc7560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lang w:val="en-US" w:eastAsia="zh-CN"/>
        </w:rPr>
        <w:t xml:space="preserve">附件16 质疑函范本</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_Toc7560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50</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900"/>
        <w:rPr>
          <w:rFonts w:hint="eastAsia" w:ascii="宋体" w:hAnsi="宋体" w:eastAsia="宋体" w:cs="宋体"/>
          <w:color w:val="auto"/>
          <w:szCs w:val="36"/>
          <w:highlight w:val="none"/>
        </w:rPr>
        <w:sectPr>
          <w:footerReference w:type="default" r:id="rId14"/>
          <w:footerReference w:type="first" r:id="rId15"/>
          <w:footnotePr/>
          <w:endnotePr/>
          <w:type w:val="nextPage"/>
          <w:pgSz w:w="11907" w:h="16840" w:orient="portrait"/>
          <w:pgMar w:top="1134" w:right="882" w:bottom="1134" w:left="1365" w:header="567" w:footer="794" w:gutter="0"/>
          <w:cols w:num="1" w:sep="0" w:space="720" w:equalWidth="1"/>
          <w:docGrid w:linePitch="360"/>
          <w:titlePg/>
        </w:sectPr>
      </w:pPr>
      <w:r>
        <w:rPr>
          <w:rFonts w:hint="eastAsia" w:ascii="宋体" w:hAnsi="宋体" w:eastAsia="宋体" w:cs="宋体"/>
          <w:color w:val="auto"/>
          <w:szCs w:val="36"/>
          <w:highlight w:val="none"/>
        </w:rPr>
        <w:fldChar w:fldCharType="end"/>
      </w:r>
      <w:bookmarkStart w:id="1" w:name="_Toc315868049"/>
      <w:r/>
      <w:bookmarkStart w:id="2" w:name="_Toc315875312"/>
      <w:r/>
      <w:r/>
    </w:p>
    <w:p>
      <w:pPr>
        <w:pStyle w:val="900"/>
        <w:rPr>
          <w:rFonts w:hint="eastAsia" w:ascii="宋体" w:hAnsi="宋体" w:eastAsia="宋体" w:cs="宋体"/>
          <w:color w:val="auto"/>
          <w:highlight w:val="none"/>
        </w:rPr>
      </w:pPr>
      <w:r/>
      <w:bookmarkStart w:id="3" w:name="_Toc817"/>
      <w:r>
        <w:rPr>
          <w:rFonts w:hint="eastAsia" w:ascii="宋体" w:hAnsi="宋体" w:eastAsia="宋体" w:cs="宋体"/>
          <w:color w:val="auto"/>
          <w:highlight w:val="none"/>
        </w:rPr>
        <w:t xml:space="preserve">第一章 投标邀请</w:t>
      </w:r>
      <w:bookmarkEnd w:id="0"/>
      <w:r/>
      <w:bookmarkEnd w:id="1"/>
      <w:r/>
      <w:bookmarkEnd w:id="2"/>
      <w:r/>
      <w:bookmarkEnd w:id="3"/>
      <w:r/>
      <w:r/>
    </w:p>
    <w:tbl>
      <w:tblPr>
        <w:tblStyle w:val="9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76"/>
      </w:tblGrid>
      <w:tr>
        <w:trPr>
          <w:trHeight w:val="1414"/>
        </w:trPr>
        <w:tc>
          <w:tcPr>
            <w:tcW w:w="9876" w:type="dxa"/>
            <w:textDirection w:val="lrTb"/>
            <w:noWrap w:val="false"/>
          </w:tcPr>
          <w:p>
            <w:pPr>
              <w:jc w:val="left"/>
              <w:spacing w:line="440" w:lineRule="exact"/>
              <w:rPr>
                <w:rFonts w:hint="eastAsia" w:ascii="宋体" w:hAnsi="宋体" w:eastAsia="宋体" w:cs="宋体"/>
                <w:color w:val="auto"/>
                <w:sz w:val="24"/>
                <w:szCs w:val="24"/>
                <w:highlight w:val="none"/>
              </w:rPr>
            </w:pPr>
            <w:r/>
            <w:bookmarkStart w:id="4" w:name="OLE_LINK1"/>
            <w:r>
              <w:rPr>
                <w:rFonts w:hint="eastAsia" w:ascii="宋体" w:hAnsi="宋体" w:eastAsia="宋体" w:cs="宋体"/>
                <w:color w:val="auto"/>
                <w:sz w:val="24"/>
                <w:szCs w:val="24"/>
                <w:highlight w:val="none"/>
              </w:rPr>
              <w:t xml:space="preserve">项目概况：</w:t>
            </w:r>
            <w:r/>
          </w:p>
          <w:p>
            <w:pPr>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高新区2026-2028年限值限量监测站点运维服务</w:t>
            </w:r>
            <w:r>
              <w:rPr>
                <w:rFonts w:hint="eastAsia" w:ascii="宋体" w:hAnsi="宋体" w:eastAsia="宋体" w:cs="宋体"/>
                <w:color w:val="auto"/>
                <w:sz w:val="24"/>
                <w:szCs w:val="24"/>
                <w:highlight w:val="none"/>
              </w:rPr>
              <w:t xml:space="preserve">项目的潜在供应商应在“苏采云政府采购一体化平台”中参与项目获取招标文件，并于</w:t>
            </w:r>
            <w:r>
              <w:rPr>
                <w:rFonts w:hint="eastAsia" w:ascii="宋体" w:hAnsi="宋体" w:eastAsia="宋体" w:cs="宋体"/>
                <w:color w:val="auto"/>
                <w:sz w:val="24"/>
                <w:szCs w:val="24"/>
                <w:highlight w:val="none"/>
                <w:u w:val="single"/>
                <w:lang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08</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点00分</w:t>
            </w:r>
            <w:r>
              <w:rPr>
                <w:rFonts w:hint="eastAsia" w:ascii="宋体" w:hAnsi="宋体" w:eastAsia="宋体" w:cs="宋体"/>
                <w:color w:val="auto"/>
                <w:sz w:val="24"/>
                <w:szCs w:val="24"/>
                <w:highlight w:val="none"/>
              </w:rPr>
              <w:t xml:space="preserve">（北京时间）前按规定提交投标文件。</w:t>
            </w:r>
            <w:r/>
          </w:p>
        </w:tc>
      </w:tr>
    </w:tbl>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JSZC-320581-HXGW-G2026-0030</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高新区2026-2028年限值限量监测站点运维服务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240.0000万</w:t>
      </w:r>
      <w:r>
        <w:rPr>
          <w:rFonts w:hint="eastAsia" w:ascii="宋体" w:hAnsi="宋体" w:eastAsia="宋体" w:cs="宋体"/>
          <w:color w:val="auto"/>
          <w:sz w:val="24"/>
          <w:szCs w:val="24"/>
          <w:highlight w:val="none"/>
        </w:rPr>
        <w:t xml:space="preserve">元</w:t>
      </w:r>
      <w:r/>
    </w:p>
    <w:p>
      <w:pPr>
        <w:ind w:firstLine="480"/>
        <w:spacing w:line="440" w:lineRule="exact"/>
        <w:rPr>
          <w:rFonts w:hint="eastAsia" w:ascii="宋体" w:hAnsi="宋体" w:eastAsia="宋体" w:cs="宋体"/>
          <w:color w:val="auto"/>
          <w:sz w:val="24"/>
          <w:szCs w:val="24"/>
          <w:highlight w:val="none"/>
        </w:rPr>
      </w:pPr>
      <w:r/>
      <w:bookmarkStart w:id="5" w:name="_Toc28359080"/>
      <w:r/>
      <w:bookmarkStart w:id="6" w:name="_Toc28359003"/>
      <w:r/>
      <w:bookmarkStart w:id="7" w:name="_Toc35393622"/>
      <w:r/>
      <w:bookmarkStart w:id="8" w:name="_Toc35393791"/>
      <w:r>
        <w:rPr>
          <w:rFonts w:hint="eastAsia" w:ascii="宋体" w:hAnsi="宋体" w:eastAsia="宋体" w:cs="宋体"/>
          <w:color w:val="auto"/>
          <w:sz w:val="24"/>
          <w:szCs w:val="24"/>
          <w:highlight w:val="none"/>
        </w:rPr>
        <w:t xml:space="preserve">采购需求：本项目采购内容为</w:t>
      </w:r>
      <w:r>
        <w:rPr>
          <w:rFonts w:hint="eastAsia" w:ascii="宋体" w:hAnsi="宋体" w:eastAsia="宋体" w:cs="宋体"/>
          <w:color w:val="auto"/>
          <w:sz w:val="24"/>
          <w:szCs w:val="24"/>
          <w:highlight w:val="none"/>
          <w:lang w:eastAsia="zh-CN"/>
        </w:rPr>
        <w:t xml:space="preserve">常熟高新技术产业开发区管理委员会</w:t>
      </w:r>
      <w:r>
        <w:rPr>
          <w:rFonts w:hint="eastAsia" w:ascii="宋体" w:hAnsi="宋体" w:eastAsia="宋体" w:cs="宋体"/>
          <w:color w:val="auto"/>
          <w:sz w:val="24"/>
          <w:szCs w:val="24"/>
          <w:highlight w:val="none"/>
        </w:rPr>
        <w:t xml:space="preserve">所需的</w:t>
      </w:r>
      <w:r>
        <w:rPr>
          <w:rFonts w:hint="eastAsia" w:ascii="宋体" w:hAnsi="宋体" w:eastAsia="宋体" w:cs="宋体"/>
          <w:color w:val="auto"/>
          <w:sz w:val="24"/>
          <w:szCs w:val="24"/>
          <w:highlight w:val="none"/>
          <w:lang w:eastAsia="zh-CN"/>
        </w:rPr>
        <w:t xml:space="preserve">高新区2026-2028年限值限量监测站点运维服务</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自合同签订之日起</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w:t>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bookmarkEnd w:id="5"/>
      <w:r/>
      <w:bookmarkEnd w:id="6"/>
      <w:r/>
      <w:bookmarkEnd w:id="7"/>
      <w:r/>
      <w:bookmarkEnd w:id="8"/>
      <w:r/>
      <w:r/>
    </w:p>
    <w:p>
      <w:pPr>
        <w:ind w:firstLine="480"/>
        <w:spacing w:line="440" w:lineRule="exact"/>
        <w:rPr>
          <w:rFonts w:hint="eastAsia" w:ascii="宋体" w:hAnsi="宋体" w:eastAsia="宋体" w:cs="宋体"/>
          <w:color w:val="auto"/>
          <w:sz w:val="24"/>
          <w:szCs w:val="24"/>
          <w:highlight w:val="none"/>
        </w:rPr>
      </w:pPr>
      <w:r/>
      <w:bookmarkStart w:id="9" w:name="_Toc28359085"/>
      <w:r/>
      <w:bookmarkStart w:id="10" w:name="_Toc28359008"/>
      <w:r/>
      <w:bookmarkStart w:id="11" w:name="_Toc35393627"/>
      <w:r/>
      <w:bookmarkStart w:id="12" w:name="_Toc35393796"/>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满足《中华人民共和国政府采购法》第二十二条规定；</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参加采购活动前三年内，在经营活动中没有重大违法记录。</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法律、行政法规规定的其他条件。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落实政府采购政策需满足的资格要求：</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本项目专门面向中小企业采购，所属行业为</w:t>
      </w:r>
      <w:r>
        <w:rPr>
          <w:rFonts w:hint="eastAsia" w:ascii="宋体" w:hAnsi="宋体" w:eastAsia="宋体" w:cs="宋体"/>
          <w:b/>
          <w:bCs/>
          <w:color w:val="auto"/>
          <w:sz w:val="24"/>
          <w:szCs w:val="24"/>
          <w:highlight w:val="none"/>
          <w:lang w:eastAsia="zh-CN"/>
        </w:rPr>
        <w:t xml:space="preserve">其他未列明行业</w:t>
      </w:r>
      <w:r>
        <w:rPr>
          <w:rFonts w:hint="eastAsia" w:ascii="宋体" w:hAnsi="宋体" w:eastAsia="宋体" w:cs="宋体"/>
          <w:b/>
          <w:bCs/>
          <w:color w:val="auto"/>
          <w:sz w:val="24"/>
          <w:szCs w:val="24"/>
          <w:highlight w:val="none"/>
        </w:rPr>
        <w:t xml:space="preserve">，投标时须提供《中小企业声明函》。</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注：对残疾人福利性单位、监狱企业视同小型、微型企业，但须按要求提供有关声明函或证明文件。</w:t>
      </w:r>
      <w:r/>
    </w:p>
    <w:p>
      <w:pPr>
        <w:numPr>
          <w:ilvl w:val="0"/>
          <w:numId w:val="0"/>
        </w:num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本项</w:t>
      </w:r>
      <w:r>
        <w:rPr>
          <w:rFonts w:hint="eastAsia" w:ascii="宋体" w:hAnsi="宋体" w:eastAsia="宋体" w:cs="宋体"/>
          <w:color w:val="auto"/>
          <w:sz w:val="24"/>
          <w:szCs w:val="24"/>
          <w:highlight w:val="none"/>
          <w:lang w:val="en-US" w:eastAsia="zh-CN"/>
        </w:rPr>
        <w:t xml:space="preserve">目的特定资格要求：无。</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方式：在“苏采云政府采购一体化平台”自行免费下载招标文件。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与采购活动：供应商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投标准备：供应商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售价：免费。</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点00分（北京时间）</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本项目采用不见面开标，供应商登录“苏采云”系统在平台首页点击“开标大厅”，进入江苏省政府采购一体化不见面开标（采购）大厅，选择对应项目，并按系统提示完成开标流程。</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开标地点：苏采云系统网上开标大厅</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bookmarkEnd w:id="4"/>
      <w:r/>
      <w:bookmarkEnd w:id="9"/>
      <w:r/>
      <w:bookmarkEnd w:id="10"/>
      <w:r/>
      <w:bookmarkEnd w:id="11"/>
      <w:r/>
      <w:bookmarkEnd w:id="12"/>
      <w:r>
        <w:rPr>
          <w:rFonts w:hint="eastAsia" w:ascii="宋体" w:hAnsi="宋体" w:eastAsia="宋体" w:cs="宋体"/>
          <w:b/>
          <w:color w:val="auto"/>
          <w:sz w:val="24"/>
          <w:szCs w:val="24"/>
          <w:highlight w:val="none"/>
        </w:rPr>
        <w:t xml:space="preserve">公告期限：</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2、供应商在“苏采云”系统操作过程中如有疑问，请按以下方式联系：</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CA技术咨询电话：400-608-6099；电子签章技术咨询电话:15380932027、13675197356、025-83633811、025-83633812；系统使用指导与咨询电话：18261002950、13914088964、0519-86722802；智能客服：登录苏采云系统后，联系系统右下方智能客服图标进行咨询。</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3、有关本次采购的事项若存在变动或修改，敬请及时关注“苏州市政府采购网”发布的更正公告</w:t>
      </w:r>
      <w:bookmarkStart w:id="13" w:name="_Hlk87882297"/>
      <w:r>
        <w:rPr>
          <w:rFonts w:hint="eastAsia" w:ascii="宋体" w:hAnsi="宋体" w:eastAsia="宋体" w:cs="宋体"/>
          <w:color w:val="auto"/>
          <w:sz w:val="24"/>
          <w:szCs w:val="32"/>
          <w:highlight w:val="none"/>
        </w:rPr>
        <w:t xml:space="preserve">，并按规定获取相关信息内容。</w:t>
      </w:r>
      <w:bookmarkEnd w:id="13"/>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4、本次采购项目有关时间要求均以北京时间为标准，使用24小时制。</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5、公告媒体：</w:t>
      </w:r>
      <w:r>
        <w:rPr>
          <w:rFonts w:hint="eastAsia" w:ascii="宋体" w:hAnsi="宋体" w:eastAsia="宋体" w:cs="宋体"/>
          <w:color w:val="auto"/>
          <w:sz w:val="24"/>
          <w:highlight w:val="none"/>
        </w:rPr>
        <w:t xml:space="preserve">苏州市政府采购网、江苏政府采购网</w:t>
      </w:r>
      <w:r>
        <w:rPr>
          <w:rFonts w:hint="eastAsia" w:ascii="宋体" w:hAnsi="宋体" w:eastAsia="宋体" w:cs="宋体"/>
          <w:color w:val="auto"/>
          <w:sz w:val="24"/>
          <w:szCs w:val="32"/>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rPr>
        <w:t xml:space="preserve">6、</w:t>
      </w:r>
      <w:r>
        <w:rPr>
          <w:rFonts w:hint="eastAsia" w:ascii="宋体" w:hAnsi="宋体" w:eastAsia="宋体" w:cs="宋体"/>
          <w:color w:val="auto"/>
          <w:sz w:val="24"/>
          <w:szCs w:val="24"/>
          <w:highlight w:val="none"/>
        </w:rPr>
        <w:t xml:space="preserve">其他要求：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rPr>
        <w:t xml:space="preserve">（2）单位负责人为同一人或者存在直接控股、管理关系的不同投标人，不得参加同一合同项下的政府采购活动。</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七、凡对本次采购提出询问，请按以下方式联系。</w:t>
      </w:r>
      <w:r/>
    </w:p>
    <w:p>
      <w:pPr>
        <w:ind w:firstLine="480"/>
        <w:spacing w:line="440" w:lineRule="exact"/>
        <w:rPr>
          <w:rFonts w:hint="eastAsia" w:ascii="宋体" w:hAnsi="宋体" w:eastAsia="宋体" w:cs="宋体"/>
          <w:color w:val="auto"/>
          <w:sz w:val="24"/>
          <w:szCs w:val="32"/>
          <w:highlight w:val="none"/>
        </w:rPr>
      </w:pPr>
      <w:r/>
      <w:bookmarkStart w:id="14" w:name="_Toc158691766"/>
      <w:r/>
      <w:bookmarkStart w:id="15" w:name="_Toc315875313"/>
      <w:r/>
      <w:bookmarkStart w:id="16" w:name="_Toc315868050"/>
      <w:r>
        <w:rPr>
          <w:rFonts w:hint="eastAsia" w:ascii="宋体" w:hAnsi="宋体" w:eastAsia="宋体" w:cs="宋体"/>
          <w:color w:val="auto"/>
          <w:sz w:val="24"/>
          <w:szCs w:val="32"/>
          <w:highlight w:val="none"/>
        </w:rPr>
        <w:t xml:space="preserve">1、采购人信息</w:t>
      </w:r>
      <w:r/>
    </w:p>
    <w:p>
      <w:pPr>
        <w:ind w:firstLine="480"/>
        <w:spacing w:line="440" w:lineRule="exact"/>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单位名称：</w:t>
      </w:r>
      <w:r>
        <w:rPr>
          <w:rFonts w:hint="eastAsia" w:ascii="宋体" w:hAnsi="宋体" w:eastAsia="宋体" w:cs="宋体"/>
          <w:color w:val="auto"/>
          <w:sz w:val="24"/>
          <w:szCs w:val="32"/>
          <w:highlight w:val="none"/>
          <w:lang w:eastAsia="zh-CN"/>
        </w:rPr>
        <w:t xml:space="preserve">常熟高新技术产业开发区管理委员会</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单位地址：常熟市东南大道288号</w:t>
      </w:r>
      <w:r/>
    </w:p>
    <w:p>
      <w:pPr>
        <w:ind w:firstLine="480"/>
        <w:spacing w:line="44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联系人：</w:t>
      </w:r>
      <w:r>
        <w:rPr>
          <w:rFonts w:hint="eastAsia" w:ascii="宋体" w:hAnsi="宋体" w:eastAsia="宋体" w:cs="宋体"/>
          <w:color w:val="auto"/>
          <w:sz w:val="24"/>
          <w:szCs w:val="32"/>
          <w:highlight w:val="none"/>
          <w:lang w:val="en-US" w:eastAsia="zh-CN"/>
        </w:rPr>
        <w:t xml:space="preserve">王非</w:t>
      </w:r>
      <w:r/>
    </w:p>
    <w:p>
      <w:pPr>
        <w:ind w:firstLine="480"/>
        <w:spacing w:line="44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联系方式：</w:t>
      </w:r>
      <w:bookmarkStart w:id="17" w:name="_Toc28359009"/>
      <w:r/>
      <w:bookmarkStart w:id="18" w:name="_Toc28359086"/>
      <w:r>
        <w:rPr>
          <w:rFonts w:hint="eastAsia" w:ascii="宋体" w:hAnsi="宋体" w:eastAsia="宋体" w:cs="宋体"/>
          <w:color w:val="auto"/>
          <w:sz w:val="24"/>
          <w:szCs w:val="32"/>
          <w:highlight w:val="none"/>
        </w:rPr>
        <w:t xml:space="preserve">0512-5297</w:t>
      </w:r>
      <w:r>
        <w:rPr>
          <w:rFonts w:hint="eastAsia" w:ascii="宋体" w:hAnsi="宋体" w:eastAsia="宋体" w:cs="宋体"/>
          <w:color w:val="auto"/>
          <w:sz w:val="24"/>
          <w:szCs w:val="32"/>
          <w:highlight w:val="none"/>
          <w:lang w:val="en-US" w:eastAsia="zh-CN"/>
        </w:rPr>
        <w:t xml:space="preserve">9932</w:t>
      </w:r>
      <w:bookmarkEnd w:id="17"/>
      <w:bookmarkEnd w:id="18"/>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2、采购代理机构信息</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单位名称：涵熙（苏州）工程顾问有限公司</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单位地址：常熟市山茶花路10号</w:t>
      </w:r>
      <w:r/>
    </w:p>
    <w:p>
      <w:pPr>
        <w:ind w:firstLine="480"/>
        <w:spacing w:line="44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联系人：王蔼玲</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杜毓蓉</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联系方式：0512-52952666</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3、项目联系方式</w:t>
      </w:r>
      <w:r/>
    </w:p>
    <w:p>
      <w:pPr>
        <w:ind w:firstLine="480"/>
        <w:spacing w:line="44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项目联系人：王蔼玲</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杜毓蓉</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电话：0512-52952666</w:t>
      </w:r>
      <w:r/>
    </w:p>
    <w:p>
      <w:pPr>
        <w:ind w:firstLine="5400"/>
        <w:jc w:val="righ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00"/>
        <w:rPr>
          <w:rFonts w:hint="eastAsia" w:ascii="宋体" w:hAnsi="宋体" w:eastAsia="宋体" w:cs="宋体"/>
          <w:color w:val="auto"/>
          <w:highlight w:val="none"/>
        </w:rPr>
      </w:pPr>
      <w:r/>
      <w:bookmarkStart w:id="19" w:name="_Toc28453"/>
      <w:r>
        <w:rPr>
          <w:rFonts w:hint="eastAsia" w:ascii="宋体" w:hAnsi="宋体" w:eastAsia="宋体" w:cs="宋体"/>
          <w:color w:val="auto"/>
          <w:highlight w:val="none"/>
        </w:rPr>
        <w:t xml:space="preserve">第二章 投标人须知</w:t>
      </w:r>
      <w:bookmarkEnd w:id="14"/>
      <w:r/>
      <w:bookmarkEnd w:id="15"/>
      <w:r/>
      <w:bookmarkEnd w:id="16"/>
      <w:r/>
      <w:bookmarkEnd w:id="19"/>
      <w:r/>
      <w:r/>
    </w:p>
    <w:p>
      <w:pPr>
        <w:keepLines/>
        <w:keepNext/>
        <w:spacing w:before="152" w:after="152" w:line="440" w:lineRule="exact"/>
        <w:rPr>
          <w:rFonts w:hint="eastAsia" w:ascii="宋体" w:hAnsi="宋体" w:eastAsia="宋体" w:cs="宋体"/>
          <w:b/>
          <w:bCs/>
          <w:color w:val="auto"/>
          <w:sz w:val="32"/>
          <w:szCs w:val="32"/>
          <w:highlight w:val="none"/>
        </w:rPr>
        <w:outlineLvl w:val="2"/>
      </w:pPr>
      <w:r/>
      <w:bookmarkStart w:id="20" w:name="_Toc14411"/>
      <w:r/>
      <w:bookmarkStart w:id="21" w:name="_Toc28239"/>
      <w:r/>
      <w:bookmarkStart w:id="22" w:name="_Toc13772"/>
      <w:r/>
      <w:bookmarkStart w:id="23" w:name="_Toc19236"/>
      <w:r/>
      <w:bookmarkStart w:id="24" w:name="_Toc4302"/>
      <w:r/>
      <w:bookmarkStart w:id="25" w:name="_Toc26983"/>
      <w:r/>
      <w:bookmarkStart w:id="26" w:name="_Toc25166"/>
      <w:r/>
      <w:bookmarkStart w:id="27" w:name="_Toc11952"/>
      <w:r/>
      <w:bookmarkStart w:id="28" w:name="_Toc21213"/>
      <w:r/>
      <w:bookmarkStart w:id="29" w:name="_Toc22217"/>
      <w:r/>
      <w:bookmarkStart w:id="30" w:name="_Toc1525"/>
      <w:r>
        <w:rPr>
          <w:rFonts w:hint="eastAsia" w:ascii="宋体" w:hAnsi="宋体" w:eastAsia="宋体" w:cs="宋体"/>
          <w:b/>
          <w:bCs/>
          <w:color w:val="auto"/>
          <w:sz w:val="32"/>
          <w:szCs w:val="32"/>
          <w:highlight w:val="none"/>
        </w:rPr>
        <w:t xml:space="preserve">一、总则</w:t>
      </w:r>
      <w:bookmarkEnd w:id="20"/>
      <w:r/>
      <w:bookmarkEnd w:id="21"/>
      <w:r/>
      <w:bookmarkEnd w:id="22"/>
      <w:r/>
      <w:bookmarkEnd w:id="23"/>
      <w:r/>
      <w:bookmarkEnd w:id="24"/>
      <w:r/>
      <w:bookmarkEnd w:id="25"/>
      <w:r/>
      <w:bookmarkEnd w:id="26"/>
      <w:r/>
      <w:bookmarkEnd w:id="27"/>
      <w:r/>
      <w:bookmarkEnd w:id="28"/>
      <w:r/>
      <w:bookmarkEnd w:id="29"/>
      <w:r/>
      <w:bookmarkEnd w:id="30"/>
      <w:r/>
      <w:r/>
    </w:p>
    <w:p>
      <w:pPr>
        <w:ind w:firstLine="138"/>
        <w:keepLines/>
        <w:keepNex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8"/>
          <w:szCs w:val="28"/>
          <w:highlight w:val="none"/>
        </w:rPr>
        <w:t xml:space="preserve">1、采购方式及适用法律</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本次政府采购活动采取公开招标方式，本招标文件仅适用于招标公告中所述项目。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1.2本次招标及由此产生的合同受中华人民共和国有关的法律法规制约和保护。</w:t>
      </w:r>
      <w:r/>
    </w:p>
    <w:p>
      <w:pPr>
        <w:ind w:firstLine="138"/>
        <w:keepLines/>
        <w:keepNex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8"/>
          <w:szCs w:val="28"/>
          <w:highlight w:val="none"/>
        </w:rPr>
        <w:t xml:space="preserve">2、定义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2.1“采购人”系指购买本项目货物并接受相关服务的国家机关、事业单位、团体组织。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2.2“采购代理机构”系指依法接受采购人委托，从事货物和服务等政府采购业务的采购代理机构（以下简称“代理机构”）。本项目采购代理机构为</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4"/>
          <w:highlight w:val="none"/>
        </w:rPr>
        <w:t xml:space="preserve">”系指响应招标、参加投标竞争的供应商。</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3、合格的投标人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满足招标公告中供应商的资格要求的规定，详见《第一章 投标邀请》中投标人资格要求。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满足本文件实质性要求和条件的规定。</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4、投标费用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4.1无论投标过程中的做法和结果如何，投标人应自行承担所有与准备和参加投标有关的全部费用。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4.2本次招标采购代理机构和采购人不收取标书工本费。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4.3本项目采购代理服务费由</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人支付，</w:t>
      </w:r>
      <w:r>
        <w:rPr>
          <w:rFonts w:hint="eastAsia" w:ascii="宋体" w:hAnsi="宋体" w:eastAsia="宋体" w:cs="宋体"/>
          <w:color w:val="auto"/>
          <w:sz w:val="24"/>
          <w:szCs w:val="24"/>
          <w:highlight w:val="none"/>
          <w:lang w:val="en-US" w:eastAsia="zh-CN"/>
        </w:rPr>
        <w:t xml:space="preserve">自中标通知书发出之日起30个工作日内支付款项</w:t>
      </w:r>
      <w:r>
        <w:rPr>
          <w:rFonts w:hint="eastAsia" w:ascii="宋体" w:hAnsi="宋体" w:eastAsia="宋体" w:cs="宋体"/>
          <w:color w:val="auto"/>
          <w:sz w:val="24"/>
          <w:szCs w:val="24"/>
          <w:highlight w:val="none"/>
        </w:rPr>
        <w:t xml:space="preserve">。代理</w:t>
      </w:r>
      <w:r>
        <w:rPr>
          <w:rFonts w:hint="eastAsia" w:ascii="宋体" w:hAnsi="宋体" w:eastAsia="宋体" w:cs="宋体"/>
          <w:color w:val="auto"/>
          <w:sz w:val="24"/>
          <w:szCs w:val="24"/>
          <w:highlight w:val="none"/>
          <w:lang w:val="en-US" w:eastAsia="zh-CN"/>
        </w:rPr>
        <w:t xml:space="preserve">服务费</w:t>
      </w:r>
      <w:r>
        <w:rPr>
          <w:rFonts w:hint="eastAsia" w:ascii="宋体" w:hAnsi="宋体" w:eastAsia="宋体" w:cs="宋体"/>
          <w:color w:val="auto"/>
          <w:sz w:val="24"/>
          <w:szCs w:val="24"/>
          <w:highlight w:val="none"/>
        </w:rPr>
        <w:t xml:space="preserve">收取方式及标准如下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按照1980号文收费标准*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0.00%取整计取。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预算金额100万元以下部分按该部分预算金额的</w:t>
      </w:r>
      <w:r>
        <w:rPr>
          <w:rFonts w:hint="eastAsia" w:ascii="宋体" w:hAnsi="宋体" w:eastAsia="宋体" w:cs="宋体"/>
          <w:color w:val="auto"/>
          <w:sz w:val="24"/>
          <w:szCs w:val="24"/>
          <w:highlight w:val="none"/>
          <w:lang w:val="en-US" w:eastAsia="zh-CN"/>
        </w:rPr>
        <w:t xml:space="preserve">0.3</w:t>
      </w:r>
      <w:r>
        <w:rPr>
          <w:rFonts w:hint="eastAsia" w:ascii="宋体" w:hAnsi="宋体" w:eastAsia="宋体" w:cs="宋体"/>
          <w:color w:val="auto"/>
          <w:sz w:val="24"/>
          <w:szCs w:val="24"/>
          <w:highlight w:val="none"/>
        </w:rPr>
        <w:t xml:space="preserve">%计算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预算金额100(含)~500万元部分按该部分预算金额的</w:t>
      </w:r>
      <w:r>
        <w:rPr>
          <w:rFonts w:hint="eastAsia" w:ascii="宋体" w:hAnsi="宋体" w:eastAsia="宋体" w:cs="宋体"/>
          <w:color w:val="auto"/>
          <w:sz w:val="24"/>
          <w:szCs w:val="24"/>
          <w:highlight w:val="none"/>
          <w:lang w:val="en-US" w:eastAsia="zh-CN"/>
        </w:rPr>
        <w:t xml:space="preserve">0.16</w:t>
      </w:r>
      <w:r>
        <w:rPr>
          <w:rFonts w:hint="eastAsia" w:ascii="宋体" w:hAnsi="宋体" w:eastAsia="宋体" w:cs="宋体"/>
          <w:color w:val="auto"/>
          <w:sz w:val="24"/>
          <w:szCs w:val="24"/>
          <w:highlight w:val="none"/>
        </w:rPr>
        <w:t xml:space="preserve">%计算。收费按差额定率累进法计算。</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本项目重新招标增收代理服务费人民币壹仟元整(¥1000.00)。</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本项目中标服务费共计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val="en-US" w:eastAsia="zh-CN"/>
        </w:rPr>
        <w:t xml:space="preserve">伍仟贰佰肆拾</w:t>
      </w:r>
      <w:r>
        <w:rPr>
          <w:rFonts w:hint="eastAsia" w:ascii="宋体" w:hAnsi="宋体" w:eastAsia="宋体" w:cs="宋体"/>
          <w:color w:val="auto"/>
          <w:sz w:val="24"/>
          <w:szCs w:val="24"/>
          <w:highlight w:val="none"/>
        </w:rPr>
        <w:t xml:space="preserve">元整(¥</w:t>
      </w:r>
      <w:r>
        <w:rPr>
          <w:rFonts w:hint="eastAsia" w:ascii="宋体" w:hAnsi="宋体" w:eastAsia="宋体" w:cs="宋体"/>
          <w:color w:val="auto"/>
          <w:sz w:val="24"/>
          <w:szCs w:val="24"/>
          <w:highlight w:val="none"/>
          <w:lang w:val="en-US" w:eastAsia="zh-CN"/>
        </w:rPr>
        <w:t xml:space="preserve">5240</w:t>
      </w:r>
      <w:r>
        <w:rPr>
          <w:rFonts w:hint="eastAsia" w:ascii="宋体" w:hAnsi="宋体" w:eastAsia="宋体" w:cs="宋体"/>
          <w:color w:val="auto"/>
          <w:sz w:val="24"/>
          <w:szCs w:val="24"/>
          <w:highlight w:val="none"/>
        </w:rPr>
        <w:t xml:space="preserve">.00)。</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5、招标文件的约束力</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keepLines/>
        <w:keepNext/>
        <w:spacing w:before="152" w:after="152" w:line="440" w:lineRule="exact"/>
        <w:rPr>
          <w:rFonts w:hint="eastAsia" w:ascii="宋体" w:hAnsi="宋体" w:eastAsia="宋体" w:cs="宋体"/>
          <w:b/>
          <w:bCs/>
          <w:color w:val="auto"/>
          <w:sz w:val="32"/>
          <w:szCs w:val="32"/>
          <w:highlight w:val="none"/>
        </w:rPr>
        <w:outlineLvl w:val="2"/>
      </w:pPr>
      <w:r/>
      <w:bookmarkStart w:id="31" w:name="_Toc3850"/>
      <w:r/>
      <w:bookmarkStart w:id="32" w:name="_Toc5354"/>
      <w:r/>
      <w:bookmarkStart w:id="33" w:name="_Toc11533"/>
      <w:r/>
      <w:bookmarkStart w:id="34" w:name="_Toc15419"/>
      <w:r/>
      <w:bookmarkStart w:id="35" w:name="_Toc5867"/>
      <w:r/>
      <w:bookmarkStart w:id="36" w:name="_Toc24886"/>
      <w:r/>
      <w:bookmarkStart w:id="37" w:name="_Toc30324"/>
      <w:r/>
      <w:bookmarkStart w:id="38" w:name="_Toc2267"/>
      <w:r/>
      <w:bookmarkStart w:id="39" w:name="_Toc20302"/>
      <w:r/>
      <w:bookmarkStart w:id="40" w:name="_Toc13416"/>
      <w:r/>
      <w:bookmarkStart w:id="41" w:name="_Toc10408"/>
      <w:r>
        <w:rPr>
          <w:rFonts w:hint="eastAsia" w:ascii="宋体" w:hAnsi="宋体" w:eastAsia="宋体" w:cs="宋体"/>
          <w:b/>
          <w:bCs/>
          <w:color w:val="auto"/>
          <w:sz w:val="32"/>
          <w:szCs w:val="32"/>
          <w:highlight w:val="none"/>
        </w:rPr>
        <w:t xml:space="preserve">二、</w:t>
      </w:r>
      <w:bookmarkEnd w:id="31"/>
      <w:r/>
      <w:bookmarkEnd w:id="32"/>
      <w:r/>
      <w:bookmarkEnd w:id="33"/>
      <w:r/>
      <w:bookmarkEnd w:id="34"/>
      <w:r/>
      <w:bookmarkEnd w:id="35"/>
      <w:r/>
      <w:bookmarkEnd w:id="36"/>
      <w:r>
        <w:rPr>
          <w:rFonts w:hint="eastAsia" w:ascii="宋体" w:hAnsi="宋体" w:eastAsia="宋体" w:cs="宋体"/>
          <w:b/>
          <w:bCs/>
          <w:color w:val="auto"/>
          <w:sz w:val="32"/>
          <w:szCs w:val="32"/>
          <w:highlight w:val="none"/>
        </w:rPr>
        <w:t xml:space="preserve">招标文件</w:t>
      </w:r>
      <w:bookmarkEnd w:id="37"/>
      <w:r/>
      <w:bookmarkEnd w:id="38"/>
      <w:r/>
      <w:bookmarkEnd w:id="39"/>
      <w:r/>
      <w:bookmarkEnd w:id="40"/>
      <w:r/>
      <w:bookmarkEnd w:id="41"/>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6、招标文件构成</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请仔细检查招标文件是否齐全，如有缺漏请立即与代理机构联系解决。</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招标文件及其更正事项如不是直接从指定媒体地址下载获得的，采购人或代理机构对招标文件及其补遗的真实性、完整性不承担任何责任。</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7、招标文件的澄清、修改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bookmarkStart w:id="42" w:name="_Toc18617"/>
      <w:r/>
      <w:bookmarkStart w:id="43" w:name="_Toc9687"/>
      <w:r/>
      <w:bookmarkStart w:id="44" w:name="_Toc19823"/>
      <w:r/>
      <w:bookmarkStart w:id="45" w:name="_Toc20364"/>
      <w:r/>
      <w:bookmarkStart w:id="46" w:name="_Toc25813"/>
      <w:r/>
      <w:bookmarkStart w:id="47" w:name="_Toc20675"/>
      <w:r>
        <w:rPr>
          <w:rFonts w:hint="eastAsia" w:ascii="宋体" w:hAnsi="宋体" w:eastAsia="宋体" w:cs="宋体"/>
          <w:color w:val="auto"/>
          <w:sz w:val="24"/>
          <w:szCs w:val="24"/>
          <w:highlight w:val="none"/>
        </w:rPr>
        <w:t xml:space="preserve">出于实际需要或澄清投标人问题的情况下，代理机构可对已发出的招标文件进行必要的澄清或者修改，并将在指定媒体上发布。各投标人应在投标截止时间前关注苏州市政府采购网“补充通知”栏，按规定获取相关信息内容，否则其投标风险由投标人承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代理机构有权按照法定的要求顺延投标截止时间和开标时间。</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有关澄清或者修改的内容将作为招标文件的组成部分，对所有投标人具有约束力。</w:t>
      </w:r>
      <w:r/>
    </w:p>
    <w:p>
      <w:pPr>
        <w:keepLines/>
        <w:keepNext/>
        <w:spacing w:before="152" w:after="152" w:line="440" w:lineRule="exact"/>
        <w:rPr>
          <w:rFonts w:hint="eastAsia" w:ascii="宋体" w:hAnsi="宋体" w:eastAsia="宋体" w:cs="宋体"/>
          <w:b/>
          <w:bCs/>
          <w:color w:val="auto"/>
          <w:sz w:val="32"/>
          <w:szCs w:val="32"/>
          <w:highlight w:val="none"/>
        </w:rPr>
        <w:outlineLvl w:val="2"/>
      </w:pPr>
      <w:r/>
      <w:bookmarkStart w:id="48" w:name="_Toc31086"/>
      <w:r/>
      <w:bookmarkStart w:id="49" w:name="_Toc8359"/>
      <w:r/>
      <w:bookmarkStart w:id="50" w:name="_Toc23549"/>
      <w:r/>
      <w:bookmarkStart w:id="51" w:name="_Toc8455"/>
      <w:r/>
      <w:bookmarkStart w:id="52" w:name="_Toc8969"/>
      <w:r>
        <w:rPr>
          <w:rFonts w:hint="eastAsia" w:ascii="宋体" w:hAnsi="宋体" w:eastAsia="宋体" w:cs="宋体"/>
          <w:b/>
          <w:bCs/>
          <w:color w:val="auto"/>
          <w:sz w:val="32"/>
          <w:szCs w:val="32"/>
          <w:highlight w:val="none"/>
        </w:rPr>
        <w:t xml:space="preserve">三、投标文件的编制</w:t>
      </w:r>
      <w:bookmarkEnd w:id="42"/>
      <w:r/>
      <w:bookmarkEnd w:id="43"/>
      <w:r/>
      <w:bookmarkEnd w:id="44"/>
      <w:r/>
      <w:bookmarkEnd w:id="45"/>
      <w:r/>
      <w:bookmarkEnd w:id="46"/>
      <w:r/>
      <w:bookmarkEnd w:id="47"/>
      <w:r/>
      <w:bookmarkEnd w:id="48"/>
      <w:r/>
      <w:bookmarkEnd w:id="49"/>
      <w:r/>
      <w:bookmarkEnd w:id="50"/>
      <w:r/>
      <w:bookmarkEnd w:id="51"/>
      <w:r/>
      <w:bookmarkEnd w:id="52"/>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8、投标文件的语言及度量衡单位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8.1投标人提交的投标文件以及投标人与代理机构就有关投标的所有来往通知、函件和文件均应使用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8.2除技术性能另有规定外，投标文件所使用的度量衡单位，均须采用国家法定计量单位。</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9、投标文件构成</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9.1投标人编写的投标文件应包括资格证明文件、开标一览表、投标函、</w:t>
      </w:r>
      <w:r>
        <w:rPr>
          <w:rFonts w:hint="eastAsia" w:ascii="宋体" w:hAnsi="宋体" w:eastAsia="宋体" w:cs="宋体"/>
          <w:color w:val="auto"/>
          <w:sz w:val="24"/>
          <w:szCs w:val="24"/>
          <w:highlight w:val="none"/>
          <w:lang w:val="en-US" w:eastAsia="zh-CN"/>
        </w:rPr>
        <w:t xml:space="preserve">报价明细表、项目服务</w:t>
      </w:r>
      <w:r>
        <w:rPr>
          <w:rFonts w:hint="eastAsia" w:ascii="宋体" w:hAnsi="宋体" w:eastAsia="宋体" w:cs="宋体"/>
          <w:color w:val="auto"/>
          <w:sz w:val="24"/>
          <w:szCs w:val="24"/>
          <w:highlight w:val="none"/>
        </w:rPr>
        <w:t xml:space="preserve">要求响应及偏离表、</w:t>
      </w:r>
      <w:r>
        <w:rPr>
          <w:rFonts w:hint="eastAsia" w:ascii="宋体" w:hAnsi="宋体" w:eastAsia="宋体" w:cs="宋体"/>
          <w:color w:val="auto"/>
          <w:sz w:val="24"/>
          <w:szCs w:val="24"/>
          <w:highlight w:val="none"/>
          <w:lang w:val="en-US" w:eastAsia="zh-CN"/>
        </w:rPr>
        <w:t xml:space="preserve">商务条件响应及偏离表、</w:t>
      </w:r>
      <w:r>
        <w:rPr>
          <w:rFonts w:hint="eastAsia" w:ascii="宋体" w:hAnsi="宋体" w:eastAsia="宋体" w:cs="宋体"/>
          <w:color w:val="auto"/>
          <w:sz w:val="24"/>
          <w:szCs w:val="24"/>
          <w:highlight w:val="none"/>
        </w:rPr>
        <w:t xml:space="preserve">项目实施方案、</w:t>
      </w:r>
      <w:r>
        <w:rPr>
          <w:rFonts w:hint="eastAsia" w:ascii="宋体" w:hAnsi="宋体" w:eastAsia="宋体" w:cs="宋体"/>
          <w:color w:val="auto"/>
          <w:sz w:val="24"/>
          <w:szCs w:val="24"/>
          <w:highlight w:val="none"/>
          <w:lang w:val="en-US" w:eastAsia="zh-CN"/>
        </w:rPr>
        <w:t xml:space="preserve">项目组人员一览表、业绩一览表、</w:t>
      </w:r>
      <w:r>
        <w:rPr>
          <w:rFonts w:hint="eastAsia" w:ascii="宋体" w:hAnsi="宋体" w:eastAsia="宋体" w:cs="宋体"/>
          <w:color w:val="auto"/>
          <w:sz w:val="24"/>
          <w:szCs w:val="24"/>
          <w:highlight w:val="none"/>
        </w:rPr>
        <w:t xml:space="preserve">其他证明文件等部分。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如标书制作工具中格式和内容与指定媒体发布的招标文件不一致，请以指定媒体发布的招标文件为准。</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10、证明投标人及投标标的符合招标文件规定的文件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投标人应按照招标文件要求提交证明文件，证明其及投标标的符合招标文件规定。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10.2招标文件对证明文件无明确形式要求的，证明文件可以以文字资料、图纸和数据等形式提交。</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11、投标函和开标一览表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11.1投标人应按照招标文件中提供的格式完整、正确填写投标函、开标一览表。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对于采用货币报价的项目，开标一览表中的投标总报价应与报价明细表中的投标总报价一致，如不一致不作为无效投标处理，但评标时按开标一览表中价格为准。</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12、报价明细表</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12.1</w:t>
      </w:r>
      <w:r>
        <w:rPr>
          <w:rFonts w:hint="eastAsia" w:ascii="宋体" w:hAnsi="宋体" w:eastAsia="宋体" w:cs="宋体"/>
          <w:color w:val="auto"/>
          <w:sz w:val="24"/>
          <w:szCs w:val="21"/>
          <w:highlight w:val="none"/>
        </w:rPr>
        <w:t xml:space="preserve">投标人应按照招标文件规定格式填报报价明细表。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1"/>
          <w:highlight w:val="none"/>
        </w:rPr>
        <w:t xml:space="preserve"> </w:t>
      </w:r>
      <w:r>
        <w:rPr>
          <w:rFonts w:hint="eastAsia" w:ascii="宋体" w:hAnsi="宋体" w:eastAsia="宋体" w:cs="宋体"/>
          <w:bCs/>
          <w:color w:val="auto"/>
          <w:sz w:val="24"/>
          <w:szCs w:val="21"/>
          <w:highlight w:val="none"/>
        </w:rPr>
        <w:t xml:space="preserve">投标货币。投标文件中的单价和总价无特殊规定的采用人民币报价，以元为单位标注。</w:t>
      </w:r>
      <w:r>
        <w:rPr>
          <w:rFonts w:hint="eastAsia" w:ascii="宋体" w:hAnsi="宋体" w:eastAsia="宋体" w:cs="宋体"/>
          <w:color w:val="auto"/>
          <w:sz w:val="24"/>
          <w:szCs w:val="21"/>
          <w:highlight w:val="none"/>
        </w:rPr>
        <w:t xml:space="preserve">招标文件中另有规定的按规定执行。</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13、服务、商务要求响应及偏离表</w:t>
      </w:r>
      <w:r/>
    </w:p>
    <w:p>
      <w:pPr>
        <w:ind w:firstLine="480"/>
        <w:spacing w:line="500" w:lineRule="exact"/>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1"/>
          <w:highlight w:val="none"/>
          <w:lang w:val="zh-CN"/>
        </w:rPr>
        <w:t xml:space="preserve">投标人需对招标文件中的服务要求与商务要求逐项作出响应或偏离，并说明原因。</w:t>
      </w:r>
      <w:r/>
    </w:p>
    <w:p>
      <w:pPr>
        <w:ind w:firstLine="480"/>
        <w:spacing w:line="500" w:lineRule="exact"/>
        <w:rPr>
          <w:rFonts w:hint="eastAsia" w:ascii="宋体" w:hAnsi="宋体" w:eastAsia="宋体" w:cs="宋体"/>
          <w:color w:val="auto"/>
          <w:sz w:val="24"/>
          <w:highlight w:val="none"/>
          <w:lang w:val="zh-CN"/>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1"/>
          <w:highlight w:val="none"/>
          <w:lang w:val="zh-CN"/>
        </w:rPr>
        <w:t xml:space="preserve"> </w:t>
      </w:r>
      <w:r>
        <w:rPr>
          <w:rFonts w:hint="eastAsia" w:ascii="宋体" w:hAnsi="宋体" w:eastAsia="宋体" w:cs="宋体"/>
          <w:color w:val="auto"/>
          <w:sz w:val="24"/>
          <w:highlight w:val="none"/>
          <w:lang w:val="zh-CN"/>
        </w:rPr>
        <w:t xml:space="preserve">投标人需按照招标文件要求，在投标文件中提供与服务要求和商务要求相关的证明材料。（如有）</w:t>
      </w:r>
      <w:r/>
    </w:p>
    <w:p>
      <w:pPr>
        <w:ind w:firstLine="141"/>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14、项目</w:t>
      </w:r>
      <w:r>
        <w:rPr>
          <w:rFonts w:hint="eastAsia" w:ascii="宋体" w:hAnsi="宋体" w:eastAsia="宋体" w:cs="宋体"/>
          <w:b/>
          <w:color w:val="auto"/>
          <w:sz w:val="28"/>
          <w:szCs w:val="28"/>
          <w:highlight w:val="none"/>
          <w:lang w:val="en-US" w:eastAsia="zh-CN"/>
        </w:rPr>
        <w:t xml:space="preserve">实施</w:t>
      </w:r>
      <w:r>
        <w:rPr>
          <w:rFonts w:hint="eastAsia" w:ascii="宋体" w:hAnsi="宋体" w:eastAsia="宋体" w:cs="宋体"/>
          <w:b/>
          <w:color w:val="auto"/>
          <w:sz w:val="28"/>
          <w:szCs w:val="28"/>
          <w:highlight w:val="none"/>
        </w:rPr>
        <w:t xml:space="preserve">方案、项目组人员一览表、业绩情况</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bookmarkStart w:id="53" w:name="_Toc14577359"/>
      <w:r/>
      <w:bookmarkStart w:id="54" w:name="_Toc49090510"/>
      <w:r>
        <w:rPr>
          <w:rFonts w:hint="eastAsia" w:ascii="宋体" w:hAnsi="宋体" w:eastAsia="宋体" w:cs="宋体"/>
          <w:color w:val="auto"/>
          <w:sz w:val="24"/>
          <w:szCs w:val="24"/>
          <w:highlight w:val="none"/>
        </w:rPr>
        <w:t xml:space="preserve">投标人需根据招标文件要求提供有关项目</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方案、项目组人员一览表等。</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投标人需根据招标文件要求提供实施的类似项目业绩情况。</w:t>
      </w:r>
      <w:bookmarkEnd w:id="53"/>
      <w:bookmarkEnd w:id="54"/>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15、投标有效期</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15.1投标有效期为代理机构规定的提交投标文件截止之日后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。投标有效期比规定短的将被视为非实质性响应招标文件而予以拒绝。</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16、投标有效期的延长</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keepLines/>
        <w:keepNext/>
        <w:spacing w:before="152" w:after="152" w:line="440" w:lineRule="exact"/>
        <w:rPr>
          <w:rFonts w:hint="eastAsia" w:ascii="宋体" w:hAnsi="宋体" w:eastAsia="宋体" w:cs="宋体"/>
          <w:b/>
          <w:bCs/>
          <w:color w:val="auto"/>
          <w:sz w:val="32"/>
          <w:szCs w:val="32"/>
          <w:highlight w:val="none"/>
        </w:rPr>
        <w:outlineLvl w:val="2"/>
      </w:pPr>
      <w:r/>
      <w:bookmarkStart w:id="55" w:name="_Toc1373"/>
      <w:r/>
      <w:bookmarkStart w:id="56" w:name="_Toc13568"/>
      <w:r/>
      <w:bookmarkStart w:id="57" w:name="_Toc14870"/>
      <w:r/>
      <w:bookmarkStart w:id="58" w:name="_Toc5321"/>
      <w:r/>
      <w:bookmarkStart w:id="59" w:name="_Toc16363"/>
      <w:r/>
      <w:bookmarkStart w:id="60" w:name="_Toc7284"/>
      <w:r/>
      <w:bookmarkStart w:id="61" w:name="_Toc8187"/>
      <w:r/>
      <w:bookmarkStart w:id="62" w:name="_Toc25796"/>
      <w:r/>
      <w:bookmarkStart w:id="63" w:name="_Toc24414"/>
      <w:r/>
      <w:bookmarkStart w:id="64" w:name="_Toc30450"/>
      <w:r/>
      <w:bookmarkStart w:id="65" w:name="_Toc959"/>
      <w:r>
        <w:rPr>
          <w:rFonts w:hint="eastAsia" w:ascii="宋体" w:hAnsi="宋体" w:eastAsia="宋体" w:cs="宋体"/>
          <w:b/>
          <w:bCs/>
          <w:color w:val="auto"/>
          <w:sz w:val="32"/>
          <w:szCs w:val="32"/>
          <w:highlight w:val="none"/>
        </w:rPr>
        <w:t xml:space="preserve">四、投标文件的递交</w:t>
      </w:r>
      <w:bookmarkEnd w:id="55"/>
      <w:r/>
      <w:bookmarkEnd w:id="56"/>
      <w:r/>
      <w:bookmarkEnd w:id="57"/>
      <w:r/>
      <w:bookmarkEnd w:id="58"/>
      <w:r/>
      <w:bookmarkEnd w:id="59"/>
      <w:r/>
      <w:bookmarkEnd w:id="60"/>
      <w:r/>
      <w:bookmarkEnd w:id="61"/>
      <w:r/>
      <w:bookmarkEnd w:id="62"/>
      <w:r/>
      <w:bookmarkEnd w:id="63"/>
      <w:r/>
      <w:bookmarkEnd w:id="64"/>
      <w:r/>
      <w:bookmarkEnd w:id="65"/>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17、电子投标文件的递交</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17.1投标人应当按照《苏采云系统投标人操作手册》规定，在提交投标文件截止时间前制作并上传电子投标文件。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如投标人投报多个分包的，应分别制作所投每个分包的投标文件，再根据此文档分别制作所投每个分包的电子投标文件。按规定将所投每个分包的的电子投标文件分别上传到对应分包页面中。如未上传的视同为未参加本项目对应分包的投标。</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18、提交投标文件截止时间</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18.1投标人上传电子投标文件的时间不得迟于招标公告中规定的提交投标文件截止时间。</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投标人应充分考虑到网络环境、网络带宽等风险因素，如因投标人自身原因造成的电子投标文件上传不成功的作无效响应处理。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18.2代理机构可以按照规定，通过修改招标文件酌情延长提交投标文件截止日期，在此情况下，投标人的所有权利和义务以及投标人受制的截止日期均应以延长后新的截止日期为准。</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19、投标文件的拒收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19.1代理机构拒绝接收在其规定的提交投标文件截止时间后上传的任何电子投标文件。</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20、投标文件的撤回和修改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投标人可在提交投标文件截止时间前，撤回其电子投标文件，具体操作方法见《</w:t>
      </w:r>
      <w:r>
        <w:rPr>
          <w:rFonts w:hint="eastAsia" w:ascii="宋体" w:hAnsi="宋体" w:eastAsia="宋体" w:cs="宋体"/>
          <w:color w:val="auto"/>
          <w:sz w:val="24"/>
          <w:szCs w:val="24"/>
          <w:highlight w:val="none"/>
        </w:rPr>
        <w:t xml:space="preserve">苏采云系统投标人操作手册</w:t>
      </w:r>
      <w:r>
        <w:rPr>
          <w:rFonts w:hint="eastAsia" w:ascii="宋体" w:hAnsi="宋体" w:eastAsia="宋体" w:cs="宋体"/>
          <w:color w:val="auto"/>
          <w:sz w:val="24"/>
          <w:szCs w:val="24"/>
          <w:highlight w:val="none"/>
        </w:rPr>
        <w:t xml:space="preserve">》。</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投标人可在提交投标文件截止时间前，对其电子投标文件进行修改，具体操作方法见《</w:t>
      </w:r>
      <w:r>
        <w:rPr>
          <w:rFonts w:hint="eastAsia" w:ascii="宋体" w:hAnsi="宋体" w:eastAsia="宋体" w:cs="宋体"/>
          <w:color w:val="auto"/>
          <w:sz w:val="24"/>
          <w:szCs w:val="24"/>
          <w:highlight w:val="none"/>
        </w:rPr>
        <w:t xml:space="preserve">苏采云系统投标人操作手册</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20.3在提交投标文件截止时间之后，投标人不得对其电子投标文件作任何修改。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20.4在提交投标文件截止时间至招标文件中规定的投标有效期满之间的这段时间内，投标人不得撤回其投标文件。</w:t>
      </w:r>
      <w:r/>
    </w:p>
    <w:p>
      <w:pPr>
        <w:keepLines/>
        <w:keepNext/>
        <w:spacing w:before="152" w:after="152" w:line="440" w:lineRule="exact"/>
        <w:rPr>
          <w:rFonts w:hint="eastAsia" w:ascii="宋体" w:hAnsi="宋体" w:eastAsia="宋体" w:cs="宋体"/>
          <w:b/>
          <w:bCs/>
          <w:color w:val="auto"/>
          <w:sz w:val="32"/>
          <w:szCs w:val="32"/>
          <w:highlight w:val="none"/>
        </w:rPr>
        <w:outlineLvl w:val="2"/>
      </w:pPr>
      <w:r/>
      <w:bookmarkStart w:id="66" w:name="_Toc28189"/>
      <w:r/>
      <w:bookmarkStart w:id="67" w:name="_Toc1603"/>
      <w:r/>
      <w:bookmarkStart w:id="68" w:name="_Toc26408"/>
      <w:r/>
      <w:bookmarkStart w:id="69" w:name="_Toc5428"/>
      <w:r/>
      <w:bookmarkStart w:id="70" w:name="_Toc29345"/>
      <w:r/>
      <w:bookmarkStart w:id="71" w:name="_Toc8142"/>
      <w:r/>
      <w:bookmarkStart w:id="72" w:name="_Toc15284"/>
      <w:r/>
      <w:bookmarkStart w:id="73" w:name="_Toc32035"/>
      <w:r/>
      <w:bookmarkStart w:id="74" w:name="_Toc19354"/>
      <w:r/>
      <w:bookmarkStart w:id="75" w:name="_Toc11307"/>
      <w:r/>
      <w:bookmarkStart w:id="76" w:name="_Toc7502"/>
      <w:r>
        <w:rPr>
          <w:rFonts w:hint="eastAsia" w:ascii="宋体" w:hAnsi="宋体" w:eastAsia="宋体" w:cs="宋体"/>
          <w:b/>
          <w:bCs/>
          <w:color w:val="auto"/>
          <w:sz w:val="32"/>
          <w:szCs w:val="32"/>
          <w:highlight w:val="none"/>
        </w:rPr>
        <w:t xml:space="preserve">五、开标与评审</w:t>
      </w:r>
      <w:bookmarkEnd w:id="66"/>
      <w:r/>
      <w:bookmarkEnd w:id="67"/>
      <w:r/>
      <w:bookmarkEnd w:id="68"/>
      <w:r/>
      <w:bookmarkEnd w:id="69"/>
      <w:r/>
      <w:bookmarkEnd w:id="70"/>
      <w:r/>
      <w:bookmarkEnd w:id="71"/>
      <w:r/>
      <w:bookmarkEnd w:id="72"/>
      <w:r/>
      <w:bookmarkEnd w:id="73"/>
      <w:r/>
      <w:bookmarkEnd w:id="74"/>
      <w:r/>
      <w:bookmarkEnd w:id="75"/>
      <w:r/>
      <w:bookmarkEnd w:id="76"/>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21、开标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21.1代理机构将在招标公告中规定的时间和地点组织公开开标。投标人应当按照《苏采云系统投标人操作手册》规定，参加开标活动和在苏采云系统规定的时间内对投标文件进行解密。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21.2开标仪式由代理机构组织。苏采云系统将自动对项目进行开标，并宣布各投标人名称。</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21.3投标人在开标过程中涉及到的投标文件解密、开标结果确认等工作，应按照《苏采云系统投标人操作手册》规定执行。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22、评标委员会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开标后，代理机构将立即组织评标委员会（以下简称评委会）进行评标。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w:t>
      </w:r>
      <w:r>
        <w:rPr>
          <w:rFonts w:hint="eastAsia" w:ascii="宋体" w:hAnsi="宋体" w:eastAsia="宋体" w:cs="宋体"/>
          <w:color w:val="auto"/>
          <w:sz w:val="24"/>
          <w:szCs w:val="24"/>
          <w:highlight w:val="none"/>
        </w:rPr>
        <w:t xml:space="preserve">评委会由采购人代表和有关技术、经济等方面的专家组成，且人员构成符合政府采购有关规定</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22.3评委会独立工作，负责评审所有投标文件并确定中标侯选人。</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23、评审过程的保密与公正</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23.1凡是与审查、澄清、评价和比较投标的有关资料以及授标建议等，采购人、评委、代理机构均不得向投标人或与评标无关的其他人员透露。</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代理机构和评委会不向未中标的投标人解释未中标原因，也不公布评标过程中的相关细节。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 采用综合评分法的项目，未中标的投标人可于中标结果公告期限届满之日起通过苏采云系统查看自己的评审得分及排序情况。</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24、投标文件的澄清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评标期间，评委会对投标文件中含义不明确、同类问题表述不一致或者有明显文字和计算错误的内容，有权要求投标人作出必要的澄清、说明或者补正。</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接到评委会澄清、说明和补正要求的投标人如未按规定做出澄清、说明和补正，其风险由投标人自行承担。</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25、对投标文件的审查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25.1投标文件审查分为资格审查和符合性审查。</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w:t>
      </w:r>
      <w:r>
        <w:rPr>
          <w:rFonts w:hint="eastAsia" w:ascii="宋体" w:hAnsi="宋体" w:eastAsia="宋体" w:cs="宋体"/>
          <w:bCs/>
          <w:color w:val="auto"/>
          <w:sz w:val="24"/>
          <w:szCs w:val="21"/>
          <w:highlight w:val="none"/>
        </w:rPr>
        <w:t xml:space="preserve">资格审查：依据法律法规和招标文件的规定，由采购人对投标文件中的资格证明文件进行审查。资格审查的结论，采购人以书面形式向评委会进行反馈。</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采购人在进行资格审查的同时，将在信用中国 （ https://www.creditchina.gov.cn/ ） 对投标人的诚信记录进行查询，以确定投标人是否具备投标资格,查询结果留存并归档。</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w:t>
      </w:r>
      <w:r>
        <w:rPr>
          <w:rFonts w:hint="eastAsia" w:ascii="宋体" w:hAnsi="宋体" w:eastAsia="宋体" w:cs="宋体"/>
          <w:color w:val="auto"/>
          <w:sz w:val="24"/>
          <w:szCs w:val="24"/>
          <w:highlight w:val="none"/>
          <w:lang w:val="en-US" w:eastAsia="zh-CN"/>
        </w:rPr>
        <w:t xml:space="preserve">信</w:t>
      </w:r>
      <w:r>
        <w:rPr>
          <w:rFonts w:hint="eastAsia" w:ascii="宋体" w:hAnsi="宋体" w:eastAsia="宋体" w:cs="宋体"/>
          <w:color w:val="auto"/>
          <w:sz w:val="24"/>
          <w:szCs w:val="24"/>
          <w:highlight w:val="none"/>
        </w:rPr>
        <w:t xml:space="preserve">用记录。</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25.1.3未通过资格审查或符合性审查的投标人，评委会将在苏采云系统中告知未通过资格审查或符合性审查的原因，评审结束后，评委会将不再告知未通过资格审查或符合性审查的原因。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25.2在详细评审之前，评委会将首先审查每份投标文件是否实质性响应了招标文件的要求。实质性响应的投标文件应该是与招标文件要求的条款、条件和规格相符，没有重大偏离或保留。</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由评委会按照少数服从多数的原则认定。评委会决定投标文件的响应性只根据投标文件本身的内容，而不寻求外部的证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25.4评委会将对确定为实质性响应的投标文件进行进一步审核，看其是否有计算上或累加上的算术错误，修正错误的原则如下：</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（1）投标文件中开标一览表内容与投标文件中相应内容不一致的，以开标一览表为准。</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（2）大写金额和小写金额不一致的，以大写金额为准。</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（3）单价金额小数点或者百分比有明显错位的，以开标一览表的总价为准，并修改单价。</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（4）总价金额与按单价汇总金额不一致的，以单价金额计算结果为准。</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同时出现两种以上错误的，按照前款规定的顺序修正。</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25.5评委会将按上述修正错误的方法调整投标文件中的报价价格，并通过苏采云系统告知投标人，调整后的价格应对投标人具有约束力。如果投标人不接受修正后的价格，则其投标将被拒绝。</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25.7投标人在开、评标全过程中应保持通讯畅通，及时登录苏采云系统查阅、答复相关信息，并安排专人与代理机构及评委会联系。</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26、无效投标条款和废标条款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26.1无效投标条款</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w:t>
      </w:r>
      <w:r>
        <w:rPr>
          <w:rFonts w:hint="eastAsia" w:ascii="宋体" w:hAnsi="宋体" w:eastAsia="宋体" w:cs="宋体"/>
          <w:color w:val="auto"/>
          <w:sz w:val="24"/>
          <w:highlight w:val="none"/>
        </w:rPr>
        <w:t xml:space="preserve">或最高限价的</w:t>
      </w:r>
      <w:r>
        <w:rPr>
          <w:rFonts w:hint="eastAsia" w:ascii="宋体" w:hAnsi="宋体" w:eastAsia="宋体" w:cs="宋体"/>
          <w:color w:val="auto"/>
          <w:sz w:val="24"/>
          <w:szCs w:val="24"/>
          <w:highlight w:val="none"/>
        </w:rPr>
        <w:t xml:space="preserve">。</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b/>
          <w:bCs/>
          <w:color w:val="auto"/>
          <w:sz w:val="24"/>
          <w:szCs w:val="24"/>
          <w:highlight w:val="none"/>
        </w:rPr>
        <w:t xml:space="preserve">本招标文件中标“★”的相关要求为实质性要求和条件）</w:t>
      </w:r>
      <w:r>
        <w:rPr>
          <w:rFonts w:hint="eastAsia" w:ascii="宋体" w:hAnsi="宋体" w:eastAsia="宋体" w:cs="宋体"/>
          <w:color w:val="auto"/>
          <w:sz w:val="24"/>
          <w:szCs w:val="24"/>
          <w:highlight w:val="none"/>
        </w:rPr>
        <w:t xml:space="preserve">。</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www.creditchina.gov.cn）等网站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ind w:firstLine="72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26.1.10评标委员会认为投标人的报价明显低于其他通过符合性审查投标人的报价，有可能影响产品质量或者不能诚信履约的，将通过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要求其在合理的时间内提供说明，必要时提交相关证明材料；投标人不能证明其报价合理性的，评标委员会应当将其作为无效投标处理。</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26.1.12投标文件未按照招标文件要求加盖CA电子公章的。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26.1.13</w:t>
      </w:r>
      <w:r>
        <w:rPr>
          <w:rFonts w:hint="eastAsia" w:ascii="宋体" w:hAnsi="宋体" w:eastAsia="宋体" w:cs="宋体"/>
          <w:bCs/>
          <w:color w:val="auto"/>
          <w:sz w:val="24"/>
          <w:szCs w:val="21"/>
          <w:highlight w:val="none"/>
        </w:rPr>
        <w:t xml:space="preserve">其他法律、法规及本招标文件规定的属无效投标的情形。</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firstLine="720"/>
        <w:spacing w:line="44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26.2.1</w:t>
      </w:r>
      <w:r>
        <w:rPr>
          <w:rFonts w:hint="eastAsia" w:ascii="宋体" w:hAnsi="宋体" w:eastAsia="宋体" w:cs="宋体"/>
          <w:bCs/>
          <w:color w:val="auto"/>
          <w:sz w:val="24"/>
          <w:szCs w:val="21"/>
          <w:highlight w:val="none"/>
        </w:rPr>
        <w:t xml:space="preserve">符合专业条件的投标人或者对招标文件作实质响应的投标人不足三家的。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26.2.6</w:t>
      </w:r>
      <w:r>
        <w:rPr>
          <w:rFonts w:hint="eastAsia" w:ascii="宋体" w:hAnsi="宋体" w:eastAsia="宋体" w:cs="宋体"/>
          <w:color w:val="auto"/>
          <w:sz w:val="24"/>
          <w:highlight w:val="none"/>
        </w:rPr>
        <w:t xml:space="preserve">投标文件接受截止时间结束后参加投标的投标人不足</w:t>
      </w:r>
      <w:r>
        <w:rPr>
          <w:rFonts w:hint="eastAsia" w:ascii="宋体" w:hAnsi="宋体" w:eastAsia="宋体" w:cs="宋体"/>
          <w:color w:val="auto"/>
          <w:sz w:val="24"/>
          <w:szCs w:val="24"/>
          <w:highlight w:val="none"/>
        </w:rPr>
        <w:t xml:space="preserve">三家的处理：</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26.2.7如出现投标截止时间结束后参加投标的投标人或者在评标期间对招标文件做出实质响应的投标人不足三家情况，按政府采购相关规定执行。</w:t>
      </w:r>
      <w:r/>
    </w:p>
    <w:p>
      <w:pPr>
        <w:keepLines/>
        <w:keepNext/>
        <w:spacing w:before="152" w:after="152" w:line="440" w:lineRule="exact"/>
        <w:rPr>
          <w:rFonts w:hint="eastAsia" w:ascii="宋体" w:hAnsi="宋体" w:eastAsia="宋体" w:cs="宋体"/>
          <w:b/>
          <w:bCs/>
          <w:color w:val="auto"/>
          <w:sz w:val="32"/>
          <w:szCs w:val="32"/>
          <w:highlight w:val="none"/>
        </w:rPr>
        <w:outlineLvl w:val="2"/>
      </w:pPr>
      <w:r/>
      <w:bookmarkStart w:id="77" w:name="_Toc17432"/>
      <w:r/>
      <w:bookmarkStart w:id="78" w:name="_Toc15817"/>
      <w:r/>
      <w:bookmarkStart w:id="79" w:name="_Toc13187"/>
      <w:r/>
      <w:bookmarkStart w:id="80" w:name="_Toc48"/>
      <w:r/>
      <w:bookmarkStart w:id="81" w:name="_Toc19188"/>
      <w:r/>
      <w:bookmarkStart w:id="82" w:name="_Toc9362"/>
      <w:r/>
      <w:bookmarkStart w:id="83" w:name="_Toc207"/>
      <w:r/>
      <w:bookmarkStart w:id="84" w:name="_Toc23743"/>
      <w:r/>
      <w:bookmarkStart w:id="85" w:name="_Toc6218"/>
      <w:r/>
      <w:bookmarkStart w:id="86" w:name="_Toc881"/>
      <w:r/>
      <w:bookmarkStart w:id="87" w:name="_Toc30141"/>
      <w:r>
        <w:rPr>
          <w:rFonts w:hint="eastAsia" w:ascii="宋体" w:hAnsi="宋体" w:eastAsia="宋体" w:cs="宋体"/>
          <w:b/>
          <w:bCs/>
          <w:color w:val="auto"/>
          <w:sz w:val="32"/>
          <w:szCs w:val="32"/>
          <w:highlight w:val="none"/>
        </w:rPr>
        <w:t xml:space="preserve">六、</w:t>
      </w:r>
      <w:bookmarkEnd w:id="77"/>
      <w:r/>
      <w:bookmarkEnd w:id="78"/>
      <w:r/>
      <w:bookmarkEnd w:id="79"/>
      <w:r/>
      <w:bookmarkEnd w:id="80"/>
      <w:r/>
      <w:bookmarkEnd w:id="81"/>
      <w:r/>
      <w:bookmarkEnd w:id="82"/>
      <w:r>
        <w:rPr>
          <w:rFonts w:hint="eastAsia" w:ascii="宋体" w:hAnsi="宋体" w:eastAsia="宋体" w:cs="宋体"/>
          <w:b/>
          <w:bCs/>
          <w:color w:val="auto"/>
          <w:sz w:val="32"/>
          <w:szCs w:val="32"/>
          <w:highlight w:val="none"/>
        </w:rPr>
        <w:t xml:space="preserve">定标</w:t>
      </w:r>
      <w:bookmarkEnd w:id="83"/>
      <w:r/>
      <w:bookmarkEnd w:id="84"/>
      <w:r/>
      <w:bookmarkEnd w:id="85"/>
      <w:r/>
      <w:bookmarkEnd w:id="86"/>
      <w:r/>
      <w:bookmarkEnd w:id="87"/>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27、确定中标单位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采购人应根据评委会推荐的中标候选人确定中标人。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代理机构将在指定媒体上发布中标公告，公告期限为1个工作日。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若有充分证据证明，中标人出现下列情况之一的，一经查实，将被取消中标资格：</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27.4.2向采购人、代理机构行贿或者提供其他不正当利益的。</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27.4.4与采购人或者其他投标人恶意串通的。</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27.4.5采取不正当手段诋毁、排挤其他投标人的。</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28、质疑处理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提出质疑的投标人应当是参与所质疑项目采购活动的投标人，潜在投标人已依法获取其可质疑的招标文件的，可以对该文件提出质疑。请将</w:t>
      </w:r>
      <w:bookmarkStart w:id="88" w:name="_Hlk98510751"/>
      <w:r>
        <w:rPr>
          <w:rFonts w:hint="eastAsia" w:ascii="宋体" w:hAnsi="宋体" w:eastAsia="宋体" w:cs="宋体"/>
          <w:color w:val="auto"/>
          <w:sz w:val="24"/>
          <w:szCs w:val="24"/>
          <w:highlight w:val="none"/>
        </w:rPr>
        <w:t xml:space="preserve">获取采购文件后打印留存的《投标供应商确认函》等</w:t>
      </w:r>
      <w:bookmarkEnd w:id="88"/>
      <w:r>
        <w:rPr>
          <w:rFonts w:hint="eastAsia" w:ascii="宋体" w:hAnsi="宋体" w:eastAsia="宋体" w:cs="宋体"/>
          <w:color w:val="auto"/>
          <w:sz w:val="24"/>
          <w:szCs w:val="24"/>
          <w:highlight w:val="none"/>
        </w:rPr>
        <w:t xml:space="preserve">必要的证明材料与质疑函一起递交，否则不予受理。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采购方式、招标文件中采购需求、投标人资格条件、评标方法和评标标准、合同文本及资格审查结果的询问、质疑请向采购人提出，由采购人负责答复。投标人对其他事项的询问、质疑请向代理机构提出，由代理机构负责答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投标人认为招标文件、采购过程和采购结果使自己的权益受到损害的，可以在知道或应知其权益受到损害之日起七个工作日内，以书面形式向采购人或代理机构提出质疑。上述应知其权益受到损害之日，是指：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（1）对可以质疑的招标文件提出质疑的，为收到招标文件之日或者招标文件公告期限届满之日；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（2）对采购过程提出质疑的，为各采购程序环节结束之日；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（3）对中标或者中标结果提出质疑的，为中标或者中标结果公告期限届满之日。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投标人应当在法定质疑期内一次性提出针对同一采购程序环节的质疑。投标人如在法定期限内对同一采购程序环节提出多次质疑的，代理机构、采购人将只对投标人第一次质疑作出答复。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投标人提出质疑应当提交质疑函和必要的证明材料，其中质疑函必须按照《质疑函范本》要求的格式和内容进行填写。投标人如组成联合体参加投标，则《质疑函范本》中要求签字、盖章、加盖公章之处，联合体各方均须按要求签字、盖章、加盖公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代理机构及采购人只接收以纸质原件形式送达（当场送达或邮寄方式）的质疑。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代理机构质疑接收部门为：</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，联系地址：常熟市海虞镇河滨路100-5号。</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质疑接收人及联系方式见招标文件“第一章 投标邀请”。</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（4）未参加投标活动的投标人或在投标活动中自身权益未受到损害的投标人所提出的质疑。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（5）如投标人组成联合体参加投标，联合体中任何一方或多方未按要求签字或盖章、加盖公章的质疑。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29、中标通知书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52" w:after="152" w:line="440" w:lineRule="exact"/>
        <w:rPr>
          <w:rFonts w:hint="eastAsia" w:ascii="宋体" w:hAnsi="宋体" w:eastAsia="宋体" w:cs="宋体"/>
          <w:b/>
          <w:bCs/>
          <w:color w:val="auto"/>
          <w:sz w:val="32"/>
          <w:szCs w:val="32"/>
          <w:highlight w:val="none"/>
        </w:rPr>
        <w:outlineLvl w:val="2"/>
      </w:pPr>
      <w:r/>
      <w:bookmarkStart w:id="89" w:name="_Toc15053"/>
      <w:r/>
      <w:bookmarkStart w:id="90" w:name="_Toc4987"/>
      <w:r/>
      <w:bookmarkStart w:id="91" w:name="_Toc31645"/>
      <w:r/>
      <w:bookmarkStart w:id="92" w:name="_Toc24233"/>
      <w:r/>
      <w:bookmarkStart w:id="93" w:name="_Toc22686"/>
      <w:r/>
      <w:bookmarkStart w:id="94" w:name="_Toc21840"/>
      <w:r/>
      <w:bookmarkStart w:id="95" w:name="_Toc31598"/>
      <w:r/>
      <w:bookmarkStart w:id="96" w:name="_Toc8381"/>
      <w:r/>
      <w:bookmarkStart w:id="97" w:name="_Toc11451"/>
      <w:r/>
      <w:bookmarkStart w:id="98" w:name="_Toc17654"/>
      <w:r/>
      <w:bookmarkStart w:id="99" w:name="_Toc1951"/>
      <w:r>
        <w:rPr>
          <w:rFonts w:hint="eastAsia" w:ascii="宋体" w:hAnsi="宋体" w:eastAsia="宋体" w:cs="宋体"/>
          <w:b/>
          <w:bCs/>
          <w:color w:val="auto"/>
          <w:sz w:val="32"/>
          <w:szCs w:val="32"/>
          <w:highlight w:val="none"/>
        </w:rPr>
        <w:t xml:space="preserve">七、授予合同</w:t>
      </w:r>
      <w:bookmarkEnd w:id="89"/>
      <w:r/>
      <w:bookmarkEnd w:id="90"/>
      <w:r/>
      <w:bookmarkEnd w:id="91"/>
      <w:r/>
      <w:bookmarkEnd w:id="92"/>
      <w:r/>
      <w:bookmarkEnd w:id="93"/>
      <w:r/>
      <w:bookmarkEnd w:id="94"/>
      <w:r/>
      <w:bookmarkEnd w:id="95"/>
      <w:r/>
      <w:bookmarkEnd w:id="96"/>
      <w:r/>
      <w:bookmarkEnd w:id="97"/>
      <w:r/>
      <w:bookmarkEnd w:id="98"/>
      <w:r/>
      <w:bookmarkEnd w:id="99"/>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30、签订合同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30.2招标文件、中标人的投标文件及投标过程中有关澄清、承诺文件均应作为合同附件。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31、标的物的追加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货物、服务（包含与货物相关的服务及与服务相关的货物）的，在不改变合同其他条款的前提下，可以与中标人协商签订补充合同，但所有补充合同的采购金额不超过原合同金额10%。</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32、政府采购履约资金扶持政策</w:t>
      </w:r>
      <w:r/>
    </w:p>
    <w:p>
      <w:pPr>
        <w:ind w:firstLine="480"/>
        <w:spacing w:line="440" w:lineRule="exact"/>
        <w:tabs>
          <w:tab w:val="left" w:pos="2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中标人可凭政府采购合同办理融资贷款，详情请见苏州市政府采购网“政府采购合同信用融资”专栏。</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p>
    <w:p>
      <w:pPr>
        <w:pStyle w:val="900"/>
        <w:rPr>
          <w:rFonts w:hint="eastAsia" w:ascii="宋体" w:hAnsi="宋体" w:eastAsia="宋体" w:cs="宋体"/>
          <w:color w:val="auto"/>
          <w:highlight w:val="none"/>
        </w:rPr>
      </w:pPr>
      <w:r/>
      <w:bookmarkStart w:id="100" w:name="_Toc9908"/>
      <w:r/>
      <w:bookmarkStart w:id="101" w:name="_Toc25715"/>
      <w:r/>
      <w:bookmarkStart w:id="102" w:name="_Toc315868058"/>
      <w:r/>
      <w:bookmarkStart w:id="103" w:name="_Toc158691774"/>
      <w:r/>
      <w:bookmarkStart w:id="104" w:name="_Toc315875321"/>
      <w:r>
        <w:rPr>
          <w:rFonts w:hint="eastAsia" w:ascii="宋体" w:hAnsi="宋体" w:eastAsia="宋体" w:cs="宋体"/>
          <w:color w:val="auto"/>
          <w:highlight w:val="none"/>
        </w:rPr>
        <w:t xml:space="preserve">第三章 合同</w:t>
      </w:r>
      <w:bookmarkEnd w:id="100"/>
      <w:r>
        <w:rPr>
          <w:rFonts w:hint="eastAsia" w:ascii="宋体" w:hAnsi="宋体" w:eastAsia="宋体" w:cs="宋体"/>
          <w:color w:val="auto"/>
          <w:highlight w:val="none"/>
        </w:rPr>
        <w:t xml:space="preserve">文本</w:t>
      </w:r>
      <w:bookmarkEnd w:id="101"/>
      <w:r/>
      <w:r/>
    </w:p>
    <w:p>
      <w:pPr>
        <w:ind w:right="105" w:firstLine="6720"/>
        <w:spacing w:before="305"/>
        <w:rPr>
          <w:rFonts w:hint="eastAsia" w:ascii="宋体" w:hAnsi="宋体" w:eastAsia="宋体" w:cs="宋体"/>
          <w:b/>
          <w:bCs/>
          <w:color w:val="auto"/>
          <w:sz w:val="72"/>
          <w:szCs w:val="72"/>
          <w:highlight w:val="none"/>
        </w:rPr>
      </w:pPr>
      <w:r>
        <w:rPr>
          <w:rFonts w:hint="eastAsia" w:ascii="宋体" w:hAnsi="宋体" w:eastAsia="宋体" w:cs="宋体"/>
          <w:color w:val="auto"/>
          <w:sz w:val="24"/>
          <w:szCs w:val="24"/>
          <w:highlight w:val="none"/>
        </w:rPr>
        <w:t xml:space="preserve">合同编号：</w:t>
      </w:r>
      <w:r/>
    </w:p>
    <w:p>
      <w:pPr>
        <w:ind w:right="105" w:firstLine="2530"/>
        <w:spacing w:before="305"/>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ind w:right="105" w:firstLine="2530"/>
        <w:spacing w:before="305"/>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政府采购合同</w:t>
      </w:r>
      <w:r/>
    </w:p>
    <w:p>
      <w:pPr>
        <w:ind w:firstLine="1807"/>
        <w:spacing w:line="420" w:lineRule="exact"/>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ind w:firstLine="1807"/>
        <w:spacing w:line="420" w:lineRule="exact"/>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ind w:firstLine="200"/>
        <w:jc w:val="center"/>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第一部分 合同书</w:t>
      </w:r>
      <w:r/>
    </w:p>
    <w:p>
      <w:pPr>
        <w:spacing w:before="120" w:after="160" w:line="22"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before="120" w:after="160" w:line="22" w:lineRule="atLeast"/>
        <w:widowControl/>
        <w:rPr>
          <w:rFonts w:hint="eastAsia" w:ascii="宋体" w:hAnsi="宋体" w:eastAsia="宋体" w:cs="宋体"/>
          <w:b/>
          <w:bCs/>
          <w:color w:val="auto"/>
          <w:sz w:val="36"/>
          <w:szCs w:val="36"/>
          <w:highlight w:val="none"/>
          <w:u w:val="single"/>
          <w:lang w:eastAsia="zh-CN"/>
        </w:rPr>
      </w:pPr>
      <w:r>
        <w:rPr>
          <w:rFonts w:hint="eastAsia" w:ascii="宋体" w:hAnsi="宋体" w:eastAsia="宋体" w:cs="宋体"/>
          <w:b/>
          <w:bCs/>
          <w:color w:val="auto"/>
          <w:spacing w:val="-6"/>
          <w:sz w:val="36"/>
          <w:szCs w:val="36"/>
          <w:highlight w:val="none"/>
        </w:rPr>
        <w:t xml:space="preserve">项目名称：</w:t>
      </w:r>
      <w:r>
        <w:rPr>
          <w:rFonts w:hint="eastAsia" w:ascii="宋体" w:hAnsi="宋体" w:eastAsia="宋体" w:cs="宋体"/>
          <w:color w:val="auto"/>
          <w:spacing w:val="-6"/>
          <w:sz w:val="36"/>
          <w:szCs w:val="36"/>
          <w:highlight w:val="none"/>
          <w:u w:val="single"/>
          <w:lang w:eastAsia="zh-CN"/>
        </w:rPr>
        <w:t xml:space="preserve">高新区2026-2028年限值限量监测站点运维服务</w:t>
      </w:r>
      <w:r/>
    </w:p>
    <w:p>
      <w:pPr>
        <w:ind w:firstLine="1807"/>
        <w:spacing w:before="120" w:after="160" w:line="22" w:lineRule="atLeast"/>
        <w:widowControl/>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项目编号：</w:t>
      </w:r>
      <w:r>
        <w:rPr>
          <w:rFonts w:hint="eastAsia" w:ascii="宋体" w:hAnsi="宋体" w:cs="宋体"/>
          <w:color w:val="auto"/>
          <w:sz w:val="36"/>
          <w:szCs w:val="36"/>
          <w:highlight w:val="none"/>
          <w:u w:val="single"/>
          <w:lang w:eastAsia="zh-CN"/>
        </w:rPr>
        <w:t xml:space="preserve">JSZC-320581-HXGW-G2026-0030</w:t>
      </w:r>
      <w:r/>
    </w:p>
    <w:p>
      <w:pPr>
        <w:ind w:firstLine="1807"/>
        <w:spacing w:line="420" w:lineRule="exact"/>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ind w:left="960" w:firstLine="840"/>
        <w:spacing w:before="120" w:line="22" w:lineRule="atLeas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甲方（采  购  人）：</w:t>
      </w:r>
      <w:r>
        <w:rPr>
          <w:rFonts w:hint="eastAsia" w:ascii="宋体" w:hAnsi="宋体" w:eastAsia="宋体" w:cs="宋体"/>
          <w:bCs/>
          <w:color w:val="auto"/>
          <w:sz w:val="24"/>
          <w:szCs w:val="24"/>
          <w:highlight w:val="none"/>
          <w:u w:val="single"/>
        </w:rPr>
        <w:t xml:space="preserve">                                   </w:t>
      </w:r>
      <w:r/>
    </w:p>
    <w:p>
      <w:pPr>
        <w:ind w:left="960" w:firstLine="840"/>
        <w:spacing w:before="120" w:line="22" w:lineRule="atLeas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乙方（中  标  人）：</w:t>
      </w:r>
      <w:r>
        <w:rPr>
          <w:rFonts w:hint="eastAsia" w:ascii="宋体" w:hAnsi="宋体" w:eastAsia="宋体" w:cs="宋体"/>
          <w:bCs/>
          <w:color w:val="auto"/>
          <w:sz w:val="24"/>
          <w:szCs w:val="24"/>
          <w:highlight w:val="none"/>
          <w:u w:val="single"/>
        </w:rPr>
        <w:t xml:space="preserve">                                   </w:t>
      </w:r>
      <w:r/>
    </w:p>
    <w:p>
      <w:pPr>
        <w:ind w:left="960" w:firstLine="840"/>
        <w:spacing w:before="120" w:line="22" w:lineRule="atLeas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信用融资回款账户：</w:t>
      </w:r>
      <w:r>
        <w:rPr>
          <w:rFonts w:hint="eastAsia" w:ascii="宋体" w:hAnsi="宋体" w:eastAsia="宋体" w:cs="宋体"/>
          <w:bCs/>
          <w:color w:val="auto"/>
          <w:sz w:val="24"/>
          <w:szCs w:val="24"/>
          <w:highlight w:val="none"/>
          <w:u w:val="single"/>
        </w:rPr>
        <w:t xml:space="preserve">                                   </w:t>
      </w:r>
      <w:r/>
    </w:p>
    <w:p>
      <w:pPr>
        <w:ind w:left="960" w:firstLine="840"/>
        <w:spacing w:before="120" w:line="22"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w:t>
      </w:r>
      <w:r>
        <w:rPr>
          <w:rFonts w:hint="eastAsia" w:ascii="宋体" w:hAnsi="宋体" w:eastAsia="宋体" w:cs="宋体"/>
          <w:bCs/>
          <w:color w:val="auto"/>
          <w:sz w:val="24"/>
          <w:szCs w:val="24"/>
          <w:highlight w:val="none"/>
          <w:u w:val="single"/>
        </w:rPr>
        <w:t xml:space="preserve">                                   </w:t>
      </w:r>
      <w:r/>
    </w:p>
    <w:p>
      <w:pPr>
        <w:ind w:firstLine="1800"/>
        <w:spacing w:before="120" w:line="22" w:lineRule="atLeas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签 订 地：</w:t>
      </w:r>
      <w:r>
        <w:rPr>
          <w:rFonts w:hint="eastAsia" w:ascii="宋体" w:hAnsi="宋体" w:eastAsia="宋体" w:cs="宋体"/>
          <w:bCs/>
          <w:color w:val="auto"/>
          <w:sz w:val="24"/>
          <w:szCs w:val="24"/>
          <w:highlight w:val="none"/>
          <w:u w:val="single"/>
        </w:rPr>
        <w:t xml:space="preserve">            常熟市                </w:t>
      </w:r>
      <w:r/>
    </w:p>
    <w:p>
      <w:pPr>
        <w:ind w:firstLine="1800"/>
        <w:spacing w:before="120" w:line="22" w:lineRule="atLeas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pacing w:line="440" w:lineRule="exact"/>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u w:val="single"/>
          <w:lang w:val="zh-CN"/>
        </w:rPr>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rPr>
        <w:br w:type="page" w:clear="all"/>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（采购人名称）   </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公开招标</w:t>
      </w:r>
      <w:r>
        <w:rPr>
          <w:rFonts w:hint="eastAsia" w:ascii="宋体" w:hAnsi="宋体" w:eastAsia="宋体" w:cs="宋体"/>
          <w:color w:val="auto"/>
          <w:sz w:val="24"/>
          <w:szCs w:val="24"/>
          <w:highlight w:val="none"/>
        </w:rPr>
        <w:t xml:space="preserve"> 对</w:t>
      </w:r>
      <w:r>
        <w:rPr>
          <w:rFonts w:hint="eastAsia" w:ascii="宋体" w:hAnsi="宋体" w:eastAsia="宋体" w:cs="宋体"/>
          <w:color w:val="auto"/>
          <w:sz w:val="24"/>
          <w:szCs w:val="24"/>
          <w:highlight w:val="none"/>
          <w:u w:val="single"/>
        </w:rPr>
        <w:t xml:space="preserve">   （同前页项目名称）   </w:t>
      </w:r>
      <w:r>
        <w:rPr>
          <w:rFonts w:hint="eastAsia" w:ascii="宋体" w:hAnsi="宋体" w:eastAsia="宋体" w:cs="宋体"/>
          <w:color w:val="auto"/>
          <w:sz w:val="24"/>
          <w:szCs w:val="24"/>
          <w:highlight w:val="none"/>
        </w:rPr>
        <w:t xml:space="preserve">项目进行了采购。经</w:t>
      </w:r>
      <w:r>
        <w:rPr>
          <w:rFonts w:hint="eastAsia" w:ascii="宋体" w:hAnsi="宋体" w:eastAsia="宋体" w:cs="宋体"/>
          <w:color w:val="auto"/>
          <w:sz w:val="24"/>
          <w:szCs w:val="24"/>
          <w:highlight w:val="none"/>
          <w:u w:val="single"/>
        </w:rPr>
        <w:t xml:space="preserve">评标委员会</w:t>
      </w:r>
      <w:r>
        <w:rPr>
          <w:rFonts w:hint="eastAsia" w:ascii="宋体" w:hAnsi="宋体" w:eastAsia="宋体" w:cs="宋体"/>
          <w:color w:val="auto"/>
          <w:sz w:val="24"/>
          <w:szCs w:val="24"/>
          <w:highlight w:val="none"/>
        </w:rPr>
        <w:t xml:space="preserve">评定，</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rPr>
        <w:t xml:space="preserve">为该项目中标人。现于中标通知书发出之日起三十日内，按照采购文件确定的事项签订本合同。</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bookmarkStart w:id="105" w:name="_Hlk63008672"/>
      <w:r/>
      <w:bookmarkStart w:id="106" w:name="_Hlk63008690"/>
      <w:r>
        <w:rPr>
          <w:rFonts w:hint="eastAsia" w:ascii="宋体" w:hAnsi="宋体" w:eastAsia="宋体" w:cs="宋体"/>
          <w:color w:val="auto"/>
          <w:sz w:val="24"/>
          <w:szCs w:val="24"/>
          <w:highlight w:val="none"/>
        </w:rPr>
        <w:t xml:space="preserve">根据《中华人民共和国政府采购法》及其实施条例、《中华人民共和国民法典》</w:t>
      </w:r>
      <w:bookmarkEnd w:id="105"/>
      <w:r>
        <w:rPr>
          <w:rFonts w:hint="eastAsia" w:ascii="宋体" w:hAnsi="宋体" w:eastAsia="宋体" w:cs="宋体"/>
          <w:color w:val="auto"/>
          <w:sz w:val="24"/>
          <w:szCs w:val="24"/>
          <w:highlight w:val="none"/>
        </w:rPr>
        <w:t xml:space="preserve">等法律法规的规定</w:t>
      </w:r>
      <w:bookmarkEnd w:id="106"/>
      <w:r>
        <w:rPr>
          <w:rFonts w:hint="eastAsia" w:ascii="宋体" w:hAnsi="宋体" w:eastAsia="宋体" w:cs="宋体"/>
          <w:color w:val="auto"/>
          <w:sz w:val="24"/>
          <w:szCs w:val="24"/>
          <w:highlight w:val="none"/>
          <w:lang w:val="zh-CN"/>
        </w:rPr>
        <w:t xml:space="preserve">，按照平等、自愿、公平和诚实信用的原则，经</w:t>
      </w:r>
      <w:r>
        <w:rPr>
          <w:rFonts w:hint="eastAsia" w:ascii="宋体" w:hAnsi="宋体" w:eastAsia="宋体" w:cs="宋体"/>
          <w:color w:val="auto"/>
          <w:sz w:val="24"/>
          <w:szCs w:val="24"/>
          <w:highlight w:val="none"/>
          <w:u w:val="single"/>
          <w:lang w:eastAsia="zh-CN"/>
        </w:rPr>
        <w:t xml:space="preserve">常熟高新技术产业开发区管理委员会</w:t>
      </w:r>
      <w:r>
        <w:rPr>
          <w:rFonts w:hint="eastAsia" w:ascii="宋体" w:hAnsi="宋体" w:eastAsia="宋体" w:cs="宋体"/>
          <w:color w:val="auto"/>
          <w:sz w:val="24"/>
          <w:szCs w:val="24"/>
          <w:highlight w:val="none"/>
          <w:lang w:val="zh-CN"/>
        </w:rPr>
        <w:t xml:space="preserve">(以下简称：甲方)和</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lang w:val="zh-CN"/>
        </w:rPr>
        <w:t xml:space="preserve">(以下简称：乙方)协商一致，约定以下合同</w:t>
      </w:r>
      <w:r>
        <w:rPr>
          <w:rFonts w:hint="eastAsia" w:ascii="宋体" w:hAnsi="宋体" w:eastAsia="宋体" w:cs="宋体"/>
          <w:color w:val="auto"/>
          <w:sz w:val="24"/>
          <w:szCs w:val="24"/>
          <w:highlight w:val="none"/>
        </w:rPr>
        <w:t xml:space="preserve">条款，以兹共同遵守、全面履行。</w:t>
      </w:r>
      <w:r/>
    </w:p>
    <w:p>
      <w:pPr>
        <w:keepLines w:val="0"/>
        <w:keepNext w:val="0"/>
        <w:pageBreakBefore w:val="0"/>
        <w:spacing w:line="460" w:lineRule="exact"/>
        <w:rPr>
          <w:rFonts w:hint="eastAsia" w:ascii="宋体" w:hAnsi="宋体" w:eastAsia="宋体" w:cs="宋体"/>
          <w:color w:val="auto"/>
          <w:sz w:val="24"/>
          <w:szCs w:val="24"/>
          <w:highlight w:val="none"/>
        </w:rPr>
      </w:pPr>
      <w:r/>
      <w:bookmarkStart w:id="107" w:name="_Toc20421"/>
      <w:r/>
      <w:bookmarkStart w:id="108" w:name="_Toc15367"/>
      <w:r/>
      <w:bookmarkStart w:id="109" w:name="_Toc22967"/>
      <w:r/>
      <w:bookmarkStart w:id="110" w:name="_Toc19273"/>
      <w:r/>
      <w:bookmarkStart w:id="111" w:name="_Toc28855"/>
      <w:r>
        <w:rPr>
          <w:rFonts w:hint="eastAsia" w:ascii="宋体" w:hAnsi="宋体" w:eastAsia="宋体" w:cs="宋体"/>
          <w:b/>
          <w:color w:val="auto"/>
          <w:sz w:val="24"/>
          <w:szCs w:val="24"/>
          <w:highlight w:val="none"/>
        </w:rPr>
        <w:t xml:space="preserve">1.1 合同组成部分</w:t>
      </w:r>
      <w:bookmarkEnd w:id="107"/>
      <w:r/>
      <w:bookmarkEnd w:id="108"/>
      <w:r/>
      <w:bookmarkEnd w:id="109"/>
      <w:r/>
      <w:bookmarkEnd w:id="110"/>
      <w:r/>
      <w:bookmarkEnd w:id="111"/>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本合同及其补充合同、变更协议。</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中标通知书。</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投标文件（含澄清或者说明文件）。</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招标文件（含澄清或者修改文件）。</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其他相关采购文件。</w:t>
      </w:r>
      <w:r/>
    </w:p>
    <w:p>
      <w:pPr>
        <w:keepLines w:val="0"/>
        <w:keepNext w:val="0"/>
        <w:pageBreakBefore w:val="0"/>
        <w:spacing w:line="460" w:lineRule="exact"/>
        <w:rPr>
          <w:rFonts w:hint="eastAsia" w:ascii="宋体" w:hAnsi="宋体" w:eastAsia="宋体" w:cs="宋体"/>
          <w:b/>
          <w:color w:val="auto"/>
          <w:sz w:val="24"/>
          <w:szCs w:val="24"/>
          <w:highlight w:val="none"/>
        </w:rPr>
      </w:pPr>
      <w:r/>
      <w:bookmarkStart w:id="112" w:name="_Toc22185"/>
      <w:r/>
      <w:bookmarkStart w:id="113" w:name="_Toc6311"/>
      <w:r/>
      <w:bookmarkStart w:id="114" w:name="_Toc18585"/>
      <w:r/>
      <w:bookmarkStart w:id="115" w:name="_Toc2918"/>
      <w:r/>
      <w:bookmarkStart w:id="116" w:name="_Toc6773"/>
      <w:r>
        <w:rPr>
          <w:rFonts w:hint="eastAsia" w:ascii="宋体" w:hAnsi="宋体" w:eastAsia="宋体" w:cs="宋体"/>
          <w:b/>
          <w:color w:val="auto"/>
          <w:sz w:val="24"/>
          <w:szCs w:val="24"/>
          <w:highlight w:val="none"/>
        </w:rPr>
        <w:t xml:space="preserve">1.2 标的</w:t>
      </w:r>
      <w:bookmarkEnd w:id="112"/>
      <w:r/>
      <w:bookmarkEnd w:id="113"/>
      <w:r/>
      <w:bookmarkEnd w:id="114"/>
      <w:r/>
      <w:bookmarkEnd w:id="115"/>
      <w:r/>
      <w:bookmarkEnd w:id="116"/>
      <w:r/>
      <w:r/>
    </w:p>
    <w:p>
      <w:pPr>
        <w:ind w:firstLine="480"/>
        <w:keepLines w:val="0"/>
        <w:keepNext w:val="0"/>
        <w:pageBreakBefore w:val="0"/>
        <w:spacing w:line="4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1.2.1 标的名称：</w:t>
      </w:r>
      <w:r>
        <w:rPr>
          <w:rFonts w:hint="eastAsia" w:ascii="宋体" w:hAnsi="宋体" w:eastAsia="宋体" w:cs="宋体"/>
          <w:color w:val="auto"/>
          <w:sz w:val="24"/>
          <w:szCs w:val="24"/>
          <w:highlight w:val="none"/>
          <w:u w:val="single"/>
          <w:lang w:eastAsia="zh-CN"/>
        </w:rPr>
        <w:t xml:space="preserve">高新区2026-2028年限值限量监测站点运维服务</w:t>
      </w:r>
      <w:r>
        <w:rPr>
          <w:rFonts w:hint="eastAsia" w:ascii="宋体" w:hAnsi="宋体" w:eastAsia="宋体" w:cs="宋体"/>
          <w:color w:val="auto"/>
          <w:sz w:val="24"/>
          <w:szCs w:val="24"/>
          <w:highlight w:val="none"/>
          <w:u w:val="single"/>
        </w:rPr>
        <w:t xml:space="preserve">。</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标的数量：</w:t>
      </w:r>
      <w:r>
        <w:rPr>
          <w:rFonts w:hint="eastAsia" w:ascii="宋体" w:hAnsi="宋体" w:eastAsia="宋体" w:cs="宋体"/>
          <w:color w:val="auto"/>
          <w:sz w:val="24"/>
          <w:szCs w:val="24"/>
          <w:highlight w:val="none"/>
          <w:u w:val="single"/>
        </w:rPr>
        <w:t xml:space="preserve">1项。</w:t>
      </w:r>
      <w:r/>
    </w:p>
    <w:p>
      <w:pPr>
        <w:ind w:firstLine="480"/>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color w:val="auto"/>
          <w:sz w:val="24"/>
          <w:szCs w:val="24"/>
          <w:highlight w:val="none"/>
        </w:rPr>
        <w:t xml:space="preserve">1.2.3 </w:t>
      </w:r>
      <w:r>
        <w:rPr>
          <w:rFonts w:hint="eastAsia" w:ascii="宋体" w:hAnsi="宋体" w:eastAsia="宋体" w:cs="宋体"/>
          <w:color w:val="auto"/>
          <w:sz w:val="24"/>
          <w:szCs w:val="24"/>
          <w:highlight w:val="none"/>
          <w:lang w:val="en-US" w:eastAsia="zh-CN"/>
        </w:rPr>
        <w:t xml:space="preserve">运行维护站点清单</w:t>
      </w:r>
      <w:r>
        <w:rPr>
          <w:rFonts w:hint="eastAsia" w:ascii="宋体" w:hAnsi="宋体" w:eastAsia="宋体" w:cs="宋体"/>
          <w:color w:val="auto"/>
          <w:sz w:val="24"/>
          <w:szCs w:val="24"/>
          <w:highlight w:val="none"/>
        </w:rPr>
        <w:t xml:space="preserve">：</w:t>
      </w:r>
      <w:r/>
    </w:p>
    <w:tbl>
      <w:tblPr>
        <w:tblStyle w:val="910"/>
        <w:tblW w:w="4573" w:type="pct"/>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992"/>
        <w:gridCol w:w="4701"/>
        <w:gridCol w:w="837"/>
        <w:gridCol w:w="777"/>
      </w:tblGrid>
      <w:tr>
        <w:trPr>
          <w:trHeight w:val="573"/>
        </w:trPr>
        <w:tc>
          <w:tcPr>
            <w:tcW w:w="402" w:type="pct"/>
            <w:vAlign w:val="center"/>
            <w:textDirection w:val="lrTb"/>
            <w:noWrap w:val="false"/>
          </w:tcPr>
          <w:p>
            <w:pPr>
              <w:jc w:val="cente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1102"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服务名称</w:t>
            </w:r>
            <w:r/>
          </w:p>
        </w:tc>
        <w:tc>
          <w:tcPr>
            <w:tcW w:w="2601"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运维设备/站点名称</w:t>
            </w:r>
            <w:r/>
          </w:p>
        </w:tc>
        <w:tc>
          <w:tcPr>
            <w:tcBorders>
              <w:left w:val="single" w:color="000000" w:sz="4" w:space="0"/>
              <w:right w:val="single" w:color="000000" w:sz="4" w:space="0"/>
            </w:tcBorders>
            <w:tcW w:w="463"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p>
        </w:tc>
        <w:tc>
          <w:tcPr>
            <w:tcBorders>
              <w:left w:val="single" w:color="000000" w:sz="4" w:space="0"/>
            </w:tcBorders>
            <w:tcW w:w="430"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trHeight w:val="416"/>
        </w:trPr>
        <w:tc>
          <w:tcPr>
            <w:tcW w:w="402" w:type="pct"/>
            <w:vAlign w:val="center"/>
            <w:vMerge w:val="restart"/>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02" w:type="pct"/>
            <w:vAlign w:val="center"/>
            <w:vMerge w:val="restart"/>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常熟高新区限值限量监测站点运维服务</w:t>
            </w:r>
            <w:r/>
          </w:p>
        </w:tc>
        <w:tc>
          <w:tcPr>
            <w:tcW w:w="4701" w:type="dxa"/>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VOCs监测设备（EXPEC 2000-315P/315H）</w:t>
            </w:r>
            <w:r/>
          </w:p>
        </w:tc>
        <w:tc>
          <w:tcPr>
            <w:tcBorders>
              <w:left w:val="single" w:color="000000" w:sz="4" w:space="0"/>
              <w:right w:val="single" w:color="000000" w:sz="4" w:space="0"/>
            </w:tcBorders>
            <w:tcW w:w="463" w:type="pct"/>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2套</w:t>
            </w:r>
            <w:r/>
          </w:p>
        </w:tc>
        <w:tc>
          <w:tcPr>
            <w:tcBorders>
              <w:left w:val="single" w:color="000000" w:sz="4" w:space="0"/>
            </w:tcBorders>
            <w:tcW w:w="430" w:type="pct"/>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1"/>
        </w:trPr>
        <w:tc>
          <w:tcPr>
            <w:tcW w:w="402" w:type="pct"/>
            <w:vAlign w:val="center"/>
            <w:vMerge w:val="continue"/>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2" w:type="pct"/>
            <w:vAlign w:val="center"/>
            <w:vMerge w:val="continue"/>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701" w:type="dxa"/>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标准9参数水质自动监测站</w:t>
            </w:r>
            <w:r/>
          </w:p>
        </w:tc>
        <w:tc>
          <w:tcPr>
            <w:tcBorders>
              <w:left w:val="single" w:color="000000" w:sz="4" w:space="0"/>
              <w:right w:val="single" w:color="000000" w:sz="4" w:space="0"/>
            </w:tcBorders>
            <w:tcW w:w="463" w:type="pct"/>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1站</w:t>
            </w:r>
            <w:r/>
          </w:p>
        </w:tc>
        <w:tc>
          <w:tcPr>
            <w:tcBorders>
              <w:left w:val="single" w:color="000000" w:sz="4" w:space="0"/>
            </w:tcBorders>
            <w:tcW w:w="430" w:type="pct"/>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73"/>
        </w:trPr>
        <w:tc>
          <w:tcPr>
            <w:tcW w:w="402" w:type="pct"/>
            <w:vAlign w:val="center"/>
            <w:vMerge w:val="continue"/>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2" w:type="pct"/>
            <w:vAlign w:val="center"/>
            <w:vMerge w:val="continue"/>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701" w:type="dxa"/>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水质总镍</w:t>
            </w:r>
            <w:r/>
          </w:p>
        </w:tc>
        <w:tc>
          <w:tcPr>
            <w:tcBorders>
              <w:left w:val="single" w:color="000000" w:sz="4" w:space="0"/>
              <w:right w:val="single" w:color="000000" w:sz="4" w:space="0"/>
            </w:tcBorders>
            <w:tcW w:w="463" w:type="pct"/>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p>
        </w:tc>
        <w:tc>
          <w:tcPr>
            <w:tcBorders>
              <w:left w:val="single" w:color="000000" w:sz="4" w:space="0"/>
            </w:tcBorders>
            <w:tcW w:w="430" w:type="pct"/>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70"/>
        </w:trPr>
        <w:tc>
          <w:tcPr>
            <w:tcW w:w="402" w:type="pct"/>
            <w:vAlign w:val="center"/>
            <w:vMerge w:val="continue"/>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2" w:type="pct"/>
            <w:vAlign w:val="center"/>
            <w:vMerge w:val="continue"/>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701" w:type="dxa"/>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微型空气站</w:t>
            </w:r>
            <w:r/>
          </w:p>
        </w:tc>
        <w:tc>
          <w:tcPr>
            <w:tcBorders>
              <w:left w:val="single" w:color="000000" w:sz="4" w:space="0"/>
              <w:right w:val="single" w:color="000000" w:sz="4" w:space="0"/>
            </w:tcBorders>
            <w:tcW w:w="463" w:type="pct"/>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31套</w:t>
            </w:r>
            <w:r/>
          </w:p>
        </w:tc>
        <w:tc>
          <w:tcPr>
            <w:tcBorders>
              <w:left w:val="single" w:color="000000" w:sz="4" w:space="0"/>
            </w:tcBorders>
            <w:tcW w:w="430" w:type="pct"/>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keepLines w:val="0"/>
        <w:keepNext w:val="0"/>
        <w:pageBreakBefore w:val="0"/>
        <w:spacing w:line="460" w:lineRule="exact"/>
        <w:widowControl w:val="off"/>
        <w:rPr>
          <w:rFonts w:hint="eastAsia" w:ascii="宋体" w:hAnsi="宋体" w:eastAsia="宋体" w:cs="宋体"/>
          <w:b/>
          <w:color w:val="auto"/>
          <w:sz w:val="24"/>
          <w:szCs w:val="24"/>
          <w:highlight w:val="none"/>
        </w:rPr>
      </w:pPr>
      <w:r/>
      <w:bookmarkStart w:id="117" w:name="_Toc21124"/>
      <w:r/>
      <w:bookmarkStart w:id="118" w:name="_Toc1386"/>
      <w:r/>
      <w:bookmarkStart w:id="119" w:name="_Toc5635"/>
      <w:r/>
      <w:bookmarkStart w:id="120" w:name="_Toc4929"/>
      <w:r/>
      <w:bookmarkStart w:id="121" w:name="_Toc13918"/>
      <w:r>
        <w:rPr>
          <w:rFonts w:hint="eastAsia" w:ascii="宋体" w:hAnsi="宋体" w:eastAsia="宋体" w:cs="宋体"/>
          <w:b/>
          <w:color w:val="auto"/>
          <w:sz w:val="24"/>
          <w:szCs w:val="24"/>
          <w:highlight w:val="none"/>
        </w:rPr>
        <w:t xml:space="preserve">1.3 价款</w:t>
      </w:r>
      <w:bookmarkEnd w:id="117"/>
      <w:r/>
      <w:bookmarkEnd w:id="118"/>
      <w:r/>
      <w:bookmarkEnd w:id="119"/>
      <w:r/>
      <w:bookmarkEnd w:id="120"/>
      <w:r/>
      <w:bookmarkEnd w:id="121"/>
      <w:r/>
      <w:r/>
    </w:p>
    <w:p>
      <w:pPr>
        <w:ind w:firstLine="480"/>
        <w:keepLines w:val="0"/>
        <w:keepNext w:val="0"/>
        <w:pageBreakBefore w:val="0"/>
        <w:spacing w:line="450" w:lineRule="exact"/>
        <w:widowControl w:val="off"/>
        <w:rPr>
          <w:rFonts w:hint="eastAsia" w:ascii="宋体" w:hAnsi="宋体" w:eastAsia="宋体" w:cs="宋体"/>
          <w:color w:val="auto"/>
          <w:sz w:val="24"/>
          <w:szCs w:val="24"/>
          <w:highlight w:val="none"/>
          <w:lang w:val="en-US" w:eastAsia="zh-CN"/>
        </w:rPr>
      </w:pPr>
      <w:r/>
      <w:bookmarkStart w:id="122" w:name="_Toc3654"/>
      <w:r/>
      <w:bookmarkStart w:id="123" w:name="_Toc26916"/>
      <w:r/>
      <w:bookmarkStart w:id="124" w:name="_Toc14993"/>
      <w:r/>
      <w:bookmarkStart w:id="125" w:name="_Toc30506"/>
      <w:r/>
      <w:bookmarkStart w:id="126" w:name="_Toc30158"/>
      <w:r>
        <w:rPr>
          <w:rFonts w:hint="eastAsia" w:ascii="宋体" w:hAnsi="宋体" w:eastAsia="宋体" w:cs="宋体"/>
          <w:color w:val="auto"/>
          <w:sz w:val="24"/>
          <w:szCs w:val="24"/>
          <w:highlight w:val="none"/>
          <w:lang w:val="en-US" w:eastAsia="zh-CN"/>
        </w:rPr>
        <w:t xml:space="preserve">1.3.1</w:t>
      </w:r>
      <w:r>
        <w:rPr>
          <w:rFonts w:hint="eastAsia" w:ascii="宋体" w:hAnsi="宋体" w:eastAsia="宋体" w:cs="宋体"/>
          <w:color w:val="auto"/>
          <w:sz w:val="24"/>
          <w:szCs w:val="24"/>
          <w:highlight w:val="none"/>
        </w:rPr>
        <w:t xml:space="preserve">本合同项下所有款项均以人民币支付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val="en-US" w:eastAsia="zh-CN"/>
        </w:rPr>
        <w:t xml:space="preserve">总价</w:t>
      </w:r>
      <w:r>
        <w:rPr>
          <w:rFonts w:hint="eastAsia" w:ascii="宋体" w:hAnsi="宋体" w:eastAsia="宋体" w:cs="宋体"/>
          <w:color w:val="auto"/>
          <w:sz w:val="24"/>
          <w:szCs w:val="24"/>
          <w:highlight w:val="none"/>
        </w:rPr>
        <w:t xml:space="preserve">合同方式结算</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5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1.3.2</w:t>
      </w:r>
      <w:r>
        <w:rPr>
          <w:rFonts w:hint="eastAsia" w:ascii="宋体" w:hAnsi="宋体" w:eastAsia="宋体" w:cs="宋体"/>
          <w:color w:val="auto"/>
          <w:sz w:val="24"/>
          <w:szCs w:val="24"/>
          <w:highlight w:val="none"/>
        </w:rPr>
        <w:t xml:space="preserve">本合同项</w:t>
      </w:r>
      <w:r>
        <w:rPr>
          <w:rFonts w:hint="eastAsia" w:ascii="宋体" w:hAnsi="宋体" w:eastAsia="宋体" w:cs="宋体"/>
          <w:sz w:val="24"/>
          <w:szCs w:val="22"/>
          <w:highlight w:val="none"/>
        </w:rPr>
        <w:t xml:space="preserve">下</w:t>
      </w:r>
      <w:r>
        <w:rPr>
          <w:rFonts w:hint="eastAsia" w:ascii="宋体" w:hAnsi="宋体" w:eastAsia="宋体" w:cs="宋体"/>
          <w:sz w:val="24"/>
          <w:szCs w:val="24"/>
          <w:highlight w:val="none"/>
          <w:lang w:eastAsia="zh-CN"/>
        </w:rPr>
        <w:t xml:space="preserve">服务</w:t>
      </w:r>
      <w:r>
        <w:rPr>
          <w:rFonts w:hint="eastAsia" w:ascii="宋体" w:hAnsi="宋体" w:eastAsia="宋体" w:cs="宋体"/>
          <w:sz w:val="24"/>
          <w:szCs w:val="22"/>
          <w:highlight w:val="none"/>
        </w:rPr>
        <w:t xml:space="preserve">总费用（合同总价）为人民币</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元整（大写</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5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1.3.3</w:t>
      </w:r>
      <w:r>
        <w:rPr>
          <w:rFonts w:hint="eastAsia" w:ascii="宋体" w:hAnsi="宋体" w:eastAsia="宋体" w:cs="宋体"/>
          <w:sz w:val="24"/>
          <w:szCs w:val="22"/>
          <w:highlight w:val="none"/>
        </w:rPr>
        <w:t xml:space="preserve">本合同执行期间合同总价不变</w:t>
      </w:r>
      <w:r>
        <w:rPr>
          <w:rFonts w:hint="eastAsia" w:ascii="宋体" w:hAnsi="宋体" w:eastAsia="宋体" w:cs="宋体"/>
          <w:sz w:val="24"/>
          <w:szCs w:val="22"/>
          <w:highlight w:val="none"/>
          <w:lang w:eastAsia="zh-CN"/>
        </w:rPr>
        <w:t xml:space="preserve">。</w:t>
      </w:r>
      <w:r/>
    </w:p>
    <w:p>
      <w:pPr>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 付款方式、开票方式</w:t>
      </w:r>
      <w:bookmarkEnd w:id="122"/>
      <w:r/>
      <w:bookmarkEnd w:id="123"/>
      <w:r/>
      <w:bookmarkEnd w:id="124"/>
      <w:r/>
      <w:bookmarkEnd w:id="125"/>
      <w:r/>
      <w:bookmarkEnd w:id="126"/>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1.4.1 </w:t>
      </w:r>
      <w:r>
        <w:rPr>
          <w:rFonts w:hint="eastAsia" w:ascii="宋体" w:hAnsi="宋体" w:eastAsia="宋体" w:cs="宋体"/>
          <w:color w:val="auto"/>
          <w:sz w:val="24"/>
          <w:szCs w:val="24"/>
          <w:highlight w:val="none"/>
          <w:lang w:val="en-US" w:eastAsia="zh-CN"/>
        </w:rPr>
        <w:t xml:space="preserve">付款方式：</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第一年运营维护期开始后的3个月内，甲方向乙方支付合同总价的20%作为预付款。</w:t>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第一年运营维护期结束后的2个月内，甲方向乙方支付合同总价的30%。</w:t>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③第二年运营维护期结束后的2个月内，甲方向乙方一次性付清合同余款。</w:t>
      </w:r>
      <w:r/>
    </w:p>
    <w:p>
      <w:pPr>
        <w:ind w:firstLine="482"/>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w:t>
      </w:r>
      <w:r>
        <w:rPr>
          <w:rFonts w:hint="eastAsia" w:ascii="宋体" w:hAnsi="宋体" w:eastAsia="宋体" w:cs="宋体"/>
          <w:b/>
          <w:bCs w:val="0"/>
          <w:color w:val="auto"/>
          <w:sz w:val="24"/>
          <w:szCs w:val="24"/>
          <w:highlight w:val="none"/>
          <w:lang w:val="en-US" w:eastAsia="zh-CN"/>
        </w:rPr>
        <w:t xml:space="preserve">甲方根据季度考核情况，</w:t>
      </w:r>
      <w:r>
        <w:rPr>
          <w:rFonts w:hint="eastAsia" w:ascii="宋体" w:hAnsi="宋体" w:eastAsia="宋体" w:cs="宋体"/>
          <w:b/>
          <w:bCs w:val="0"/>
          <w:color w:val="auto"/>
          <w:sz w:val="24"/>
          <w:szCs w:val="24"/>
          <w:highlight w:val="none"/>
        </w:rPr>
        <w:t xml:space="preserve">考核得分在90分以上（含90分）</w:t>
      </w:r>
      <w:r>
        <w:rPr>
          <w:rFonts w:hint="eastAsia" w:ascii="宋体" w:hAnsi="宋体" w:eastAsia="宋体" w:cs="宋体"/>
          <w:b/>
          <w:bCs w:val="0"/>
          <w:color w:val="auto"/>
          <w:sz w:val="24"/>
          <w:szCs w:val="24"/>
          <w:highlight w:val="none"/>
          <w:lang w:val="en-US" w:eastAsia="zh-CN"/>
        </w:rPr>
        <w:t xml:space="preserve">不扣当季度应付款</w:t>
      </w:r>
      <w:r>
        <w:rPr>
          <w:rFonts w:hint="eastAsia" w:ascii="宋体" w:hAnsi="宋体" w:eastAsia="宋体" w:cs="宋体"/>
          <w:b/>
          <w:bCs w:val="0"/>
          <w:color w:val="auto"/>
          <w:sz w:val="24"/>
          <w:szCs w:val="24"/>
          <w:highlight w:val="none"/>
        </w:rPr>
        <w:t xml:space="preserve">费用；考核得分在70-90分之间（含70分），每低于90分1分，扣除</w:t>
      </w:r>
      <w:r>
        <w:rPr>
          <w:rFonts w:hint="eastAsia" w:ascii="宋体" w:hAnsi="宋体" w:eastAsia="宋体" w:cs="宋体"/>
          <w:b/>
          <w:bCs w:val="0"/>
          <w:color w:val="auto"/>
          <w:sz w:val="24"/>
          <w:szCs w:val="24"/>
          <w:highlight w:val="none"/>
          <w:lang w:val="en-US" w:eastAsia="zh-CN"/>
        </w:rPr>
        <w:t xml:space="preserve">当季度应付款</w:t>
      </w:r>
      <w:r>
        <w:rPr>
          <w:rFonts w:hint="eastAsia" w:ascii="宋体" w:hAnsi="宋体" w:eastAsia="宋体" w:cs="宋体"/>
          <w:b/>
          <w:bCs w:val="0"/>
          <w:color w:val="auto"/>
          <w:sz w:val="24"/>
          <w:szCs w:val="24"/>
          <w:highlight w:val="none"/>
        </w:rPr>
        <w:t xml:space="preserve">费用1%，考核得分70分以下，考核不合格，扣除</w:t>
      </w:r>
      <w:r>
        <w:rPr>
          <w:rFonts w:hint="eastAsia" w:ascii="宋体" w:hAnsi="宋体" w:eastAsia="宋体" w:cs="宋体"/>
          <w:b/>
          <w:bCs w:val="0"/>
          <w:color w:val="auto"/>
          <w:sz w:val="24"/>
          <w:szCs w:val="24"/>
          <w:highlight w:val="none"/>
          <w:lang w:val="en-US" w:eastAsia="zh-CN"/>
        </w:rPr>
        <w:t xml:space="preserve">当季度应付款</w:t>
      </w:r>
      <w:r>
        <w:rPr>
          <w:rFonts w:hint="eastAsia" w:ascii="宋体" w:hAnsi="宋体" w:eastAsia="宋体" w:cs="宋体"/>
          <w:b/>
          <w:bCs w:val="0"/>
          <w:color w:val="auto"/>
          <w:sz w:val="24"/>
          <w:szCs w:val="24"/>
          <w:highlight w:val="none"/>
        </w:rPr>
        <w:t xml:space="preserve">费用1</w:t>
      </w:r>
      <w:r>
        <w:rPr>
          <w:rFonts w:hint="eastAsia" w:ascii="宋体" w:hAnsi="宋体" w:eastAsia="宋体" w:cs="宋体"/>
          <w:b/>
          <w:bCs w:val="0"/>
          <w:color w:val="auto"/>
          <w:sz w:val="24"/>
          <w:szCs w:val="24"/>
          <w:highlight w:val="none"/>
          <w:lang w:val="en-US" w:eastAsia="zh-CN"/>
        </w:rPr>
        <w:t xml:space="preserve">00</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由甲方每季度汇总后，于第二年运营维护期结束后的2个月内付款时一次性扣除考核费用。</w:t>
      </w:r>
      <w:r/>
    </w:p>
    <w:p>
      <w:pPr>
        <w:ind w:firstLine="964"/>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lang w:val="zh-CN"/>
        </w:rPr>
        <w:t xml:space="preserve">以上每次付款前，</w:t>
      </w:r>
      <w:r>
        <w:rPr>
          <w:rFonts w:hint="eastAsia" w:ascii="宋体" w:hAnsi="宋体" w:eastAsia="宋体" w:cs="宋体"/>
          <w:b/>
          <w:bCs/>
          <w:color w:val="auto"/>
          <w:sz w:val="24"/>
          <w:szCs w:val="24"/>
          <w:highlight w:val="none"/>
          <w:lang w:val="en-US" w:eastAsia="zh-CN"/>
        </w:rPr>
        <w:t xml:space="preserve">乙方</w:t>
      </w:r>
      <w:r>
        <w:rPr>
          <w:rFonts w:hint="eastAsia" w:ascii="宋体" w:hAnsi="宋体" w:eastAsia="宋体" w:cs="宋体"/>
          <w:b/>
          <w:bCs/>
          <w:color w:val="auto"/>
          <w:sz w:val="24"/>
          <w:szCs w:val="24"/>
          <w:highlight w:val="none"/>
          <w:lang w:val="zh-CN"/>
        </w:rPr>
        <w:t xml:space="preserve">均应提供符合</w:t>
      </w:r>
      <w:r>
        <w:rPr>
          <w:rFonts w:hint="eastAsia" w:ascii="宋体" w:hAnsi="宋体" w:eastAsia="宋体" w:cs="宋体"/>
          <w:b/>
          <w:bCs/>
          <w:color w:val="auto"/>
          <w:sz w:val="24"/>
          <w:szCs w:val="24"/>
          <w:highlight w:val="none"/>
          <w:lang w:val="en-US" w:eastAsia="zh-CN"/>
        </w:rPr>
        <w:t xml:space="preserve">甲方</w:t>
      </w:r>
      <w:r>
        <w:rPr>
          <w:rFonts w:hint="eastAsia" w:ascii="宋体" w:hAnsi="宋体" w:eastAsia="宋体" w:cs="宋体"/>
          <w:b/>
          <w:bCs/>
          <w:color w:val="auto"/>
          <w:sz w:val="24"/>
          <w:szCs w:val="24"/>
          <w:highlight w:val="none"/>
          <w:lang w:val="zh-CN"/>
        </w:rPr>
        <w:t xml:space="preserve">要求的同等金额的合法有效发票。否则，</w:t>
      </w:r>
      <w:r>
        <w:rPr>
          <w:rFonts w:hint="eastAsia" w:ascii="宋体" w:hAnsi="宋体" w:eastAsia="宋体" w:cs="宋体"/>
          <w:b/>
          <w:bCs/>
          <w:color w:val="auto"/>
          <w:sz w:val="24"/>
          <w:szCs w:val="24"/>
          <w:highlight w:val="none"/>
          <w:lang w:val="en-US" w:eastAsia="zh-CN"/>
        </w:rPr>
        <w:t xml:space="preserve">甲方</w:t>
      </w:r>
      <w:r>
        <w:rPr>
          <w:rFonts w:hint="eastAsia" w:ascii="宋体" w:hAnsi="宋体" w:eastAsia="宋体" w:cs="宋体"/>
          <w:b/>
          <w:bCs/>
          <w:color w:val="auto"/>
          <w:sz w:val="24"/>
          <w:szCs w:val="24"/>
          <w:highlight w:val="none"/>
          <w:lang w:val="zh-CN"/>
        </w:rPr>
        <w:t xml:space="preserve">有权顺延付款时间，且不承担任何违约及/或赔偿责任</w:t>
      </w:r>
      <w:r>
        <w:rPr>
          <w:rFonts w:hint="eastAsia" w:ascii="宋体" w:hAnsi="宋体" w:eastAsia="宋体" w:cs="宋体"/>
          <w:b/>
          <w:color w:val="auto"/>
          <w:sz w:val="24"/>
          <w:szCs w:val="24"/>
          <w:highlight w:val="none"/>
        </w:rPr>
        <w:t xml:space="preserve">。</w:t>
      </w:r>
      <w:r/>
    </w:p>
    <w:p>
      <w:pPr>
        <w:ind w:firstLine="964"/>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）本项目支付方式包括但不限于：数字人民币、现金、银行汇票、转账支票等。</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发票开具方式：</w:t>
      </w:r>
      <w:r>
        <w:rPr>
          <w:rFonts w:hint="eastAsia" w:ascii="宋体" w:hAnsi="宋体" w:eastAsia="宋体" w:cs="宋体"/>
          <w:b/>
          <w:bCs/>
          <w:color w:val="auto"/>
          <w:sz w:val="24"/>
          <w:szCs w:val="24"/>
          <w:highlight w:val="none"/>
          <w:u w:val="single"/>
        </w:rPr>
        <w:t xml:space="preserve">增值税专用发票或增值税普通发票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keepLines w:val="0"/>
        <w:keepNext w:val="0"/>
        <w:pageBreakBefore w:val="0"/>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 服务期限和地点</w:t>
      </w:r>
      <w:r/>
    </w:p>
    <w:p>
      <w:pPr>
        <w:ind w:firstLine="480"/>
        <w:keepLines w:val="0"/>
        <w:keepNext w:val="0"/>
        <w:pageBreakBefore w:val="0"/>
        <w:spacing w:line="4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1.5.1 服务期限：</w:t>
      </w:r>
      <w:r>
        <w:rPr>
          <w:rFonts w:hint="eastAsia" w:ascii="宋体" w:hAnsi="宋体" w:eastAsia="宋体" w:cs="宋体"/>
          <w:color w:val="auto"/>
          <w:sz w:val="24"/>
          <w:szCs w:val="24"/>
          <w:highlight w:val="none"/>
          <w:lang w:eastAsia="zh-CN"/>
        </w:rPr>
        <w:t xml:space="preserve">自合同签订之日起</w:t>
      </w:r>
      <w:r>
        <w:rPr>
          <w:rFonts w:hint="eastAsia" w:ascii="宋体" w:hAnsi="宋体" w:eastAsia="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u w:val="single"/>
          <w:lang w:val="en-US" w:eastAsia="zh-CN"/>
        </w:rPr>
        <w:t xml:space="preserve">202  年  月  日至202  年  月  日</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6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color w:val="auto"/>
          <w:sz w:val="24"/>
          <w:szCs w:val="24"/>
          <w:highlight w:val="none"/>
        </w:rPr>
        <w:t xml:space="preserve">1.5.2 </w:t>
      </w:r>
      <w:r>
        <w:rPr>
          <w:rFonts w:hint="eastAsia" w:ascii="宋体" w:hAnsi="宋体" w:eastAsia="宋体" w:cs="宋体"/>
          <w:bCs/>
          <w:color w:val="auto"/>
          <w:sz w:val="24"/>
          <w:szCs w:val="24"/>
          <w:highlight w:val="none"/>
        </w:rPr>
        <w:t xml:space="preserve">服务地点：</w:t>
      </w:r>
      <w:bookmarkStart w:id="127" w:name="_Toc24662"/>
      <w:r/>
      <w:bookmarkStart w:id="128" w:name="_Toc3079"/>
      <w:r/>
      <w:bookmarkStart w:id="129" w:name="_Toc8586"/>
      <w:r/>
      <w:bookmarkStart w:id="130" w:name="_Toc2375"/>
      <w:r/>
      <w:bookmarkStart w:id="131" w:name="_Toc5698"/>
      <w:r>
        <w:rPr>
          <w:rFonts w:hint="eastAsia" w:ascii="宋体" w:hAnsi="宋体" w:eastAsia="宋体" w:cs="宋体"/>
          <w:sz w:val="24"/>
          <w:szCs w:val="24"/>
          <w:highlight w:val="none"/>
        </w:rPr>
        <w:t xml:space="preserve">甲方指定地点（常熟高新技术产业开发区范围内）</w:t>
      </w:r>
      <w:r>
        <w:rPr>
          <w:rFonts w:hint="eastAsia" w:ascii="宋体" w:hAnsi="宋体" w:eastAsia="宋体" w:cs="宋体"/>
          <w:bCs/>
          <w:color w:val="auto"/>
          <w:sz w:val="24"/>
          <w:szCs w:val="24"/>
          <w:highlight w:val="none"/>
          <w:lang w:eastAsia="zh-CN"/>
        </w:rPr>
        <w:t xml:space="preserve">。</w:t>
      </w:r>
      <w:r/>
    </w:p>
    <w:p>
      <w:pPr>
        <w:keepLines w:val="0"/>
        <w:keepNext w:val="0"/>
        <w:pageBreakBefore w:val="0"/>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 双方权利义务：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1.6.1甲方权利义务</w:t>
      </w:r>
      <w:r/>
    </w:p>
    <w:p>
      <w:pPr>
        <w:ind w:firstLine="60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（1）甲方可指派代表作为项目负责人，与乙方进行及时的联络并监督、协调服务的执行情况。</w:t>
      </w:r>
      <w:r/>
    </w:p>
    <w:p>
      <w:pPr>
        <w:ind w:firstLine="60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2"/>
          <w:highlight w:val="none"/>
          <w:lang w:val="en-US" w:eastAsia="zh-CN"/>
        </w:rPr>
        <w:t xml:space="preserve">向乙方提供服务所需的相关技术资料</w:t>
      </w:r>
      <w:r>
        <w:rPr>
          <w:rFonts w:hint="eastAsia" w:ascii="宋体" w:hAnsi="宋体" w:eastAsia="宋体" w:cs="宋体"/>
          <w:color w:val="auto"/>
          <w:sz w:val="24"/>
          <w:szCs w:val="24"/>
          <w:highlight w:val="none"/>
        </w:rPr>
        <w:t xml:space="preserve">。</w:t>
      </w:r>
      <w:r/>
    </w:p>
    <w:p>
      <w:pPr>
        <w:ind w:firstLine="600"/>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2"/>
          <w:highlight w:val="none"/>
        </w:rPr>
        <w:t xml:space="preserve">甲方按时支付费用</w:t>
      </w:r>
      <w:r>
        <w:rPr>
          <w:rFonts w:hint="eastAsia" w:ascii="宋体" w:hAnsi="宋体" w:eastAsia="宋体" w:cs="宋体"/>
          <w:color w:val="auto"/>
          <w:sz w:val="24"/>
          <w:szCs w:val="22"/>
          <w:highlight w:val="none"/>
          <w:lang w:eastAsia="zh-CN"/>
        </w:rPr>
        <w:t xml:space="preserve">。</w:t>
      </w:r>
      <w:r/>
    </w:p>
    <w:p>
      <w:pPr>
        <w:ind w:firstLine="60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法规、政策规定由甲方承担的其他责任。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1.6.2乙方权利义务</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（1）乙方应及时履行合同一般性义务和文件中规定的具体义务。乙方所提供服务的质量应与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文件规定及投标文件承诺的内容相一致。</w:t>
      </w:r>
      <w:r/>
    </w:p>
    <w:p>
      <w:pPr>
        <w:ind w:firstLine="480"/>
        <w:spacing w:line="4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（2）乙方负责项目的日常管理工作，并对其负担全部责任。</w:t>
      </w:r>
      <w:r>
        <w:rPr>
          <w:rFonts w:hint="eastAsia" w:ascii="宋体" w:hAnsi="宋体" w:eastAsia="宋体" w:cs="宋体"/>
          <w:color w:val="auto"/>
          <w:sz w:val="24"/>
          <w:szCs w:val="24"/>
          <w:highlight w:val="none"/>
          <w:lang w:val="zh-CN"/>
        </w:rPr>
        <w:t xml:space="preserve">乙方根据</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文件所作的承诺自觉开展各项工作。</w:t>
      </w:r>
      <w:r/>
    </w:p>
    <w:p>
      <w:pPr>
        <w:ind w:firstLine="480"/>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乙方有权按照合同获得合同价款；乙方有权根据服务内容的需要，请求甲方予以配合</w:t>
      </w:r>
      <w:r>
        <w:rPr>
          <w:rFonts w:hint="eastAsia" w:ascii="宋体" w:hAnsi="宋体" w:eastAsia="宋体" w:cs="宋体"/>
          <w:color w:val="auto"/>
          <w:sz w:val="24"/>
          <w:szCs w:val="24"/>
          <w:highlight w:val="none"/>
          <w:lang w:eastAsia="zh-CN"/>
        </w:rPr>
        <w:t xml:space="preserve">。</w:t>
      </w:r>
      <w:r/>
    </w:p>
    <w:p>
      <w:pPr>
        <w:ind w:firstLine="480"/>
        <w:spacing w:line="42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乙方应独立承担服务中由乙方原因引起的各类责任（安全责任、用工责任和经济责任等）</w:t>
      </w:r>
      <w:r>
        <w:rPr>
          <w:rFonts w:hint="eastAsia" w:ascii="宋体" w:hAnsi="宋体" w:eastAsia="宋体" w:cs="宋体"/>
          <w:color w:val="auto"/>
          <w:sz w:val="24"/>
          <w:szCs w:val="24"/>
          <w:highlight w:val="none"/>
          <w:lang w:eastAsia="zh-CN"/>
        </w:rPr>
        <w:t xml:space="preserve">。</w:t>
      </w:r>
      <w:r/>
    </w:p>
    <w:p>
      <w:pPr>
        <w:ind w:firstLine="480"/>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00"/>
          <w:sz w:val="24"/>
          <w:szCs w:val="24"/>
          <w:highlight w:val="none"/>
        </w:rPr>
        <w:t xml:space="preserve">乙方根据甲方要求，按规定安排相应人员进行运维服务，在规定期限内完成相应服务。乙方</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文件中明确的项目工作人员应与进场作业人员一致，未经甲方同意不得随意更换，如发现未经甲方许可随意更换人员的，按乙方违约处理</w:t>
      </w:r>
      <w:r>
        <w:rPr>
          <w:rFonts w:hint="eastAsia" w:ascii="宋体" w:hAnsi="宋体" w:eastAsia="宋体" w:cs="宋体"/>
          <w:color w:val="000000"/>
          <w:sz w:val="24"/>
          <w:szCs w:val="24"/>
          <w:highlight w:val="none"/>
          <w:lang w:eastAsia="zh-CN"/>
        </w:rPr>
        <w:t xml:space="preserve">。</w:t>
      </w:r>
      <w:r/>
    </w:p>
    <w:p>
      <w:pPr>
        <w:ind w:firstLine="480"/>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lang w:val="en-US" w:eastAsia="zh-CN"/>
        </w:rPr>
        <w:t xml:space="preserve">服务期限</w:t>
      </w:r>
      <w:r>
        <w:rPr>
          <w:rFonts w:hint="eastAsia" w:ascii="宋体" w:hAnsi="宋体" w:eastAsia="宋体" w:cs="宋体"/>
          <w:color w:val="000000"/>
          <w:sz w:val="24"/>
          <w:szCs w:val="24"/>
          <w:highlight w:val="none"/>
        </w:rPr>
        <w:t xml:space="preserve">（运营维护期）</w:t>
      </w:r>
      <w:r>
        <w:rPr>
          <w:rFonts w:hint="eastAsia" w:ascii="宋体" w:hAnsi="宋体" w:eastAsia="宋体" w:cs="宋体"/>
          <w:color w:val="auto"/>
          <w:sz w:val="24"/>
          <w:highlight w:val="none"/>
          <w:lang w:val="en-US" w:eastAsia="zh-CN"/>
        </w:rPr>
        <w:t xml:space="preserve">内由于乙方工作人员原因造成设备损坏及人身伤害事故，乙方负全责。</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在本合同期内或合同终止后，未经得甲方同意，不得泄露与本项目有关的保密资料。</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lang w:val="zh-CN" w:eastAsia="zh-CN"/>
        </w:rPr>
        <w:t xml:space="preserve">乙方在被授予合同后不得转包，如发现</w:t>
      </w:r>
      <w:r>
        <w:rPr>
          <w:rFonts w:hint="eastAsia" w:ascii="宋体" w:hAnsi="宋体" w:eastAsia="宋体" w:cs="宋体"/>
          <w:color w:val="auto"/>
          <w:sz w:val="24"/>
          <w:szCs w:val="22"/>
          <w:highlight w:val="none"/>
          <w:lang w:val="zh-CN"/>
        </w:rPr>
        <w:t xml:space="preserve">分包或转包，按乙方违约处理，甲方有权解除合同</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）法规、政策规定由乙方承担的其他责任。</w:t>
      </w:r>
      <w:bookmarkEnd w:id="127"/>
      <w:bookmarkEnd w:id="128"/>
      <w:bookmarkEnd w:id="129"/>
      <w:bookmarkEnd w:id="130"/>
      <w:bookmarkEnd w:id="131"/>
      <w:r/>
    </w:p>
    <w:p>
      <w:pPr>
        <w:keepLines w:val="0"/>
        <w:keepNext w:val="0"/>
        <w:pageBreakBefore w:val="0"/>
        <w:spacing w:line="460" w:lineRule="exact"/>
        <w:rPr>
          <w:rFonts w:hint="eastAsia" w:ascii="宋体" w:hAnsi="宋体" w:eastAsia="宋体" w:cs="宋体"/>
          <w:bCs/>
          <w:color w:val="auto"/>
          <w:sz w:val="24"/>
          <w:szCs w:val="24"/>
          <w:highlight w:val="none"/>
          <w:u w:val="single"/>
        </w:rPr>
      </w:pPr>
      <w:r>
        <w:rPr>
          <w:rFonts w:hint="eastAsia" w:ascii="宋体" w:hAnsi="宋体" w:eastAsia="宋体" w:cs="宋体"/>
          <w:b/>
          <w:bCs/>
          <w:color w:val="auto"/>
          <w:sz w:val="24"/>
          <w:szCs w:val="24"/>
          <w:highlight w:val="none"/>
        </w:rPr>
        <w:t xml:space="preserve">1.7 违约责任</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1.7.1甲方未按合同规定期限向乙方支付合同价款的，每逾期一天向乙方偿付欠款总额 </w:t>
      </w:r>
      <w:r>
        <w:rPr>
          <w:rFonts w:hint="eastAsia" w:ascii="宋体" w:hAnsi="宋体" w:eastAsia="宋体" w:cs="宋体"/>
          <w:bCs/>
          <w:color w:val="auto"/>
          <w:sz w:val="24"/>
          <w:szCs w:val="24"/>
          <w:highlight w:val="none"/>
          <w:u w:val="single"/>
        </w:rPr>
        <w:t xml:space="preserve">0.5 </w:t>
      </w:r>
      <w:r>
        <w:rPr>
          <w:rFonts w:hint="eastAsia" w:ascii="宋体" w:hAnsi="宋体" w:eastAsia="宋体" w:cs="宋体"/>
          <w:bCs/>
          <w:color w:val="auto"/>
          <w:sz w:val="24"/>
          <w:szCs w:val="24"/>
          <w:highlight w:val="none"/>
        </w:rPr>
        <w:t xml:space="preserve">％的滞纳金，但累计总额不超过欠款总额的</w:t>
      </w:r>
      <w:r>
        <w:rPr>
          <w:rFonts w:hint="eastAsia" w:ascii="宋体" w:hAnsi="宋体" w:eastAsia="宋体" w:cs="宋体"/>
          <w:bCs/>
          <w:color w:val="auto"/>
          <w:sz w:val="24"/>
          <w:szCs w:val="24"/>
          <w:highlight w:val="none"/>
          <w:u w:val="single"/>
        </w:rPr>
        <w:t xml:space="preserve"> 5 </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1.7.2有下列情形之一的，乙方应当向甲方支付合同约定合同价款金额</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rPr>
        <w:t xml:space="preserve">%（或5万元，以金额较大的为准）的违约金。</w:t>
      </w:r>
      <w:r/>
    </w:p>
    <w:p>
      <w:pPr>
        <w:ind w:firstLine="72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1.7.2.1乙方服务团队成员未经甲方同意发生变更，经甲方要求恢复后，未在合理期限内（ 5 个工作日内）恢复的；</w:t>
      </w:r>
      <w:r/>
    </w:p>
    <w:p>
      <w:pPr>
        <w:ind w:firstLine="72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1.7.2.2乙方单位总体服务能力发生下降，专业技术人员减员或资质下降人数达到20%的；</w:t>
      </w:r>
      <w:r/>
    </w:p>
    <w:p>
      <w:pPr>
        <w:ind w:firstLine="72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1.7.2.3乙方人员无故未能按约到甲方提供服务，服务期限内达到 2 人次的；</w:t>
      </w:r>
      <w:r/>
    </w:p>
    <w:p>
      <w:pPr>
        <w:ind w:firstLine="72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1.7.2.4乙方人员不能响应甲方紧急服务需求的；</w:t>
      </w:r>
      <w:r/>
    </w:p>
    <w:p>
      <w:pPr>
        <w:ind w:firstLine="72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1.7.2.5因乙方服务人员原因在服务期间给甲方造成不良影响的，服务期限内达到 1 次的；</w:t>
      </w:r>
      <w:r/>
    </w:p>
    <w:p>
      <w:pPr>
        <w:ind w:firstLine="72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1.7.2.6根据1.6条乙方权利义务，如乙方未按本合同规定提供相关服务或未能履行本合同规定的其他义务的，甲方有权要求乙方限期整改，逾期不整改或整改后仍达不到甲方要求的，甲方有权解除合同，由此造成甲方经济损失的，乙方应承担赔偿责任（列明具体赔偿的标准以及如何赔偿）。同时乙方应向甲方支付合同总价 10 ％（或5万元，以金额较大的为准）的违约金。</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1.7.3乙方在承担上述1.7.2项中一项或多项违约责任后，仍应继续履行合同规定的义务（甲方解除合同的除外）。甲方未能及时追究乙方的任何一项违约责任并不表明甲方放弃追究乙方该项或其他违约责任。</w:t>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132" w:name="_Toc30329"/>
      <w:r/>
      <w:bookmarkStart w:id="133" w:name="_Toc9497"/>
      <w:r/>
      <w:bookmarkStart w:id="134" w:name="_Toc18683"/>
      <w:r/>
      <w:bookmarkStart w:id="135" w:name="_Toc26807"/>
      <w:r/>
      <w:bookmarkStart w:id="136" w:name="_Toc32454"/>
      <w:r>
        <w:rPr>
          <w:rFonts w:hint="eastAsia" w:ascii="宋体" w:hAnsi="宋体" w:eastAsia="宋体" w:cs="宋体"/>
          <w:b/>
          <w:bCs/>
          <w:color w:val="auto"/>
          <w:sz w:val="24"/>
          <w:szCs w:val="24"/>
          <w:highlight w:val="none"/>
        </w:rPr>
        <w:t xml:space="preserve">1.8合同的解除</w:t>
      </w:r>
      <w:r/>
    </w:p>
    <w:p>
      <w:pPr>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出现下列情形之一的，甲方有权解除本合同：</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1.8.1乙方单位总体服务能力发生下降，专业技术人员减员或资质下降人数达到 30%的；</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1.8.2乙方人员无故未能按约到甲方提供服务，服务期限内达到 3 人次的；</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1.8.3乙方人员不能响应甲方紧急服务需求的，经甲方指出后未能改正的；</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1.8.4因乙方服务人员原因在服务期间给甲方造成不良影响的，服务期限内达到 2 次的；</w:t>
      </w:r>
      <w:r/>
    </w:p>
    <w:p>
      <w:pPr>
        <w:ind w:firstLine="480"/>
        <w:keepLines w:val="0"/>
        <w:keepNext w:val="0"/>
        <w:pageBreakBefore w:val="0"/>
        <w:spacing w:line="46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1.8.5乙方及其服务人员虚报服务内容、服务时间等，骗取甲方服务费用的</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1.8.6因乙方不当服务或服务人员违法，给甲方造成严重不良影响的；</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1.8.7乙方一年内因生产安全事故受到行政处罚达到3次的，或者因为乙方发生生产安全事故、环境损害事故，给甲方造成重大不良影响的或导致甲方受到行政处罚的。</w:t>
      </w:r>
      <w:r/>
    </w:p>
    <w:p>
      <w:pPr>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1.9合同争议的解决</w:t>
      </w:r>
      <w:bookmarkEnd w:id="132"/>
      <w:r/>
      <w:bookmarkEnd w:id="133"/>
      <w:r/>
      <w:bookmarkEnd w:id="134"/>
      <w:r/>
      <w:bookmarkEnd w:id="135"/>
      <w:r/>
      <w:bookmarkEnd w:id="136"/>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eastAsia="宋体" w:cs="宋体"/>
          <w:bCs/>
          <w:color w:val="auto"/>
          <w:sz w:val="24"/>
          <w:szCs w:val="24"/>
          <w:highlight w:val="none"/>
          <w:u w:val="single"/>
        </w:rPr>
        <w:t xml:space="preserve">1.9.1</w:t>
      </w:r>
      <w:r>
        <w:rPr>
          <w:rFonts w:hint="eastAsia" w:ascii="宋体" w:hAnsi="宋体" w:eastAsia="宋体" w:cs="宋体"/>
          <w:bCs/>
          <w:color w:val="auto"/>
          <w:sz w:val="24"/>
          <w:szCs w:val="24"/>
          <w:highlight w:val="none"/>
        </w:rPr>
        <w:t xml:space="preserve">种方式解决：</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1.9.1向</w:t>
      </w:r>
      <w:r>
        <w:rPr>
          <w:rFonts w:hint="eastAsia" w:ascii="宋体" w:hAnsi="宋体" w:eastAsia="宋体" w:cs="宋体"/>
          <w:bCs/>
          <w:color w:val="auto"/>
          <w:sz w:val="24"/>
          <w:szCs w:val="24"/>
          <w:highlight w:val="none"/>
          <w:u w:val="single"/>
        </w:rPr>
        <w:t xml:space="preserve">（项目所在地、合同履行地、标的物所在地等）</w:t>
      </w:r>
      <w:r>
        <w:rPr>
          <w:rFonts w:hint="eastAsia" w:ascii="宋体" w:hAnsi="宋体" w:eastAsia="宋体" w:cs="宋体"/>
          <w:bCs/>
          <w:color w:val="auto"/>
          <w:sz w:val="24"/>
          <w:szCs w:val="24"/>
          <w:highlight w:val="none"/>
        </w:rPr>
        <w:t xml:space="preserve">人民法院起诉。</w:t>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137" w:name="_Toc16417"/>
      <w:r/>
      <w:bookmarkStart w:id="138" w:name="_Toc15827"/>
      <w:r/>
      <w:bookmarkStart w:id="139" w:name="_Toc26227"/>
      <w:r/>
      <w:bookmarkStart w:id="140" w:name="_Toc23784"/>
      <w:r/>
      <w:bookmarkStart w:id="141" w:name="_Toc12273"/>
      <w:r>
        <w:rPr>
          <w:rFonts w:hint="eastAsia" w:ascii="宋体" w:hAnsi="宋体" w:eastAsia="宋体" w:cs="宋体"/>
          <w:b/>
          <w:bCs/>
          <w:color w:val="auto"/>
          <w:sz w:val="24"/>
          <w:szCs w:val="24"/>
          <w:highlight w:val="none"/>
        </w:rPr>
        <w:t xml:space="preserve">1.10 合同生效</w:t>
      </w:r>
      <w:bookmarkEnd w:id="137"/>
      <w:r/>
      <w:bookmarkEnd w:id="138"/>
      <w:r/>
      <w:bookmarkEnd w:id="139"/>
      <w:r/>
      <w:bookmarkEnd w:id="140"/>
      <w:r/>
      <w:bookmarkEnd w:id="141"/>
      <w:r>
        <w:rPr>
          <w:rFonts w:hint="eastAsia" w:ascii="宋体" w:hAnsi="宋体" w:eastAsia="宋体" w:cs="宋体"/>
          <w:b/>
          <w:bCs/>
          <w:color w:val="auto"/>
          <w:sz w:val="24"/>
          <w:szCs w:val="24"/>
          <w:highlight w:val="none"/>
        </w:rPr>
        <w:t xml:space="preserve">及其他</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1.10.1合同应在甲乙双方代表签字并加盖公章后生效。</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1.10.2本合同一式</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份，以简体中文书写，甲</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w:t>
      </w:r>
      <w:r>
        <w:rPr>
          <w:rFonts w:hint="eastAsia" w:ascii="宋体" w:hAnsi="宋体" w:eastAsia="宋体" w:cs="宋体"/>
          <w:bCs/>
          <w:color w:val="auto"/>
          <w:sz w:val="24"/>
          <w:szCs w:val="24"/>
          <w:highlight w:val="none"/>
          <w:lang w:val="en-US" w:eastAsia="zh-CN"/>
        </w:rPr>
        <w:t xml:space="preserve">双</w:t>
      </w:r>
      <w:r>
        <w:rPr>
          <w:rFonts w:hint="eastAsia" w:ascii="宋体" w:hAnsi="宋体" w:eastAsia="宋体" w:cs="宋体"/>
          <w:bCs/>
          <w:color w:val="auto"/>
          <w:sz w:val="24"/>
          <w:szCs w:val="24"/>
          <w:highlight w:val="none"/>
        </w:rPr>
        <w:t xml:space="preserve">方</w:t>
      </w:r>
      <w:r>
        <w:rPr>
          <w:rFonts w:hint="eastAsia" w:ascii="宋体" w:hAnsi="宋体" w:eastAsia="宋体" w:cs="宋体"/>
          <w:bCs/>
          <w:color w:val="auto"/>
          <w:sz w:val="24"/>
          <w:szCs w:val="24"/>
          <w:highlight w:val="none"/>
          <w:lang w:val="en-US" w:eastAsia="zh-CN"/>
        </w:rPr>
        <w:t xml:space="preserve">各执</w:t>
      </w:r>
      <w:r>
        <w:rPr>
          <w:rFonts w:hint="eastAsia" w:ascii="宋体" w:hAnsi="宋体" w:eastAsia="宋体" w:cs="宋体"/>
          <w:bCs/>
          <w:color w:val="auto"/>
          <w:sz w:val="24"/>
          <w:szCs w:val="24"/>
          <w:highlight w:val="none"/>
        </w:rPr>
        <w:t xml:space="preserve">两份。</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1.10.3本合同应按照中华人民共和国的现行法律进行解释。</w:t>
      </w:r>
      <w:bookmarkStart w:id="142" w:name="_Toc331685783"/>
      <w:r/>
      <w:r/>
    </w:p>
    <w:p>
      <w:pPr>
        <w:ind w:firstLine="200"/>
        <w:jc w:val="center"/>
        <w:keepLines w:val="0"/>
        <w:keepNext w:val="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第二部分 合同一般条款</w:t>
      </w:r>
      <w:bookmarkEnd w:id="142"/>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143" w:name="_Ref467379225"/>
      <w:r/>
      <w:bookmarkStart w:id="144" w:name="_Ref467379205"/>
      <w:r/>
      <w:bookmarkStart w:id="145" w:name="_Toc279701240"/>
      <w:r/>
      <w:bookmarkStart w:id="146" w:name="_Toc25079"/>
      <w:r/>
      <w:bookmarkStart w:id="147" w:name="_Ref467378499"/>
      <w:r/>
      <w:bookmarkStart w:id="148" w:name="_Ref467379094"/>
      <w:r/>
      <w:bookmarkStart w:id="149" w:name="_Toc487900349"/>
      <w:r/>
      <w:bookmarkStart w:id="150" w:name="_Ref467379101"/>
      <w:r/>
      <w:bookmarkStart w:id="151" w:name="_Toc259093669"/>
      <w:r/>
      <w:bookmarkStart w:id="152" w:name="_Ref467379214"/>
      <w:r/>
      <w:bookmarkStart w:id="153" w:name="_Ref467379195"/>
      <w:r/>
      <w:bookmarkStart w:id="154" w:name="_Toc5228"/>
      <w:r/>
      <w:bookmarkStart w:id="155" w:name="_Toc31297"/>
      <w:r/>
      <w:bookmarkStart w:id="156" w:name="_Ref467378404"/>
      <w:r/>
      <w:bookmarkStart w:id="157" w:name="_Ref467379109"/>
      <w:r/>
      <w:bookmarkStart w:id="158" w:name="_Toc14021"/>
      <w:r/>
      <w:bookmarkStart w:id="159" w:name="_Toc19680"/>
      <w:r/>
      <w:bookmarkStart w:id="160" w:name="_Ref467378463"/>
      <w:r>
        <w:rPr>
          <w:rFonts w:hint="eastAsia" w:ascii="宋体" w:hAnsi="宋体" w:eastAsia="宋体" w:cs="宋体"/>
          <w:b/>
          <w:bCs/>
          <w:color w:val="auto"/>
          <w:sz w:val="24"/>
          <w:szCs w:val="24"/>
          <w:highlight w:val="none"/>
        </w:rPr>
        <w:t xml:space="preserve">2.1 定义</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本合同中的下列词语应按以下内容进行解释：</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2.1.1“合同”系指采购人和中标人签订的载明双方当事人所达成的协议，并包括所有的附件、附录和构成合同的其他文件。</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2.1.2“合同价”系指根据合同约定，中标人在完全履行合同义务后，采购人应支付给中标人的价格。</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2.1.3“服务”系指中标人根据合同约定应向采购人履行的除货物和工程以外的其他政府采购对象，包括采购人自身需要的服务和向社会公众提供的公共服务。</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bookmarkStart w:id="161" w:name="_Ref467378840"/>
      <w:r>
        <w:rPr>
          <w:rFonts w:hint="eastAsia" w:ascii="宋体" w:hAnsi="宋体" w:eastAsia="宋体" w:cs="宋体"/>
          <w:bCs/>
          <w:color w:val="auto"/>
          <w:sz w:val="24"/>
          <w:szCs w:val="24"/>
          <w:highlight w:val="none"/>
        </w:rPr>
        <w:t xml:space="preserve">2.1.4“甲方”系指与中标人签署合同的采购人</w:t>
      </w:r>
      <w:bookmarkEnd w:id="161"/>
      <w:r>
        <w:rPr>
          <w:rFonts w:hint="eastAsia" w:ascii="宋体" w:hAnsi="宋体" w:eastAsia="宋体" w:cs="宋体"/>
          <w:bCs/>
          <w:color w:val="auto"/>
          <w:sz w:val="24"/>
          <w:szCs w:val="24"/>
          <w:highlight w:val="none"/>
        </w:rPr>
        <w:t xml:space="preserve">；采购人委托采购代理机构代表其与乙方签订合同的，采购人的授权委托书作为合同附件。</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bookmarkStart w:id="162" w:name="_Ref467379400"/>
      <w:r>
        <w:rPr>
          <w:rFonts w:hint="eastAsia" w:ascii="宋体" w:hAnsi="宋体" w:eastAsia="宋体" w:cs="宋体"/>
          <w:bCs/>
          <w:color w:val="auto"/>
          <w:sz w:val="24"/>
          <w:szCs w:val="24"/>
          <w:highlight w:val="none"/>
        </w:rPr>
        <w:t xml:space="preserve">2.1.5“乙方”系指根据合同约定提供服务的</w:t>
      </w:r>
      <w:bookmarkEnd w:id="162"/>
      <w:r>
        <w:rPr>
          <w:rFonts w:hint="eastAsia" w:ascii="宋体" w:hAnsi="宋体" w:eastAsia="宋体" w:cs="宋体"/>
          <w:bCs/>
          <w:color w:val="auto"/>
          <w:sz w:val="24"/>
          <w:szCs w:val="24"/>
          <w:highlight w:val="none"/>
        </w:rPr>
        <w:t xml:space="preserve">中标人。</w:t>
      </w:r>
      <w:bookmarkStart w:id="163" w:name="_Ref467379436"/>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2.1.6“现场”系指合同约定提供服务的地点。</w:t>
      </w:r>
      <w:bookmarkEnd w:id="163"/>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164" w:name="_Toc279701241"/>
      <w:r/>
      <w:bookmarkStart w:id="165" w:name="_Toc23289"/>
      <w:r/>
      <w:bookmarkStart w:id="166" w:name="_Toc16752"/>
      <w:r/>
      <w:bookmarkStart w:id="167" w:name="_Toc259093670"/>
      <w:r/>
      <w:bookmarkStart w:id="168" w:name="_Toc3769"/>
      <w:r/>
      <w:bookmarkStart w:id="169" w:name="_Toc31402"/>
      <w:r/>
      <w:bookmarkStart w:id="170" w:name="_Toc19539"/>
      <w:r/>
      <w:bookmarkStart w:id="171" w:name="_Toc487900350"/>
      <w:r>
        <w:rPr>
          <w:rFonts w:hint="eastAsia" w:ascii="宋体" w:hAnsi="宋体" w:eastAsia="宋体" w:cs="宋体"/>
          <w:b/>
          <w:bCs/>
          <w:color w:val="auto"/>
          <w:sz w:val="24"/>
          <w:szCs w:val="24"/>
          <w:highlight w:val="none"/>
        </w:rPr>
        <w:t xml:space="preserve">2.2 技术规范</w:t>
      </w:r>
      <w:bookmarkEnd w:id="164"/>
      <w:r/>
      <w:bookmarkEnd w:id="165"/>
      <w:r/>
      <w:bookmarkEnd w:id="166"/>
      <w:r/>
      <w:bookmarkEnd w:id="167"/>
      <w:r/>
      <w:bookmarkEnd w:id="168"/>
      <w:r/>
      <w:bookmarkEnd w:id="169"/>
      <w:r/>
      <w:bookmarkEnd w:id="170"/>
      <w:r/>
      <w:bookmarkEnd w:id="171"/>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172" w:name="_Toc487900351"/>
      <w:r/>
      <w:bookmarkStart w:id="173" w:name="_Toc12412"/>
      <w:r/>
      <w:bookmarkStart w:id="174" w:name="_Toc259093671"/>
      <w:r/>
      <w:bookmarkStart w:id="175" w:name="_Toc27945"/>
      <w:r/>
      <w:bookmarkStart w:id="176" w:name="_Toc279701242"/>
      <w:r/>
      <w:bookmarkStart w:id="177" w:name="_Toc13673"/>
      <w:r/>
      <w:bookmarkStart w:id="178" w:name="_Toc4133"/>
      <w:r/>
      <w:bookmarkStart w:id="179" w:name="_Toc9161"/>
      <w:r>
        <w:rPr>
          <w:rFonts w:hint="eastAsia" w:ascii="宋体" w:hAnsi="宋体" w:eastAsia="宋体" w:cs="宋体"/>
          <w:b/>
          <w:bCs/>
          <w:color w:val="auto"/>
          <w:sz w:val="24"/>
          <w:szCs w:val="24"/>
          <w:highlight w:val="none"/>
        </w:rPr>
        <w:t xml:space="preserve">2.3 知识产权</w:t>
      </w:r>
      <w:bookmarkEnd w:id="172"/>
      <w:r/>
      <w:bookmarkEnd w:id="173"/>
      <w:r/>
      <w:bookmarkEnd w:id="174"/>
      <w:r/>
      <w:bookmarkEnd w:id="175"/>
      <w:r/>
      <w:bookmarkEnd w:id="176"/>
      <w:r/>
      <w:bookmarkEnd w:id="177"/>
      <w:r/>
      <w:bookmarkEnd w:id="178"/>
      <w:r/>
      <w:bookmarkEnd w:id="179"/>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乙方应保证其提供的服务不受任何第三方提出的侵犯其著作权、商标权、专利权等知识产权方面的起诉；如果任何第三方提出侵权指控，那么乙方须与该第三方交涉并承担由此发生的一切责任、费用和赔偿。</w:t>
      </w:r>
      <w:r/>
    </w:p>
    <w:p>
      <w:pPr>
        <w:keepLines w:val="0"/>
        <w:keepNext w:val="0"/>
        <w:pageBreakBefore w:val="0"/>
        <w:spacing w:line="4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2.4 履约检查和问题反馈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验收办法</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bookmarkStart w:id="180" w:name="_Toc186431854"/>
      <w:r/>
      <w:bookmarkStart w:id="181" w:name="_Ref467379807"/>
      <w:r/>
      <w:bookmarkStart w:id="182" w:name="_Toc279701247"/>
      <w:r/>
      <w:bookmarkStart w:id="183" w:name="_Toc259093676"/>
      <w:r/>
      <w:bookmarkStart w:id="184" w:name="_Toc487900357"/>
      <w:r/>
      <w:bookmarkStart w:id="185" w:name="_Ref467379793"/>
      <w:r>
        <w:rPr>
          <w:rFonts w:hint="eastAsia" w:ascii="宋体" w:hAnsi="宋体" w:eastAsia="宋体" w:cs="宋体"/>
          <w:bCs/>
          <w:color w:val="auto"/>
          <w:sz w:val="24"/>
          <w:szCs w:val="24"/>
          <w:highlight w:val="none"/>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2.4.2合同履行期间，甲方有权将履行过程中出现的问题反馈给乙方，双方当事人应以书面形式约定需要完善和改进的内容</w:t>
      </w:r>
      <w:bookmarkEnd w:id="180"/>
      <w:r/>
      <w:bookmarkStart w:id="186" w:name="_Toc186431855"/>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2.4.3</w:t>
      </w:r>
      <w:r>
        <w:rPr>
          <w:rFonts w:hint="eastAsia" w:ascii="宋体" w:hAnsi="宋体" w:eastAsia="宋体" w:cs="宋体"/>
          <w:bCs/>
          <w:color w:val="auto"/>
          <w:sz w:val="24"/>
          <w:szCs w:val="24"/>
          <w:highlight w:val="none"/>
        </w:rPr>
        <w:t xml:space="preserve">甲方依法组织履约验收工作。乙方应根据验收内容做好相应配合工作。</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2.4.4</w:t>
      </w:r>
      <w:r>
        <w:rPr>
          <w:rFonts w:hint="eastAsia" w:ascii="宋体" w:hAnsi="宋体" w:eastAsia="宋体" w:cs="宋体"/>
          <w:bCs/>
          <w:color w:val="auto"/>
          <w:sz w:val="24"/>
          <w:szCs w:val="24"/>
          <w:highlight w:val="none"/>
        </w:rPr>
        <w:t xml:space="preserve">对于实际使用人和甲方分离的项目，甲方</w:t>
      </w:r>
      <w:r>
        <w:rPr>
          <w:rFonts w:hint="eastAsia" w:ascii="宋体" w:hAnsi="宋体" w:eastAsia="宋体" w:cs="宋体"/>
          <w:bCs/>
          <w:color w:val="auto"/>
          <w:sz w:val="24"/>
          <w:szCs w:val="24"/>
          <w:highlight w:val="none"/>
          <w:lang w:val="en-US" w:eastAsia="zh-CN"/>
        </w:rPr>
        <w:t xml:space="preserve">将</w:t>
      </w:r>
      <w:r>
        <w:rPr>
          <w:rFonts w:hint="eastAsia" w:ascii="宋体" w:hAnsi="宋体" w:eastAsia="宋体" w:cs="宋体"/>
          <w:bCs/>
          <w:color w:val="auto"/>
          <w:sz w:val="24"/>
          <w:szCs w:val="24"/>
          <w:highlight w:val="none"/>
        </w:rPr>
        <w:t xml:space="preserve">邀请实际使用人参与验收。</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2.4.5</w:t>
      </w:r>
      <w:r>
        <w:rPr>
          <w:rFonts w:hint="eastAsia" w:ascii="宋体" w:hAnsi="宋体" w:eastAsia="宋体" w:cs="宋体"/>
          <w:bCs/>
          <w:color w:val="auto"/>
          <w:sz w:val="24"/>
          <w:szCs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firstLine="480"/>
        <w:keepLines w:val="0"/>
        <w:keepNext w:val="0"/>
        <w:pageBreakBefore w:val="0"/>
        <w:spacing w:line="4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2.4.6</w:t>
      </w:r>
      <w:r>
        <w:rPr>
          <w:rFonts w:hint="eastAsia" w:ascii="宋体" w:hAnsi="宋体" w:eastAsia="宋体" w:cs="宋体"/>
          <w:bCs/>
          <w:color w:val="auto"/>
          <w:sz w:val="24"/>
          <w:szCs w:val="24"/>
          <w:highlight w:val="none"/>
        </w:rPr>
        <w:t xml:space="preserve">验收合格的项目，甲方根据采购合同的约定及时向乙方支付合同款项、退还履约保证金（如有）。验收不合格的项目，甲方依法及时处理。</w:t>
      </w:r>
      <w:bookmarkEnd w:id="181"/>
      <w:bookmarkEnd w:id="182"/>
      <w:bookmarkEnd w:id="183"/>
      <w:bookmarkEnd w:id="184"/>
      <w:bookmarkEnd w:id="185"/>
      <w:bookmarkEnd w:id="186"/>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187" w:name="_Ref467379852"/>
      <w:r/>
      <w:bookmarkStart w:id="188" w:name="_Toc259093677"/>
      <w:r/>
      <w:bookmarkStart w:id="189" w:name="_Ref467379863"/>
      <w:r/>
      <w:bookmarkStart w:id="190" w:name="_Ref467379923"/>
      <w:r/>
      <w:bookmarkStart w:id="191" w:name="_Toc487900358"/>
      <w:r/>
      <w:bookmarkStart w:id="192" w:name="_Toc279701248"/>
      <w:r/>
      <w:bookmarkStart w:id="193" w:name="_Toc16163"/>
      <w:r/>
      <w:bookmarkStart w:id="194" w:name="_Toc30507"/>
      <w:r/>
      <w:bookmarkStart w:id="195" w:name="_Toc13467"/>
      <w:r/>
      <w:bookmarkStart w:id="196" w:name="_Toc13154"/>
      <w:r/>
      <w:bookmarkStart w:id="197" w:name="_Toc18990"/>
      <w:r>
        <w:rPr>
          <w:rFonts w:hint="eastAsia" w:ascii="宋体" w:hAnsi="宋体" w:eastAsia="宋体" w:cs="宋体"/>
          <w:b/>
          <w:bCs/>
          <w:color w:val="auto"/>
          <w:sz w:val="24"/>
          <w:szCs w:val="24"/>
          <w:highlight w:val="none"/>
        </w:rPr>
        <w:t xml:space="preserve">2.5 技术资料</w:t>
      </w:r>
      <w:bookmarkEnd w:id="187"/>
      <w:r/>
      <w:bookmarkEnd w:id="188"/>
      <w:r/>
      <w:bookmarkEnd w:id="189"/>
      <w:r/>
      <w:bookmarkEnd w:id="190"/>
      <w:r/>
      <w:bookmarkEnd w:id="191"/>
      <w:r/>
      <w:bookmarkEnd w:id="192"/>
      <w:r>
        <w:rPr>
          <w:rFonts w:hint="eastAsia" w:ascii="宋体" w:hAnsi="宋体" w:eastAsia="宋体" w:cs="宋体"/>
          <w:b/>
          <w:bCs/>
          <w:color w:val="auto"/>
          <w:sz w:val="24"/>
          <w:szCs w:val="24"/>
          <w:highlight w:val="none"/>
        </w:rPr>
        <w:t xml:space="preserve">和保密义务</w:t>
      </w:r>
      <w:bookmarkEnd w:id="193"/>
      <w:r/>
      <w:bookmarkEnd w:id="194"/>
      <w:r/>
      <w:bookmarkEnd w:id="195"/>
      <w:r/>
      <w:bookmarkEnd w:id="196"/>
      <w:r/>
      <w:bookmarkEnd w:id="197"/>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2.5.1乙方有权依据合同约定和项目需要，向甲方了解有关情况，调阅有关资料等，甲方应予积极配合。</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2.5.2乙方有义务妥善保管和保护由甲方提供的前款信息和资料等。</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keepLines w:val="0"/>
        <w:keepNext w:val="0"/>
        <w:pageBreakBefore w:val="0"/>
        <w:spacing w:line="460" w:lineRule="exact"/>
        <w:rPr>
          <w:rFonts w:hint="eastAsia" w:ascii="宋体" w:hAnsi="宋体" w:eastAsia="宋体" w:cs="宋体"/>
          <w:b/>
          <w:bCs/>
          <w:color w:val="auto"/>
          <w:sz w:val="24"/>
          <w:szCs w:val="24"/>
          <w:highlight w:val="none"/>
          <w:lang w:val="en-US" w:eastAsia="zh-CN"/>
        </w:rPr>
      </w:pPr>
      <w:r/>
      <w:bookmarkStart w:id="198" w:name="_Toc19069"/>
      <w:r/>
      <w:bookmarkStart w:id="199" w:name="_Toc487900362"/>
      <w:r/>
      <w:bookmarkStart w:id="200" w:name="_Toc279701252"/>
      <w:r/>
      <w:bookmarkStart w:id="201" w:name="_Toc259093681"/>
      <w:r>
        <w:rPr>
          <w:rFonts w:hint="eastAsia" w:ascii="宋体" w:hAnsi="宋体" w:eastAsia="宋体" w:cs="宋体"/>
          <w:b/>
          <w:bCs/>
          <w:color w:val="auto"/>
          <w:sz w:val="24"/>
          <w:szCs w:val="24"/>
          <w:highlight w:val="none"/>
        </w:rPr>
        <w:t xml:space="preserve">2.6 质量保证</w:t>
      </w:r>
      <w:bookmarkEnd w:id="198"/>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2.6.1乙方应建立和完善履行合同的内部质量保证体系，并提供相关内部规章制度给甲方，以便甲方进行监督检查；</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2.6.2乙方应保证履行合同的人员数量和素质、软件和硬件设备的配置、场地、环境和设施等满足全面履行合同的要求，并应接受甲方的监督检查。</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2.6.3其他</w:t>
      </w:r>
      <w:r>
        <w:rPr>
          <w:rFonts w:hint="eastAsia" w:ascii="宋体" w:hAnsi="宋体" w:eastAsia="宋体" w:cs="宋体"/>
          <w:color w:val="auto"/>
          <w:sz w:val="24"/>
          <w:szCs w:val="24"/>
          <w:highlight w:val="none"/>
        </w:rPr>
        <w:t xml:space="preserve">各项服务承诺指标及所采取的措施符合“投标文件”要求及投标响应承诺</w:t>
      </w:r>
      <w:r>
        <w:rPr>
          <w:rFonts w:hint="eastAsia" w:ascii="宋体" w:hAnsi="宋体" w:eastAsia="宋体" w:cs="宋体"/>
          <w:bCs/>
          <w:color w:val="auto"/>
          <w:sz w:val="24"/>
          <w:szCs w:val="24"/>
          <w:highlight w:val="none"/>
        </w:rPr>
        <w:t xml:space="preserve">。</w:t>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202" w:name="_Toc22267"/>
      <w:r>
        <w:rPr>
          <w:rFonts w:hint="eastAsia" w:ascii="宋体" w:hAnsi="宋体" w:eastAsia="宋体" w:cs="宋体"/>
          <w:b/>
          <w:bCs/>
          <w:color w:val="auto"/>
          <w:sz w:val="24"/>
          <w:szCs w:val="24"/>
          <w:highlight w:val="none"/>
        </w:rPr>
        <w:t xml:space="preserve">2.7 延迟</w:t>
      </w:r>
      <w:bookmarkEnd w:id="199"/>
      <w:r/>
      <w:bookmarkEnd w:id="200"/>
      <w:r/>
      <w:bookmarkEnd w:id="201"/>
      <w:r>
        <w:rPr>
          <w:rFonts w:hint="eastAsia" w:ascii="宋体" w:hAnsi="宋体" w:eastAsia="宋体" w:cs="宋体"/>
          <w:b/>
          <w:bCs/>
          <w:color w:val="auto"/>
          <w:sz w:val="24"/>
          <w:szCs w:val="24"/>
          <w:highlight w:val="none"/>
        </w:rPr>
        <w:t xml:space="preserve">履行</w:t>
      </w:r>
      <w:bookmarkEnd w:id="202"/>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203" w:name="_Toc10611"/>
      <w:r/>
      <w:bookmarkStart w:id="204" w:name="_Toc259093683"/>
      <w:r/>
      <w:bookmarkStart w:id="205" w:name="_Toc487900364"/>
      <w:r/>
      <w:bookmarkStart w:id="206" w:name="_Ref467378121"/>
      <w:r/>
      <w:bookmarkStart w:id="207" w:name="_Toc279701254"/>
      <w:r>
        <w:rPr>
          <w:rFonts w:hint="eastAsia" w:ascii="宋体" w:hAnsi="宋体" w:eastAsia="宋体" w:cs="宋体"/>
          <w:b/>
          <w:bCs/>
          <w:color w:val="auto"/>
          <w:sz w:val="24"/>
          <w:szCs w:val="24"/>
          <w:highlight w:val="none"/>
        </w:rPr>
        <w:t xml:space="preserve">2.8 合同变更</w:t>
      </w:r>
      <w:bookmarkEnd w:id="203"/>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2.8.1双方当事人协商一致，可以签订书面补充合同的形式变更合同，但不得违背采购文件确定的事项，且如果系追加与合同标的相同的服务的，那么所有补充合同的采购金额不得超过原合同价的10%。</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2.8.2合同继续履行将损害国家利益和社会公共利益的，甲方有权变更合同。有过错的一方应当承担赔偿责任，双方当事人都有过错的，各自承担相应的责任。</w:t>
      </w:r>
      <w:bookmarkStart w:id="208" w:name="_Toc487900369"/>
      <w:r/>
      <w:bookmarkStart w:id="209" w:name="_Toc279701259"/>
      <w:r/>
      <w:bookmarkStart w:id="210" w:name="_Toc259093688"/>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211" w:name="_Toc42"/>
      <w:r/>
      <w:bookmarkStart w:id="212" w:name="_Toc21830"/>
      <w:r/>
      <w:bookmarkStart w:id="213" w:name="_Toc26689"/>
      <w:r/>
      <w:bookmarkStart w:id="214" w:name="_Toc10663"/>
      <w:r/>
      <w:bookmarkStart w:id="215" w:name="_Toc23368"/>
      <w:r>
        <w:rPr>
          <w:rFonts w:hint="eastAsia" w:ascii="宋体" w:hAnsi="宋体" w:eastAsia="宋体" w:cs="宋体"/>
          <w:b/>
          <w:bCs/>
          <w:color w:val="auto"/>
          <w:sz w:val="24"/>
          <w:szCs w:val="24"/>
          <w:highlight w:val="none"/>
        </w:rPr>
        <w:t xml:space="preserve">2.9 合同转让</w:t>
      </w:r>
      <w:bookmarkEnd w:id="208"/>
      <w:r/>
      <w:bookmarkEnd w:id="209"/>
      <w:r/>
      <w:bookmarkEnd w:id="210"/>
      <w:r>
        <w:rPr>
          <w:rFonts w:hint="eastAsia" w:ascii="宋体" w:hAnsi="宋体" w:eastAsia="宋体" w:cs="宋体"/>
          <w:b/>
          <w:bCs/>
          <w:color w:val="auto"/>
          <w:sz w:val="24"/>
          <w:szCs w:val="24"/>
          <w:highlight w:val="none"/>
        </w:rPr>
        <w:t xml:space="preserve">和分包</w:t>
      </w:r>
      <w:bookmarkEnd w:id="211"/>
      <w:r/>
      <w:bookmarkEnd w:id="212"/>
      <w:r/>
      <w:bookmarkEnd w:id="213"/>
      <w:r/>
      <w:bookmarkEnd w:id="214"/>
      <w:r/>
      <w:bookmarkEnd w:id="215"/>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bookmarkStart w:id="216" w:name="_Toc25571"/>
      <w:r/>
      <w:bookmarkStart w:id="217" w:name="_Toc4720"/>
      <w:r/>
      <w:bookmarkStart w:id="218" w:name="_Toc14371"/>
      <w:r/>
      <w:bookmarkStart w:id="219" w:name="_Toc32494"/>
      <w:r/>
      <w:bookmarkStart w:id="220" w:name="_Toc26633"/>
      <w:r>
        <w:rPr>
          <w:rFonts w:hint="eastAsia" w:ascii="宋体" w:hAnsi="宋体" w:eastAsia="宋体" w:cs="宋体"/>
          <w:bCs/>
          <w:color w:val="auto"/>
          <w:sz w:val="24"/>
          <w:szCs w:val="24"/>
          <w:highlight w:val="none"/>
        </w:rPr>
        <w:t xml:space="preserve">2.9.1本项目不得以任何形式进行转包及分包。</w:t>
      </w:r>
      <w:r/>
    </w:p>
    <w:p>
      <w:pPr>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2.10 不可抗力</w:t>
      </w:r>
      <w:bookmarkEnd w:id="216"/>
      <w:r/>
      <w:bookmarkEnd w:id="217"/>
      <w:r/>
      <w:bookmarkEnd w:id="218"/>
      <w:r/>
      <w:bookmarkEnd w:id="219"/>
      <w:r/>
      <w:bookmarkEnd w:id="220"/>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2.10.2因不可抗力致使不能实现合同目的的，当事人可以解除合同。</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2.10.3因不可抗力致使合同有变更必要的，双方当事人应在</w:t>
      </w:r>
      <w:r>
        <w:rPr>
          <w:rFonts w:hint="eastAsia" w:ascii="宋体" w:hAnsi="宋体" w:eastAsia="宋体" w:cs="宋体"/>
          <w:b/>
          <w:bCs/>
          <w:color w:val="auto"/>
          <w:sz w:val="24"/>
          <w:szCs w:val="24"/>
          <w:highlight w:val="none"/>
          <w:u w:val="single"/>
        </w:rPr>
        <w:t xml:space="preserve">7个工作日内</w:t>
      </w:r>
      <w:r>
        <w:rPr>
          <w:rFonts w:hint="eastAsia" w:ascii="宋体" w:hAnsi="宋体" w:eastAsia="宋体" w:cs="宋体"/>
          <w:bCs/>
          <w:color w:val="auto"/>
          <w:sz w:val="24"/>
          <w:szCs w:val="24"/>
          <w:highlight w:val="none"/>
        </w:rPr>
        <w:t xml:space="preserve">以书面形式变更合同。</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2.10.4受不可抗力影响的一方在不可抗力发生后，应在</w:t>
      </w:r>
      <w:r>
        <w:rPr>
          <w:rFonts w:hint="eastAsia" w:ascii="宋体" w:hAnsi="宋体" w:eastAsia="宋体" w:cs="宋体"/>
          <w:b/>
          <w:bCs/>
          <w:color w:val="auto"/>
          <w:sz w:val="24"/>
          <w:szCs w:val="24"/>
          <w:highlight w:val="none"/>
          <w:u w:val="single"/>
        </w:rPr>
        <w:t xml:space="preserve">7个工作日</w:t>
      </w:r>
      <w:r>
        <w:rPr>
          <w:rFonts w:hint="eastAsia" w:ascii="宋体" w:hAnsi="宋体" w:eastAsia="宋体" w:cs="宋体"/>
          <w:bCs/>
          <w:color w:val="auto"/>
          <w:sz w:val="24"/>
          <w:szCs w:val="24"/>
          <w:highlight w:val="none"/>
        </w:rPr>
        <w:t xml:space="preserve">内以书面形式通知对方当事人，并在</w:t>
      </w:r>
      <w:r>
        <w:rPr>
          <w:rFonts w:hint="eastAsia" w:ascii="宋体" w:hAnsi="宋体" w:eastAsia="宋体" w:cs="宋体"/>
          <w:b/>
          <w:bCs/>
          <w:color w:val="auto"/>
          <w:sz w:val="24"/>
          <w:szCs w:val="24"/>
          <w:highlight w:val="none"/>
          <w:u w:val="single"/>
        </w:rPr>
        <w:t xml:space="preserve">7个工作日</w:t>
      </w:r>
      <w:r>
        <w:rPr>
          <w:rFonts w:hint="eastAsia" w:ascii="宋体" w:hAnsi="宋体" w:eastAsia="宋体" w:cs="宋体"/>
          <w:bCs/>
          <w:color w:val="auto"/>
          <w:sz w:val="24"/>
          <w:szCs w:val="24"/>
          <w:highlight w:val="none"/>
        </w:rPr>
        <w:t xml:space="preserve">内，将有关部门出具的证明文件送达对方当事人。</w:t>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221" w:name="_Toc24465"/>
      <w:r/>
      <w:bookmarkStart w:id="222" w:name="_Toc3638"/>
      <w:r/>
      <w:bookmarkStart w:id="223" w:name="_Toc25783"/>
      <w:r/>
      <w:bookmarkStart w:id="224" w:name="_Toc279701255"/>
      <w:r/>
      <w:bookmarkStart w:id="225" w:name="_Toc14115"/>
      <w:r/>
      <w:bookmarkStart w:id="226" w:name="_Toc487900365"/>
      <w:r/>
      <w:bookmarkStart w:id="227" w:name="_Toc259093684"/>
      <w:r/>
      <w:bookmarkStart w:id="228" w:name="_Toc23854"/>
      <w:r>
        <w:rPr>
          <w:rFonts w:hint="eastAsia" w:ascii="宋体" w:hAnsi="宋体" w:eastAsia="宋体" w:cs="宋体"/>
          <w:b/>
          <w:bCs/>
          <w:color w:val="auto"/>
          <w:sz w:val="24"/>
          <w:szCs w:val="24"/>
          <w:highlight w:val="none"/>
        </w:rPr>
        <w:t xml:space="preserve">2.11 税费</w:t>
      </w:r>
      <w:bookmarkEnd w:id="221"/>
      <w:r/>
      <w:bookmarkEnd w:id="222"/>
      <w:r/>
      <w:bookmarkEnd w:id="223"/>
      <w:r/>
      <w:bookmarkEnd w:id="224"/>
      <w:r/>
      <w:bookmarkEnd w:id="225"/>
      <w:r/>
      <w:bookmarkEnd w:id="226"/>
      <w:r/>
      <w:bookmarkEnd w:id="227"/>
      <w:r/>
      <w:bookmarkEnd w:id="228"/>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与合同有关的一切税费，均按照中华人民共和国法律的相关规定缴纳。</w:t>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229" w:name="_Toc7315"/>
      <w:r/>
      <w:bookmarkStart w:id="230" w:name="_Toc26883"/>
      <w:r/>
      <w:bookmarkStart w:id="231" w:name="_Toc279701258"/>
      <w:r/>
      <w:bookmarkStart w:id="232" w:name="_Toc14814"/>
      <w:r/>
      <w:bookmarkStart w:id="233" w:name="_Toc25525"/>
      <w:r/>
      <w:bookmarkStart w:id="234" w:name="_Toc487900368"/>
      <w:r/>
      <w:bookmarkStart w:id="235" w:name="_Toc259093687"/>
      <w:r/>
      <w:bookmarkStart w:id="236" w:name="_Toc30105"/>
      <w:r>
        <w:rPr>
          <w:rFonts w:hint="eastAsia" w:ascii="宋体" w:hAnsi="宋体" w:eastAsia="宋体" w:cs="宋体"/>
          <w:b/>
          <w:bCs/>
          <w:color w:val="auto"/>
          <w:sz w:val="24"/>
          <w:szCs w:val="24"/>
          <w:highlight w:val="none"/>
        </w:rPr>
        <w:t xml:space="preserve">2.12 乙方破产</w:t>
      </w:r>
      <w:bookmarkEnd w:id="229"/>
      <w:r/>
      <w:bookmarkEnd w:id="230"/>
      <w:r/>
      <w:bookmarkEnd w:id="231"/>
      <w:r/>
      <w:bookmarkEnd w:id="232"/>
      <w:r/>
      <w:bookmarkEnd w:id="233"/>
      <w:r/>
      <w:bookmarkEnd w:id="234"/>
      <w:r/>
      <w:bookmarkEnd w:id="235"/>
      <w:r/>
      <w:bookmarkEnd w:id="236"/>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237" w:name="_Toc23323"/>
      <w:r/>
      <w:bookmarkStart w:id="238" w:name="_Toc2016"/>
      <w:r/>
      <w:bookmarkStart w:id="239" w:name="_Toc1123"/>
      <w:r>
        <w:rPr>
          <w:rFonts w:hint="eastAsia" w:ascii="宋体" w:hAnsi="宋体" w:eastAsia="宋体" w:cs="宋体"/>
          <w:b/>
          <w:bCs/>
          <w:color w:val="auto"/>
          <w:sz w:val="24"/>
          <w:szCs w:val="24"/>
          <w:highlight w:val="none"/>
        </w:rPr>
        <w:t xml:space="preserve">2.13 合同中止、终止</w:t>
      </w:r>
      <w:bookmarkEnd w:id="237"/>
      <w:r/>
      <w:bookmarkEnd w:id="238"/>
      <w:r/>
      <w:bookmarkEnd w:id="239"/>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2.13.1双方当事人不得擅自中止或者终止合同。</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2.13.2合同继续履行将损害国家利益和社会公共利益的，甲方有权中止或者终止、解除合同。有过错的一方应当承担赔偿责任，双方当事人都有过错的，各自承担相应的责任。</w:t>
      </w:r>
      <w:bookmarkEnd w:id="204"/>
      <w:bookmarkEnd w:id="205"/>
      <w:bookmarkEnd w:id="206"/>
      <w:bookmarkEnd w:id="207"/>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240" w:name="_Toc259093690"/>
      <w:r/>
      <w:bookmarkStart w:id="241" w:name="_Toc487900371"/>
      <w:r/>
      <w:bookmarkStart w:id="242" w:name="_Toc279701261"/>
      <w:r/>
      <w:bookmarkStart w:id="243" w:name="_Toc31892"/>
      <w:r/>
      <w:bookmarkStart w:id="244" w:name="_Toc25198"/>
      <w:r/>
      <w:bookmarkStart w:id="245" w:name="_Toc9808"/>
      <w:r/>
      <w:bookmarkStart w:id="246" w:name="_Toc2308"/>
      <w:r/>
      <w:bookmarkStart w:id="247" w:name="_Toc12666"/>
      <w:r>
        <w:rPr>
          <w:rFonts w:hint="eastAsia" w:ascii="宋体" w:hAnsi="宋体" w:eastAsia="宋体" w:cs="宋体"/>
          <w:b/>
          <w:bCs/>
          <w:color w:val="auto"/>
          <w:sz w:val="24"/>
          <w:szCs w:val="24"/>
          <w:highlight w:val="none"/>
        </w:rPr>
        <w:t xml:space="preserve">2.14 通知</w:t>
      </w:r>
      <w:bookmarkEnd w:id="240"/>
      <w:r/>
      <w:bookmarkEnd w:id="241"/>
      <w:r/>
      <w:bookmarkEnd w:id="242"/>
      <w:r>
        <w:rPr>
          <w:rFonts w:hint="eastAsia" w:ascii="宋体" w:hAnsi="宋体" w:eastAsia="宋体" w:cs="宋体"/>
          <w:b/>
          <w:bCs/>
          <w:color w:val="auto"/>
          <w:sz w:val="24"/>
          <w:szCs w:val="24"/>
          <w:highlight w:val="none"/>
        </w:rPr>
        <w:t xml:space="preserve">和送达</w:t>
      </w:r>
      <w:bookmarkEnd w:id="243"/>
      <w:r/>
      <w:bookmarkEnd w:id="244"/>
      <w:r/>
      <w:bookmarkEnd w:id="245"/>
      <w:r/>
      <w:bookmarkEnd w:id="246"/>
      <w:r/>
      <w:bookmarkEnd w:id="247"/>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bookmarkStart w:id="248" w:name="_Toc7073"/>
      <w:r/>
      <w:bookmarkStart w:id="249" w:name="_Toc29220"/>
      <w:r/>
      <w:bookmarkStart w:id="250" w:name="_Toc279701262"/>
      <w:r/>
      <w:bookmarkStart w:id="251" w:name="_Toc487900372"/>
      <w:r/>
      <w:bookmarkStart w:id="252" w:name="_Toc259093691"/>
      <w:r>
        <w:rPr>
          <w:rFonts w:hint="eastAsia" w:ascii="宋体" w:hAnsi="宋体" w:eastAsia="宋体" w:cs="宋体"/>
          <w:bCs/>
          <w:color w:val="auto"/>
          <w:sz w:val="24"/>
          <w:szCs w:val="24"/>
          <w:highlight w:val="none"/>
        </w:rPr>
        <w:t xml:space="preserve">2.14.1任何一方因履行合同而以合同第一部分尾部所列明的</w:t>
      </w:r>
      <w:r>
        <w:rPr>
          <w:rFonts w:hint="eastAsia" w:ascii="宋体" w:hAnsi="宋体" w:eastAsia="宋体" w:cs="宋体"/>
          <w:b/>
          <w:bCs/>
          <w:color w:val="auto"/>
          <w:sz w:val="24"/>
          <w:szCs w:val="24"/>
          <w:highlight w:val="none"/>
          <w:u w:val="single"/>
        </w:rPr>
        <w:t xml:space="preserve">内容</w:t>
      </w:r>
      <w:r>
        <w:rPr>
          <w:rFonts w:hint="eastAsia" w:ascii="宋体" w:hAnsi="宋体" w:eastAsia="宋体" w:cs="宋体"/>
          <w:bCs/>
          <w:color w:val="auto"/>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b/>
          <w:bCs/>
          <w:color w:val="auto"/>
          <w:sz w:val="24"/>
          <w:szCs w:val="24"/>
          <w:highlight w:val="none"/>
          <w:u w:val="single"/>
        </w:rPr>
        <w:t xml:space="preserve">5个工作日</w:t>
      </w:r>
      <w:r>
        <w:rPr>
          <w:rFonts w:hint="eastAsia" w:ascii="宋体" w:hAnsi="宋体" w:eastAsia="宋体" w:cs="宋体"/>
          <w:bCs/>
          <w:color w:val="auto"/>
          <w:sz w:val="24"/>
          <w:szCs w:val="24"/>
          <w:highlight w:val="none"/>
        </w:rPr>
        <w:t xml:space="preserve">内书面通知对方当事人，在对方当事人收到有关变更通知之前，变更前的约定送达方式或者地址仍视为有效。</w:t>
      </w:r>
      <w:bookmarkEnd w:id="248"/>
      <w:r/>
      <w:bookmarkEnd w:id="249"/>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bookmarkStart w:id="253" w:name="_Toc18401"/>
      <w:r/>
      <w:bookmarkStart w:id="254" w:name="_Toc27674"/>
      <w:r>
        <w:rPr>
          <w:rFonts w:hint="eastAsia" w:ascii="宋体" w:hAnsi="宋体" w:eastAsia="宋体" w:cs="宋体"/>
          <w:bCs/>
          <w:color w:val="auto"/>
          <w:sz w:val="24"/>
          <w:szCs w:val="24"/>
          <w:highlight w:val="none"/>
        </w:rPr>
        <w:t xml:space="preserve">2.14.2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3"/>
      <w:r/>
      <w:bookmarkEnd w:id="254"/>
      <w:r/>
      <w:bookmarkEnd w:id="250"/>
      <w:bookmarkEnd w:id="251"/>
      <w:bookmarkEnd w:id="252"/>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255" w:name="_Toc5063"/>
      <w:r/>
      <w:bookmarkStart w:id="256" w:name="_Toc487900373"/>
      <w:r/>
      <w:bookmarkStart w:id="257" w:name="_Toc259093692"/>
      <w:r/>
      <w:bookmarkStart w:id="258" w:name="_Toc27644"/>
      <w:r/>
      <w:bookmarkStart w:id="259" w:name="_Toc12254"/>
      <w:r/>
      <w:bookmarkStart w:id="260" w:name="_Toc28906"/>
      <w:r/>
      <w:bookmarkStart w:id="261" w:name="_Toc20808"/>
      <w:r/>
      <w:bookmarkStart w:id="262" w:name="_Toc279701263"/>
      <w:r>
        <w:rPr>
          <w:rFonts w:hint="eastAsia" w:ascii="宋体" w:hAnsi="宋体" w:eastAsia="宋体" w:cs="宋体"/>
          <w:b/>
          <w:bCs/>
          <w:color w:val="auto"/>
          <w:sz w:val="24"/>
          <w:szCs w:val="24"/>
          <w:highlight w:val="none"/>
        </w:rPr>
        <w:t xml:space="preserve">2.15 合同使用的文字和适用的法律</w:t>
      </w:r>
      <w:bookmarkEnd w:id="255"/>
      <w:r/>
      <w:bookmarkEnd w:id="256"/>
      <w:r/>
      <w:bookmarkEnd w:id="257"/>
      <w:r/>
      <w:bookmarkEnd w:id="258"/>
      <w:r/>
      <w:bookmarkEnd w:id="259"/>
      <w:r/>
      <w:bookmarkEnd w:id="260"/>
      <w:r/>
      <w:bookmarkEnd w:id="261"/>
      <w:r/>
      <w:bookmarkEnd w:id="262"/>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2.15.1合同使用汉语书就、变更和解释。</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2.15.2合同适用中华人民共和国法律。</w:t>
      </w:r>
      <w:r/>
    </w:p>
    <w:p>
      <w:pPr>
        <w:keepLines w:val="0"/>
        <w:keepNext w:val="0"/>
        <w:pageBreakBefore w:val="0"/>
        <w:spacing w:line="460" w:lineRule="exact"/>
        <w:rPr>
          <w:rFonts w:hint="eastAsia" w:ascii="宋体" w:hAnsi="宋体" w:eastAsia="宋体" w:cs="宋体"/>
          <w:bCs/>
          <w:color w:val="auto"/>
          <w:sz w:val="24"/>
          <w:szCs w:val="24"/>
          <w:highlight w:val="none"/>
        </w:rPr>
      </w:pPr>
      <w:r/>
      <w:bookmarkStart w:id="263" w:name="_Toc279701264"/>
      <w:r/>
      <w:bookmarkStart w:id="264" w:name="_Toc487900374"/>
      <w:r/>
      <w:bookmarkStart w:id="265" w:name="_Toc30096"/>
      <w:r/>
      <w:bookmarkStart w:id="266" w:name="_Toc27127"/>
      <w:r/>
      <w:bookmarkStart w:id="267" w:name="_Toc259093693"/>
      <w:r/>
      <w:bookmarkStart w:id="268" w:name="_Toc22266"/>
      <w:r/>
      <w:bookmarkStart w:id="269" w:name="_Toc1492"/>
      <w:r/>
      <w:bookmarkStart w:id="270" w:name="_Toc27403"/>
      <w:r>
        <w:rPr>
          <w:rFonts w:hint="eastAsia" w:ascii="宋体" w:hAnsi="宋体" w:eastAsia="宋体" w:cs="宋体"/>
          <w:b/>
          <w:bCs/>
          <w:color w:val="auto"/>
          <w:sz w:val="24"/>
          <w:szCs w:val="24"/>
          <w:highlight w:val="none"/>
        </w:rPr>
        <w:t xml:space="preserve">2.16 履约保证金</w:t>
      </w:r>
      <w:bookmarkEnd w:id="263"/>
      <w:r/>
      <w:bookmarkEnd w:id="264"/>
      <w:r/>
      <w:bookmarkEnd w:id="265"/>
      <w:r/>
      <w:bookmarkEnd w:id="266"/>
      <w:r/>
      <w:bookmarkEnd w:id="267"/>
      <w:r/>
      <w:bookmarkEnd w:id="268"/>
      <w:r/>
      <w:bookmarkEnd w:id="269"/>
      <w:r/>
      <w:bookmarkEnd w:id="270"/>
      <w:r/>
      <w:bookmarkStart w:id="271" w:name="_Toc331685784"/>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无</w:t>
      </w:r>
      <w:r>
        <w:rPr>
          <w:rFonts w:hint="eastAsia" w:ascii="宋体" w:hAnsi="宋体" w:eastAsia="宋体" w:cs="宋体"/>
          <w:bCs/>
          <w:color w:val="auto"/>
          <w:sz w:val="24"/>
          <w:szCs w:val="24"/>
          <w:highlight w:val="none"/>
        </w:rPr>
        <w:t xml:space="preserve">。</w:t>
      </w:r>
      <w:r/>
    </w:p>
    <w:p>
      <w:pPr>
        <w:jc w:val="center"/>
        <w:keepLines w:val="0"/>
        <w:keepNext w:val="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第三部分  合同专用条款</w:t>
      </w:r>
      <w:bookmarkEnd w:id="271"/>
      <w:r/>
      <w:r/>
    </w:p>
    <w:p>
      <w:pPr>
        <w:ind w:firstLine="480"/>
        <w:keepLines w:val="0"/>
        <w:keepNext w:val="0"/>
        <w:pageBreakBefore w:val="0"/>
        <w:spacing w:line="4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910"/>
        <w:tblW w:w="966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8505"/>
      </w:tblGrid>
      <w:tr>
        <w:trPr>
          <w:trHeight w:val="567"/>
        </w:trPr>
        <w:tc>
          <w:tcPr>
            <w:tcBorders>
              <w:left w:val="single" w:color="auto" w:sz="4" w:space="0"/>
            </w:tcBorders>
            <w:tcW w:w="1162" w:type="dxa"/>
            <w:vAlign w:val="center"/>
            <w:textDirection w:val="lrTb"/>
            <w:noWrap w:val="false"/>
          </w:tcPr>
          <w:p>
            <w:pPr>
              <w:jc w:val="center"/>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条款号</w:t>
            </w:r>
            <w:r/>
          </w:p>
        </w:tc>
        <w:tc>
          <w:tcPr>
            <w:tcW w:w="8505" w:type="dxa"/>
            <w:vAlign w:val="center"/>
            <w:textDirection w:val="lrTb"/>
            <w:noWrap w:val="false"/>
          </w:tcPr>
          <w:p>
            <w:pPr>
              <w:jc w:val="center"/>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约定内容</w:t>
            </w:r>
            <w:r/>
          </w:p>
        </w:tc>
      </w:tr>
      <w:tr>
        <w:trPr>
          <w:trHeight w:val="352"/>
        </w:trPr>
        <w:tc>
          <w:tcPr>
            <w:tcBorders>
              <w:left w:val="single" w:color="auto" w:sz="4" w:space="0"/>
            </w:tcBorders>
            <w:tcW w:w="1162" w:type="dxa"/>
            <w:vAlign w:val="center"/>
            <w:textDirection w:val="lrTb"/>
            <w:noWrap w:val="false"/>
          </w:tcPr>
          <w:p>
            <w:pPr>
              <w:jc w:val="center"/>
              <w:spacing w:line="4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50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52"/>
        </w:trPr>
        <w:tc>
          <w:tcPr>
            <w:tcBorders>
              <w:left w:val="single" w:color="auto" w:sz="4" w:space="0"/>
            </w:tcBorders>
            <w:tcW w:w="1162" w:type="dxa"/>
            <w:vAlign w:val="center"/>
            <w:textDirection w:val="lrTb"/>
            <w:noWrap w:val="false"/>
          </w:tcPr>
          <w:p>
            <w:pPr>
              <w:jc w:val="center"/>
              <w:spacing w:line="4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505" w:type="dxa"/>
            <w:vAlign w:val="center"/>
            <w:textDirection w:val="lrTb"/>
            <w:noWrap w:val="false"/>
          </w:tcPr>
          <w:p>
            <w:pPr>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甲方（盖章）：                         乙方（盖章）：</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法定代表人（签名）：                   法定代表人（签名）：</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或委托代理人（签名）：                 或委托代理人（签名）：</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联系人：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 联系人：</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地址：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地址：</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电话：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电话：</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传真：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传真：</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开户银行：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开户银行：</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银行账号：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银行账号：</w:t>
      </w:r>
      <w:r/>
    </w:p>
    <w:p>
      <w:pPr>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val="zh-CN"/>
        </w:rPr>
        <w:t xml:space="preserve">社会统一信用代码: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社会统一信用代码：</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00"/>
        <w:rPr>
          <w:rFonts w:hint="eastAsia" w:ascii="宋体" w:hAnsi="宋体" w:eastAsia="宋体" w:cs="宋体"/>
          <w:color w:val="auto"/>
          <w:highlight w:val="none"/>
        </w:rPr>
      </w:pPr>
      <w:r/>
      <w:bookmarkStart w:id="272" w:name="_Toc8836"/>
      <w:r>
        <w:rPr>
          <w:rFonts w:hint="eastAsia" w:ascii="宋体" w:hAnsi="宋体" w:eastAsia="宋体" w:cs="宋体"/>
          <w:color w:val="auto"/>
          <w:highlight w:val="none"/>
        </w:rPr>
        <w:t xml:space="preserve">第四章 采购需求</w:t>
      </w:r>
      <w:bookmarkEnd w:id="102"/>
      <w:r/>
      <w:bookmarkEnd w:id="103"/>
      <w:r/>
      <w:bookmarkEnd w:id="104"/>
      <w:r/>
      <w:bookmarkEnd w:id="272"/>
      <w:r/>
      <w:r/>
    </w:p>
    <w:p>
      <w:pPr>
        <w:keepLines w:val="0"/>
        <w:keepNext w:val="0"/>
        <w:pageBreakBefore w:val="0"/>
        <w:spacing w:line="420" w:lineRule="exact"/>
        <w:widowControl w:val="off"/>
        <w:rPr>
          <w:rFonts w:hint="eastAsia" w:ascii="宋体" w:hAnsi="宋体" w:eastAsia="宋体" w:cs="宋体"/>
          <w:b/>
          <w:bCs/>
          <w:color w:val="auto"/>
          <w:sz w:val="28"/>
          <w:highlight w:val="none"/>
          <w:lang w:eastAsia="zh-CN"/>
        </w:rPr>
      </w:pPr>
      <w:r/>
      <w:bookmarkStart w:id="273" w:name="_Toc158691776"/>
      <w:r/>
      <w:bookmarkStart w:id="274" w:name="_Toc315868060"/>
      <w:r/>
      <w:bookmarkStart w:id="275" w:name="_Toc315875323"/>
      <w:r>
        <w:rPr>
          <w:rFonts w:hint="eastAsia" w:ascii="宋体" w:hAnsi="宋体" w:eastAsia="宋体" w:cs="宋体"/>
          <w:b/>
          <w:bCs/>
          <w:color w:val="auto"/>
          <w:sz w:val="28"/>
          <w:highlight w:val="none"/>
        </w:rPr>
        <w:t xml:space="preserve">项目名称：</w:t>
      </w:r>
      <w:r>
        <w:rPr>
          <w:rFonts w:hint="eastAsia" w:ascii="宋体" w:hAnsi="宋体" w:eastAsia="宋体" w:cs="宋体"/>
          <w:b/>
          <w:color w:val="auto"/>
          <w:sz w:val="28"/>
          <w:szCs w:val="28"/>
          <w:highlight w:val="none"/>
          <w:lang w:eastAsia="zh-CN"/>
        </w:rPr>
        <w:t xml:space="preserve">高新区2026-2028年限值限量监测站点运维服务</w:t>
      </w:r>
      <w:r/>
    </w:p>
    <w:p>
      <w:pPr>
        <w:keepLines w:val="0"/>
        <w:keepNext w:val="0"/>
        <w:pageBreakBefore w:val="0"/>
        <w:spacing w:line="420" w:lineRule="exact"/>
        <w:widowControl w:val="off"/>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rPr>
        <w:t xml:space="preserve">项目编号：</w:t>
      </w:r>
      <w:r>
        <w:rPr>
          <w:rFonts w:hint="eastAsia" w:ascii="宋体" w:hAnsi="宋体" w:cs="宋体"/>
          <w:b/>
          <w:bCs/>
          <w:color w:val="auto"/>
          <w:sz w:val="28"/>
          <w:highlight w:val="none"/>
          <w:lang w:eastAsia="zh-CN"/>
        </w:rPr>
        <w:t xml:space="preserve">JSZC-320581-HXGW-G2026-0030</w:t>
      </w:r>
      <w:r/>
    </w:p>
    <w:p>
      <w:pPr>
        <w:keepLines w:val="0"/>
        <w:keepNext w:val="0"/>
        <w:pageBreakBefore w:val="0"/>
        <w:spacing w:line="420" w:lineRule="exact"/>
        <w:widowControl w:val="off"/>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rPr>
        <w:t xml:space="preserve">采购人：</w:t>
      </w:r>
      <w:r>
        <w:rPr>
          <w:rFonts w:hint="eastAsia" w:ascii="宋体" w:hAnsi="宋体" w:eastAsia="宋体" w:cs="宋体"/>
          <w:b/>
          <w:bCs/>
          <w:color w:val="auto"/>
          <w:sz w:val="28"/>
          <w:highlight w:val="none"/>
          <w:lang w:eastAsia="zh-CN"/>
        </w:rPr>
        <w:t xml:space="preserve">常熟高新技术产业开发区管理委员会</w:t>
      </w:r>
      <w:r/>
    </w:p>
    <w:p>
      <w:pPr>
        <w:keepLines w:val="0"/>
        <w:keepNext w:val="0"/>
        <w:pageBreakBefore w:val="0"/>
        <w:spacing w:line="42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一、项目说明：</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zh-CN"/>
        </w:rPr>
      </w:pPr>
      <w:r/>
      <w:bookmarkStart w:id="276" w:name="_Toc89524316"/>
      <w:r>
        <w:rPr>
          <w:rFonts w:hint="eastAsia" w:ascii="宋体" w:hAnsi="宋体" w:eastAsia="宋体" w:cs="宋体"/>
          <w:color w:val="auto"/>
          <w:sz w:val="24"/>
          <w:szCs w:val="24"/>
          <w:highlight w:val="none"/>
          <w:lang w:val="zh-CN"/>
        </w:rPr>
        <w:t xml:space="preserve">1、项目概况：</w:t>
      </w:r>
      <w:r>
        <w:rPr>
          <w:rFonts w:hint="eastAsia" w:ascii="宋体" w:hAnsi="宋体" w:eastAsia="宋体" w:cs="宋体"/>
          <w:color w:val="auto"/>
          <w:sz w:val="24"/>
          <w:szCs w:val="24"/>
          <w:highlight w:val="none"/>
        </w:rPr>
        <w:t xml:space="preserve">本项目采购内容为</w:t>
      </w:r>
      <w:r>
        <w:rPr>
          <w:rFonts w:hint="eastAsia" w:ascii="宋体" w:hAnsi="宋体" w:eastAsia="宋体" w:cs="宋体"/>
          <w:color w:val="auto"/>
          <w:sz w:val="24"/>
          <w:szCs w:val="24"/>
          <w:highlight w:val="none"/>
          <w:lang w:eastAsia="zh-CN"/>
        </w:rPr>
        <w:t xml:space="preserve">常熟高新技术产业开发区管理委员会</w:t>
      </w:r>
      <w:r>
        <w:rPr>
          <w:rFonts w:hint="eastAsia" w:ascii="宋体" w:hAnsi="宋体" w:eastAsia="宋体" w:cs="宋体"/>
          <w:color w:val="auto"/>
          <w:sz w:val="24"/>
          <w:szCs w:val="24"/>
          <w:highlight w:val="none"/>
        </w:rPr>
        <w:t xml:space="preserve">所需的</w:t>
      </w:r>
      <w:r>
        <w:rPr>
          <w:rFonts w:hint="eastAsia" w:ascii="宋体" w:hAnsi="宋体" w:eastAsia="宋体" w:cs="宋体"/>
          <w:color w:val="auto"/>
          <w:sz w:val="24"/>
          <w:szCs w:val="24"/>
          <w:highlight w:val="none"/>
          <w:lang w:eastAsia="zh-CN"/>
        </w:rPr>
        <w:t xml:space="preserve">高新区2026-2028年限值限量监测站点运维服务</w:t>
      </w:r>
      <w:r>
        <w:rPr>
          <w:rFonts w:hint="eastAsia" w:ascii="宋体" w:hAnsi="宋体" w:eastAsia="宋体" w:cs="宋体"/>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投标人应保证运维期间所有设备的正常运行，所有设备的维修费用，除VOCs监测设备和水质自动监测站的核心设备外（如水泵、空压机等不属于核心设备），其他设备（含微型空气站核心设备）的更换费用均纳入本次投标报价中。</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高新区限值限量监控体系建成于2022年9月，请投标人自行踏勘现场，了解限值限量监控体系相关设备现状，评估设备老化相关风险，</w:t>
      </w:r>
      <w:r>
        <w:rPr>
          <w:rFonts w:hint="eastAsia" w:ascii="宋体" w:hAnsi="宋体" w:eastAsia="宋体" w:cs="宋体"/>
          <w:b w:val="0"/>
          <w:bCs w:val="0"/>
          <w:color w:val="auto"/>
          <w:sz w:val="24"/>
          <w:szCs w:val="24"/>
          <w:highlight w:val="none"/>
        </w:rPr>
        <w:t xml:space="preserve">但费用由投标人自行承担。</w:t>
      </w:r>
      <w:r>
        <w:rPr>
          <w:rFonts w:hint="eastAsia" w:ascii="宋体" w:hAnsi="宋体" w:eastAsia="宋体" w:cs="宋体"/>
          <w:color w:val="auto"/>
          <w:sz w:val="24"/>
          <w:szCs w:val="24"/>
          <w:highlight w:val="none"/>
          <w:lang w:val="en-US" w:eastAsia="zh-CN"/>
        </w:rPr>
        <w:t xml:space="preserve">现场踏勘联系人：王非，联系电话：18901576516。</w:t>
      </w:r>
      <w:r>
        <w:rPr>
          <w:rFonts w:hint="eastAsia" w:ascii="宋体" w:hAnsi="宋体" w:eastAsia="宋体" w:cs="宋体"/>
          <w:color w:val="auto"/>
          <w:sz w:val="24"/>
          <w:szCs w:val="24"/>
          <w:highlight w:val="none"/>
        </w:rPr>
        <w:t xml:space="preserve">投标人在投标时应充分考虑现场实际情况，采购人不负担因投标人对项目现场情况考虑不周而产生的其他任何费用。</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、服务地点：</w:t>
      </w:r>
      <w:r>
        <w:rPr>
          <w:rFonts w:hint="eastAsia" w:ascii="宋体" w:hAnsi="宋体" w:eastAsia="宋体" w:cs="宋体"/>
          <w:sz w:val="24"/>
          <w:szCs w:val="24"/>
          <w:highlight w:val="none"/>
        </w:rPr>
        <w:t xml:space="preserve">采购人指定地点（常熟高新技术产业开发区范围内）</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4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4、服务期限：</w:t>
      </w:r>
      <w:r>
        <w:rPr>
          <w:rFonts w:hint="eastAsia" w:ascii="宋体" w:hAnsi="宋体" w:eastAsia="宋体" w:cs="宋体"/>
          <w:color w:val="auto"/>
          <w:sz w:val="24"/>
          <w:szCs w:val="24"/>
          <w:highlight w:val="none"/>
          <w:lang w:eastAsia="zh-CN"/>
        </w:rPr>
        <w:t xml:space="preserve">自合同签订之日起</w:t>
      </w:r>
      <w:r>
        <w:rPr>
          <w:rFonts w:hint="eastAsia" w:ascii="宋体" w:hAnsi="宋体" w:eastAsia="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、付款方式：</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第一年运营维护期开始后的3个月内，甲方向乙方支付合同总价的20%作为预付款。</w:t>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第一年运营维护期结束后的2个月内，甲方向乙方支付合同总价的30%。</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③第二年运营维护期结束后的2个月内，甲方向乙方一次性付清合同余款。</w:t>
      </w:r>
      <w:r/>
    </w:p>
    <w:p>
      <w:pPr>
        <w:ind w:firstLine="482"/>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w:t>
      </w:r>
      <w:r>
        <w:rPr>
          <w:rFonts w:hint="eastAsia" w:ascii="宋体" w:hAnsi="宋体" w:eastAsia="宋体" w:cs="宋体"/>
          <w:b/>
          <w:bCs w:val="0"/>
          <w:color w:val="auto"/>
          <w:sz w:val="24"/>
          <w:szCs w:val="24"/>
          <w:highlight w:val="none"/>
        </w:rPr>
        <w:t xml:space="preserve">采购人</w:t>
      </w:r>
      <w:r>
        <w:rPr>
          <w:rFonts w:hint="eastAsia" w:ascii="宋体" w:hAnsi="宋体" w:eastAsia="宋体" w:cs="宋体"/>
          <w:b/>
          <w:bCs w:val="0"/>
          <w:color w:val="auto"/>
          <w:sz w:val="24"/>
          <w:szCs w:val="24"/>
          <w:highlight w:val="none"/>
          <w:lang w:val="en-US" w:eastAsia="zh-CN"/>
        </w:rPr>
        <w:t xml:space="preserve">根据季度考核情况，</w:t>
      </w:r>
      <w:r>
        <w:rPr>
          <w:rFonts w:hint="eastAsia" w:ascii="宋体" w:hAnsi="宋体" w:eastAsia="宋体" w:cs="宋体"/>
          <w:b/>
          <w:bCs w:val="0"/>
          <w:color w:val="auto"/>
          <w:sz w:val="24"/>
          <w:szCs w:val="24"/>
          <w:highlight w:val="none"/>
        </w:rPr>
        <w:t xml:space="preserve">考核得分在90分以上（含90分）</w:t>
      </w:r>
      <w:r>
        <w:rPr>
          <w:rFonts w:hint="eastAsia" w:ascii="宋体" w:hAnsi="宋体" w:eastAsia="宋体" w:cs="宋体"/>
          <w:b/>
          <w:bCs w:val="0"/>
          <w:color w:val="auto"/>
          <w:sz w:val="24"/>
          <w:szCs w:val="24"/>
          <w:highlight w:val="none"/>
          <w:lang w:val="en-US" w:eastAsia="zh-CN"/>
        </w:rPr>
        <w:t xml:space="preserve">不扣当季度应付款</w:t>
      </w:r>
      <w:r>
        <w:rPr>
          <w:rFonts w:hint="eastAsia" w:ascii="宋体" w:hAnsi="宋体" w:eastAsia="宋体" w:cs="宋体"/>
          <w:b/>
          <w:bCs w:val="0"/>
          <w:color w:val="auto"/>
          <w:sz w:val="24"/>
          <w:szCs w:val="24"/>
          <w:highlight w:val="none"/>
        </w:rPr>
        <w:t xml:space="preserve">费用；考核得分在70-90分之间（含70分），每低于90分1分，扣除</w:t>
      </w:r>
      <w:r>
        <w:rPr>
          <w:rFonts w:hint="eastAsia" w:ascii="宋体" w:hAnsi="宋体" w:eastAsia="宋体" w:cs="宋体"/>
          <w:b/>
          <w:bCs w:val="0"/>
          <w:color w:val="auto"/>
          <w:sz w:val="24"/>
          <w:szCs w:val="24"/>
          <w:highlight w:val="none"/>
          <w:lang w:val="en-US" w:eastAsia="zh-CN"/>
        </w:rPr>
        <w:t xml:space="preserve">当季度应付款</w:t>
      </w:r>
      <w:r>
        <w:rPr>
          <w:rFonts w:hint="eastAsia" w:ascii="宋体" w:hAnsi="宋体" w:eastAsia="宋体" w:cs="宋体"/>
          <w:b/>
          <w:bCs w:val="0"/>
          <w:color w:val="auto"/>
          <w:sz w:val="24"/>
          <w:szCs w:val="24"/>
          <w:highlight w:val="none"/>
        </w:rPr>
        <w:t xml:space="preserve">费用1%，考核得分70分以下，考核不合格，扣除</w:t>
      </w:r>
      <w:r>
        <w:rPr>
          <w:rFonts w:hint="eastAsia" w:ascii="宋体" w:hAnsi="宋体" w:eastAsia="宋体" w:cs="宋体"/>
          <w:b/>
          <w:bCs w:val="0"/>
          <w:color w:val="auto"/>
          <w:sz w:val="24"/>
          <w:szCs w:val="24"/>
          <w:highlight w:val="none"/>
          <w:lang w:val="en-US" w:eastAsia="zh-CN"/>
        </w:rPr>
        <w:t xml:space="preserve">当季度应付款</w:t>
      </w:r>
      <w:r>
        <w:rPr>
          <w:rFonts w:hint="eastAsia" w:ascii="宋体" w:hAnsi="宋体" w:eastAsia="宋体" w:cs="宋体"/>
          <w:b/>
          <w:bCs w:val="0"/>
          <w:color w:val="auto"/>
          <w:sz w:val="24"/>
          <w:szCs w:val="24"/>
          <w:highlight w:val="none"/>
        </w:rPr>
        <w:t xml:space="preserve">费用1</w:t>
      </w:r>
      <w:r>
        <w:rPr>
          <w:rFonts w:hint="eastAsia" w:ascii="宋体" w:hAnsi="宋体" w:eastAsia="宋体" w:cs="宋体"/>
          <w:b/>
          <w:bCs w:val="0"/>
          <w:color w:val="auto"/>
          <w:sz w:val="24"/>
          <w:szCs w:val="24"/>
          <w:highlight w:val="none"/>
          <w:lang w:val="en-US" w:eastAsia="zh-CN"/>
        </w:rPr>
        <w:t xml:space="preserve">00</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由采购人每季度汇总后，于第二年运营维护期结束后的2个月内付款时一次性扣除考核费用。</w:t>
      </w:r>
      <w:r/>
    </w:p>
    <w:p>
      <w:pPr>
        <w:ind w:firstLine="964"/>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lang w:val="zh-CN"/>
        </w:rPr>
        <w:t xml:space="preserve">以上每次付款前，</w:t>
      </w:r>
      <w:r>
        <w:rPr>
          <w:rFonts w:hint="eastAsia" w:ascii="宋体" w:hAnsi="宋体" w:eastAsia="宋体" w:cs="宋体"/>
          <w:b/>
          <w:bCs/>
          <w:color w:val="auto"/>
          <w:sz w:val="24"/>
          <w:szCs w:val="24"/>
          <w:highlight w:val="none"/>
          <w:lang w:val="en-US" w:eastAsia="zh-CN"/>
        </w:rPr>
        <w:t xml:space="preserve">中标人</w:t>
      </w:r>
      <w:r>
        <w:rPr>
          <w:rFonts w:hint="eastAsia" w:ascii="宋体" w:hAnsi="宋体" w:eastAsia="宋体" w:cs="宋体"/>
          <w:b/>
          <w:bCs/>
          <w:color w:val="auto"/>
          <w:sz w:val="24"/>
          <w:szCs w:val="24"/>
          <w:highlight w:val="none"/>
          <w:lang w:val="zh-CN"/>
        </w:rPr>
        <w:t xml:space="preserve">均应提供符合</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lang w:val="zh-CN"/>
        </w:rPr>
        <w:t xml:space="preserve">要求的同等金额的合法有效发票。否则，</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lang w:val="zh-CN"/>
        </w:rPr>
        <w:t xml:space="preserve">有权顺延付款时间，且不承担任何违约及/或赔偿责任</w:t>
      </w:r>
      <w:r>
        <w:rPr>
          <w:rFonts w:hint="eastAsia" w:ascii="宋体" w:hAnsi="宋体" w:eastAsia="宋体" w:cs="宋体"/>
          <w:b/>
          <w:color w:val="auto"/>
          <w:sz w:val="24"/>
          <w:szCs w:val="24"/>
          <w:highlight w:val="none"/>
        </w:rPr>
        <w:t xml:space="preserve">。</w:t>
      </w:r>
      <w:r/>
    </w:p>
    <w:p>
      <w:pPr>
        <w:ind w:firstLine="964"/>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）本项目支付方式包括但不限于：数字人民币、现金、银行汇票、转账支票等。</w:t>
      </w:r>
      <w:r/>
    </w:p>
    <w:p>
      <w:pPr>
        <w:ind w:firstLine="482"/>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不满足上述付款要求的</w:t>
      </w:r>
      <w:r>
        <w:rPr>
          <w:rFonts w:hint="eastAsia" w:ascii="宋体" w:hAnsi="宋体" w:eastAsia="宋体" w:cs="宋体"/>
          <w:b/>
          <w:color w:val="auto"/>
          <w:sz w:val="24"/>
          <w:szCs w:val="24"/>
          <w:highlight w:val="none"/>
          <w:lang w:val="zh-CN"/>
        </w:rPr>
        <w:t xml:space="preserve">将作无效投标处理</w:t>
      </w:r>
      <w:r>
        <w:rPr>
          <w:rFonts w:hint="eastAsia" w:ascii="宋体" w:hAnsi="宋体" w:eastAsia="宋体" w:cs="宋体"/>
          <w:b/>
          <w:color w:val="auto"/>
          <w:sz w:val="24"/>
          <w:szCs w:val="24"/>
          <w:highlight w:val="none"/>
        </w:rPr>
        <w:t xml:space="preserve">。</w:t>
      </w:r>
      <w:r/>
    </w:p>
    <w:p>
      <w:pPr>
        <w:ind w:firstLine="480"/>
        <w:keepLines w:val="0"/>
        <w:keepNext w:val="0"/>
        <w:pageBreakBefore w:val="0"/>
        <w:spacing w:line="4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、结算方式：本项目以</w:t>
      </w:r>
      <w:r>
        <w:rPr>
          <w:rFonts w:hint="eastAsia" w:ascii="宋体" w:hAnsi="宋体" w:eastAsia="宋体" w:cs="宋体"/>
          <w:b w:val="0"/>
          <w:bCs w:val="0"/>
          <w:color w:val="auto"/>
          <w:sz w:val="24"/>
          <w:szCs w:val="24"/>
          <w:highlight w:val="none"/>
          <w:lang w:val="en-US" w:eastAsia="zh-CN"/>
        </w:rPr>
        <w:t xml:space="preserve">总价</w:t>
      </w:r>
      <w:r>
        <w:rPr>
          <w:rFonts w:hint="eastAsia" w:ascii="宋体" w:hAnsi="宋体" w:eastAsia="宋体" w:cs="宋体"/>
          <w:b w:val="0"/>
          <w:bCs w:val="0"/>
          <w:color w:val="auto"/>
          <w:sz w:val="24"/>
          <w:szCs w:val="24"/>
          <w:highlight w:val="none"/>
        </w:rPr>
        <w:t xml:space="preserve">合同方式结算。</w:t>
      </w:r>
      <w:r/>
    </w:p>
    <w:p>
      <w:pPr>
        <w:ind w:firstLine="482"/>
        <w:keepLines w:val="0"/>
        <w:keepNext w:val="0"/>
        <w:pageBreakBefore w:val="0"/>
        <w:spacing w:line="420" w:lineRule="exact"/>
        <w:widowControl w:val="off"/>
        <w:rPr>
          <w:rFonts w:hint="eastAsia" w:ascii="宋体" w:hAnsi="宋体" w:eastAsia="宋体" w:cs="宋体"/>
          <w:b/>
          <w:bCs/>
          <w:color w:val="auto"/>
          <w:sz w:val="28"/>
          <w:szCs w:val="28"/>
          <w:highlight w:val="none"/>
          <w:lang w:val="zh-CN"/>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、本项目不得以任何形式进行转包及分包。</w:t>
      </w:r>
      <w:r/>
    </w:p>
    <w:p>
      <w:pPr>
        <w:keepLines w:val="0"/>
        <w:keepNext w:val="0"/>
        <w:pageBreakBefore w:val="0"/>
        <w:spacing w:line="42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zh-CN"/>
        </w:rPr>
        <w:t xml:space="preserve">二、</w:t>
      </w:r>
      <w:bookmarkStart w:id="277" w:name="_Toc485992633"/>
      <w:r/>
      <w:bookmarkStart w:id="278" w:name="_Toc485977967"/>
      <w:r>
        <w:rPr>
          <w:rFonts w:hint="eastAsia" w:ascii="宋体" w:hAnsi="宋体" w:eastAsia="宋体" w:cs="宋体"/>
          <w:b/>
          <w:bCs/>
          <w:color w:val="auto"/>
          <w:sz w:val="28"/>
          <w:szCs w:val="28"/>
          <w:highlight w:val="none"/>
          <w:lang w:val="en-US" w:eastAsia="zh-CN"/>
        </w:rPr>
        <w:t xml:space="preserve">运行维护站点清单：</w:t>
      </w:r>
      <w:r/>
    </w:p>
    <w:tbl>
      <w:tblPr>
        <w:tblStyle w:val="910"/>
        <w:tblW w:w="4573" w:type="pct"/>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992"/>
        <w:gridCol w:w="4701"/>
        <w:gridCol w:w="837"/>
        <w:gridCol w:w="777"/>
      </w:tblGrid>
      <w:tr>
        <w:trPr>
          <w:trHeight w:val="573"/>
        </w:trPr>
        <w:tc>
          <w:tcPr>
            <w:tcW w:w="402" w:type="pct"/>
            <w:vAlign w:val="center"/>
            <w:textDirection w:val="lrTb"/>
            <w:noWrap w:val="false"/>
          </w:tcPr>
          <w:p>
            <w:pPr>
              <w:jc w:val="cente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1102"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服务名称</w:t>
            </w:r>
            <w:r/>
          </w:p>
        </w:tc>
        <w:tc>
          <w:tcPr>
            <w:tcW w:w="2601"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运维设备/站点名称</w:t>
            </w:r>
            <w:r/>
          </w:p>
        </w:tc>
        <w:tc>
          <w:tcPr>
            <w:tcBorders>
              <w:left w:val="single" w:color="000000" w:sz="4" w:space="0"/>
              <w:right w:val="single" w:color="000000" w:sz="4" w:space="0"/>
            </w:tcBorders>
            <w:tcW w:w="463"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p>
        </w:tc>
        <w:tc>
          <w:tcPr>
            <w:tcBorders>
              <w:left w:val="single" w:color="000000" w:sz="4" w:space="0"/>
            </w:tcBorders>
            <w:tcW w:w="430"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trHeight w:val="416"/>
        </w:trPr>
        <w:tc>
          <w:tcPr>
            <w:tcW w:w="402" w:type="pct"/>
            <w:vAlign w:val="center"/>
            <w:vMerge w:val="restart"/>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02" w:type="pct"/>
            <w:vAlign w:val="center"/>
            <w:vMerge w:val="restart"/>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常熟高新区限值限量监测站点运维服务</w:t>
            </w:r>
            <w:r/>
          </w:p>
        </w:tc>
        <w:tc>
          <w:tcPr>
            <w:tcW w:w="4701" w:type="dxa"/>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VOCs监测设备（EXPEC 2000-315P/315H）</w:t>
            </w:r>
            <w:r/>
          </w:p>
        </w:tc>
        <w:tc>
          <w:tcPr>
            <w:tcBorders>
              <w:left w:val="single" w:color="000000" w:sz="4" w:space="0"/>
              <w:right w:val="single" w:color="000000" w:sz="4" w:space="0"/>
            </w:tcBorders>
            <w:tcW w:w="463" w:type="pct"/>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2套</w:t>
            </w:r>
            <w:r/>
          </w:p>
        </w:tc>
        <w:tc>
          <w:tcPr>
            <w:tcBorders>
              <w:left w:val="single" w:color="000000" w:sz="4" w:space="0"/>
            </w:tcBorders>
            <w:tcW w:w="430" w:type="pct"/>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1"/>
        </w:trPr>
        <w:tc>
          <w:tcPr>
            <w:tcW w:w="402" w:type="pct"/>
            <w:vAlign w:val="center"/>
            <w:vMerge w:val="continue"/>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2" w:type="pct"/>
            <w:vAlign w:val="center"/>
            <w:vMerge w:val="continue"/>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701" w:type="dxa"/>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标准9参数水质自动监测站</w:t>
            </w:r>
            <w:r/>
          </w:p>
        </w:tc>
        <w:tc>
          <w:tcPr>
            <w:tcBorders>
              <w:left w:val="single" w:color="000000" w:sz="4" w:space="0"/>
              <w:right w:val="single" w:color="000000" w:sz="4" w:space="0"/>
            </w:tcBorders>
            <w:tcW w:w="463" w:type="pct"/>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1站</w:t>
            </w:r>
            <w:r/>
          </w:p>
        </w:tc>
        <w:tc>
          <w:tcPr>
            <w:tcBorders>
              <w:left w:val="single" w:color="000000" w:sz="4" w:space="0"/>
            </w:tcBorders>
            <w:tcW w:w="430" w:type="pct"/>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73"/>
        </w:trPr>
        <w:tc>
          <w:tcPr>
            <w:tcW w:w="402" w:type="pct"/>
            <w:vAlign w:val="center"/>
            <w:vMerge w:val="continue"/>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2" w:type="pct"/>
            <w:vAlign w:val="center"/>
            <w:vMerge w:val="continue"/>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701" w:type="dxa"/>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水质总镍</w:t>
            </w:r>
            <w:r/>
          </w:p>
        </w:tc>
        <w:tc>
          <w:tcPr>
            <w:tcBorders>
              <w:left w:val="single" w:color="000000" w:sz="4" w:space="0"/>
              <w:right w:val="single" w:color="000000" w:sz="4" w:space="0"/>
            </w:tcBorders>
            <w:tcW w:w="463" w:type="pct"/>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p>
        </w:tc>
        <w:tc>
          <w:tcPr>
            <w:tcBorders>
              <w:left w:val="single" w:color="000000" w:sz="4" w:space="0"/>
            </w:tcBorders>
            <w:tcW w:w="430" w:type="pct"/>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70"/>
        </w:trPr>
        <w:tc>
          <w:tcPr>
            <w:tcW w:w="402" w:type="pct"/>
            <w:vAlign w:val="center"/>
            <w:vMerge w:val="continue"/>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2" w:type="pct"/>
            <w:vAlign w:val="center"/>
            <w:vMerge w:val="continue"/>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701" w:type="dxa"/>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微型空气站</w:t>
            </w:r>
            <w:r/>
          </w:p>
        </w:tc>
        <w:tc>
          <w:tcPr>
            <w:tcBorders>
              <w:left w:val="single" w:color="000000" w:sz="4" w:space="0"/>
              <w:right w:val="single" w:color="000000" w:sz="4" w:space="0"/>
            </w:tcBorders>
            <w:tcW w:w="463" w:type="pct"/>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31套</w:t>
            </w:r>
            <w:r/>
          </w:p>
        </w:tc>
        <w:tc>
          <w:tcPr>
            <w:tcBorders>
              <w:left w:val="single" w:color="000000" w:sz="4" w:space="0"/>
            </w:tcBorders>
            <w:tcW w:w="430" w:type="pct"/>
            <w:vAlign w:val="center"/>
            <w:textDirection w:val="lrTb"/>
            <w:noWrap w:val="false"/>
          </w:tcPr>
          <w:p>
            <w:pPr>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numPr>
          <w:ilvl w:val="0"/>
          <w:numId w:val="0"/>
        </w:numPr>
        <w:keepLines w:val="0"/>
        <w:keepNext w:val="0"/>
        <w:pageBreakBefore w:val="0"/>
        <w:spacing w:line="42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三、项目服务要求：</w:t>
      </w:r>
      <w:r/>
    </w:p>
    <w:p>
      <w:pPr>
        <w:ind w:firstLine="241"/>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（一）总体要求：</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应严格按照操作规范，对所管理的系统及仪器设备进行精心维护及必要维修，保证系统及仪器设备的正常运行。</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2、从事运维工作的人员必须与响应文件中拟投入人员信息一致，如需变动，必须向采购人递交申请书，经采购人同意方可变动。</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应为本项目配备至少1辆驻点车辆，以满足日常运维服务需求。</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应提供完整的运维实施方案，方案应涉及：</w:t>
      </w:r>
      <w:r>
        <w:rPr>
          <w:rFonts w:hint="eastAsia" w:ascii="宋体" w:hAnsi="宋体" w:eastAsia="宋体" w:cs="宋体"/>
          <w:color w:val="auto"/>
          <w:sz w:val="24"/>
          <w:szCs w:val="24"/>
          <w:highlight w:val="none"/>
          <w:lang w:val="en-US" w:eastAsia="zh-CN"/>
        </w:rPr>
        <w:t xml:space="preserve">运维实施计划（包括：</w:t>
      </w:r>
      <w:r>
        <w:rPr>
          <w:rFonts w:hint="eastAsia" w:ascii="宋体" w:hAnsi="宋体" w:eastAsia="宋体" w:cs="宋体"/>
          <w:color w:val="auto"/>
          <w:sz w:val="24"/>
          <w:szCs w:val="24"/>
          <w:highlight w:val="none"/>
        </w:rPr>
        <w:t xml:space="preserve">运维目标、运维体系、运维计划</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、运维实施</w:t>
      </w:r>
      <w:r>
        <w:rPr>
          <w:rFonts w:hint="eastAsia" w:ascii="宋体" w:hAnsi="宋体" w:eastAsia="宋体" w:cs="宋体"/>
          <w:color w:val="auto"/>
          <w:sz w:val="24"/>
          <w:szCs w:val="24"/>
          <w:highlight w:val="none"/>
          <w:lang w:val="en-US" w:eastAsia="zh-CN"/>
        </w:rPr>
        <w:t xml:space="preserve">具体方案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rPr>
        <w:t xml:space="preserve">每天定期远程检查、每周定期巡视、仪器设备有关部件定期清洗与维护、运维记录）。</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应提供完整的服务质量管理方案，方案应涉及：质量管控计划（包括：质量管控目标、质量管控方法、质量管控体系）；质量管控具体措施（包括：微型空气站、VOCs监测设备、水质自动监测站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水质总镍</w:t>
      </w:r>
      <w:r>
        <w:rPr>
          <w:rFonts w:hint="eastAsia" w:ascii="宋体" w:hAnsi="宋体" w:eastAsia="宋体" w:cs="宋体"/>
          <w:color w:val="auto"/>
          <w:sz w:val="24"/>
          <w:szCs w:val="24"/>
          <w:highlight w:val="none"/>
          <w:lang w:val="en-US" w:eastAsia="zh-CN"/>
        </w:rPr>
        <w:t xml:space="preserve">的运维</w:t>
      </w:r>
      <w:r>
        <w:rPr>
          <w:rFonts w:hint="eastAsia" w:ascii="宋体" w:hAnsi="宋体" w:eastAsia="宋体" w:cs="宋体"/>
          <w:color w:val="auto"/>
          <w:sz w:val="24"/>
          <w:szCs w:val="24"/>
          <w:highlight w:val="none"/>
        </w:rPr>
        <w:t xml:space="preserve">质量管控措施）。</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、委托运行维护及管理的全部资产（包括全部产权和建筑物、设备、软件、配套设施、水质自动监测站和配套监控系统产生的各类数据信息及相关文档资料）属采购人所有。</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不得以任何方式对各类财产进行出售、抵押或转移；同时，</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有责任保证上述全部资产的完整、安全并处于良好状态。</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应协助采购人做好水站固定资产的清查登记、报废等管理工作。固定资产的安全保护工作由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负责，因保管或使用不当造成的资产损失，由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负责赔偿；因被盗、船撞等外部原因造成的损失，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应第一时间报告属地公安部门，并通知采购人，依据公安调查结果协商有关赔偿问题。</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、产生的废液由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调至中性后，按照采购人的要求送至指定地点，废液桶由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自备。废液由采购人统一委托第三方处置，产生的费用由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承担。不论何时，</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都应承担监测数据的保密责任，不得以任何方式和渠道向外界传递任何监测数据。</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、其他未明确的要求，如果实际运维工作需要，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必须服从采购人安排。</w:t>
      </w:r>
      <w:r/>
    </w:p>
    <w:p>
      <w:pPr>
        <w:ind w:firstLine="241"/>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（二）具体服务要求：</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（1）VOCs监测设备运维服务要求</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1、每日远程登录或现场（远程无法解决）查看监测数据是否异常，是否按规定完成质控。</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周至少现场巡检一次，检查仪器运行状态，是否报警或异常；检查仪器耗材使用情况，更换仪器所需耗材；检查标气、载气等各类气体使用情况；检查仪器管路、阀门是否漏气；检查站房通讯及数据传输系统状态等（项目运营维护期内的相关耗材均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负责提供，相关费用均包含在</w:t>
      </w:r>
      <w:r>
        <w:rPr>
          <w:rFonts w:hint="eastAsia" w:ascii="宋体" w:hAnsi="宋体" w:eastAsia="宋体" w:cs="宋体"/>
          <w:color w:val="auto"/>
          <w:sz w:val="24"/>
          <w:szCs w:val="24"/>
          <w:highlight w:val="none"/>
          <w:lang w:val="en-US" w:eastAsia="zh-CN"/>
        </w:rPr>
        <w:t xml:space="preserve">投标报价</w:t>
      </w:r>
      <w:r>
        <w:rPr>
          <w:rFonts w:hint="eastAsia" w:ascii="宋体" w:hAnsi="宋体" w:eastAsia="宋体" w:cs="宋体"/>
          <w:color w:val="auto"/>
          <w:sz w:val="24"/>
          <w:szCs w:val="24"/>
          <w:highlight w:val="none"/>
        </w:rPr>
        <w:t xml:space="preserve">中）。</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3、每月检查清洗仪器散热风扇滤网；更换发生器过滤分子筛；更换发生器干燥剂（项目运营维护期内的相关耗材均由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负责提供，相关费用均包含在报价总价中）。巡检记录、维修记录与监督抽查等质量保证与质量控制记录均按要求进行填写，每月进行整理归档。</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Hans"/>
        </w:rPr>
        <w:t xml:space="preserve">微站</w:t>
      </w:r>
      <w:r>
        <w:rPr>
          <w:rFonts w:hint="eastAsia" w:ascii="宋体" w:hAnsi="宋体" w:eastAsia="宋体" w:cs="宋体"/>
          <w:color w:val="auto"/>
          <w:sz w:val="24"/>
          <w:szCs w:val="24"/>
          <w:highlight w:val="none"/>
        </w:rPr>
        <w:t xml:space="preserve">设备运维服务要求</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日远程登录或现场（远程无法解决）查看监测数据是否异常。每周检查设备在线率、报警情况等至少1次。每月远程巡检设备运行状况至少1次，具体内容包括设备运行状态、异常率、运行负荷、质控合格情况等，远程巡检如</w:t>
      </w:r>
      <w:r>
        <w:rPr>
          <w:rFonts w:hint="eastAsia" w:ascii="宋体" w:hAnsi="宋体" w:eastAsia="宋体" w:cs="宋体"/>
          <w:color w:val="auto"/>
          <w:sz w:val="24"/>
          <w:szCs w:val="24"/>
          <w:highlight w:val="none"/>
          <w:lang w:val="en-US" w:eastAsia="zh-CN"/>
        </w:rPr>
        <w:t xml:space="preserve">发现</w:t>
      </w:r>
      <w:r>
        <w:rPr>
          <w:rFonts w:hint="eastAsia" w:ascii="宋体" w:hAnsi="宋体" w:eastAsia="宋体" w:cs="宋体"/>
          <w:color w:val="auto"/>
          <w:sz w:val="24"/>
          <w:szCs w:val="24"/>
          <w:highlight w:val="none"/>
        </w:rPr>
        <w:t xml:space="preserve">设备状态异常需现场检查仪器。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每季度抽取不少于总数5%的站点进行现场检查，检查内容包括质量浓度准确性、平行性、设备状况、周边环境、设备运行状况等。如果季度抽查存在不合格，应及时更换不合格产品并将季度检查频次缩短为月度检查</w:t>
      </w:r>
      <w:r>
        <w:rPr>
          <w:rFonts w:hint="eastAsia" w:ascii="宋体" w:hAnsi="宋体" w:eastAsia="宋体" w:cs="宋体"/>
          <w:color w:val="000000"/>
          <w:sz w:val="24"/>
          <w:szCs w:val="24"/>
          <w:highlight w:val="none"/>
          <w:lang w:bidi="ar"/>
        </w:rPr>
        <w:t xml:space="preserve">。</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（3）水站设备运维服务要求</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1、每日对水站监测数据和设备状况进行远程监视，对监测数据进行审核，对站点运行情况进行诊断和运行管理，根据运维工作需要，对运维人员进行调度。</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周巡视水站不少于1次，查看分析仪器及辅助设备的运行状态和主要技术参数，判断运行是否正常；检查试剂状况，定期添加、更换试剂；检查上传至平台数据和现场数据的一致性；检查仪器与系统的通讯线路是否正常；及时对废液进行收集，并按相关规定要求做好处理工作（项目运营维护期内的相关耗材均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负责提供，相关费用均包含在报价总价中）。</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试剂更换要求：按仪器说明书的要求定期更换试剂，试剂更换周期不得超过试剂保质期，且余量充足，标签信息完整可溯源，确保监测数据的准确可靠（相关试剂费用均包含在报价总价中）。运维记录要求：根据采购人提供的各类运维记录表，</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需做好日常运维工作的记录。运维记录要求：根据采购人提供的各类运维记录表，</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需做好日常运维工作的记录</w:t>
      </w:r>
      <w:r>
        <w:rPr>
          <w:rFonts w:hint="eastAsia" w:ascii="宋体" w:hAnsi="宋体" w:eastAsia="宋体" w:cs="宋体"/>
          <w:color w:val="auto"/>
          <w:sz w:val="24"/>
          <w:szCs w:val="24"/>
          <w:highlight w:val="none"/>
          <w:lang w:eastAsia="zh-CN"/>
        </w:rPr>
        <w:t xml:space="preserve">。</w:t>
      </w:r>
      <w:r/>
    </w:p>
    <w:p>
      <w:pPr>
        <w:ind w:firstLine="241"/>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（三）其他要求：</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1、交接方式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在合同签订前</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与采购人共同对系统运行情况，仪器运行情况，数据采集情况进行实际考察，并且做好备案。在合同生效后采购人向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提供以下技术资料：系统、仪表技术说明书（包括软件部分）；电气原理图；电气接线图；操作手册；仪表试剂配方；通讯协议。在合同结束前</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向采购人提交包含仪器性能测试、系统核查等内容的报告。</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2、其他</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2.1为保证项目的顺利实施，</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应为本项目合理配备工作人员（工作人员需具有与本项目相适应的资质及专业能力），其中至少包括：项目负责人1名、</w:t>
      </w:r>
      <w:r>
        <w:rPr>
          <w:rFonts w:hint="eastAsia" w:ascii="宋体" w:hAnsi="宋体" w:eastAsia="宋体" w:cs="宋体"/>
          <w:color w:val="auto"/>
          <w:sz w:val="24"/>
          <w:szCs w:val="24"/>
          <w:highlight w:val="none"/>
          <w:lang w:val="en-US" w:eastAsia="zh-CN"/>
        </w:rPr>
        <w:t xml:space="preserve">技术负责人1名、</w:t>
      </w:r>
      <w:r>
        <w:rPr>
          <w:rFonts w:hint="eastAsia" w:ascii="宋体" w:hAnsi="宋体" w:eastAsia="宋体" w:cs="宋体"/>
          <w:color w:val="auto"/>
          <w:sz w:val="24"/>
          <w:szCs w:val="24"/>
          <w:highlight w:val="none"/>
        </w:rPr>
        <w:t xml:space="preserve">常驻运维人员1名、其他工作人员若干。两位负责人需实质性开展运维工作，每月至</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处汇报沟通运维情况，否则按违约处理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经采购人同意，不得随意更换拟投入本项目工作人员，否则，采购人有权终止合同。</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2.2采购人有权检查监督</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服务实施质量，如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工作人员存在技术不达标或服务质量未达到采购人要求的，采购人有权要求立即更换相关人员，</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应无条件更换相关人员，直至人选合格为止。</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工作人员在履行工作职责期间（包括上下班途中），发生自身的人身伤害、伤亡以及事故等，均由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负责处理并承担经济和道义上的责任，采购人不承担任何责任。</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与所派遣的工作人员发生纠纷，均由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负责调解与处理，采购人不承担任何责任。</w:t>
      </w:r>
      <w:r/>
    </w:p>
    <w:p>
      <w:pPr>
        <w:ind w:firstLine="241"/>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监督及验收</w:t>
      </w:r>
      <w:r>
        <w:rPr>
          <w:rFonts w:hint="eastAsia" w:ascii="宋体" w:hAnsi="宋体" w:eastAsia="宋体" w:cs="宋体"/>
          <w:b/>
          <w:sz w:val="24"/>
          <w:szCs w:val="24"/>
          <w:highlight w:val="none"/>
        </w:rPr>
        <w:t xml:space="preserve">要求：</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1、投标人</w:t>
      </w:r>
      <w:r>
        <w:rPr>
          <w:rFonts w:hint="eastAsia" w:ascii="宋体" w:hAnsi="宋体" w:eastAsia="宋体" w:cs="宋体"/>
          <w:color w:val="auto"/>
          <w:sz w:val="24"/>
          <w:szCs w:val="24"/>
          <w:highlight w:val="none"/>
          <w:lang w:val="zh-CN"/>
        </w:rPr>
        <w:t xml:space="preserve">在项目实施期间应无条件的接受采购人的监督管理，对采购人提出的质量问题要及时整改。</w:t>
      </w:r>
      <w:r>
        <w:rPr>
          <w:rFonts w:hint="eastAsia" w:ascii="宋体" w:hAnsi="宋体" w:eastAsia="宋体" w:cs="宋体"/>
          <w:color w:val="auto"/>
          <w:sz w:val="24"/>
          <w:szCs w:val="24"/>
          <w:highlight w:val="none"/>
        </w:rPr>
        <w:t xml:space="preserve">中标人必须在规定的时间内，保质保量完成服务工作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在接到采购人通知后，应在1小时内响应，2小时到达采购人指定地点。项目实施过程中人员不得随意更换，如遇特殊情况需调换，必须征得采购人同意。</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验收标准：根据招标文件、中标人的投标文件、双方签订的合同文件及其附件</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42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四、考核办法：</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考核实施动态打分，总分为100分，按季度进行考核。</w:t>
      </w:r>
      <w:r/>
    </w:p>
    <w:p>
      <w:pPr>
        <w:ind w:firstLine="482"/>
        <w:jc w:val="left"/>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1.日常运维（50分）：</w:t>
      </w:r>
      <w:r>
        <w:rPr>
          <w:rFonts w:hint="eastAsia" w:ascii="宋体" w:hAnsi="宋体" w:eastAsia="宋体" w:cs="宋体"/>
          <w:color w:val="auto"/>
          <w:sz w:val="24"/>
          <w:szCs w:val="24"/>
          <w:highlight w:val="none"/>
        </w:rPr>
        <w:t xml:space="preserve">根据</w:t>
      </w:r>
      <w:r>
        <w:rPr>
          <w:rFonts w:hint="eastAsia" w:ascii="宋体" w:hAnsi="宋体" w:eastAsia="宋体" w:cs="宋体"/>
          <w:bCs/>
          <w:color w:val="auto"/>
          <w:sz w:val="24"/>
          <w:szCs w:val="24"/>
          <w:highlight w:val="none"/>
          <w:lang w:val="en-US" w:eastAsia="zh-CN"/>
        </w:rPr>
        <w:t xml:space="preserve">项目运维实施</w:t>
      </w:r>
      <w:r>
        <w:rPr>
          <w:rFonts w:hint="eastAsia" w:ascii="宋体" w:hAnsi="宋体" w:eastAsia="宋体" w:cs="宋体"/>
          <w:bCs/>
          <w:color w:val="auto"/>
          <w:sz w:val="24"/>
          <w:szCs w:val="24"/>
          <w:highlight w:val="none"/>
        </w:rPr>
        <w:t xml:space="preserve">计划</w:t>
      </w:r>
      <w:r>
        <w:rPr>
          <w:rFonts w:hint="eastAsia" w:ascii="宋体" w:hAnsi="宋体" w:eastAsia="宋体" w:cs="宋体"/>
          <w:color w:val="auto"/>
          <w:sz w:val="24"/>
          <w:szCs w:val="24"/>
          <w:highlight w:val="none"/>
        </w:rPr>
        <w:t xml:space="preserve">进行</w:t>
      </w:r>
      <w:r>
        <w:rPr>
          <w:rFonts w:hint="eastAsia" w:ascii="宋体" w:hAnsi="宋体" w:eastAsia="宋体" w:cs="宋体"/>
          <w:color w:val="auto"/>
          <w:sz w:val="24"/>
          <w:szCs w:val="24"/>
          <w:highlight w:val="none"/>
          <w:lang w:val="en-US" w:eastAsia="zh-CN"/>
        </w:rPr>
        <w:t xml:space="preserve">运维服务</w:t>
      </w:r>
      <w:r>
        <w:rPr>
          <w:rFonts w:hint="eastAsia" w:ascii="宋体" w:hAnsi="宋体" w:eastAsia="宋体" w:cs="宋体"/>
          <w:color w:val="auto"/>
          <w:sz w:val="24"/>
          <w:szCs w:val="24"/>
          <w:highlight w:val="none"/>
        </w:rPr>
        <w:t xml:space="preserve">，检查维护不到位每发现1次扣3分。</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负责人需对现场</w:t>
      </w:r>
      <w:r>
        <w:rPr>
          <w:rFonts w:hint="eastAsia" w:ascii="宋体" w:hAnsi="宋体" w:eastAsia="宋体" w:cs="宋体"/>
          <w:color w:val="auto"/>
          <w:sz w:val="24"/>
          <w:szCs w:val="24"/>
          <w:highlight w:val="none"/>
          <w:lang w:val="en-US" w:eastAsia="zh-CN"/>
        </w:rPr>
        <w:t xml:space="preserve">运维服务</w:t>
      </w:r>
      <w:r>
        <w:rPr>
          <w:rFonts w:hint="eastAsia" w:ascii="宋体" w:hAnsi="宋体" w:eastAsia="宋体" w:cs="宋体"/>
          <w:color w:val="auto"/>
          <w:sz w:val="24"/>
          <w:szCs w:val="24"/>
          <w:highlight w:val="none"/>
        </w:rPr>
        <w:t xml:space="preserve">确认单签字确认，缺少一份扣1分。</w:t>
      </w:r>
      <w:r/>
    </w:p>
    <w:p>
      <w:pPr>
        <w:ind w:firstLine="482"/>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2.出勤考核（10分）：</w:t>
      </w:r>
      <w:r>
        <w:rPr>
          <w:rFonts w:hint="eastAsia" w:ascii="宋体" w:hAnsi="宋体" w:eastAsia="宋体" w:cs="宋体"/>
          <w:color w:val="auto"/>
          <w:sz w:val="24"/>
          <w:szCs w:val="24"/>
          <w:highlight w:val="none"/>
        </w:rPr>
        <w:t xml:space="preserve">发生人员迟到、早退每次扣除0.5分，脱岗、旷工每次扣1分。擅自变更运维人员一次扣1分，擅自变更项目</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rPr>
        <w:t xml:space="preserve">一次扣2分。如派驻人员发生不服从管理或故意违反采购人的相关规定，采购人可以与</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终止服务合同，并要求</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全额退还合同款项。</w:t>
      </w:r>
      <w:r/>
    </w:p>
    <w:p>
      <w:pPr>
        <w:ind w:firstLine="482"/>
        <w:jc w:val="left"/>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3.效率考核（30分）：</w:t>
      </w:r>
      <w:r>
        <w:rPr>
          <w:rFonts w:hint="eastAsia" w:ascii="宋体" w:hAnsi="宋体" w:eastAsia="宋体" w:cs="宋体"/>
          <w:color w:val="auto"/>
          <w:sz w:val="24"/>
          <w:szCs w:val="24"/>
          <w:highlight w:val="none"/>
        </w:rPr>
        <w:t xml:space="preserve">运维人员应当积极应对突发故障并作出响应，及时处理相应故障。超过规定响应时限的，每发现一次扣1分。</w:t>
      </w:r>
      <w:r/>
    </w:p>
    <w:p>
      <w:pPr>
        <w:ind w:firstLine="482"/>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rPr>
          <w:rFonts w:hint="eastAsia" w:ascii="宋体" w:hAnsi="宋体" w:eastAsia="宋体" w:cs="宋体"/>
          <w:b/>
          <w:bCs/>
          <w:color w:val="auto"/>
          <w:sz w:val="24"/>
          <w:szCs w:val="24"/>
          <w:highlight w:val="none"/>
        </w:rPr>
        <w:t xml:space="preserve">基础文档考核（10分）</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应提供完善</w:t>
      </w:r>
      <w:r>
        <w:rPr>
          <w:rFonts w:hint="eastAsia" w:ascii="宋体" w:hAnsi="宋体" w:eastAsia="宋体" w:cs="宋体"/>
          <w:color w:val="auto"/>
          <w:sz w:val="24"/>
          <w:szCs w:val="24"/>
          <w:highlight w:val="none"/>
          <w:lang w:val="en-US" w:eastAsia="zh-CN"/>
        </w:rPr>
        <w:t xml:space="preserve">项目运维实施计划、</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lang w:val="zh-CN"/>
        </w:rPr>
        <w:t xml:space="preserve">运维实施</w:t>
      </w:r>
      <w:r>
        <w:rPr>
          <w:rFonts w:hint="eastAsia" w:ascii="宋体" w:hAnsi="宋体" w:eastAsia="宋体" w:cs="宋体"/>
          <w:color w:val="auto"/>
          <w:sz w:val="24"/>
          <w:highlight w:val="none"/>
          <w:lang w:val="en-US" w:eastAsia="zh-CN"/>
        </w:rPr>
        <w:t xml:space="preserve">具体方案、</w:t>
      </w:r>
      <w:r>
        <w:rPr>
          <w:rFonts w:hint="eastAsia" w:ascii="宋体" w:hAnsi="宋体" w:eastAsia="宋体" w:cs="宋体"/>
          <w:color w:val="auto"/>
          <w:sz w:val="24"/>
          <w:szCs w:val="24"/>
          <w:highlight w:val="none"/>
        </w:rPr>
        <w:t xml:space="preserve">质量管控计划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质量管控具体措施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运维应急方案</w:t>
      </w:r>
      <w:r>
        <w:rPr>
          <w:rFonts w:hint="eastAsia" w:ascii="宋体" w:hAnsi="宋体" w:eastAsia="宋体" w:cs="宋体"/>
          <w:color w:val="auto"/>
          <w:sz w:val="24"/>
          <w:szCs w:val="24"/>
          <w:highlight w:val="none"/>
        </w:rPr>
        <w:t xml:space="preserve">，每缺一项扣2分。</w:t>
      </w:r>
      <w:r/>
    </w:p>
    <w:p>
      <w:pPr>
        <w:ind w:firstLine="482"/>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5.考核结果应用</w:t>
      </w:r>
      <w:r/>
    </w:p>
    <w:p>
      <w:pPr>
        <w:ind w:firstLine="480"/>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（1）季度考核得分≥90分，</w:t>
      </w:r>
      <w:r>
        <w:rPr>
          <w:rFonts w:hint="eastAsia" w:ascii="宋体" w:hAnsi="宋体" w:eastAsia="宋体" w:cs="宋体"/>
          <w:color w:val="auto"/>
          <w:sz w:val="24"/>
          <w:szCs w:val="24"/>
          <w:highlight w:val="none"/>
          <w:lang w:val="en-US" w:eastAsia="zh-CN"/>
        </w:rPr>
        <w:t xml:space="preserve">不扣当季度应付款费用</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（2）70≤季度考核得分＜90分，</w:t>
      </w:r>
      <w:r>
        <w:rPr>
          <w:rFonts w:hint="eastAsia" w:ascii="宋体" w:hAnsi="宋体" w:eastAsia="宋体" w:cs="宋体"/>
          <w:bCs/>
          <w:color w:val="auto"/>
          <w:sz w:val="24"/>
          <w:szCs w:val="24"/>
          <w:highlight w:val="none"/>
        </w:rPr>
        <w:t xml:space="preserve">每低于90分1分，扣除</w:t>
      </w:r>
      <w:r>
        <w:rPr>
          <w:rFonts w:hint="eastAsia" w:ascii="宋体" w:hAnsi="宋体" w:eastAsia="宋体" w:cs="宋体"/>
          <w:bCs/>
          <w:color w:val="auto"/>
          <w:sz w:val="24"/>
          <w:szCs w:val="24"/>
          <w:highlight w:val="none"/>
          <w:lang w:val="en-US" w:eastAsia="zh-CN"/>
        </w:rPr>
        <w:t xml:space="preserve">当季度应付款</w:t>
      </w:r>
      <w:r>
        <w:rPr>
          <w:rFonts w:hint="eastAsia" w:ascii="宋体" w:hAnsi="宋体" w:eastAsia="宋体" w:cs="宋体"/>
          <w:bCs/>
          <w:color w:val="auto"/>
          <w:sz w:val="24"/>
          <w:szCs w:val="24"/>
          <w:highlight w:val="none"/>
        </w:rPr>
        <w:t xml:space="preserve">费用1%</w:t>
      </w:r>
      <w:r>
        <w:rPr>
          <w:rFonts w:hint="eastAsia" w:ascii="宋体" w:hAnsi="宋体" w:eastAsia="宋体" w:cs="宋体"/>
          <w:color w:val="auto"/>
          <w:sz w:val="24"/>
          <w:szCs w:val="24"/>
          <w:highlight w:val="none"/>
        </w:rPr>
        <w:t xml:space="preserve">。</w:t>
      </w:r>
      <w:r/>
    </w:p>
    <w:p>
      <w:pPr>
        <w:ind w:firstLine="480"/>
        <w:jc w:val="left"/>
        <w:spacing w:line="440" w:lineRule="exact"/>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color w:val="auto"/>
          <w:sz w:val="24"/>
          <w:szCs w:val="24"/>
          <w:highlight w:val="none"/>
        </w:rPr>
        <w:t xml:space="preserve">（3）季度考核得分＜70分，为不合格，扣除</w:t>
      </w:r>
      <w:r>
        <w:rPr>
          <w:rFonts w:hint="eastAsia" w:ascii="宋体" w:hAnsi="宋体" w:eastAsia="宋体" w:cs="宋体"/>
          <w:color w:val="auto"/>
          <w:sz w:val="24"/>
          <w:szCs w:val="24"/>
          <w:highlight w:val="none"/>
          <w:lang w:val="en-US" w:eastAsia="zh-CN"/>
        </w:rPr>
        <w:t xml:space="preserve">当季度应付款</w:t>
      </w:r>
      <w:r>
        <w:rPr>
          <w:rFonts w:hint="eastAsia" w:ascii="宋体" w:hAnsi="宋体" w:eastAsia="宋体" w:cs="宋体"/>
          <w:color w:val="auto"/>
          <w:sz w:val="24"/>
          <w:szCs w:val="24"/>
          <w:highlight w:val="none"/>
        </w:rPr>
        <w:t xml:space="preserve">费用1</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w:t>
      </w:r>
      <w:r/>
    </w:p>
    <w:p>
      <w:pPr>
        <w:numPr>
          <w:ilvl w:val="0"/>
          <w:numId w:val="0"/>
        </w:numPr>
        <w:keepLines w:val="0"/>
        <w:keepNext w:val="0"/>
        <w:pageBreakBefore w:val="0"/>
        <w:spacing w:line="42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五、</w:t>
      </w:r>
      <w:r>
        <w:rPr>
          <w:rFonts w:hint="eastAsia" w:ascii="宋体" w:hAnsi="宋体" w:eastAsia="宋体" w:cs="宋体"/>
          <w:b/>
          <w:bCs/>
          <w:color w:val="auto"/>
          <w:sz w:val="28"/>
          <w:szCs w:val="28"/>
          <w:highlight w:val="none"/>
        </w:rPr>
        <w:t xml:space="preserve">投标报价要求：</w:t>
      </w:r>
      <w:bookmarkEnd w:id="277"/>
      <w:bookmarkEnd w:id="278"/>
      <w:r/>
    </w:p>
    <w:p>
      <w:pPr>
        <w:numPr>
          <w:ilvl w:val="0"/>
          <w:numId w:val="0"/>
        </w:num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投标人须对本项目中要求的所有服务进行投报，不得拆开投报或只投其中的部分内容，否则作无效投标处理。</w:t>
      </w:r>
      <w:r/>
    </w:p>
    <w:p>
      <w:pPr>
        <w:numPr>
          <w:ilvl w:val="0"/>
          <w:numId w:val="0"/>
        </w:num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项目实施过程中由采购人承担的项目及费用：运行维护站点运行所需水电费及网络费</w:t>
      </w:r>
      <w:r>
        <w:rPr>
          <w:rFonts w:hint="eastAsia" w:ascii="宋体" w:hAnsi="宋体" w:eastAsia="宋体" w:cs="宋体"/>
          <w:color w:val="auto"/>
          <w:sz w:val="24"/>
          <w:szCs w:val="24"/>
          <w:highlight w:val="none"/>
          <w:lang w:eastAsia="zh-CN"/>
        </w:rPr>
        <w:t xml:space="preserve">。</w:t>
      </w:r>
      <w:r/>
    </w:p>
    <w:p>
      <w:pPr>
        <w:numPr>
          <w:ilvl w:val="0"/>
          <w:numId w:val="0"/>
        </w:numPr>
        <w:ind w:firstLine="482"/>
        <w:spacing w:line="44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投标人应保证运维期间所有设备的正常运行，所有设备的维修费用，除VOCs监测设备和水质自动监测站的核心设备外（如水泵、空压机等不属于核心设备），其他设备（含微型空气站核心设备）的更换费用均纳入本次投标报价中。</w:t>
      </w:r>
      <w:r/>
    </w:p>
    <w:p>
      <w:pPr>
        <w:numPr>
          <w:ilvl w:val="0"/>
          <w:numId w:val="0"/>
        </w:numPr>
        <w:ind w:firstLine="482"/>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val="0"/>
          <w:sz w:val="24"/>
          <w:szCs w:val="24"/>
          <w:highlight w:val="none"/>
        </w:rPr>
        <w:t xml:space="preserve">注：除上述所列由采购人承担的费用之外，其他在项目实施过程中产生的费用均由</w:t>
      </w:r>
      <w:r>
        <w:rPr>
          <w:rFonts w:hint="eastAsia" w:ascii="宋体" w:hAnsi="宋体" w:eastAsia="宋体" w:cs="宋体"/>
          <w:b/>
          <w:bCs w:val="0"/>
          <w:sz w:val="24"/>
          <w:szCs w:val="24"/>
          <w:highlight w:val="none"/>
          <w:lang w:val="en-US" w:eastAsia="zh-CN"/>
        </w:rPr>
        <w:t xml:space="preserve">投标人</w:t>
      </w:r>
      <w:r>
        <w:rPr>
          <w:rFonts w:hint="eastAsia" w:ascii="宋体" w:hAnsi="宋体" w:eastAsia="宋体" w:cs="宋体"/>
          <w:b/>
          <w:bCs w:val="0"/>
          <w:sz w:val="24"/>
          <w:szCs w:val="24"/>
          <w:highlight w:val="none"/>
        </w:rPr>
        <w:t xml:space="preserve">承担，包含在</w:t>
      </w:r>
      <w:r>
        <w:rPr>
          <w:rFonts w:hint="eastAsia" w:ascii="宋体" w:hAnsi="宋体" w:eastAsia="宋体" w:cs="宋体"/>
          <w:b/>
          <w:bCs w:val="0"/>
          <w:sz w:val="24"/>
          <w:szCs w:val="24"/>
          <w:highlight w:val="none"/>
          <w:lang w:val="en-US" w:eastAsia="zh-CN"/>
        </w:rPr>
        <w:t xml:space="preserve">投标报价</w:t>
      </w:r>
      <w:r>
        <w:rPr>
          <w:rFonts w:hint="eastAsia" w:ascii="宋体" w:hAnsi="宋体" w:eastAsia="宋体" w:cs="宋体"/>
          <w:b/>
          <w:bCs w:val="0"/>
          <w:sz w:val="24"/>
          <w:szCs w:val="24"/>
          <w:highlight w:val="none"/>
        </w:rPr>
        <w:t xml:space="preserve">中</w:t>
      </w:r>
      <w:r>
        <w:rPr>
          <w:rFonts w:hint="eastAsia" w:ascii="宋体" w:hAnsi="宋体" w:eastAsia="宋体" w:cs="宋体"/>
          <w:b/>
          <w:bCs w:val="0"/>
          <w:sz w:val="24"/>
          <w:szCs w:val="24"/>
          <w:highlight w:val="none"/>
          <w:lang w:eastAsia="zh-CN"/>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、投标应以人民币报价，投标总价为二年服务期限内完成本项目服务所需的所有费用，包括：</w:t>
      </w:r>
      <w:r>
        <w:rPr>
          <w:rFonts w:hint="eastAsia" w:ascii="宋体" w:hAnsi="宋体" w:eastAsia="宋体" w:cs="宋体"/>
          <w:bCs/>
          <w:sz w:val="24"/>
          <w:szCs w:val="24"/>
          <w:highlight w:val="none"/>
        </w:rPr>
        <w:t xml:space="preserve">维修保养费（包含标准物质、</w:t>
      </w:r>
      <w:r>
        <w:rPr>
          <w:rFonts w:hint="eastAsia" w:ascii="宋体" w:hAnsi="宋体" w:eastAsia="宋体" w:cs="宋体"/>
          <w:color w:val="000000"/>
          <w:sz w:val="24"/>
          <w:szCs w:val="24"/>
          <w:highlight w:val="none"/>
          <w:lang w:bidi="ar"/>
        </w:rPr>
        <w:t xml:space="preserve">分析</w:t>
      </w:r>
      <w:r>
        <w:rPr>
          <w:rFonts w:hint="eastAsia" w:ascii="宋体" w:hAnsi="宋体" w:eastAsia="宋体" w:cs="宋体"/>
          <w:bCs/>
          <w:sz w:val="24"/>
          <w:szCs w:val="24"/>
          <w:highlight w:val="none"/>
        </w:rPr>
        <w:t xml:space="preserve">仪器和辅助设备维修保养）、人工费（包括人员工资、福利费、加班费、人身意外伤害险等）、固定运维服务点设置费</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sz w:val="24"/>
          <w:szCs w:val="24"/>
          <w:highlight w:val="none"/>
        </w:rPr>
        <w:t xml:space="preserve">耗材费、试剂费、备品备件费、废液处置费、易耗品费、</w:t>
      </w:r>
      <w:r>
        <w:rPr>
          <w:rFonts w:hint="eastAsia" w:ascii="宋体" w:hAnsi="宋体" w:eastAsia="宋体" w:cs="宋体"/>
          <w:bCs/>
          <w:sz w:val="24"/>
          <w:szCs w:val="24"/>
          <w:highlight w:val="none"/>
          <w:lang w:val="en-US" w:eastAsia="zh-CN"/>
        </w:rPr>
        <w:t xml:space="preserve">报告</w:t>
      </w:r>
      <w:r>
        <w:rPr>
          <w:rFonts w:hint="eastAsia" w:ascii="宋体" w:hAnsi="宋体" w:eastAsia="宋体" w:cs="宋体"/>
          <w:bCs/>
          <w:sz w:val="24"/>
          <w:szCs w:val="24"/>
          <w:highlight w:val="none"/>
        </w:rPr>
        <w:t xml:space="preserve">编制费</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交通费、差旅费、风险费、后续服务费、</w:t>
      </w:r>
      <w:r>
        <w:rPr>
          <w:rFonts w:hint="eastAsia" w:ascii="宋体" w:hAnsi="宋体" w:eastAsia="宋体" w:cs="宋体"/>
          <w:color w:val="auto"/>
          <w:sz w:val="24"/>
          <w:szCs w:val="24"/>
          <w:highlight w:val="none"/>
          <w:lang w:val="en-US" w:eastAsia="zh-CN"/>
        </w:rPr>
        <w:t xml:space="preserve">管理费、</w:t>
      </w:r>
      <w:r>
        <w:rPr>
          <w:rFonts w:hint="eastAsia" w:ascii="宋体" w:hAnsi="宋体" w:eastAsia="宋体" w:cs="宋体"/>
          <w:bCs/>
          <w:sz w:val="24"/>
          <w:szCs w:val="24"/>
          <w:highlight w:val="none"/>
        </w:rPr>
        <w:t xml:space="preserve">利润、税费及政策性文件规定和合同所包含的所有风险、责任等各项应有费用（项目实施过程中由采购人承担的费用除外）</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highlight w:val="none"/>
        </w:rPr>
        <w:t xml:space="preserve">请投标人根据自身经验，充分考虑本项目的潜在风险，并自行承担由此而产生的一切费用，采购人不因项目不可预见的情况而支付任何费用</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20" w:lineRule="exact"/>
        <w:widowControl w:val="off"/>
        <w:rPr>
          <w:rFonts w:hint="eastAsia" w:ascii="宋体" w:hAnsi="宋体" w:eastAsia="宋体" w:cs="宋体"/>
          <w:b/>
          <w:color w:val="auto"/>
          <w:sz w:val="36"/>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2"/>
          <w:highlight w:val="none"/>
        </w:rPr>
        <w:t xml:space="preserve">投标人在投标报价时应考虑各种风险因素，</w:t>
      </w:r>
      <w:r>
        <w:rPr>
          <w:rFonts w:hint="eastAsia" w:ascii="宋体" w:hAnsi="宋体" w:eastAsia="宋体" w:cs="宋体"/>
          <w:color w:val="auto"/>
          <w:sz w:val="24"/>
          <w:szCs w:val="24"/>
          <w:highlight w:val="none"/>
        </w:rPr>
        <w:t xml:space="preserve">并自行承担由此而产生的一切费用，</w:t>
      </w:r>
      <w:r>
        <w:rPr>
          <w:rFonts w:hint="eastAsia" w:ascii="宋体" w:hAnsi="宋体" w:eastAsia="宋体" w:cs="宋体"/>
          <w:color w:val="auto"/>
          <w:sz w:val="24"/>
          <w:szCs w:val="22"/>
          <w:highlight w:val="none"/>
        </w:rPr>
        <w:t xml:space="preserve">相关风险因素费用包含在投标总价中。</w:t>
      </w:r>
      <w:r>
        <w:rPr>
          <w:rFonts w:hint="eastAsia" w:ascii="宋体" w:hAnsi="宋体" w:eastAsia="宋体" w:cs="宋体"/>
          <w:color w:val="auto"/>
          <w:sz w:val="24"/>
          <w:highlight w:val="none"/>
        </w:rPr>
        <w:t xml:space="preserve">风险因素包括不可抗力、遇重大检查、突发情况、最低工资调整、社保调整、公积金调整、物价调整、税费调整等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highlight w:val="none"/>
        </w:rPr>
        <w:br w:type="page" w:clear="all"/>
      </w:r>
      <w:r/>
    </w:p>
    <w:p>
      <w:pPr>
        <w:pStyle w:val="900"/>
        <w:spacing w:line="440" w:lineRule="exact"/>
        <w:rPr>
          <w:rFonts w:hint="eastAsia" w:ascii="宋体" w:hAnsi="宋体" w:eastAsia="宋体" w:cs="宋体"/>
          <w:color w:val="auto"/>
          <w:highlight w:val="none"/>
        </w:rPr>
      </w:pPr>
      <w:r/>
      <w:bookmarkStart w:id="279" w:name="_Toc25591"/>
      <w:r>
        <w:rPr>
          <w:rFonts w:hint="eastAsia" w:ascii="宋体" w:hAnsi="宋体" w:eastAsia="宋体" w:cs="宋体"/>
          <w:color w:val="auto"/>
          <w:highlight w:val="none"/>
        </w:rPr>
        <w:t xml:space="preserve">第五章 评审方法与评审标准</w:t>
      </w:r>
      <w:bookmarkEnd w:id="276"/>
      <w:r/>
      <w:bookmarkEnd w:id="279"/>
      <w:r/>
      <w:r/>
    </w:p>
    <w:p>
      <w:pPr>
        <w:keepLines w:val="0"/>
        <w:keepNext w:val="0"/>
        <w:pageBreakBefore w:val="0"/>
        <w:spacing w:line="420" w:lineRule="exact"/>
        <w:widowControl w:val="off"/>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一、评标方法</w:t>
      </w:r>
      <w:r/>
    </w:p>
    <w:p>
      <w:pPr>
        <w:ind w:firstLine="42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评标办法采用</w:t>
      </w:r>
      <w:r>
        <w:rPr>
          <w:rFonts w:hint="eastAsia" w:ascii="宋体" w:hAnsi="宋体" w:eastAsia="宋体" w:cs="宋体"/>
          <w:b/>
          <w:color w:val="auto"/>
          <w:sz w:val="24"/>
          <w:szCs w:val="24"/>
          <w:highlight w:val="none"/>
        </w:rPr>
        <w:t xml:space="preserve">综合评分法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keepLines w:val="0"/>
        <w:keepNext w:val="0"/>
        <w:pageBreakBefore w:val="0"/>
        <w:spacing w:line="420" w:lineRule="exact"/>
        <w:widowControl w:val="off"/>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二、评审因素、权值及评分标准</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注：每部分的得分保留小数点后两位，合计得分保留小数点后两位。</w:t>
      </w:r>
      <w:r/>
    </w:p>
    <w:p>
      <w:pPr>
        <w:ind w:firstLine="241"/>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1、报价得分25分</w:t>
      </w:r>
      <w:r/>
    </w:p>
    <w:p>
      <w:pPr>
        <w:ind w:firstLine="480"/>
        <w:keepLines w:val="0"/>
        <w:keepNext w:val="0"/>
        <w:pageBreakBefore w:val="0"/>
        <w:spacing w:line="420" w:lineRule="exact"/>
        <w:widowControl w:val="off"/>
        <w:rPr>
          <w:rFonts w:hint="eastAsia" w:ascii="宋体" w:hAnsi="宋体" w:eastAsia="宋体" w:cs="宋体"/>
          <w:color w:val="auto"/>
          <w:sz w:val="24"/>
          <w:highlight w:val="none"/>
        </w:rPr>
      </w:pPr>
      <w:r/>
      <w:bookmarkStart w:id="280" w:name="_Toc29724"/>
      <w:r>
        <w:rPr>
          <w:rFonts w:hint="eastAsia" w:ascii="宋体" w:hAnsi="宋体" w:eastAsia="宋体" w:cs="宋体"/>
          <w:color w:val="auto"/>
          <w:sz w:val="24"/>
          <w:highlight w:val="none"/>
        </w:rPr>
        <w:t xml:space="preserve">满足招标文件要求且投标价格最低的投标报价为评标基准价，其价格分为25分；其他投标人的价格分按下列公式计算：投标报价得分＝（评标基准价／投标报价）×25分</w:t>
      </w:r>
      <w:r>
        <w:rPr>
          <w:rFonts w:hint="eastAsia" w:ascii="宋体" w:hAnsi="宋体" w:eastAsia="宋体" w:cs="宋体"/>
          <w:color w:val="auto"/>
          <w:sz w:val="24"/>
          <w:szCs w:val="24"/>
          <w:highlight w:val="none"/>
        </w:rPr>
        <w:t xml:space="preserve">。</w:t>
      </w:r>
      <w:r/>
    </w:p>
    <w:p>
      <w:pPr>
        <w:ind w:right="-27" w:firstLine="482"/>
        <w:keepLines w:val="0"/>
        <w:keepNext w:val="0"/>
        <w:pageBreakBefore w:val="0"/>
        <w:spacing w:line="42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注：（一）采购人应当在采购文件中明确，政府采购评审中出现下列情形之一的，评审委员会应当启动异常低价投标（响应）审查程序： </w:t>
      </w:r>
      <w:r/>
    </w:p>
    <w:p>
      <w:pPr>
        <w:ind w:right="-27" w:firstLine="482"/>
        <w:keepLines w:val="0"/>
        <w:keepNext w:val="0"/>
        <w:pageBreakBefore w:val="0"/>
        <w:spacing w:line="42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1.投标（响应）报价低于全部通过符合性审查供应商投标（响应）报价平均值50%的，即投标（响应）报价&lt;全部通过符合性审查供应商投标（响应）报价平均值×50%； </w:t>
      </w:r>
      <w:r/>
    </w:p>
    <w:p>
      <w:pPr>
        <w:ind w:right="-27" w:firstLine="482"/>
        <w:keepLines w:val="0"/>
        <w:keepNext w:val="0"/>
        <w:pageBreakBefore w:val="0"/>
        <w:spacing w:line="42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2.投标（响应）报价低于通过符合性审查的次低报价供应商投标（响应）报价50%的，即投标（响应）报价&lt;通过符合性审查的次低报价供应商投标（响应）报价×50%； </w:t>
      </w:r>
      <w:r/>
    </w:p>
    <w:p>
      <w:pPr>
        <w:ind w:right="-27" w:firstLine="482"/>
        <w:keepLines w:val="0"/>
        <w:keepNext w:val="0"/>
        <w:pageBreakBefore w:val="0"/>
        <w:spacing w:line="42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3.投标（响应）报价低于采购项目最高限价45%的，即投标（响应）报价&lt;采购项目最高限价×45%； </w:t>
      </w:r>
      <w:r/>
    </w:p>
    <w:p>
      <w:pPr>
        <w:ind w:right="-27" w:firstLine="482"/>
        <w:keepLines w:val="0"/>
        <w:keepNext w:val="0"/>
        <w:pageBreakBefore w:val="0"/>
        <w:spacing w:line="42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4.评审委员会基于专业判断，认为供应商报价过低，有可能影响产品质量或者不能诚信履约的其他情形。</w:t>
      </w:r>
      <w:r/>
    </w:p>
    <w:p>
      <w:pPr>
        <w:ind w:right="-27" w:firstLine="482"/>
        <w:keepLines w:val="0"/>
        <w:keepNext w:val="0"/>
        <w:pageBreakBefore w:val="0"/>
        <w:spacing w:line="42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right="-27" w:firstLine="482"/>
        <w:keepLines w:val="0"/>
        <w:keepNext w:val="0"/>
        <w:pageBreakBefore w:val="0"/>
        <w:spacing w:line="42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right="-27" w:firstLine="482"/>
        <w:keepLines w:val="0"/>
        <w:keepNext w:val="0"/>
        <w:pageBreakBefore w:val="0"/>
        <w:spacing w:line="420" w:lineRule="exact"/>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auto"/>
          <w:sz w:val="24"/>
          <w:highlight w:val="none"/>
        </w:rPr>
        <w:t xml:space="preserve">。</w:t>
      </w:r>
      <w:r/>
    </w:p>
    <w:p>
      <w:pPr>
        <w:ind w:firstLine="241"/>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2、服务质量保证</w:t>
      </w:r>
      <w:r>
        <w:rPr>
          <w:rFonts w:hint="eastAsia" w:ascii="宋体" w:hAnsi="宋体" w:eastAsia="宋体" w:cs="宋体"/>
          <w:b/>
          <w:color w:val="auto"/>
          <w:sz w:val="24"/>
          <w:szCs w:val="24"/>
          <w:highlight w:val="none"/>
          <w:lang w:val="en-US" w:eastAsia="zh-CN"/>
        </w:rPr>
        <w:t xml:space="preserve">46</w:t>
      </w:r>
      <w:r>
        <w:rPr>
          <w:rFonts w:hint="eastAsia" w:ascii="宋体" w:hAnsi="宋体" w:eastAsia="宋体" w:cs="宋体"/>
          <w:b/>
          <w:color w:val="auto"/>
          <w:sz w:val="24"/>
          <w:szCs w:val="24"/>
          <w:highlight w:val="none"/>
        </w:rPr>
        <w:t xml:space="preserve">分</w:t>
      </w:r>
      <w:r/>
    </w:p>
    <w:tbl>
      <w:tblPr>
        <w:tblStyle w:val="9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742"/>
        <w:gridCol w:w="1396"/>
        <w:gridCol w:w="810"/>
        <w:gridCol w:w="6716"/>
      </w:tblGrid>
      <w:tr>
        <w:trPr>
          <w:jc w:val="center"/>
          <w:trHeight w:val="312"/>
        </w:trPr>
        <w:tc>
          <w:tcPr>
            <w:shd w:val="clear" w:color="000000" w:fill="ffffff"/>
            <w:tcMar>
              <w:left w:w="108" w:type="dxa"/>
              <w:right w:w="108" w:type="dxa"/>
            </w:tcMar>
            <w:tcW w:w="7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sz w:val="24"/>
                <w:highlight w:val="none"/>
              </w:rPr>
              <w:t xml:space="preserve">序号</w:t>
            </w:r>
            <w:r/>
          </w:p>
        </w:tc>
        <w:tc>
          <w:tcPr>
            <w:shd w:val="clear" w:color="000000" w:fill="ffffff"/>
            <w:tcMar>
              <w:left w:w="108" w:type="dxa"/>
              <w:right w:w="108" w:type="dxa"/>
            </w:tcMar>
            <w:tcW w:w="13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sz w:val="24"/>
                <w:highlight w:val="none"/>
              </w:rPr>
              <w:t xml:space="preserve">评审因素</w:t>
            </w:r>
            <w:r/>
          </w:p>
        </w:tc>
        <w:tc>
          <w:tcPr>
            <w:shd w:val="clear" w:color="000000" w:fill="ffffff"/>
            <w:tcMar>
              <w:left w:w="108" w:type="dxa"/>
              <w:right w:w="108" w:type="dxa"/>
            </w:tcMar>
            <w:tcW w:w="8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sz w:val="24"/>
                <w:highlight w:val="none"/>
              </w:rPr>
              <w:t xml:space="preserve">权值</w:t>
            </w:r>
            <w:r/>
          </w:p>
        </w:tc>
        <w:tc>
          <w:tcPr>
            <w:shd w:val="clear" w:color="000000" w:fill="ffffff"/>
            <w:tcMar>
              <w:left w:w="108" w:type="dxa"/>
              <w:right w:w="108" w:type="dxa"/>
            </w:tcMar>
            <w:tcW w:w="671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sz w:val="24"/>
                <w:highlight w:val="none"/>
              </w:rPr>
              <w:t xml:space="preserve">评分标准</w:t>
            </w:r>
            <w:r/>
          </w:p>
        </w:tc>
      </w:tr>
      <w:tr>
        <w:trPr>
          <w:jc w:val="center"/>
          <w:trHeight w:val="636"/>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2"/>
                <w:highlight w:val="none"/>
              </w:rPr>
            </w:pPr>
            <w:r>
              <w:rPr>
                <w:rFonts w:hint="eastAsia" w:ascii="宋体" w:hAnsi="宋体" w:eastAsia="宋体" w:cs="宋体"/>
                <w:sz w:val="24"/>
                <w:szCs w:val="24"/>
                <w:highlight w:val="none"/>
              </w:rPr>
              <w:t xml:space="preserve">服务响应情况</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2"/>
                <w:highlight w:val="none"/>
              </w:rPr>
            </w:pP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716" w:type="dxa"/>
            <w:vAlign w:val="center"/>
            <w:textDirection w:val="lrTb"/>
            <w:noWrap w:val="false"/>
          </w:tcPr>
          <w:p>
            <w:pPr>
              <w:numPr>
                <w:ilvl w:val="0"/>
                <w:numId w:val="0"/>
              </w:num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投标人承诺提供的服务全部满足招标文件要求（</w:t>
            </w:r>
            <w:r>
              <w:rPr>
                <w:rFonts w:hint="eastAsia" w:ascii="宋体" w:hAnsi="宋体" w:eastAsia="宋体" w:cs="宋体"/>
                <w:color w:val="auto"/>
                <w:sz w:val="24"/>
                <w:szCs w:val="24"/>
                <w:highlight w:val="none"/>
                <w:lang w:val="en-US" w:eastAsia="zh-CN"/>
              </w:rPr>
              <w:t xml:space="preserve">共20</w:t>
            </w:r>
            <w:r>
              <w:rPr>
                <w:rFonts w:hint="eastAsia" w:ascii="宋体" w:hAnsi="宋体" w:eastAsia="宋体" w:cs="宋体"/>
                <w:color w:val="auto"/>
                <w:sz w:val="24"/>
                <w:szCs w:val="24"/>
                <w:highlight w:val="none"/>
              </w:rPr>
              <w:t xml:space="preserve">条）的得基本分</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分；有负偏离条款的，每条扣</w:t>
            </w:r>
            <w:r>
              <w:rPr>
                <w:rFonts w:hint="eastAsia" w:ascii="宋体" w:hAnsi="宋体" w:eastAsia="宋体" w:cs="宋体"/>
                <w:color w:val="auto"/>
                <w:sz w:val="24"/>
                <w:szCs w:val="24"/>
                <w:highlight w:val="none"/>
                <w:lang w:val="en-US" w:eastAsia="zh-CN"/>
              </w:rPr>
              <w:t xml:space="preserve">0.8</w:t>
            </w:r>
            <w:r>
              <w:rPr>
                <w:rFonts w:hint="eastAsia" w:ascii="宋体" w:hAnsi="宋体" w:eastAsia="宋体" w:cs="宋体"/>
                <w:color w:val="auto"/>
                <w:sz w:val="24"/>
                <w:szCs w:val="24"/>
                <w:highlight w:val="none"/>
              </w:rPr>
              <w:t xml:space="preserve">分。</w:t>
            </w:r>
            <w:r/>
          </w:p>
        </w:tc>
      </w:tr>
      <w:tr>
        <w:trPr>
          <w:jc w:val="center"/>
          <w:trHeight w:val="636"/>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highlight w:val="none"/>
                <w:lang w:val="en-US" w:eastAsia="zh-CN" w:bidi="ar-SA"/>
              </w:rPr>
            </w:pPr>
            <w:r>
              <w:rPr>
                <w:rFonts w:hint="eastAsia" w:ascii="宋体" w:hAnsi="宋体" w:eastAsia="宋体" w:cs="宋体"/>
                <w:sz w:val="24"/>
                <w:highlight w:val="none"/>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项目理解与分析</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716" w:type="dxa"/>
            <w:vAlign w:val="center"/>
            <w:textDirection w:val="lrTb"/>
            <w:noWrap w:val="false"/>
          </w:tcPr>
          <w:p>
            <w:pPr>
              <w:numPr>
                <w:ilvl w:val="0"/>
                <w:numId w:val="0"/>
              </w:numPr>
              <w:ind w:left="0" w:firstLine="0"/>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b/>
                <w:bCs/>
                <w:color w:val="auto"/>
                <w:sz w:val="24"/>
                <w:szCs w:val="24"/>
                <w:highlight w:val="none"/>
                <w:lang w:val="en-US" w:eastAsia="zh-CN"/>
              </w:rPr>
              <w:t xml:space="preserve">项目理解与分析</w:t>
            </w:r>
            <w:r>
              <w:rPr>
                <w:rFonts w:hint="eastAsia" w:ascii="宋体" w:hAnsi="宋体" w:eastAsia="宋体" w:cs="宋体"/>
                <w:color w:val="auto"/>
                <w:sz w:val="24"/>
                <w:szCs w:val="24"/>
                <w:highlight w:val="none"/>
              </w:rPr>
              <w:t xml:space="preserve">（涉及评审要点（共</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项）：①</w:t>
            </w:r>
            <w:r>
              <w:rPr>
                <w:rFonts w:hint="eastAsia" w:ascii="宋体" w:hAnsi="宋体" w:eastAsia="宋体" w:cs="宋体"/>
                <w:b w:val="0"/>
                <w:bCs w:val="0"/>
                <w:color w:val="000000"/>
                <w:sz w:val="24"/>
                <w:highlight w:val="none"/>
              </w:rPr>
              <w:t xml:space="preserve">站点设备现状</w:t>
            </w:r>
            <w:r>
              <w:rPr>
                <w:rFonts w:hint="eastAsia" w:ascii="宋体" w:hAnsi="宋体" w:eastAsia="宋体" w:cs="宋体"/>
                <w:b w:val="0"/>
                <w:bCs w:val="0"/>
                <w:color w:val="000000"/>
                <w:sz w:val="24"/>
                <w:highlight w:val="none"/>
                <w:lang w:val="en-US" w:eastAsia="zh-CN"/>
              </w:rPr>
              <w:t xml:space="preserve">理解、②采购</w:t>
            </w:r>
            <w:r>
              <w:rPr>
                <w:rFonts w:hint="eastAsia" w:ascii="宋体" w:hAnsi="宋体" w:eastAsia="宋体" w:cs="宋体"/>
                <w:b w:val="0"/>
                <w:bCs w:val="0"/>
                <w:color w:val="000000"/>
                <w:sz w:val="24"/>
                <w:highlight w:val="none"/>
              </w:rPr>
              <w:t xml:space="preserve">需求理解</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③</w:t>
            </w:r>
            <w:r>
              <w:rPr>
                <w:rFonts w:hint="eastAsia" w:ascii="宋体" w:hAnsi="宋体" w:eastAsia="宋体" w:cs="宋体"/>
                <w:b w:val="0"/>
                <w:bCs w:val="0"/>
                <w:color w:val="000000"/>
                <w:sz w:val="24"/>
                <w:highlight w:val="none"/>
              </w:rPr>
              <w:t xml:space="preserve">服务方案可操作性分析</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。体现上述评审要点且内容完全贴合项目需求的，每有一项得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分；体现上述评审要点但内容无法完全贴合项目需求的，每有一项得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分；未能体现评审要点（或无实质性内容的），对应项得0分。</w:t>
            </w:r>
            <w:r/>
          </w:p>
        </w:tc>
      </w:tr>
      <w:tr>
        <w:trPr>
          <w:jc w:val="center"/>
          <w:trHeight w:val="106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项目运维实施计划</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716" w:type="dxa"/>
            <w:vAlign w:val="center"/>
            <w:textDirection w:val="lrTb"/>
            <w:noWrap w:val="false"/>
          </w:tcPr>
          <w:p>
            <w:pPr>
              <w:numPr>
                <w:ilvl w:val="0"/>
                <w:numId w:val="0"/>
              </w:numPr>
              <w:ind w:left="0"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b/>
                <w:bCs/>
                <w:color w:val="auto"/>
                <w:sz w:val="24"/>
                <w:szCs w:val="24"/>
                <w:highlight w:val="none"/>
                <w:lang w:val="en-US" w:eastAsia="zh-CN"/>
              </w:rPr>
              <w:t xml:space="preserve">项目运维实施计划</w:t>
            </w:r>
            <w:r>
              <w:rPr>
                <w:rFonts w:hint="eastAsia" w:ascii="宋体" w:hAnsi="宋体" w:eastAsia="宋体" w:cs="宋体"/>
                <w:color w:val="auto"/>
                <w:sz w:val="24"/>
                <w:szCs w:val="24"/>
                <w:highlight w:val="none"/>
              </w:rPr>
              <w:t xml:space="preserve">（涉及评审要点（共</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项）：①</w:t>
            </w:r>
            <w:r>
              <w:rPr>
                <w:rFonts w:hint="eastAsia" w:ascii="宋体" w:hAnsi="宋体" w:eastAsia="宋体" w:cs="宋体"/>
                <w:color w:val="auto"/>
                <w:sz w:val="24"/>
                <w:szCs w:val="24"/>
                <w:highlight w:val="none"/>
                <w:lang w:val="en-US" w:eastAsia="zh-CN"/>
              </w:rPr>
              <w:t xml:space="preserve">运维目标</w:t>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运维体系、</w:t>
            </w:r>
            <w:r>
              <w:rPr>
                <w:rFonts w:hint="eastAsia" w:ascii="宋体" w:hAnsi="宋体" w:eastAsia="宋体" w:cs="宋体"/>
                <w:sz w:val="24"/>
                <w:szCs w:val="24"/>
                <w:highlight w:val="none"/>
                <w:lang w:val="en-US" w:eastAsia="zh-CN"/>
              </w:rPr>
              <w:t xml:space="preserve">③运维计划</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。体现上述评审要点且内容完全贴合项目需求的，每有一项得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分；体现上述评审要点但内容无法完全贴合项目需求的，每有一项得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分；未能体现评审要点（或无实质性内容的），对应项得0分。</w:t>
            </w:r>
            <w:r/>
          </w:p>
        </w:tc>
      </w:tr>
      <w:tr>
        <w:trPr>
          <w:jc w:val="center"/>
          <w:trHeight w:val="71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lang w:val="zh-CN"/>
              </w:rPr>
              <w:t xml:space="preserve">运维实施</w:t>
            </w:r>
            <w:r>
              <w:rPr>
                <w:rFonts w:hint="eastAsia" w:ascii="宋体" w:hAnsi="宋体" w:eastAsia="宋体" w:cs="宋体"/>
                <w:color w:val="000000"/>
                <w:sz w:val="24"/>
                <w:highlight w:val="none"/>
                <w:lang w:val="en-US" w:eastAsia="zh-CN"/>
              </w:rPr>
              <w:t xml:space="preserve">具体方案</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716" w:type="dxa"/>
            <w:vAlign w:val="center"/>
            <w:textDirection w:val="lrTb"/>
            <w:noWrap w:val="false"/>
          </w:tcPr>
          <w:p>
            <w:pPr>
              <w:numPr>
                <w:ilvl w:val="0"/>
                <w:numId w:val="0"/>
              </w:numPr>
              <w:ind w:left="0" w:firstLine="0"/>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b/>
                <w:bCs/>
                <w:color w:val="auto"/>
                <w:sz w:val="24"/>
                <w:szCs w:val="24"/>
                <w:highlight w:val="none"/>
                <w:lang w:val="en-US" w:eastAsia="zh-CN"/>
              </w:rPr>
              <w:t xml:space="preserve">项目运维实施具体方案</w:t>
            </w:r>
            <w:r>
              <w:rPr>
                <w:rFonts w:hint="eastAsia" w:ascii="宋体" w:hAnsi="宋体" w:eastAsia="宋体" w:cs="宋体"/>
                <w:color w:val="auto"/>
                <w:sz w:val="24"/>
                <w:szCs w:val="24"/>
                <w:highlight w:val="none"/>
              </w:rPr>
              <w:t xml:space="preserve">（涉及评审要点（共</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项）：①</w:t>
            </w:r>
            <w:r>
              <w:rPr>
                <w:rFonts w:hint="eastAsia" w:ascii="宋体" w:hAnsi="宋体" w:eastAsia="宋体" w:cs="宋体"/>
                <w:sz w:val="24"/>
                <w:szCs w:val="24"/>
                <w:highlight w:val="none"/>
              </w:rPr>
              <w:t xml:space="preserve">每天定期远程检查</w:t>
            </w:r>
            <w:r>
              <w:rPr>
                <w:rFonts w:hint="eastAsia" w:ascii="宋体" w:hAnsi="宋体" w:eastAsia="宋体" w:cs="宋体"/>
                <w:color w:val="auto"/>
                <w:sz w:val="24"/>
                <w:szCs w:val="24"/>
                <w:highlight w:val="none"/>
              </w:rPr>
              <w:t xml:space="preserve">、②</w:t>
            </w:r>
            <w:r>
              <w:rPr>
                <w:rFonts w:hint="eastAsia" w:ascii="宋体" w:hAnsi="宋体" w:eastAsia="宋体" w:cs="宋体"/>
                <w:sz w:val="24"/>
                <w:szCs w:val="24"/>
                <w:highlight w:val="none"/>
              </w:rPr>
              <w:t xml:space="preserve">每周定期巡视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③</w:t>
            </w:r>
            <w:r>
              <w:rPr>
                <w:rFonts w:hint="eastAsia" w:ascii="宋体" w:hAnsi="宋体" w:eastAsia="宋体" w:cs="宋体"/>
                <w:sz w:val="24"/>
                <w:szCs w:val="24"/>
                <w:highlight w:val="none"/>
              </w:rPr>
              <w:t xml:space="preserve">仪器设备有关部件定期清洗与维护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④运维记录</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。体现上述评审要点且内容完全贴合项目需求的，每有一项得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分；体现上述评审要点但内容无法完全贴合项目需求的，每有一项得1分；未能体现评审要点（或无实质性内容的），对应项得0分。</w:t>
            </w:r>
            <w:r/>
          </w:p>
        </w:tc>
      </w:tr>
      <w:tr>
        <w:trPr>
          <w:jc w:val="center"/>
          <w:trHeight w:val="71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质量管控计划</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716" w:type="dxa"/>
            <w:vAlign w:val="center"/>
            <w:textDirection w:val="lrTb"/>
            <w:noWrap w:val="false"/>
          </w:tcPr>
          <w:p>
            <w:pPr>
              <w:numPr>
                <w:ilvl w:val="0"/>
                <w:numId w:val="0"/>
              </w:numPr>
              <w:ind w:left="0" w:firstLine="0"/>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b/>
                <w:bCs/>
                <w:color w:val="auto"/>
                <w:sz w:val="24"/>
                <w:szCs w:val="24"/>
                <w:highlight w:val="none"/>
                <w:lang w:val="en-US" w:eastAsia="zh-CN"/>
              </w:rPr>
              <w:t xml:space="preserve">质量管控计划</w:t>
            </w:r>
            <w:r>
              <w:rPr>
                <w:rFonts w:hint="eastAsia" w:ascii="宋体" w:hAnsi="宋体" w:eastAsia="宋体" w:cs="宋体"/>
                <w:color w:val="auto"/>
                <w:sz w:val="24"/>
                <w:szCs w:val="24"/>
                <w:highlight w:val="none"/>
              </w:rPr>
              <w:t xml:space="preserve">（涉及评审要点（共</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项）：①</w:t>
            </w:r>
            <w:r>
              <w:rPr>
                <w:rFonts w:hint="eastAsia" w:ascii="宋体" w:hAnsi="宋体" w:eastAsia="宋体" w:cs="宋体"/>
                <w:sz w:val="24"/>
                <w:szCs w:val="24"/>
                <w:highlight w:val="none"/>
              </w:rPr>
              <w:t xml:space="preserve">质量管控目标</w:t>
            </w:r>
            <w:r>
              <w:rPr>
                <w:rFonts w:hint="eastAsia" w:ascii="宋体" w:hAnsi="宋体" w:eastAsia="宋体" w:cs="宋体"/>
                <w:color w:val="auto"/>
                <w:sz w:val="24"/>
                <w:szCs w:val="24"/>
                <w:highlight w:val="none"/>
              </w:rPr>
              <w:t xml:space="preserve">、②</w:t>
            </w:r>
            <w:r>
              <w:rPr>
                <w:rFonts w:hint="eastAsia" w:ascii="宋体" w:hAnsi="宋体" w:eastAsia="宋体" w:cs="宋体"/>
                <w:sz w:val="24"/>
                <w:szCs w:val="24"/>
                <w:highlight w:val="none"/>
              </w:rPr>
              <w:t xml:space="preserve">质量管控方法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③</w:t>
            </w:r>
            <w:r>
              <w:rPr>
                <w:rFonts w:hint="eastAsia" w:ascii="宋体" w:hAnsi="宋体" w:eastAsia="宋体" w:cs="宋体"/>
                <w:sz w:val="24"/>
                <w:szCs w:val="24"/>
                <w:highlight w:val="none"/>
              </w:rPr>
              <w:t xml:space="preserve">质量管控体系</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。体现上述评审要点且内容完全贴合项目需求的，每有一项得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分；体现上述评审要点但内容无法完全贴合项目需求的，每有一项得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分；未能体现评审要点（或无实质性内容的），对应项得0分。</w:t>
            </w:r>
            <w:r/>
          </w:p>
        </w:tc>
      </w:tr>
      <w:tr>
        <w:trPr>
          <w:jc w:val="center"/>
          <w:trHeight w:val="71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质量管控具体措施</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716" w:type="dxa"/>
            <w:vAlign w:val="center"/>
            <w:textDirection w:val="lrTb"/>
            <w:noWrap w:val="false"/>
          </w:tcPr>
          <w:p>
            <w:pPr>
              <w:numPr>
                <w:ilvl w:val="0"/>
                <w:numId w:val="0"/>
              </w:numPr>
              <w:ind w:left="0" w:firstLine="0"/>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b/>
                <w:bCs/>
                <w:color w:val="auto"/>
                <w:sz w:val="24"/>
                <w:szCs w:val="24"/>
                <w:highlight w:val="none"/>
                <w:lang w:val="en-US" w:eastAsia="zh-CN"/>
              </w:rPr>
              <w:t xml:space="preserve">质量管控具体措施</w:t>
            </w:r>
            <w:r>
              <w:rPr>
                <w:rFonts w:hint="eastAsia" w:ascii="宋体" w:hAnsi="宋体" w:eastAsia="宋体" w:cs="宋体"/>
                <w:color w:val="auto"/>
                <w:sz w:val="24"/>
                <w:szCs w:val="24"/>
                <w:highlight w:val="none"/>
              </w:rPr>
              <w:t xml:space="preserve">（涉及评审要点（共</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项）：①</w:t>
            </w:r>
            <w:r>
              <w:rPr>
                <w:rFonts w:hint="eastAsia" w:ascii="宋体" w:hAnsi="宋体" w:eastAsia="宋体" w:cs="宋体"/>
                <w:sz w:val="24"/>
                <w:szCs w:val="24"/>
                <w:highlight w:val="none"/>
              </w:rPr>
              <w:t xml:space="preserve">微型空气站</w:t>
            </w:r>
            <w:r>
              <w:rPr>
                <w:rFonts w:hint="eastAsia" w:ascii="宋体" w:hAnsi="宋体" w:eastAsia="宋体" w:cs="宋体"/>
                <w:color w:val="auto"/>
                <w:sz w:val="24"/>
                <w:szCs w:val="24"/>
                <w:highlight w:val="none"/>
              </w:rPr>
              <w:t xml:space="preserve">、②</w:t>
            </w:r>
            <w:r>
              <w:rPr>
                <w:rFonts w:hint="eastAsia" w:ascii="宋体" w:hAnsi="宋体" w:eastAsia="宋体" w:cs="宋体"/>
                <w:sz w:val="24"/>
                <w:szCs w:val="24"/>
                <w:highlight w:val="none"/>
              </w:rPr>
              <w:t xml:space="preserve">VOCs监测设备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sz w:val="24"/>
                <w:szCs w:val="24"/>
                <w:highlight w:val="none"/>
              </w:rPr>
              <w:t xml:space="preserve">水质自动监测站</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000000"/>
                <w:sz w:val="24"/>
                <w:szCs w:val="24"/>
                <w:highlight w:val="none"/>
              </w:rPr>
              <w:t xml:space="preserve">水质总镍</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。体现上述评审要点且内容完全贴合项目需求的，每有一项得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分；体现上述评审要点但内容无法完全贴合项目需求的，每有一项得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分；未能体现评审要点（或无实质性内容的），对应项得0分。</w:t>
            </w:r>
            <w:r/>
          </w:p>
        </w:tc>
      </w:tr>
      <w:tr>
        <w:trPr>
          <w:jc w:val="center"/>
          <w:trHeight w:val="71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3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运维应急方案</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716" w:type="dxa"/>
            <w:vAlign w:val="center"/>
            <w:textDirection w:val="lrTb"/>
            <w:noWrap w:val="false"/>
          </w:tcPr>
          <w:p>
            <w:pPr>
              <w:numPr>
                <w:ilvl w:val="0"/>
                <w:numId w:val="0"/>
              </w:numPr>
              <w:ind w:left="0" w:firstLine="0"/>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b/>
                <w:bCs/>
                <w:color w:val="auto"/>
                <w:sz w:val="24"/>
                <w:szCs w:val="24"/>
                <w:highlight w:val="none"/>
                <w:lang w:val="en-US" w:eastAsia="zh-CN"/>
              </w:rPr>
              <w:t xml:space="preserve">运维应急方案</w:t>
            </w:r>
            <w:r>
              <w:rPr>
                <w:rFonts w:hint="eastAsia" w:ascii="宋体" w:hAnsi="宋体" w:eastAsia="宋体" w:cs="宋体"/>
                <w:color w:val="auto"/>
                <w:sz w:val="24"/>
                <w:szCs w:val="24"/>
                <w:highlight w:val="none"/>
              </w:rPr>
              <w:t xml:space="preserve">（涉及评审要点（共</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项）：①</w:t>
            </w:r>
            <w:r>
              <w:rPr>
                <w:rFonts w:hint="eastAsia" w:ascii="宋体" w:hAnsi="宋体" w:eastAsia="宋体" w:cs="宋体"/>
                <w:b w:val="0"/>
                <w:bCs w:val="0"/>
                <w:color w:val="000000"/>
                <w:sz w:val="24"/>
                <w:szCs w:val="22"/>
                <w:highlight w:val="none"/>
                <w:lang w:val="en-US" w:eastAsia="zh-CN"/>
              </w:rPr>
              <w:t xml:space="preserve">突发性水质、空气污染</w:t>
            </w:r>
            <w:r>
              <w:rPr>
                <w:rFonts w:hint="eastAsia" w:ascii="宋体" w:hAnsi="宋体" w:eastAsia="宋体" w:cs="宋体"/>
                <w:color w:val="auto"/>
                <w:sz w:val="24"/>
                <w:szCs w:val="24"/>
                <w:highlight w:val="none"/>
              </w:rPr>
              <w:t xml:space="preserve">、②</w:t>
            </w:r>
            <w:r>
              <w:rPr>
                <w:rFonts w:hint="eastAsia" w:ascii="宋体" w:hAnsi="宋体" w:eastAsia="宋体" w:cs="宋体"/>
                <w:b w:val="0"/>
                <w:bCs w:val="0"/>
                <w:color w:val="000000"/>
                <w:sz w:val="24"/>
                <w:szCs w:val="22"/>
                <w:highlight w:val="none"/>
                <w:lang w:val="en-US" w:eastAsia="zh-CN"/>
              </w:rPr>
              <w:t xml:space="preserve">自然灾害</w:t>
            </w:r>
            <w:r>
              <w:rPr>
                <w:rFonts w:hint="eastAsia" w:ascii="宋体" w:hAnsi="宋体" w:eastAsia="宋体" w:cs="宋体"/>
                <w:color w:val="auto"/>
                <w:sz w:val="24"/>
                <w:szCs w:val="24"/>
                <w:highlight w:val="none"/>
                <w:lang w:val="en-US" w:eastAsia="zh-CN"/>
              </w:rPr>
              <w:t xml:space="preserve">、设备被盗等导致设备损坏、③</w:t>
            </w:r>
            <w:r>
              <w:rPr>
                <w:rFonts w:hint="eastAsia" w:ascii="宋体" w:hAnsi="宋体" w:eastAsia="宋体" w:cs="宋体"/>
                <w:b w:val="0"/>
                <w:bCs w:val="0"/>
                <w:color w:val="000000"/>
                <w:sz w:val="24"/>
                <w:szCs w:val="22"/>
                <w:highlight w:val="none"/>
                <w:lang w:val="en-US" w:eastAsia="zh-CN"/>
              </w:rPr>
              <w:t xml:space="preserve">水电检修（或停电）</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。体现上述评审要点且内容完全贴合项目需求的，每有一项得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分；体现上述评审要点但内容无法完全贴合项目需求的，每有一项得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分；未能体现评审要点（或无实质性内容的），对应项得0分。</w:t>
            </w:r>
            <w:r/>
          </w:p>
        </w:tc>
      </w:tr>
    </w:tbl>
    <w:p>
      <w:pPr>
        <w:ind w:firstLine="241"/>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人员配备</w:t>
      </w:r>
      <w:r>
        <w:rPr>
          <w:rFonts w:hint="eastAsia" w:ascii="宋体" w:hAnsi="宋体" w:eastAsia="宋体" w:cs="宋体"/>
          <w:b/>
          <w:color w:val="auto"/>
          <w:sz w:val="24"/>
          <w:szCs w:val="24"/>
          <w:highlight w:val="none"/>
        </w:rPr>
        <w:t xml:space="preserve">能力</w:t>
      </w: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分</w:t>
      </w:r>
      <w:r/>
    </w:p>
    <w:tbl>
      <w:tblPr>
        <w:tblStyle w:val="9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835"/>
        <w:gridCol w:w="1471"/>
        <w:gridCol w:w="777"/>
        <w:gridCol w:w="6649"/>
      </w:tblGrid>
      <w:tr>
        <w:trPr>
          <w:jc w:val="center"/>
          <w:trHeight w:val="312"/>
        </w:trPr>
        <w:tc>
          <w:tcPr>
            <w:shd w:val="clear" w:color="000000" w:fill="ffffff"/>
            <w:tcMar>
              <w:left w:w="108" w:type="dxa"/>
              <w:right w:w="108" w:type="dxa"/>
            </w:tcMar>
            <w:tcW w:w="83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sz w:val="24"/>
                <w:highlight w:val="none"/>
              </w:rPr>
              <w:t xml:space="preserve">序号</w:t>
            </w:r>
            <w:r/>
          </w:p>
        </w:tc>
        <w:tc>
          <w:tcPr>
            <w:shd w:val="clear" w:color="000000" w:fill="ffffff"/>
            <w:tcMar>
              <w:left w:w="108" w:type="dxa"/>
              <w:right w:w="108" w:type="dxa"/>
            </w:tcMar>
            <w:tcW w:w="14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sz w:val="24"/>
                <w:highlight w:val="none"/>
              </w:rPr>
              <w:t xml:space="preserve">评审因素</w:t>
            </w:r>
            <w:r/>
          </w:p>
        </w:tc>
        <w:tc>
          <w:tcPr>
            <w:shd w:val="clear" w:color="000000" w:fill="ffffff"/>
            <w:tcMar>
              <w:left w:w="108" w:type="dxa"/>
              <w:right w:w="108" w:type="dxa"/>
            </w:tcMar>
            <w:tcW w:w="77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sz w:val="24"/>
                <w:highlight w:val="none"/>
              </w:rPr>
              <w:t xml:space="preserve">权值</w:t>
            </w:r>
            <w:r/>
          </w:p>
        </w:tc>
        <w:tc>
          <w:tcPr>
            <w:shd w:val="clear" w:color="000000" w:fill="ffffff"/>
            <w:tcMar>
              <w:left w:w="108" w:type="dxa"/>
              <w:right w:w="108" w:type="dxa"/>
            </w:tcMar>
            <w:tcW w:w="66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sz w:val="24"/>
                <w:highlight w:val="none"/>
              </w:rPr>
              <w:t xml:space="preserve">评分标准</w:t>
            </w:r>
            <w:r/>
          </w:p>
        </w:tc>
      </w:tr>
      <w:tr>
        <w:trPr>
          <w:jc w:val="center"/>
          <w:trHeight w:val="320"/>
        </w:trPr>
        <w:tc>
          <w:tcPr>
            <w:shd w:val="clear" w:color="000000" w:fill="ffffff"/>
            <w:tcMar>
              <w:left w:w="108" w:type="dxa"/>
              <w:right w:w="108" w:type="dxa"/>
            </w:tcMar>
            <w:tcW w:w="83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p>
        </w:tc>
        <w:tc>
          <w:tcPr>
            <w:shd w:val="clear" w:color="000000" w:fill="ffffff"/>
            <w:tcMar>
              <w:left w:w="108" w:type="dxa"/>
              <w:right w:w="108" w:type="dxa"/>
            </w:tcMar>
            <w:tcW w:w="14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项目负责人</w:t>
            </w:r>
            <w:r>
              <w:rPr>
                <w:rFonts w:hint="eastAsia" w:ascii="宋体" w:hAnsi="宋体" w:cs="宋体"/>
                <w:sz w:val="24"/>
                <w:highlight w:val="none"/>
                <w:lang w:val="en-US" w:eastAsia="zh-CN"/>
              </w:rPr>
              <w:t xml:space="preserve">（1人）</w:t>
            </w:r>
            <w:r/>
          </w:p>
        </w:tc>
        <w:tc>
          <w:tcPr>
            <w:shd w:val="clear" w:color="000000" w:fill="ffffff"/>
            <w:tcMar>
              <w:left w:w="108" w:type="dxa"/>
              <w:right w:w="108" w:type="dxa"/>
            </w:tcMar>
            <w:tcW w:w="77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6分</w:t>
            </w:r>
            <w:r/>
          </w:p>
        </w:tc>
        <w:tc>
          <w:tcPr>
            <w:shd w:val="clear" w:color="auto" w:fill="auto"/>
            <w:tcMar>
              <w:left w:w="108" w:type="dxa"/>
              <w:right w:w="108" w:type="dxa"/>
            </w:tcMar>
            <w:tcW w:w="6649" w:type="dxa"/>
            <w:vAlign w:val="center"/>
            <w:textDirection w:val="lrTb"/>
            <w:noWrap w:val="false"/>
          </w:tcPr>
          <w:p>
            <w:pPr>
              <w:pStyle w:val="970"/>
              <w:numPr>
                <w:ilvl w:val="0"/>
                <w:numId w:val="0"/>
              </w:numPr>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生态环境工程</w:t>
            </w:r>
            <w:r>
              <w:rPr>
                <w:rFonts w:hint="eastAsia" w:ascii="宋体" w:hAnsi="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lang w:val="en-US" w:eastAsia="zh-CN"/>
              </w:rPr>
              <w:t xml:space="preserve">正高级</w:t>
            </w:r>
            <w:r>
              <w:rPr>
                <w:rFonts w:hint="eastAsia" w:ascii="宋体" w:hAnsi="宋体" w:eastAsia="宋体" w:cs="宋体"/>
                <w:color w:val="000000"/>
                <w:sz w:val="24"/>
                <w:szCs w:val="24"/>
                <w:highlight w:val="none"/>
              </w:rPr>
              <w:t xml:space="preserve">职称的得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其余不得分，本小项最高得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pStyle w:val="970"/>
              <w:numPr>
                <w:ilvl w:val="0"/>
                <w:numId w:val="0"/>
              </w:numPr>
              <w:jc w:val="left"/>
              <w:rPr>
                <w:rFonts w:hint="eastAsia" w:ascii="宋体" w:hAnsi="宋体" w:eastAsia="宋体" w:cs="宋体"/>
                <w:color w:val="000000"/>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具有大气科学类专业博士学位的得3分，大气科学类专业硕士学位的得1.5分，其余不得分，本小项最高得3分</w:t>
            </w:r>
            <w:r>
              <w:rPr>
                <w:rFonts w:hint="eastAsia" w:ascii="宋体" w:hAnsi="宋体" w:eastAsia="宋体" w:cs="宋体"/>
                <w:color w:val="auto"/>
                <w:sz w:val="24"/>
                <w:szCs w:val="24"/>
                <w:highlight w:val="none"/>
                <w:lang w:eastAsia="zh-CN"/>
              </w:rPr>
              <w:t xml:space="preserve">。</w:t>
            </w:r>
            <w:r/>
          </w:p>
          <w:p>
            <w:pPr>
              <w:pStyle w:val="970"/>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b/>
                <w:bCs/>
                <w:sz w:val="24"/>
                <w:szCs w:val="24"/>
                <w:highlight w:val="none"/>
              </w:rPr>
              <w:t xml:space="preserve">注：①</w:t>
            </w:r>
            <w:r>
              <w:rPr>
                <w:rFonts w:hint="eastAsia" w:ascii="宋体" w:hAnsi="宋体" w:eastAsia="宋体" w:cs="宋体"/>
                <w:b/>
                <w:bCs/>
                <w:sz w:val="24"/>
                <w:szCs w:val="24"/>
                <w:highlight w:val="none"/>
                <w:lang w:val="en-US" w:eastAsia="zh-CN"/>
              </w:rPr>
              <w:t xml:space="preserve">生态环境工程相关</w:t>
            </w:r>
            <w:r>
              <w:rPr>
                <w:rFonts w:hint="eastAsia" w:ascii="宋体" w:hAnsi="宋体" w:eastAsia="宋体" w:cs="宋体"/>
                <w:b/>
                <w:bCs/>
                <w:sz w:val="24"/>
                <w:szCs w:val="24"/>
                <w:highlight w:val="none"/>
              </w:rPr>
              <w:t xml:space="preserve">专业主要包括环境工程、环境科学、环境生态工程、环保设备工程、资源环境科学、水质科学与技术</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环境科研、环境监测、环境管理</w:t>
            </w:r>
            <w:r>
              <w:rPr>
                <w:rFonts w:hint="eastAsia" w:ascii="宋体" w:hAnsi="宋体" w:eastAsia="宋体" w:cs="宋体"/>
                <w:b/>
                <w:bCs/>
                <w:sz w:val="24"/>
                <w:szCs w:val="24"/>
                <w:highlight w:val="none"/>
              </w:rPr>
              <w:t xml:space="preserve">等；②大气科学类专业主要包括大气科学、应用气象学、气象技术与工程、气象学、大气物理学与大气环境等；③投标文件中需提供</w:t>
            </w:r>
            <w:r>
              <w:rPr>
                <w:rFonts w:hint="eastAsia" w:ascii="宋体" w:hAnsi="宋体" w:cs="宋体"/>
                <w:b/>
                <w:bCs/>
                <w:sz w:val="24"/>
                <w:szCs w:val="24"/>
                <w:highlight w:val="none"/>
                <w:lang w:val="en-US" w:eastAsia="zh-CN"/>
              </w:rPr>
              <w:t xml:space="preserve">人员相关证明材料和投标人为其缴纳的近三个月社保证明（提供扫描件），提供资料不全或未提供的不得分</w:t>
            </w:r>
            <w:r>
              <w:rPr>
                <w:rFonts w:hint="eastAsia" w:ascii="宋体" w:hAnsi="宋体" w:eastAsia="宋体" w:cs="宋体"/>
                <w:b/>
                <w:bCs/>
                <w:sz w:val="24"/>
                <w:szCs w:val="24"/>
                <w:highlight w:val="none"/>
              </w:rPr>
              <w:t xml:space="preserve">。</w:t>
            </w:r>
            <w:r/>
          </w:p>
        </w:tc>
      </w:tr>
      <w:tr>
        <w:trPr>
          <w:jc w:val="center"/>
          <w:trHeight w:val="320"/>
        </w:trPr>
        <w:tc>
          <w:tcPr>
            <w:shd w:val="clear" w:color="000000" w:fill="ffffff"/>
            <w:tcMar>
              <w:left w:w="108" w:type="dxa"/>
              <w:right w:w="108" w:type="dxa"/>
            </w:tcMar>
            <w:tcW w:w="83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p>
        </w:tc>
        <w:tc>
          <w:tcPr>
            <w:shd w:val="clear" w:color="000000" w:fill="ffffff"/>
            <w:tcMar>
              <w:left w:w="108" w:type="dxa"/>
              <w:right w:w="108" w:type="dxa"/>
            </w:tcMar>
            <w:tcW w:w="14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技术负责人</w:t>
            </w:r>
            <w:r>
              <w:rPr>
                <w:rFonts w:hint="eastAsia" w:ascii="宋体" w:hAnsi="宋体" w:cs="宋体"/>
                <w:sz w:val="24"/>
                <w:highlight w:val="none"/>
                <w:lang w:val="en-US" w:eastAsia="zh-CN"/>
              </w:rPr>
              <w:t xml:space="preserve">（1人）</w:t>
            </w:r>
            <w:r/>
          </w:p>
        </w:tc>
        <w:tc>
          <w:tcPr>
            <w:shd w:val="clear" w:color="000000" w:fill="ffffff"/>
            <w:tcMar>
              <w:left w:w="108" w:type="dxa"/>
              <w:right w:w="108" w:type="dxa"/>
            </w:tcMar>
            <w:tcW w:w="77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6分</w:t>
            </w:r>
            <w:r/>
          </w:p>
        </w:tc>
        <w:tc>
          <w:tcPr>
            <w:shd w:val="clear" w:color="auto" w:fill="auto"/>
            <w:tcMar>
              <w:left w:w="108" w:type="dxa"/>
              <w:right w:w="108" w:type="dxa"/>
            </w:tcMar>
            <w:tcW w:w="6649" w:type="dxa"/>
            <w:vAlign w:val="center"/>
            <w:textDirection w:val="lrTb"/>
            <w:noWrap w:val="false"/>
          </w:tcPr>
          <w:p>
            <w:pPr>
              <w:pStyle w:val="970"/>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sz w:val="24"/>
                <w:szCs w:val="24"/>
                <w:highlight w:val="none"/>
                <w:lang w:val="en-US" w:eastAsia="zh-CN"/>
              </w:rPr>
              <w:t xml:space="preserve">具有</w:t>
            </w:r>
            <w:r>
              <w:rPr>
                <w:rFonts w:hint="eastAsia" w:ascii="宋体" w:hAnsi="宋体" w:eastAsia="宋体" w:cs="宋体"/>
                <w:sz w:val="24"/>
                <w:szCs w:val="24"/>
                <w:highlight w:val="none"/>
              </w:rPr>
              <w:t xml:space="preserve">环境影响评价工程师证书</w:t>
            </w:r>
            <w:r>
              <w:rPr>
                <w:rFonts w:hint="eastAsia" w:ascii="宋体" w:hAnsi="宋体" w:eastAsia="宋体" w:cs="宋体"/>
                <w:color w:val="000000"/>
                <w:sz w:val="24"/>
                <w:szCs w:val="24"/>
                <w:highlight w:val="none"/>
                <w:lang w:val="en-US" w:eastAsia="zh-CN"/>
              </w:rPr>
              <w:t xml:space="preserve">的得 3分，</w:t>
            </w:r>
            <w:r>
              <w:rPr>
                <w:rFonts w:hint="eastAsia" w:ascii="宋体" w:hAnsi="宋体" w:eastAsia="宋体" w:cs="宋体"/>
                <w:color w:val="000000"/>
                <w:sz w:val="24"/>
                <w:szCs w:val="24"/>
                <w:highlight w:val="none"/>
              </w:rPr>
              <w:t xml:space="preserve">其余不得分，本小项最高得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pStyle w:val="970"/>
              <w:numPr>
                <w:ilvl w:val="0"/>
                <w:numId w:val="0"/>
              </w:num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（2）具有环境类专业硕士学位及以上的得3分，其余不得分，本小项最高得3分。</w:t>
            </w:r>
            <w:r/>
          </w:p>
          <w:p>
            <w:pPr>
              <w:pStyle w:val="970"/>
              <w:numPr>
                <w:ilvl w:val="0"/>
                <w:numId w:val="0"/>
              </w:numPr>
              <w:jc w:val="left"/>
              <w:rPr>
                <w:rFonts w:hint="eastAsia" w:ascii="宋体" w:hAnsi="宋体" w:eastAsia="宋体" w:cs="宋体"/>
                <w:color w:val="000000"/>
                <w:sz w:val="24"/>
                <w:szCs w:val="24"/>
                <w:highlight w:val="none"/>
                <w:lang w:eastAsia="zh-CN"/>
              </w:rPr>
            </w:pPr>
            <w:r>
              <w:rPr>
                <w:rFonts w:hint="eastAsia" w:ascii="宋体" w:hAnsi="宋体" w:eastAsia="宋体" w:cs="宋体"/>
                <w:b/>
                <w:bCs/>
                <w:sz w:val="24"/>
                <w:szCs w:val="24"/>
                <w:highlight w:val="none"/>
              </w:rPr>
              <w:t xml:space="preserve">注：①环境类专业主要包括环境工程、环境科学、环境生态工程、环保设备工程、资源环境科学、水质科学与技术等；</w:t>
            </w:r>
            <w:r>
              <w:rPr>
                <w:rFonts w:hint="eastAsia" w:ascii="宋体" w:hAnsi="宋体" w:cs="宋体"/>
                <w:b/>
                <w:bCs/>
                <w:sz w:val="24"/>
                <w:szCs w:val="24"/>
                <w:highlight w:val="none"/>
                <w:lang w:val="en-US" w:eastAsia="zh-CN"/>
              </w:rPr>
              <w:t xml:space="preserve">②</w:t>
            </w:r>
            <w:r>
              <w:rPr>
                <w:rFonts w:hint="eastAsia" w:ascii="宋体" w:hAnsi="宋体" w:eastAsia="宋体" w:cs="宋体"/>
                <w:b/>
                <w:bCs/>
                <w:sz w:val="24"/>
                <w:szCs w:val="24"/>
                <w:highlight w:val="none"/>
              </w:rPr>
              <w:t xml:space="preserve">投标文件中需提供</w:t>
            </w:r>
            <w:r>
              <w:rPr>
                <w:rFonts w:hint="eastAsia" w:ascii="宋体" w:hAnsi="宋体" w:cs="宋体"/>
                <w:b/>
                <w:bCs/>
                <w:sz w:val="24"/>
                <w:szCs w:val="24"/>
                <w:highlight w:val="none"/>
                <w:lang w:val="en-US" w:eastAsia="zh-CN"/>
              </w:rPr>
              <w:t xml:space="preserve">人员相关证明材料和投标人为其缴纳的近三个月社保证明（提供扫描件），提供资料不全或未提供的不得分</w:t>
            </w:r>
            <w:r>
              <w:rPr>
                <w:rFonts w:hint="eastAsia" w:ascii="宋体" w:hAnsi="宋体" w:eastAsia="宋体" w:cs="宋体"/>
                <w:b/>
                <w:bCs/>
                <w:sz w:val="24"/>
                <w:szCs w:val="24"/>
                <w:highlight w:val="none"/>
              </w:rPr>
              <w:t xml:space="preserve">。</w:t>
            </w:r>
            <w:r/>
          </w:p>
        </w:tc>
      </w:tr>
      <w:tr>
        <w:trPr>
          <w:jc w:val="center"/>
          <w:trHeight w:val="480"/>
        </w:trPr>
        <w:tc>
          <w:tcPr>
            <w:shd w:val="clear" w:color="000000" w:fill="ffffff"/>
            <w:tcMar>
              <w:left w:w="108" w:type="dxa"/>
              <w:right w:w="108" w:type="dxa"/>
            </w:tcMar>
            <w:tcW w:w="83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p>
        </w:tc>
        <w:tc>
          <w:tcPr>
            <w:shd w:val="clear" w:color="000000" w:fill="ffffff"/>
            <w:tcMar>
              <w:left w:w="108" w:type="dxa"/>
              <w:right w:w="108" w:type="dxa"/>
            </w:tcMar>
            <w:tcW w:w="14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项目团队人员</w:t>
            </w:r>
            <w:r/>
          </w:p>
        </w:tc>
        <w:tc>
          <w:tcPr>
            <w:shd w:val="clear" w:color="000000" w:fill="ffffff"/>
            <w:tcMar>
              <w:left w:w="108" w:type="dxa"/>
              <w:right w:w="108" w:type="dxa"/>
            </w:tcMar>
            <w:tcW w:w="77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6分</w:t>
            </w:r>
            <w:r/>
          </w:p>
        </w:tc>
        <w:tc>
          <w:tcPr>
            <w:shd w:val="clear" w:color="auto" w:fill="auto"/>
            <w:tcMar>
              <w:left w:w="108" w:type="dxa"/>
              <w:right w:w="108" w:type="dxa"/>
            </w:tcMar>
            <w:tcW w:w="6649" w:type="dxa"/>
            <w:vAlign w:val="center"/>
            <w:textDirection w:val="lrTb"/>
            <w:noWrap w:val="false"/>
          </w:tcPr>
          <w:p>
            <w:pPr>
              <w:pStyle w:val="970"/>
              <w:numPr>
                <w:ilvl w:val="0"/>
                <w:numId w:val="0"/>
              </w:num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项目团队人员（除项目负责人、技术负责人、常驻运维人员外）具有环境类专业中级及以上职称的，每有一人得1分，本小项最高得6分。</w:t>
            </w:r>
            <w:r/>
          </w:p>
          <w:p>
            <w:pPr>
              <w:pStyle w:val="97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sz w:val="24"/>
                <w:szCs w:val="24"/>
                <w:highlight w:val="none"/>
              </w:rPr>
              <w:t xml:space="preserve">环境类专业主要包括环境工程、环境科学、环境生态工程、环保设备工程、资源环境科学、水质科学与技术等；</w:t>
            </w:r>
            <w:r>
              <w:rPr>
                <w:rFonts w:hint="eastAsia" w:ascii="宋体" w:hAnsi="宋体" w:eastAsia="宋体" w:cs="宋体"/>
                <w:b/>
                <w:bCs/>
                <w:color w:val="auto"/>
                <w:sz w:val="24"/>
                <w:szCs w:val="24"/>
                <w:highlight w:val="none"/>
                <w:lang w:val="en-US" w:eastAsia="zh-CN"/>
              </w:rPr>
              <w:t xml:space="preserve">②</w:t>
            </w:r>
            <w:r>
              <w:rPr>
                <w:rFonts w:hint="eastAsia" w:ascii="宋体" w:hAnsi="宋体" w:eastAsia="宋体" w:cs="宋体"/>
                <w:b/>
                <w:bCs/>
                <w:color w:val="auto"/>
                <w:sz w:val="24"/>
                <w:szCs w:val="24"/>
                <w:highlight w:val="none"/>
              </w:rPr>
              <w:t xml:space="preserve">同一人员具有多个</w:t>
            </w:r>
            <w:r>
              <w:rPr>
                <w:rFonts w:hint="eastAsia" w:ascii="宋体" w:hAnsi="宋体" w:eastAsia="宋体" w:cs="宋体"/>
                <w:b/>
                <w:bCs/>
                <w:color w:val="auto"/>
                <w:sz w:val="24"/>
                <w:szCs w:val="24"/>
                <w:highlight w:val="none"/>
                <w:lang w:val="en-US" w:eastAsia="zh-CN"/>
              </w:rPr>
              <w:t xml:space="preserve">专业、多个级别职称</w:t>
            </w:r>
            <w:r>
              <w:rPr>
                <w:rFonts w:hint="eastAsia" w:ascii="宋体" w:hAnsi="宋体" w:eastAsia="宋体" w:cs="宋体"/>
                <w:b/>
                <w:bCs/>
                <w:color w:val="auto"/>
                <w:sz w:val="24"/>
                <w:szCs w:val="24"/>
                <w:highlight w:val="none"/>
              </w:rPr>
              <w:t xml:space="preserve">的，以最高级别</w:t>
            </w:r>
            <w:r>
              <w:rPr>
                <w:rFonts w:hint="eastAsia" w:ascii="宋体" w:hAnsi="宋体" w:eastAsia="宋体" w:cs="宋体"/>
                <w:b/>
                <w:bCs/>
                <w:color w:val="auto"/>
                <w:sz w:val="24"/>
                <w:szCs w:val="24"/>
                <w:highlight w:val="none"/>
                <w:lang w:val="en-US" w:eastAsia="zh-CN"/>
              </w:rPr>
              <w:t xml:space="preserve">职称</w:t>
            </w:r>
            <w:r>
              <w:rPr>
                <w:rFonts w:hint="eastAsia" w:ascii="宋体" w:hAnsi="宋体" w:eastAsia="宋体" w:cs="宋体"/>
                <w:b/>
                <w:bCs/>
                <w:color w:val="auto"/>
                <w:sz w:val="24"/>
                <w:szCs w:val="24"/>
                <w:highlight w:val="none"/>
              </w:rPr>
              <w:t xml:space="preserve">计入评分，不重复得分</w:t>
            </w:r>
            <w:r>
              <w:rPr>
                <w:rFonts w:hint="eastAsia" w:ascii="宋体" w:hAnsi="宋体" w:eastAsia="宋体" w:cs="宋体"/>
                <w:b/>
                <w:bCs/>
                <w:color w:val="auto"/>
                <w:sz w:val="24"/>
                <w:szCs w:val="24"/>
                <w:highlight w:val="none"/>
                <w:lang w:val="en-US" w:eastAsia="zh-CN"/>
              </w:rPr>
              <w:t xml:space="preserve">；③</w:t>
            </w:r>
            <w:r>
              <w:rPr>
                <w:rFonts w:hint="eastAsia" w:ascii="宋体" w:hAnsi="宋体" w:eastAsia="宋体" w:cs="宋体"/>
                <w:b/>
                <w:bCs/>
                <w:sz w:val="24"/>
                <w:szCs w:val="24"/>
                <w:highlight w:val="none"/>
              </w:rPr>
              <w:t xml:space="preserve">投标文件中需提供</w:t>
            </w:r>
            <w:r>
              <w:rPr>
                <w:rFonts w:hint="eastAsia" w:ascii="宋体" w:hAnsi="宋体" w:cs="宋体"/>
                <w:b/>
                <w:bCs/>
                <w:sz w:val="24"/>
                <w:szCs w:val="24"/>
                <w:highlight w:val="none"/>
                <w:lang w:val="en-US" w:eastAsia="zh-CN"/>
              </w:rPr>
              <w:t xml:space="preserve">人员相关证明材料和投标人为其缴纳的近三个月社保证明（提供扫描件），提供资料不全或未提供的不得分</w:t>
            </w:r>
            <w:r>
              <w:rPr>
                <w:rFonts w:hint="eastAsia" w:ascii="宋体" w:hAnsi="宋体" w:eastAsia="宋体" w:cs="宋体"/>
                <w:b/>
                <w:bCs/>
                <w:sz w:val="24"/>
                <w:szCs w:val="24"/>
                <w:highlight w:val="none"/>
              </w:rPr>
              <w:t xml:space="preserve">。</w:t>
            </w:r>
            <w:r/>
          </w:p>
        </w:tc>
      </w:tr>
    </w:tbl>
    <w:p>
      <w:pPr>
        <w:ind w:firstLine="241"/>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4、综合实力</w:t>
      </w:r>
      <w:r>
        <w:rPr>
          <w:rFonts w:hint="eastAsia" w:ascii="宋体" w:hAnsi="宋体" w:eastAsia="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rPr>
        <w:t xml:space="preserve">分</w:t>
      </w:r>
      <w:r/>
    </w:p>
    <w:tbl>
      <w:tblPr>
        <w:tblStyle w:val="9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835"/>
        <w:gridCol w:w="1471"/>
        <w:gridCol w:w="777"/>
        <w:gridCol w:w="6649"/>
      </w:tblGrid>
      <w:tr>
        <w:trPr>
          <w:jc w:val="center"/>
          <w:trHeight w:val="312"/>
        </w:trPr>
        <w:tc>
          <w:tcPr>
            <w:shd w:val="clear" w:color="000000" w:fill="ffffff"/>
            <w:tcMar>
              <w:left w:w="108" w:type="dxa"/>
              <w:right w:w="108" w:type="dxa"/>
            </w:tcMar>
            <w:tcW w:w="83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shd w:val="clear" w:color="000000" w:fill="ffffff"/>
            <w:tcMar>
              <w:left w:w="108" w:type="dxa"/>
              <w:right w:w="108" w:type="dxa"/>
            </w:tcMar>
            <w:tcW w:w="14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评审因素</w:t>
            </w:r>
            <w:r/>
          </w:p>
        </w:tc>
        <w:tc>
          <w:tcPr>
            <w:shd w:val="clear" w:color="000000" w:fill="ffffff"/>
            <w:tcMar>
              <w:left w:w="108" w:type="dxa"/>
              <w:right w:w="108" w:type="dxa"/>
            </w:tcMar>
            <w:tcW w:w="77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权值</w:t>
            </w:r>
            <w:r/>
          </w:p>
        </w:tc>
        <w:tc>
          <w:tcPr>
            <w:shd w:val="clear" w:color="000000" w:fill="ffffff"/>
            <w:tcMar>
              <w:left w:w="108" w:type="dxa"/>
              <w:right w:w="108" w:type="dxa"/>
            </w:tcMar>
            <w:tcW w:w="66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评分标准</w:t>
            </w:r>
            <w:r/>
          </w:p>
        </w:tc>
      </w:tr>
      <w:tr>
        <w:trPr>
          <w:jc w:val="center"/>
          <w:trHeight w:val="841"/>
        </w:trPr>
        <w:tc>
          <w:tcPr>
            <w:shd w:val="clear" w:color="000000" w:fill="ffffff"/>
            <w:tcMar>
              <w:left w:w="108" w:type="dxa"/>
              <w:right w:w="108" w:type="dxa"/>
            </w:tcMar>
            <w:tcW w:w="83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shd w:val="clear" w:color="000000" w:fill="ffffff"/>
            <w:tcMar>
              <w:left w:w="108" w:type="dxa"/>
              <w:right w:w="108" w:type="dxa"/>
            </w:tcMar>
            <w:tcW w:w="1471" w:type="dxa"/>
            <w:vAlign w:val="center"/>
            <w:textDirection w:val="lrTb"/>
            <w:noWrap w:val="false"/>
          </w:tcPr>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auto"/>
                <w:sz w:val="24"/>
                <w:szCs w:val="24"/>
                <w:highlight w:val="none"/>
              </w:rPr>
              <w:t xml:space="preserve">商务条件响应性</w:t>
            </w:r>
            <w:r/>
          </w:p>
        </w:tc>
        <w:tc>
          <w:tcPr>
            <w:shd w:val="clear" w:color="000000" w:fill="ffffff"/>
            <w:tcMar>
              <w:left w:w="108" w:type="dxa"/>
              <w:right w:w="108" w:type="dxa"/>
            </w:tcMar>
            <w:tcW w:w="777" w:type="dxa"/>
            <w:vAlign w:val="center"/>
            <w:textDirection w:val="lrTb"/>
            <w:noWrap w:val="false"/>
          </w:tcPr>
          <w:p>
            <w:pPr>
              <w:jc w:val="cente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Mar>
              <w:left w:w="108" w:type="dxa"/>
              <w:right w:w="108" w:type="dxa"/>
            </w:tcMar>
            <w:tcW w:w="6649" w:type="dxa"/>
            <w:vAlign w:val="center"/>
            <w:textDirection w:val="lrTb"/>
            <w:noWrap w:val="false"/>
          </w:tcPr>
          <w:p>
            <w:pP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投标人对招标文件中合同条款等商务条件完全响应的得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分（共25条）；有负偏离条款，每项扣0.</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（付款方式必须完全响应，</w:t>
            </w:r>
            <w:r>
              <w:rPr>
                <w:rFonts w:hint="eastAsia" w:ascii="宋体" w:hAnsi="宋体" w:eastAsia="宋体" w:cs="宋体"/>
                <w:b/>
                <w:color w:val="auto"/>
                <w:sz w:val="24"/>
                <w:szCs w:val="24"/>
                <w:highlight w:val="none"/>
              </w:rPr>
              <w:t xml:space="preserve">否则将作</w:t>
            </w:r>
            <w:r>
              <w:rPr>
                <w:rFonts w:hint="eastAsia" w:ascii="宋体" w:hAnsi="宋体" w:eastAsia="宋体" w:cs="宋体"/>
                <w:b/>
                <w:color w:val="auto"/>
                <w:sz w:val="24"/>
                <w:szCs w:val="24"/>
                <w:highlight w:val="none"/>
                <w:lang w:val="zh-CN"/>
              </w:rPr>
              <w:t xml:space="preserve">无效投标处理</w:t>
            </w:r>
            <w:r>
              <w:rPr>
                <w:rFonts w:hint="eastAsia" w:ascii="宋体" w:hAnsi="宋体" w:eastAsia="宋体" w:cs="宋体"/>
                <w:b/>
                <w:bCs/>
                <w:color w:val="auto"/>
                <w:sz w:val="24"/>
                <w:szCs w:val="24"/>
                <w:highlight w:val="none"/>
              </w:rPr>
              <w:t xml:space="preserve">）</w:t>
            </w:r>
            <w:r/>
          </w:p>
        </w:tc>
      </w:tr>
      <w:tr>
        <w:trPr>
          <w:jc w:val="center"/>
          <w:trHeight w:val="449"/>
        </w:trPr>
        <w:tc>
          <w:tcPr>
            <w:shd w:val="clear" w:color="000000" w:fill="ffffff"/>
            <w:tcMar>
              <w:left w:w="108" w:type="dxa"/>
              <w:right w:w="108" w:type="dxa"/>
            </w:tcMar>
            <w:tcW w:w="83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shd w:val="clear" w:color="000000" w:fill="ffffff"/>
            <w:tcMar>
              <w:left w:w="108" w:type="dxa"/>
              <w:right w:w="108" w:type="dxa"/>
            </w:tcMar>
            <w:tcW w:w="14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业绩情况</w:t>
            </w:r>
            <w:r/>
          </w:p>
        </w:tc>
        <w:tc>
          <w:tcPr>
            <w:shd w:val="clear" w:color="000000" w:fill="ffffff"/>
            <w:tcMar>
              <w:left w:w="108" w:type="dxa"/>
              <w:right w:w="108" w:type="dxa"/>
            </w:tcMar>
            <w:tcW w:w="77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分</w:t>
            </w:r>
            <w:r/>
          </w:p>
        </w:tc>
        <w:tc>
          <w:tcPr>
            <w:shd w:val="clear" w:color="000000" w:fill="ffffff"/>
            <w:tcMar>
              <w:left w:w="108" w:type="dxa"/>
              <w:right w:w="108" w:type="dxa"/>
            </w:tcMar>
            <w:tcW w:w="6649"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sz w:val="24"/>
                <w:highlight w:val="none"/>
                <w14:textFill>
                  <w14:solidFill>
                    <w14:schemeClr w14:val="tx1"/>
                  </w14:solidFill>
                </w14:textFill>
              </w:rPr>
              <w:t xml:space="preserve">根据</w:t>
            </w:r>
            <w:r>
              <w:rPr>
                <w:rFonts w:hint="eastAsia" w:ascii="宋体" w:hAnsi="宋体" w:eastAsia="宋体" w:cs="宋体"/>
                <w:color w:val="000000" w:themeColor="text1"/>
                <w:sz w:val="24"/>
                <w:highlight w:val="none"/>
                <w14:textFill>
                  <w14:solidFill>
                    <w14:schemeClr w14:val="tx1"/>
                  </w14:solidFill>
                </w14:textFill>
              </w:rPr>
              <w:t xml:space="preserve">投标人自2022年1月1日至今（以合同签订日期为准）完成的限制限量监测站点运维服务项目业绩情况进行评定，有一个得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分，最高得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分。没有的不得分。</w:t>
            </w:r>
            <w:r>
              <w:rPr>
                <w:rFonts w:hint="eastAsia" w:ascii="宋体" w:hAnsi="宋体" w:eastAsia="宋体" w:cs="宋体"/>
                <w:b/>
                <w:bCs/>
                <w:color w:val="000000" w:themeColor="text1"/>
                <w:sz w:val="24"/>
                <w:highlight w:val="none"/>
                <w14:textFill>
                  <w14:solidFill>
                    <w14:schemeClr w14:val="tx1"/>
                  </w14:solidFill>
                </w14:textFill>
              </w:rPr>
              <w:t xml:space="preserve">注：①投标文件中需提供相关业绩合同证明材料（须至少包括合同首页、具体内容页、合同金额所在页、签字盖章页），未提供或提供不全或提供的证明材料无法佐证的不得分。②同一合同甲方不同年度合同按一个业绩计算。</w:t>
            </w:r>
            <w:r/>
          </w:p>
          <w:p>
            <w:pPr>
              <w:numPr>
                <w:ilvl w:val="0"/>
                <w:numId w:val="0"/>
              </w:numPr>
              <w:keepLines w:val="0"/>
              <w:keepNext w:val="0"/>
              <w:pageBreakBefore w:val="0"/>
              <w:spacing w:line="400" w:lineRule="exact"/>
              <w:widowControl w:val="off"/>
              <w:rPr>
                <w:rFonts w:hint="default" w:ascii="宋体" w:hAnsi="宋体" w:eastAsia="宋体" w:cs="宋体"/>
                <w:b/>
                <w:bCs/>
                <w:color w:val="000000" w:themeColor="text1"/>
                <w:sz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bidi="ar-SA"/>
                <w14:textFill>
                  <w14:solidFill>
                    <w14:schemeClr w14:val="tx1"/>
                  </w14:solidFill>
                </w14:textFill>
              </w:rPr>
              <w:t xml:space="preserve">2、投标人开展过大气监测预警技术研究与示范相关课题的得3分，其余不得分，本小项最高得3分。</w:t>
            </w:r>
            <w:r>
              <w:rPr>
                <w:rFonts w:hint="eastAsia" w:ascii="宋体" w:hAnsi="宋体" w:eastAsia="宋体" w:cs="宋体"/>
                <w:b/>
                <w:bCs/>
                <w:color w:val="000000" w:themeColor="text1"/>
                <w:sz w:val="24"/>
                <w:highlight w:val="none"/>
                <w:lang w:val="en-US" w:eastAsia="zh-CN" w:bidi="ar-SA"/>
                <w14:textFill>
                  <w14:solidFill>
                    <w14:schemeClr w14:val="tx1"/>
                  </w14:solidFill>
                </w14:textFill>
              </w:rPr>
              <w:t xml:space="preserve">注：投标文件中需提供课题合同，中标通知书及验收意见，未提供或提供不全或提供的证明材料无法佐证的不得分。</w:t>
            </w:r>
            <w:r/>
          </w:p>
        </w:tc>
      </w:tr>
    </w:tbl>
    <w:p>
      <w:pPr>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注：（1）上述投标文件中提供的相关证明材料需为清晰完整的彩色扫描件（照片），如存在扫描件（照片）无效、不清晰、不完整等情形使得评委会无法准确评审的，相关评审风险由投标人自行承担。</w:t>
      </w:r>
      <w:r/>
    </w:p>
    <w:p>
      <w:pPr>
        <w:ind w:firstLine="482"/>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（2）投标人在制作投标文件时请按投标文件规定的顺序编制，要求简洁、明了，并添加投标文件目录、页码、书签，便于评标委员会评审查阅。</w:t>
      </w:r>
      <w:r/>
    </w:p>
    <w:p>
      <w:pPr>
        <w:keepLines w:val="0"/>
        <w:keepNext w:val="0"/>
        <w:pageBreakBefore w:val="0"/>
        <w:spacing w:line="420" w:lineRule="exact"/>
        <w:widowControl w:val="off"/>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三、政府采购政策：</w:t>
      </w:r>
      <w:bookmarkEnd w:id="280"/>
      <w:r/>
      <w:r/>
    </w:p>
    <w:p>
      <w:pPr>
        <w:ind w:firstLine="482"/>
        <w:keepLines w:val="0"/>
        <w:keepNext w:val="0"/>
        <w:pageBreakBefore w:val="0"/>
        <w:spacing w:line="420" w:lineRule="exact"/>
        <w:widowControl w:val="off"/>
        <w:rPr>
          <w:rFonts w:hint="eastAsia" w:ascii="宋体" w:hAnsi="宋体" w:eastAsia="宋体" w:cs="宋体"/>
          <w:b/>
          <w:bCs/>
          <w:color w:val="auto"/>
          <w:sz w:val="24"/>
          <w:szCs w:val="24"/>
          <w:highlight w:val="none"/>
        </w:rPr>
      </w:pPr>
      <w:r/>
      <w:bookmarkStart w:id="281" w:name="_Toc22323"/>
      <w:r>
        <w:rPr>
          <w:rFonts w:hint="eastAsia" w:ascii="宋体" w:hAnsi="宋体" w:eastAsia="宋体" w:cs="宋体"/>
          <w:b/>
          <w:bCs/>
          <w:color w:val="auto"/>
          <w:sz w:val="24"/>
          <w:szCs w:val="24"/>
          <w:highlight w:val="none"/>
        </w:rPr>
        <w:t xml:space="preserve">1、落实政府采购政策需满足的资格要求：</w:t>
      </w:r>
      <w:r/>
    </w:p>
    <w:p>
      <w:pPr>
        <w:ind w:firstLine="482"/>
        <w:keepLines w:val="0"/>
        <w:keepNext w:val="0"/>
        <w:pageBreakBefore w:val="0"/>
        <w:spacing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（1）本项目专门面向中小企业采购，所属行业为</w:t>
      </w:r>
      <w:r>
        <w:rPr>
          <w:rFonts w:hint="eastAsia" w:ascii="宋体" w:hAnsi="宋体" w:eastAsia="宋体" w:cs="宋体"/>
          <w:b/>
          <w:bCs/>
          <w:color w:val="auto"/>
          <w:sz w:val="24"/>
          <w:szCs w:val="24"/>
          <w:highlight w:val="none"/>
          <w:lang w:eastAsia="zh-CN"/>
        </w:rPr>
        <w:t xml:space="preserve">其他未列明行业</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（2）在投标文件中须提供《中小企业声明函》。（填报严格按工信部联企业〔2011〕300号通知中的《中小企业划型标准规定》进行）。</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（4）享受政府采购支持政策的残疾人福利性单位应当同时满足以下条件：</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提供本单位制造的货物、承担的工程或者服务，或者提供其他残疾人福利性单位制造的货物（不包括使用非残疾人福利性单位注册商标的货物）。</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中标人享受中小企业扶持政策或者为残疾人福利性单位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bookmarkEnd w:id="281"/>
      <w:r/>
    </w:p>
    <w:p>
      <w:pPr>
        <w:ind w:firstLine="241"/>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2、信用信息查询</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1、查询截止时点：投标文件递交截止时间。</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2、查询渠道：信用中国 （ https://www.creditchina.gov.cn/ ）查询相关主体信用记录，并采取必要方式做好信用信息报告等查询记录留存，信用信息报告等查询记录应当与其他招标文件一并保存。 </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3、查询证据留存方式：</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存在失信信息的投标人，评标委员会应填写《苏州市级政府采购投标人失信信息确认函》，由失信投标人确认。同时，采购代理机构工作人员应根据评标委员会确认的失信信息，登陆到来源网站页面进行复核并打印，作为证据留存。</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4、信用记录使用规则：</w:t>
      </w:r>
      <w:r/>
    </w:p>
    <w:p>
      <w:pPr>
        <w:ind w:firstLine="480"/>
        <w:keepLines w:val="0"/>
        <w:keepNext w:val="0"/>
        <w:pageBreakBefore w:val="0"/>
        <w:spacing w:line="420" w:lineRule="exact"/>
        <w:widowControl w:val="off"/>
        <w:rPr>
          <w:rFonts w:hint="eastAsia" w:ascii="宋体" w:hAnsi="宋体" w:eastAsia="宋体" w:cs="宋体"/>
          <w:b/>
          <w:color w:val="auto"/>
          <w:sz w:val="36"/>
          <w:highlight w:val="none"/>
        </w:rPr>
      </w:pPr>
      <w:r>
        <w:rPr>
          <w:rFonts w:hint="eastAsia" w:ascii="宋体" w:hAnsi="宋体" w:eastAsia="宋体" w:cs="宋体"/>
          <w:color w:val="auto"/>
          <w:sz w:val="24"/>
          <w:szCs w:val="24"/>
          <w:highlight w:val="none"/>
        </w:rPr>
        <w:t xml:space="preserve">评标委员会在对投标人进行资格性审查时，应根据查询结果对投标人的不良信用记录逐项甄别确认</w:t>
      </w:r>
      <w:bookmarkEnd w:id="273"/>
      <w:r/>
      <w:bookmarkEnd w:id="274"/>
      <w:r/>
      <w:bookmarkEnd w:id="275"/>
      <w:r/>
      <w:bookmarkStart w:id="282" w:name="_Toc315868063"/>
      <w:r/>
      <w:bookmarkStart w:id="283" w:name="_Toc158691777"/>
      <w:r/>
      <w:bookmarkStart w:id="284" w:name="_Toc315875326"/>
      <w:r>
        <w:rPr>
          <w:rFonts w:hint="eastAsia" w:ascii="宋体" w:hAnsi="宋体" w:eastAsia="宋体" w:cs="宋体"/>
          <w:color w:val="auto"/>
          <w:sz w:val="24"/>
          <w:szCs w:val="24"/>
          <w:highlight w:val="none"/>
        </w:rPr>
        <w:t xml:space="preserve">。</w:t>
      </w:r>
      <w:r/>
    </w:p>
    <w:p>
      <w:pPr>
        <w:ind w:firstLine="241"/>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采购本国产品的支持政策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供应商需按照招标文件的要求提供《关于符合本国产品标准的声明函》（以下简称《声明函》），如不提供将不享受本国产品价格评审优惠。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宋体" w:hAnsi="宋体" w:eastAsia="宋体" w:cs="宋体"/>
          <w:b/>
          <w:color w:val="auto"/>
          <w:sz w:val="36"/>
          <w:highlight w:val="none"/>
        </w:rPr>
      </w:pPr>
      <w:r>
        <w:rPr>
          <w:rFonts w:hint="eastAsia" w:ascii="宋体" w:hAnsi="宋体" w:eastAsia="宋体"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color w:val="auto"/>
          <w:sz w:val="36"/>
          <w:highlight w:val="none"/>
        </w:rPr>
        <w:br w:type="page" w:clear="all"/>
      </w:r>
      <w:r/>
    </w:p>
    <w:p>
      <w:pPr>
        <w:jc w:val="center"/>
        <w:spacing w:line="360" w:lineRule="auto"/>
        <w:rPr>
          <w:rFonts w:hint="eastAsia" w:ascii="宋体" w:hAnsi="宋体" w:eastAsia="宋体" w:cs="宋体"/>
          <w:b/>
          <w:color w:val="auto"/>
          <w:sz w:val="36"/>
          <w:highlight w:val="none"/>
        </w:rPr>
        <w:outlineLvl w:val="0"/>
      </w:pPr>
      <w:r/>
      <w:bookmarkStart w:id="285" w:name="_Toc26268"/>
      <w:r>
        <w:rPr>
          <w:rFonts w:hint="eastAsia" w:ascii="宋体" w:hAnsi="宋体" w:eastAsia="宋体" w:cs="宋体"/>
          <w:b/>
          <w:color w:val="auto"/>
          <w:sz w:val="36"/>
          <w:highlight w:val="none"/>
        </w:rPr>
        <w:t xml:space="preserve">第六章 投标文件格式</w:t>
      </w:r>
      <w:bookmarkEnd w:id="285"/>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封面：</w:t>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投标文件</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lang w:eastAsia="zh-CN"/>
        </w:rPr>
        <w:t xml:space="preserve">高新区2026-2028年限值限量监测站点运维服务</w:t>
      </w:r>
      <w:r/>
    </w:p>
    <w:p>
      <w:pPr>
        <w:ind w:firstLine="1084"/>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0" w:firstLine="0"/>
        <w:jc w:val="center"/>
        <w:rPr>
          <w:rFonts w:hint="eastAsia" w:ascii="宋体" w:hAnsi="宋体" w:eastAsia="宋体" w:cs="宋体"/>
          <w:b/>
          <w:color w:val="auto"/>
          <w:sz w:val="10"/>
          <w:szCs w:val="10"/>
          <w:highlight w:val="none"/>
          <w:lang w:eastAsia="zh-CN"/>
        </w:rPr>
      </w:pPr>
      <w:r>
        <w:rPr>
          <w:rFonts w:hint="eastAsia" w:ascii="宋体" w:hAnsi="宋体" w:eastAsia="宋体" w:cs="宋体"/>
          <w:b/>
          <w:color w:val="auto"/>
          <w:sz w:val="36"/>
          <w:szCs w:val="36"/>
          <w:highlight w:val="none"/>
        </w:rPr>
        <w:t xml:space="preserve">项目编号：</w:t>
      </w:r>
      <w:r>
        <w:rPr>
          <w:rFonts w:hint="eastAsia" w:ascii="宋体" w:hAnsi="宋体" w:cs="宋体"/>
          <w:b/>
          <w:color w:val="auto"/>
          <w:sz w:val="36"/>
          <w:szCs w:val="36"/>
          <w:highlight w:val="none"/>
          <w:lang w:eastAsia="zh-CN"/>
        </w:rPr>
        <w:t xml:space="preserve">JSZC-320581-HXGW-G2026-0030</w:t>
      </w:r>
      <w:r/>
    </w:p>
    <w:p>
      <w:pPr>
        <w:ind w:firstLine="253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1084"/>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0" w:firstLine="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21"/>
          <w:highlight w:val="none"/>
        </w:rPr>
        <w:t xml:space="preserve">投标人名称</w:t>
      </w:r>
      <w:r>
        <w:rPr>
          <w:rFonts w:hint="eastAsia" w:ascii="宋体" w:hAnsi="宋体" w:eastAsia="宋体" w:cs="宋体"/>
          <w:b/>
          <w:color w:val="auto"/>
          <w:sz w:val="36"/>
          <w:szCs w:val="36"/>
          <w:highlight w:val="none"/>
        </w:rPr>
        <w:t xml:space="preserve">：</w:t>
      </w:r>
      <w:r>
        <w:rPr>
          <w:rFonts w:hint="eastAsia" w:ascii="宋体" w:hAnsi="宋体" w:eastAsia="宋体" w:cs="宋体"/>
          <w:b/>
          <w:color w:val="auto"/>
          <w:sz w:val="36"/>
          <w:szCs w:val="21"/>
          <w:highlight w:val="none"/>
          <w:u w:val="single"/>
        </w:rPr>
        <w:t xml:space="preserve">（加盖CA电子公章）</w:t>
      </w:r>
      <w:r/>
    </w:p>
    <w:p>
      <w:pPr>
        <w:ind w:firstLine="1988"/>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0" w:firstLine="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日期：   年   月    日</w:t>
      </w:r>
      <w:r/>
    </w:p>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 xml:space="preserve">目录</w:t>
      </w:r>
      <w:r/>
    </w:p>
    <w:p>
      <w:pPr>
        <w:ind w:firstLine="482"/>
        <w:spacing w:line="400" w:lineRule="exact"/>
        <w:rPr>
          <w:rFonts w:hint="eastAsia" w:ascii="宋体" w:hAnsi="宋体" w:eastAsia="宋体" w:cs="宋体"/>
          <w:b/>
          <w:bCs/>
          <w:color w:val="auto"/>
          <w:sz w:val="24"/>
          <w:szCs w:val="24"/>
          <w:highlight w:val="none"/>
        </w:rPr>
      </w:pPr>
      <w:r/>
      <w:bookmarkStart w:id="286" w:name="_Toc511680880"/>
      <w:r>
        <w:rPr>
          <w:rFonts w:hint="eastAsia" w:ascii="宋体" w:hAnsi="宋体" w:eastAsia="宋体" w:cs="宋体"/>
          <w:b/>
          <w:bCs/>
          <w:color w:val="auto"/>
          <w:sz w:val="24"/>
          <w:szCs w:val="24"/>
          <w:highlight w:val="none"/>
        </w:rPr>
        <w:t xml:space="preserve">一、基本目录</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highlight w:val="none"/>
        </w:rPr>
        <w:t xml:space="preserve">开标一览表</w:t>
      </w:r>
      <w:r>
        <w:rPr>
          <w:rFonts w:hint="eastAsia" w:ascii="宋体" w:hAnsi="宋体" w:eastAsia="宋体" w:cs="宋体"/>
          <w:color w:val="auto"/>
          <w:sz w:val="24"/>
          <w:szCs w:val="24"/>
          <w:highlight w:val="none"/>
        </w:rPr>
        <w:t xml:space="preserve">（格式见附件）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报价明细表</w:t>
      </w:r>
      <w:r>
        <w:rPr>
          <w:rFonts w:hint="eastAsia" w:ascii="宋体" w:hAnsi="宋体" w:eastAsia="宋体" w:cs="宋体"/>
          <w:color w:val="auto"/>
          <w:sz w:val="24"/>
          <w:szCs w:val="24"/>
          <w:highlight w:val="none"/>
        </w:rPr>
        <w:t xml:space="preserve">（格式见附件）</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二、资格审查内容</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w:t>
      </w:r>
      <w:r/>
    </w:p>
    <w:p>
      <w:pPr>
        <w:ind w:firstLine="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提供</w:t>
      </w:r>
      <w:r>
        <w:rPr>
          <w:rFonts w:hint="eastAsia" w:ascii="宋体" w:hAnsi="宋体" w:eastAsia="宋体" w:cs="宋体"/>
          <w:color w:val="auto"/>
          <w:sz w:val="24"/>
          <w:szCs w:val="24"/>
          <w:highlight w:val="none"/>
          <w:lang w:val="en-US" w:eastAsia="zh-CN"/>
        </w:rPr>
        <w:t xml:space="preserve">2024年至今任意</w:t>
      </w:r>
      <w:r>
        <w:rPr>
          <w:rFonts w:hint="eastAsia" w:ascii="宋体" w:hAnsi="宋体" w:eastAsia="宋体" w:cs="宋体"/>
          <w:color w:val="auto"/>
          <w:sz w:val="24"/>
          <w:szCs w:val="24"/>
          <w:highlight w:val="none"/>
        </w:rPr>
        <w:t xml:space="preserve">一期经会计事务所审计的财务报告（成立不满一年需提供资产负债表和利润表）或银行（金融机构）出具的资信证明</w:t>
      </w:r>
      <w:r>
        <w:rPr>
          <w:rFonts w:hint="eastAsia" w:ascii="宋体" w:hAnsi="宋体" w:eastAsia="宋体" w:cs="宋体"/>
          <w:b/>
          <w:bCs/>
          <w:color w:val="auto"/>
          <w:sz w:val="24"/>
          <w:szCs w:val="24"/>
          <w:highlight w:val="none"/>
        </w:rPr>
        <w:t xml:space="preserve">（距开标时间六个月内开具的资信证明）</w:t>
      </w:r>
      <w:r/>
    </w:p>
    <w:p>
      <w:pPr>
        <w:ind w:firstLine="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具备履行合同所必需的设备和专业技术能力的书面声明（格式见附件）</w:t>
      </w:r>
      <w:r/>
    </w:p>
    <w:p>
      <w:pPr>
        <w:ind w:firstLine="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参加政府采购活动前 3 年内在经营活动中没有重大违法记录的书面声明（格式见附件）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*2、中小企业声明函（格式见附件）或残疾人福利性单位声明函（格式见附件）或省级以上监狱管理局、戒毒管理局（含新疆生产建设兵团）出具的属于监狱企业的证明文件</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注：其中加“*”项目若有缺失或无效，将导致其投标文件无效且不允许在投标文件开启时间后补正。</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三、符合性审查内容</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法人授权书（格式见附件）（如法定代表人签署投标文件的，法人授权书无需提供）</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投标函（格式见附件）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实质性要求响应及偏离表（格式见附件）</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服务要求响应及偏离表（格式见附件）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商务要求响应及偏离表</w:t>
      </w:r>
      <w:r>
        <w:rPr>
          <w:rFonts w:hint="eastAsia" w:ascii="宋体" w:hAnsi="宋体" w:eastAsia="宋体" w:cs="宋体"/>
          <w:color w:val="auto"/>
          <w:sz w:val="24"/>
          <w:szCs w:val="24"/>
          <w:highlight w:val="none"/>
        </w:rPr>
        <w:t xml:space="preserve">（格式见附件）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6、供应商与其他单位存在直接控股、管理关系情况表</w:t>
      </w:r>
      <w:r>
        <w:rPr>
          <w:rFonts w:hint="eastAsia" w:ascii="宋体" w:hAnsi="宋体" w:eastAsia="宋体" w:cs="宋体"/>
          <w:color w:val="auto"/>
          <w:sz w:val="24"/>
          <w:szCs w:val="24"/>
          <w:highlight w:val="none"/>
        </w:rPr>
        <w:t xml:space="preserve">（格式见附件）</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7、关于符合本国产品标准的声明函</w:t>
      </w:r>
      <w:r>
        <w:rPr>
          <w:rFonts w:hint="eastAsia" w:ascii="宋体" w:hAnsi="宋体" w:eastAsia="宋体" w:cs="宋体"/>
          <w:color w:val="auto"/>
          <w:sz w:val="24"/>
          <w:szCs w:val="24"/>
          <w:highlight w:val="none"/>
        </w:rPr>
        <w:t xml:space="preserve">（格式见附件）</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四、综合评审文件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1、项目实施方案（格式见附件）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项目组人员一览表</w:t>
      </w:r>
      <w:r>
        <w:rPr>
          <w:rFonts w:hint="eastAsia" w:ascii="宋体" w:hAnsi="宋体" w:eastAsia="宋体" w:cs="宋体"/>
          <w:color w:val="auto"/>
          <w:sz w:val="24"/>
          <w:szCs w:val="24"/>
          <w:highlight w:val="none"/>
        </w:rPr>
        <w:t xml:space="preserve">（格式见附件）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、业绩一览表（格式见附件）</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备注：针对“二、资格审查内容”和“三、符合性审查内容”，投标人必须在投标文件中提供相关材料，若有缺失或无效的，将导致其投标无效。</w:t>
      </w:r>
      <w:r/>
    </w:p>
    <w:p>
      <w:pPr>
        <w:rPr>
          <w:rFonts w:hint="eastAsia" w:ascii="宋体" w:hAnsi="宋体" w:eastAsia="宋体" w:cs="宋体"/>
          <w:b/>
          <w:color w:val="auto"/>
          <w:sz w:val="24"/>
          <w:szCs w:val="24"/>
          <w:highlight w:val="none"/>
        </w:rPr>
      </w:pPr>
      <w:r>
        <w:rPr>
          <w:rFonts w:hint="eastAsia" w:ascii="宋体" w:hAnsi="宋体" w:eastAsia="宋体" w:cs="宋体"/>
          <w:color w:val="auto"/>
          <w:highlight w:val="none"/>
        </w:rPr>
        <w:br w:type="page" w:clear="all"/>
      </w:r>
      <w:bookmarkEnd w:id="286"/>
      <w:r/>
      <w:r/>
    </w:p>
    <w:p>
      <w:pPr>
        <w:pStyle w:val="901"/>
        <w:rPr>
          <w:rFonts w:hint="eastAsia" w:ascii="宋体" w:hAnsi="宋体" w:eastAsia="宋体" w:cs="宋体"/>
          <w:color w:val="auto"/>
          <w:highlight w:val="none"/>
        </w:rPr>
      </w:pPr>
      <w:r/>
      <w:bookmarkStart w:id="287" w:name="_Toc7136"/>
      <w:r/>
      <w:bookmarkStart w:id="288" w:name="_Toc511680881"/>
      <w:r/>
      <w:bookmarkStart w:id="289" w:name="_Toc472326799"/>
      <w:r>
        <w:rPr>
          <w:rFonts w:hint="eastAsia" w:ascii="宋体" w:hAnsi="宋体" w:eastAsia="宋体" w:cs="宋体"/>
          <w:color w:val="auto"/>
          <w:highlight w:val="none"/>
        </w:rPr>
        <w:t xml:space="preserve">附件1 开标一览表</w:t>
      </w:r>
      <w:bookmarkEnd w:id="287"/>
      <w:r/>
      <w:bookmarkEnd w:id="288"/>
      <w:r/>
      <w:bookmarkEnd w:id="289"/>
      <w:r/>
      <w:bookmarkEnd w:id="282"/>
      <w:bookmarkEnd w:id="283"/>
      <w:bookmarkEnd w:id="284"/>
      <w:r/>
    </w:p>
    <w:p>
      <w:pPr>
        <w:ind w:firstLine="482"/>
        <w:spacing w:line="400" w:lineRule="exact"/>
        <w:rPr>
          <w:rFonts w:hint="eastAsia" w:ascii="宋体" w:hAnsi="宋体" w:eastAsia="宋体" w:cs="宋体"/>
          <w:color w:val="auto"/>
          <w:sz w:val="24"/>
          <w:szCs w:val="24"/>
          <w:highlight w:val="none"/>
          <w:lang w:eastAsia="zh-CN"/>
        </w:rPr>
      </w:pPr>
      <w:r/>
      <w:bookmarkStart w:id="290" w:name="_Toc13333"/>
      <w:r/>
      <w:bookmarkStart w:id="291" w:name="_Toc507155725"/>
      <w:r/>
      <w:bookmarkStart w:id="292" w:name="_Toc10210"/>
      <w:r/>
      <w:bookmarkStart w:id="293" w:name="_Toc500969519"/>
      <w:r/>
      <w:bookmarkStart w:id="294" w:name="_Toc501026326"/>
      <w:r/>
      <w:bookmarkStart w:id="295" w:name="_Toc504487339"/>
      <w:r>
        <w:rPr>
          <w:rFonts w:hint="eastAsia" w:ascii="宋体" w:hAnsi="宋体" w:eastAsia="宋体" w:cs="宋体"/>
          <w:color w:val="auto"/>
          <w:sz w:val="24"/>
          <w:szCs w:val="24"/>
          <w:highlight w:val="none"/>
        </w:rPr>
        <w:t xml:space="preserve">投标人全称（加盖CA电子签章）：</w:t>
      </w:r>
      <w:r/>
    </w:p>
    <w:p>
      <w:pPr>
        <w:ind w:firstLine="482"/>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JSZC-320581-HXGW-G2026-0030</w:t>
      </w:r>
      <w:r/>
    </w:p>
    <w:tbl>
      <w:tblPr>
        <w:tblStyle w:val="954"/>
        <w:tblpPr w:horzAnchor="page" w:tblpX="1318" w:vertAnchor="text" w:tblpY="279" w:leftFromText="180" w:topFromText="0" w:rightFromText="180" w:bottomFromText="0"/>
        <w:tblW w:w="95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27"/>
        <w:gridCol w:w="4172"/>
      </w:tblGrid>
      <w:tr>
        <w:trPr>
          <w:trHeight w:val="599"/>
        </w:trPr>
        <w:tc>
          <w:tcPr>
            <w:tcW w:w="542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tc>
        <w:tc>
          <w:tcPr>
            <w:tcW w:w="417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投标总报价</w:t>
            </w:r>
            <w:r/>
          </w:p>
        </w:tc>
      </w:tr>
      <w:tr>
        <w:trPr>
          <w:trHeight w:val="725"/>
        </w:trPr>
        <w:tc>
          <w:tcPr>
            <w:tcW w:w="5427"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高新区2026-2028年限值限量监测站点运维服务</w:t>
            </w:r>
            <w:r/>
          </w:p>
        </w:tc>
        <w:tc>
          <w:tcPr>
            <w:tcW w:w="4172"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小写：          （元人民币）</w:t>
            </w:r>
            <w:r/>
          </w:p>
        </w:tc>
      </w:tr>
      <w:tr>
        <w:trPr>
          <w:trHeight w:val="758"/>
        </w:trPr>
        <w:tc>
          <w:tcPr>
            <w:tcW w:w="5427" w:type="dxa"/>
            <w:vAlign w:val="center"/>
            <w:textDirection w:val="lrTb"/>
            <w:noWrap w:val="false"/>
          </w:tcPr>
          <w:p>
            <w:pPr>
              <w:jc w:val="left"/>
              <w:rPr>
                <w:rFonts w:hint="eastAsia" w:ascii="宋体" w:hAnsi="宋体" w:eastAsia="宋体" w:cs="宋体"/>
                <w:b/>
                <w:color w:val="auto"/>
                <w:sz w:val="24"/>
                <w:szCs w:val="24"/>
                <w:highlight w:val="none"/>
                <w:lang w:eastAsia="zh-CN"/>
              </w:rPr>
            </w:pPr>
            <w:r>
              <w:rPr>
                <w:rFonts w:hint="eastAsia" w:ascii="宋体" w:hAnsi="宋体" w:cs="宋体"/>
                <w:bCs/>
                <w:color w:val="auto"/>
                <w:sz w:val="24"/>
                <w:szCs w:val="24"/>
                <w:highlight w:val="none"/>
                <w:lang w:val="en-US" w:eastAsia="zh-CN"/>
              </w:rPr>
              <w:t xml:space="preserve">投标报价</w:t>
            </w:r>
            <w:r>
              <w:rPr>
                <w:rFonts w:hint="eastAsia" w:ascii="宋体" w:hAnsi="宋体" w:eastAsia="宋体" w:cs="宋体"/>
                <w:bCs/>
                <w:color w:val="auto"/>
                <w:sz w:val="24"/>
                <w:szCs w:val="24"/>
                <w:highlight w:val="none"/>
              </w:rPr>
              <w:t xml:space="preserve">大写金额</w:t>
            </w:r>
            <w:r/>
          </w:p>
        </w:tc>
        <w:tc>
          <w:tcPr>
            <w:tcW w:w="4172"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“投标报价”</w:t>
      </w:r>
      <w:r>
        <w:rPr>
          <w:rFonts w:hint="eastAsia" w:ascii="宋体" w:hAnsi="宋体" w:cs="宋体"/>
          <w:color w:val="auto"/>
          <w:sz w:val="24"/>
          <w:szCs w:val="24"/>
          <w:highlight w:val="none"/>
          <w:lang w:val="en-US" w:eastAsia="zh-CN"/>
        </w:rPr>
        <w:t xml:space="preserve">为</w:t>
      </w:r>
      <w:r>
        <w:rPr>
          <w:rFonts w:hint="eastAsia" w:ascii="宋体" w:hAnsi="宋体" w:eastAsia="宋体" w:cs="宋体"/>
          <w:bCs/>
          <w:color w:val="auto"/>
          <w:sz w:val="24"/>
          <w:szCs w:val="24"/>
          <w:highlight w:val="none"/>
          <w:lang w:val="en-US" w:eastAsia="zh-CN"/>
        </w:rPr>
        <w:t xml:space="preserve">2年服务总费用</w:t>
      </w:r>
      <w:r>
        <w:rPr>
          <w:rFonts w:hint="eastAsia" w:ascii="宋体" w:hAnsi="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“投标报价”请保留小数点后两位。</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01"/>
        <w:rPr>
          <w:rFonts w:hint="eastAsia" w:ascii="宋体" w:hAnsi="宋体" w:eastAsia="宋体" w:cs="宋体"/>
          <w:color w:val="auto"/>
          <w:highlight w:val="none"/>
        </w:rPr>
        <w:sectPr>
          <w:footerReference w:type="default" r:id="rId16"/>
          <w:footerReference w:type="first" r:id="rId17"/>
          <w:footnotePr/>
          <w:endnotePr/>
          <w:type w:val="nextPage"/>
          <w:pgSz w:w="11907" w:h="16840" w:orient="portrait"/>
          <w:pgMar w:top="1134" w:right="882" w:bottom="1134" w:left="1365" w:header="567" w:footer="794" w:gutter="0"/>
          <w:pgNumType w:start="1"/>
          <w:cols w:num="1" w:sep="0" w:space="720" w:equalWidth="1"/>
          <w:docGrid w:linePitch="360"/>
          <w:titlePg/>
        </w:sectPr>
      </w:pPr>
      <w:r>
        <w:rPr>
          <w:rFonts w:hint="eastAsia" w:ascii="宋体" w:hAnsi="宋体" w:eastAsia="宋体" w:cs="宋体"/>
          <w:color w:val="auto"/>
          <w:highlight w:val="none"/>
        </w:rPr>
      </w:r>
      <w:r/>
    </w:p>
    <w:p>
      <w:pPr>
        <w:pStyle w:val="901"/>
        <w:rPr>
          <w:rFonts w:hint="eastAsia" w:ascii="宋体" w:hAnsi="宋体" w:eastAsia="宋体" w:cs="宋体"/>
          <w:color w:val="auto"/>
          <w:highlight w:val="none"/>
        </w:rPr>
      </w:pPr>
      <w:r/>
      <w:bookmarkStart w:id="296" w:name="_Toc19945"/>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2报价明细</w:t>
      </w:r>
      <w:r>
        <w:rPr>
          <w:rFonts w:hint="eastAsia" w:ascii="宋体" w:hAnsi="宋体" w:eastAsia="宋体" w:cs="宋体"/>
          <w:color w:val="auto"/>
          <w:highlight w:val="none"/>
        </w:rPr>
        <w:t xml:space="preserve">表</w:t>
      </w:r>
      <w:bookmarkEnd w:id="296"/>
      <w:r/>
      <w:r/>
    </w:p>
    <w:tbl>
      <w:tblPr>
        <w:tblStyle w:val="910"/>
        <w:tblW w:w="971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3"/>
        <w:gridCol w:w="1758"/>
        <w:gridCol w:w="1635"/>
        <w:gridCol w:w="1440"/>
        <w:gridCol w:w="1440"/>
        <w:gridCol w:w="1725"/>
        <w:gridCol w:w="960"/>
      </w:tblGrid>
      <w:tr>
        <w:trPr>
          <w:cantSplit/>
          <w:trHeight w:val="780"/>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费用名称</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特征描述</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Borders>
              <w:top w:val="single" w:color="auto" w:sz="4" w:space="0"/>
              <w:left w:val="none" w:color="000000" w:sz="4" w:space="0"/>
              <w:bottom w:val="single" w:color="auto" w:sz="4" w:space="0"/>
              <w:right w:val="single" w:color="auto" w:sz="4" w:space="0"/>
            </w:tcBorders>
            <w:tcW w:w="17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分类总价（元）</w:t>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trHeight w:val="6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7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7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7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7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4" w:space="0"/>
              <w:left w:val="none" w:color="000000" w:sz="4" w:space="0"/>
              <w:bottom w:val="single" w:color="auto" w:sz="4" w:space="0"/>
              <w:right w:val="single" w:color="auto" w:sz="4" w:space="0"/>
            </w:tcBorders>
            <w:tcW w:w="17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7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67"/>
        </w:trPr>
        <w:tc>
          <w:tcPr>
            <w:gridSpan w:val="4"/>
            <w:tcBorders>
              <w:top w:val="single" w:color="auto" w:sz="4" w:space="0"/>
              <w:left w:val="single" w:color="auto" w:sz="4" w:space="0"/>
              <w:bottom w:val="single" w:color="auto" w:sz="4" w:space="0"/>
              <w:right w:val="single" w:color="auto" w:sz="4" w:space="0"/>
            </w:tcBorders>
            <w:tcW w:w="55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投标报价（人民币：     元）</w:t>
            </w:r>
            <w:r/>
          </w:p>
        </w:tc>
        <w:tc>
          <w:tcPr>
            <w:gridSpan w:val="3"/>
            <w:tcBorders>
              <w:top w:val="single" w:color="auto" w:sz="4" w:space="0"/>
              <w:left w:val="none" w:color="000000" w:sz="4" w:space="0"/>
              <w:bottom w:val="single" w:color="auto" w:sz="4" w:space="0"/>
              <w:right w:val="single" w:color="auto" w:sz="4" w:space="0"/>
            </w:tcBorders>
            <w:tcW w:w="41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注：1、投标人应根据本项目服务的分项价格情况填写上述表格。</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2、所有价格用人民币表示。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3、表中“</w:t>
      </w:r>
      <w:r>
        <w:rPr>
          <w:rFonts w:hint="eastAsia" w:ascii="宋体" w:hAnsi="宋体" w:eastAsia="宋体" w:cs="宋体"/>
          <w:color w:val="auto"/>
          <w:sz w:val="24"/>
          <w:szCs w:val="24"/>
          <w:highlight w:val="none"/>
        </w:rPr>
        <w:t xml:space="preserve">投标报价</w:t>
      </w:r>
      <w:r>
        <w:rPr>
          <w:rFonts w:hint="eastAsia" w:ascii="宋体" w:hAnsi="宋体" w:eastAsia="宋体" w:cs="宋体"/>
          <w:bCs/>
          <w:color w:val="auto"/>
          <w:sz w:val="24"/>
          <w:szCs w:val="24"/>
          <w:highlight w:val="none"/>
        </w:rPr>
        <w:t xml:space="preserve">”应与“开标一览表”中“</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w:t>
      </w:r>
      <w:r>
        <w:rPr>
          <w:rFonts w:hint="eastAsia" w:ascii="宋体" w:hAnsi="宋体" w:eastAsia="宋体" w:cs="宋体"/>
          <w:bCs/>
          <w:color w:val="auto"/>
          <w:sz w:val="24"/>
          <w:szCs w:val="24"/>
          <w:highlight w:val="none"/>
        </w:rPr>
        <w:t xml:space="preserve">”相一致。</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4、“投标报价”请保留小数点后两位。</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7" w:h="16840" w:orient="portrait"/>
          <w:pgMar w:top="1134" w:right="882" w:bottom="1134" w:left="1365" w:header="567" w:footer="794" w:gutter="0"/>
          <w:cols w:num="1" w:sep="0" w:space="720" w:equalWidth="1"/>
          <w:docGrid w:linePitch="360"/>
          <w:titlePg/>
        </w:sectPr>
      </w:pPr>
      <w:r>
        <w:rPr>
          <w:rFonts w:hint="eastAsia" w:ascii="宋体" w:hAnsi="宋体" w:eastAsia="宋体" w:cs="宋体"/>
          <w:color w:val="auto"/>
          <w:sz w:val="24"/>
          <w:szCs w:val="24"/>
          <w:highlight w:val="none"/>
        </w:rPr>
      </w:r>
      <w:r/>
    </w:p>
    <w:p>
      <w:pPr>
        <w:pStyle w:val="901"/>
        <w:rPr>
          <w:rFonts w:hint="eastAsia" w:ascii="宋体" w:hAnsi="宋体" w:eastAsia="宋体" w:cs="宋体"/>
          <w:color w:val="auto"/>
          <w:highlight w:val="none"/>
        </w:rPr>
      </w:pPr>
      <w:r/>
      <w:bookmarkStart w:id="297" w:name="_Toc26112"/>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具备履行合同所必需的设备和专业技术能力的书面声明</w:t>
      </w:r>
      <w:bookmarkEnd w:id="297"/>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主要设备有：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w:t>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主要专业技术能力有：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901"/>
        <w:rPr>
          <w:rFonts w:hint="eastAsia" w:ascii="宋体" w:hAnsi="宋体" w:eastAsia="宋体" w:cs="宋体"/>
          <w:color w:val="auto"/>
          <w:highlight w:val="none"/>
        </w:rPr>
      </w:pPr>
      <w:r/>
      <w:bookmarkStart w:id="298" w:name="_Toc26649"/>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 参加政府采购活动前3年内在经营活动中没有重大违法记录的书面声明</w:t>
      </w:r>
      <w:bookmarkEnd w:id="298"/>
      <w:r/>
      <w:r/>
    </w:p>
    <w:p>
      <w:pPr>
        <w:jc w:val="center"/>
        <w:spacing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jc w:val="center"/>
        <w:spacing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声 明</w:t>
      </w:r>
      <w:r/>
    </w:p>
    <w:p>
      <w:pPr>
        <w:ind w:firstLine="480"/>
        <w:spacing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01"/>
        <w:spacing w:line="440" w:lineRule="exact"/>
        <w:rPr>
          <w:rFonts w:hint="eastAsia" w:ascii="宋体" w:hAnsi="宋体" w:eastAsia="宋体" w:cs="宋体"/>
          <w:color w:val="auto"/>
          <w:highlight w:val="none"/>
        </w:rPr>
      </w:pPr>
      <w:r/>
      <w:bookmarkStart w:id="299" w:name="_Toc961"/>
      <w:r/>
      <w:bookmarkStart w:id="300" w:name="_Toc17377"/>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 </w:t>
      </w:r>
      <w:bookmarkEnd w:id="299"/>
      <w:r>
        <w:rPr>
          <w:rFonts w:hint="eastAsia" w:ascii="宋体" w:hAnsi="宋体" w:eastAsia="宋体" w:cs="宋体"/>
          <w:color w:val="auto"/>
          <w:highlight w:val="none"/>
        </w:rPr>
        <w:t xml:space="preserve">法人授权书</w:t>
      </w:r>
      <w:bookmarkEnd w:id="300"/>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本授权委托书声明：注册于</w:t>
      </w:r>
      <w:r>
        <w:rPr>
          <w:rFonts w:hint="eastAsia" w:ascii="宋体" w:hAnsi="宋体" w:eastAsia="宋体" w:cs="宋体"/>
          <w:color w:val="auto"/>
          <w:sz w:val="24"/>
          <w:szCs w:val="24"/>
          <w:highlight w:val="none"/>
          <w:u w:val="single"/>
        </w:rPr>
        <w:t xml:space="preserve">     （投标人地址）    </w:t>
      </w:r>
      <w:r>
        <w:rPr>
          <w:rFonts w:hint="eastAsia" w:ascii="宋体" w:hAnsi="宋体" w:eastAsia="宋体" w:cs="宋体"/>
          <w:color w:val="auto"/>
          <w:sz w:val="24"/>
          <w:szCs w:val="24"/>
          <w:highlight w:val="none"/>
        </w:rPr>
        <w:t xml:space="preserve"> 的</w:t>
      </w:r>
      <w:r>
        <w:rPr>
          <w:rFonts w:hint="eastAsia" w:ascii="宋体" w:hAnsi="宋体" w:eastAsia="宋体" w:cs="宋体"/>
          <w:color w:val="auto"/>
          <w:sz w:val="24"/>
          <w:szCs w:val="24"/>
          <w:highlight w:val="none"/>
          <w:u w:val="single"/>
        </w:rPr>
        <w:t xml:space="preserve">      （投标人全称）         </w:t>
      </w:r>
      <w:r>
        <w:rPr>
          <w:rFonts w:hint="eastAsia" w:ascii="宋体" w:hAnsi="宋体" w:eastAsia="宋体" w:cs="宋体"/>
          <w:color w:val="auto"/>
          <w:sz w:val="24"/>
          <w:szCs w:val="24"/>
          <w:highlight w:val="none"/>
        </w:rPr>
        <w:t xml:space="preserve">的  </w:t>
      </w:r>
      <w:r>
        <w:rPr>
          <w:rFonts w:hint="eastAsia" w:ascii="宋体" w:hAnsi="宋体" w:eastAsia="宋体" w:cs="宋体"/>
          <w:color w:val="auto"/>
          <w:sz w:val="24"/>
          <w:szCs w:val="24"/>
          <w:highlight w:val="none"/>
          <w:u w:val="single"/>
        </w:rPr>
        <w:t xml:space="preserve">（法定代表人姓名）  </w:t>
      </w:r>
      <w:r>
        <w:rPr>
          <w:rFonts w:hint="eastAsia" w:ascii="宋体" w:hAnsi="宋体" w:eastAsia="宋体" w:cs="宋体"/>
          <w:color w:val="auto"/>
          <w:sz w:val="24"/>
          <w:szCs w:val="24"/>
          <w:highlight w:val="none"/>
        </w:rPr>
        <w:t xml:space="preserve">，代表本公司（工厂）授权</w:t>
      </w:r>
      <w:r>
        <w:rPr>
          <w:rFonts w:hint="eastAsia" w:ascii="宋体" w:hAnsi="宋体" w:eastAsia="宋体" w:cs="宋体"/>
          <w:color w:val="auto"/>
          <w:sz w:val="24"/>
          <w:szCs w:val="24"/>
          <w:highlight w:val="none"/>
          <w:u w:val="single"/>
        </w:rPr>
        <w:t xml:space="preserve">   （授权代表姓名）   </w:t>
      </w:r>
      <w:r>
        <w:rPr>
          <w:rFonts w:hint="eastAsia" w:ascii="宋体" w:hAnsi="宋体" w:eastAsia="宋体" w:cs="宋体"/>
          <w:color w:val="auto"/>
          <w:sz w:val="24"/>
          <w:szCs w:val="24"/>
          <w:highlight w:val="none"/>
        </w:rPr>
        <w:t xml:space="preserve">为本公司（工厂）的合法代理人，就贵方组织的</w:t>
      </w:r>
      <w:r>
        <w:rPr>
          <w:rFonts w:hint="eastAsia" w:ascii="宋体" w:hAnsi="宋体" w:eastAsia="宋体" w:cs="宋体"/>
          <w:color w:val="auto"/>
          <w:sz w:val="24"/>
          <w:szCs w:val="24"/>
          <w:highlight w:val="none"/>
          <w:u w:val="single"/>
          <w:lang w:eastAsia="zh-CN"/>
        </w:rPr>
        <w:t xml:space="preserve">高新区2026-2028年限值限量监测站点运维服务</w:t>
      </w:r>
      <w:r>
        <w:rPr>
          <w:rFonts w:hint="eastAsia" w:ascii="宋体" w:hAnsi="宋体" w:eastAsia="宋体" w:cs="宋体"/>
          <w:color w:val="auto"/>
          <w:sz w:val="24"/>
          <w:szCs w:val="24"/>
          <w:highlight w:val="none"/>
          <w:u w:val="single"/>
        </w:rPr>
        <w:t xml:space="preserve"> （项目编号：</w:t>
      </w:r>
      <w:r>
        <w:rPr>
          <w:rFonts w:hint="eastAsia" w:ascii="宋体" w:hAnsi="宋体" w:cs="宋体"/>
          <w:color w:val="auto"/>
          <w:sz w:val="24"/>
          <w:szCs w:val="24"/>
          <w:highlight w:val="none"/>
          <w:u w:val="single"/>
          <w:lang w:eastAsia="zh-CN"/>
        </w:rPr>
        <w:t xml:space="preserve">JSZC-320581-HXGW-G2026-0030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的采购活动，以本公司（工厂）名义处理一切与之有关的事务。，以本公司名义处理一切与之有关的事务。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本授权书于年月日生效，被授权人无转委权。</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名称：</w:t>
      </w:r>
      <w:r>
        <w:rPr>
          <w:rFonts w:hint="eastAsia" w:ascii="宋体" w:hAnsi="宋体" w:eastAsia="宋体" w:cs="宋体"/>
          <w:color w:val="auto"/>
          <w:sz w:val="24"/>
          <w:szCs w:val="24"/>
          <w:highlight w:val="none"/>
          <w:u w:val="single"/>
        </w:rPr>
        <w:t xml:space="preserve">（加盖CA电子公章）</w:t>
      </w:r>
      <w:r/>
    </w:p>
    <w:p>
      <w:pPr>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地      址：</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法定代表人姓名：</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公民身份号码：</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职      务：</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授权代表姓名：</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公民身份号码：</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职      务：</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附</w:t>
      </w:r>
      <w:r>
        <w:rPr>
          <w:rFonts w:hint="eastAsia" w:ascii="宋体" w:hAnsi="宋体" w:eastAsia="宋体" w:cs="宋体"/>
          <w:b/>
          <w:bCs w:val="0"/>
          <w:color w:val="000000"/>
          <w:sz w:val="24"/>
          <w:szCs w:val="24"/>
          <w:highlight w:val="none"/>
          <w:lang w:val="en-US" w:eastAsia="zh-CN"/>
        </w:rPr>
        <w:t xml:space="preserve">被授权人</w:t>
      </w:r>
      <w:r>
        <w:rPr>
          <w:rFonts w:hint="eastAsia" w:ascii="宋体" w:hAnsi="宋体" w:eastAsia="宋体" w:cs="宋体"/>
          <w:b/>
          <w:bCs w:val="0"/>
          <w:color w:val="000000"/>
          <w:sz w:val="24"/>
          <w:szCs w:val="24"/>
          <w:highlight w:val="none"/>
        </w:rPr>
        <w:t xml:space="preserve">居民身份证及法定代表人居民身份证扫描件</w:t>
      </w:r>
      <w:r>
        <w:rPr>
          <w:rFonts w:hint="eastAsia" w:ascii="宋体" w:hAnsi="宋体" w:eastAsia="宋体" w:cs="宋体"/>
          <w:b/>
          <w:bCs w:val="0"/>
          <w:color w:val="000000"/>
          <w:sz w:val="24"/>
          <w:szCs w:val="24"/>
          <w:highlight w:val="none"/>
          <w:lang w:eastAsia="zh-CN"/>
        </w:rPr>
        <w:t xml:space="preserve">。</w:t>
      </w:r>
      <w:r/>
    </w:p>
    <w:p>
      <w:pPr>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r>
      <w:r/>
    </w:p>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注：如法定代表人签署投标文件的，“法人授权书”可不提供，但需提供法人代表人身份证正反面及营业执照扫描件。</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01"/>
        <w:rPr>
          <w:rFonts w:hint="eastAsia" w:ascii="宋体" w:hAnsi="宋体" w:eastAsia="宋体" w:cs="宋体"/>
          <w:color w:val="auto"/>
          <w:highlight w:val="none"/>
        </w:rPr>
      </w:pPr>
      <w:r/>
      <w:bookmarkStart w:id="301" w:name="_Toc1724"/>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 投标函</w:t>
      </w:r>
      <w:bookmarkEnd w:id="301"/>
      <w:r/>
      <w:r/>
    </w:p>
    <w:p>
      <w:pPr>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涵熙（苏州）工程顾问有限公司</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b/>
          <w:color w:val="auto"/>
          <w:sz w:val="24"/>
          <w:szCs w:val="24"/>
          <w:highlight w:val="none"/>
          <w:u w:val="single"/>
          <w:lang w:eastAsia="zh-CN"/>
        </w:rPr>
        <w:t xml:space="preserve">高新区2026-2028年限值限量监测站点运维服务</w:t>
      </w:r>
      <w:r>
        <w:rPr>
          <w:rFonts w:hint="eastAsia" w:ascii="宋体" w:hAnsi="宋体" w:eastAsia="宋体" w:cs="宋体"/>
          <w:color w:val="auto"/>
          <w:sz w:val="24"/>
          <w:szCs w:val="24"/>
          <w:highlight w:val="none"/>
        </w:rPr>
        <w:t xml:space="preserve">项目招标文件（项目编号：</w:t>
      </w:r>
      <w:r>
        <w:rPr>
          <w:rFonts w:hint="eastAsia" w:ascii="宋体" w:hAnsi="宋体" w:cs="宋体"/>
          <w:color w:val="auto"/>
          <w:sz w:val="24"/>
          <w:szCs w:val="24"/>
          <w:highlight w:val="none"/>
          <w:lang w:eastAsia="zh-CN"/>
        </w:rPr>
        <w:t xml:space="preserve">JSZC-320581-HXGW-G2026-0030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正式授权下述签字人______(姓名)代表我方______________（投标人的名称），全权处理本次项目投标的有关事宜。</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pStyle w:val="1072"/>
        <w:spacing w:before="0" w:after="0" w:line="420" w:lineRule="exact"/>
        <w:rPr>
          <w:rFonts w:hint="eastAsia" w:ascii="宋体" w:hAnsi="宋体" w:eastAsia="宋体" w:cs="宋体"/>
          <w:color w:val="auto"/>
          <w:szCs w:val="21"/>
          <w:highlight w:val="none"/>
        </w:rPr>
      </w:pPr>
      <w:r/>
      <w:bookmarkStart w:id="302" w:name="_Toc496528251"/>
      <w:r/>
      <w:bookmarkStart w:id="303" w:name="_Toc495934670"/>
      <w:r/>
      <w:bookmarkStart w:id="304" w:name="_Toc23143"/>
      <w:r/>
      <w:bookmarkStart w:id="305" w:name="_Toc496180957"/>
      <w:r/>
      <w:bookmarkStart w:id="306" w:name="_Toc2220"/>
      <w:r>
        <w:rPr>
          <w:rFonts w:hint="eastAsia" w:ascii="宋体" w:hAnsi="宋体" w:eastAsia="宋体" w:cs="宋体"/>
          <w:color w:val="auto"/>
          <w:szCs w:val="21"/>
          <w:highlight w:val="none"/>
        </w:rPr>
        <w:t xml:space="preserve">1.按招标文件规定的各项要求，向买方提供所需服务（包含与服务相关的货物）。</w:t>
      </w:r>
      <w:r/>
    </w:p>
    <w:p>
      <w:pPr>
        <w:pStyle w:val="107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107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107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107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107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pStyle w:val="107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7.与本投标有关的正式通讯地址为：</w:t>
      </w:r>
      <w:r/>
    </w:p>
    <w:p>
      <w:pPr>
        <w:pStyle w:val="1072"/>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1072"/>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1072"/>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p>
    <w:p>
      <w:pPr>
        <w:pStyle w:val="1072"/>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p>
    <w:p>
      <w:pPr>
        <w:pStyle w:val="1072"/>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投标人开户行：</w:t>
      </w:r>
      <w:r/>
    </w:p>
    <w:p>
      <w:pPr>
        <w:pStyle w:val="1072"/>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 </w:t>
      </w:r>
      <w:r/>
    </w:p>
    <w:p>
      <w:pPr>
        <w:pStyle w:val="1072"/>
        <w:ind w:left="420"/>
        <w:spacing w:before="0" w:after="0" w:line="420" w:lineRule="exact"/>
        <w:rPr>
          <w:rFonts w:hint="eastAsia" w:ascii="宋体" w:hAnsi="宋体" w:eastAsia="宋体" w:cs="宋体"/>
          <w:b/>
          <w:bCs/>
          <w:color w:val="auto"/>
          <w:sz w:val="28"/>
          <w:szCs w:val="28"/>
          <w:highlight w:val="none"/>
        </w:rPr>
      </w:pPr>
      <w:r>
        <w:rPr>
          <w:rFonts w:hint="eastAsia" w:ascii="宋体" w:hAnsi="宋体" w:eastAsia="宋体" w:cs="宋体"/>
          <w:color w:val="auto"/>
          <w:szCs w:val="21"/>
          <w:highlight w:val="none"/>
        </w:rPr>
        <w:t xml:space="preserve">日           期：________年____月____日</w:t>
      </w:r>
      <w:r>
        <w:rPr>
          <w:rFonts w:hint="eastAsia" w:ascii="宋体" w:hAnsi="宋体" w:eastAsia="宋体" w:cs="宋体"/>
          <w:b/>
          <w:bCs/>
          <w:color w:val="auto"/>
          <w:sz w:val="28"/>
          <w:szCs w:val="28"/>
          <w:highlight w:val="none"/>
        </w:rPr>
        <w:br w:type="page" w:clear="all"/>
      </w:r>
      <w:r/>
    </w:p>
    <w:p>
      <w:pPr>
        <w:jc w:val="center"/>
        <w:keepNext/>
        <w:rPr>
          <w:rFonts w:hint="eastAsia" w:ascii="宋体" w:hAnsi="宋体" w:eastAsia="宋体" w:cs="宋体"/>
          <w:b/>
          <w:bCs/>
          <w:color w:val="auto"/>
          <w:sz w:val="28"/>
          <w:szCs w:val="28"/>
          <w:highlight w:val="none"/>
        </w:rPr>
        <w:outlineLvl w:val="1"/>
      </w:pPr>
      <w:r/>
      <w:bookmarkStart w:id="307" w:name="_Toc1604"/>
      <w:r>
        <w:rPr>
          <w:rFonts w:hint="eastAsia" w:ascii="宋体" w:hAnsi="宋体" w:eastAsia="宋体" w:cs="宋体"/>
          <w:b/>
          <w:bCs/>
          <w:color w:val="auto"/>
          <w:sz w:val="28"/>
          <w:szCs w:val="28"/>
          <w:highlight w:val="none"/>
        </w:rPr>
        <w:t xml:space="preserve">附件</w:t>
      </w:r>
      <w:bookmarkEnd w:id="302"/>
      <w:r/>
      <w:bookmarkEnd w:id="303"/>
      <w:r/>
      <w:bookmarkEnd w:id="304"/>
      <w:r/>
      <w:bookmarkEnd w:id="305"/>
      <w:r>
        <w:rPr>
          <w:rFonts w:hint="eastAsia" w:ascii="宋体" w:hAnsi="宋体" w:eastAsia="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rPr>
        <w:t xml:space="preserve"> 中小企业声明函</w:t>
      </w:r>
      <w:bookmarkEnd w:id="306"/>
      <w:r/>
      <w:bookmarkEnd w:id="307"/>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lang w:eastAsia="zh-CN"/>
        </w:rPr>
        <w:t xml:space="preserve">常熟高新技术产业开发区管理委员会</w:t>
      </w:r>
      <w:r>
        <w:rPr>
          <w:rFonts w:hint="eastAsia" w:ascii="宋体" w:hAnsi="宋体" w:eastAsia="宋体" w:cs="宋体"/>
          <w:color w:val="auto"/>
          <w:sz w:val="24"/>
          <w:szCs w:val="24"/>
          <w:highlight w:val="none"/>
          <w:lang w:val="zh-CN"/>
        </w:rPr>
        <w:t xml:space="preserve">的</w:t>
      </w:r>
      <w:r>
        <w:rPr>
          <w:rFonts w:hint="eastAsia" w:ascii="宋体" w:hAnsi="宋体" w:eastAsia="宋体" w:cs="宋体"/>
          <w:color w:val="auto"/>
          <w:sz w:val="24"/>
          <w:szCs w:val="24"/>
          <w:highlight w:val="none"/>
          <w:u w:val="single"/>
          <w:lang w:eastAsia="zh-CN"/>
        </w:rPr>
        <w:t xml:space="preserve">高新区2026-2028年限值限量监测站点运维服务</w:t>
      </w:r>
      <w:r>
        <w:rPr>
          <w:rFonts w:hint="eastAsia" w:ascii="宋体" w:hAnsi="宋体" w:eastAsia="宋体" w:cs="宋体"/>
          <w:color w:val="auto"/>
          <w:sz w:val="24"/>
          <w:szCs w:val="21"/>
          <w:highlight w:val="none"/>
        </w:rPr>
        <w:t xml:space="preserve">采购活动，服务全部由符合政策要求的中小企业承接。相关企业的具体情况如下：</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eastAsia="zh-CN"/>
        </w:rPr>
        <w:t xml:space="preserve">高新区2026-2028年限值限量监测站点运维服务</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其他未列明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919"/>
        <w:ind w:right="414" w:firstLine="472"/>
        <w:spacing w:before="55" w:line="56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p>
      <w:pPr>
        <w:pStyle w:val="919"/>
        <w:ind w:left="4060" w:right="2166" w:firstLine="358"/>
        <w:spacing w:before="35" w:line="44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企业名称（加盖CA电子公章）：</w:t>
      </w:r>
      <w:r/>
    </w:p>
    <w:p>
      <w:pPr>
        <w:pStyle w:val="919"/>
        <w:ind w:left="4060" w:right="2166" w:firstLine="358"/>
        <w:spacing w:before="35" w:line="44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日期：</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40" w:lineRule="exact"/>
        <w:rPr>
          <w:rFonts w:hint="eastAsia" w:ascii="宋体" w:hAnsi="宋体" w:eastAsia="宋体" w:cs="宋体"/>
          <w:b/>
          <w:bCs/>
          <w:color w:val="auto"/>
          <w:sz w:val="24"/>
          <w:szCs w:val="32"/>
          <w:highlight w:val="none"/>
        </w:rPr>
      </w:pPr>
      <w:r>
        <w:rPr>
          <w:rFonts w:hint="eastAsia" w:ascii="宋体" w:hAnsi="宋体" w:eastAsia="宋体" w:cs="宋体"/>
          <w:b/>
          <w:color w:val="auto"/>
          <w:sz w:val="24"/>
          <w:szCs w:val="24"/>
          <w:highlight w:val="none"/>
        </w:rPr>
        <w:t xml:space="preserve">注：（1）从业人员、营业收入、资产总额填报上一年度数据，无上一年度数据的新成立企业</w:t>
      </w:r>
      <w:r>
        <w:rPr>
          <w:rFonts w:hint="eastAsia" w:ascii="宋体" w:hAnsi="宋体" w:eastAsia="宋体" w:cs="宋体"/>
          <w:b/>
          <w:bCs/>
          <w:color w:val="auto"/>
          <w:sz w:val="24"/>
          <w:szCs w:val="32"/>
          <w:highlight w:val="none"/>
        </w:rPr>
        <w:t xml:space="preserve">可不填报。</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（2）本项目所属行业为：</w:t>
      </w:r>
      <w:r>
        <w:rPr>
          <w:rFonts w:hint="eastAsia" w:ascii="宋体" w:hAnsi="宋体" w:eastAsia="宋体" w:cs="宋体"/>
          <w:b/>
          <w:bCs/>
          <w:color w:val="auto"/>
          <w:sz w:val="24"/>
          <w:szCs w:val="24"/>
          <w:highlight w:val="none"/>
          <w:lang w:eastAsia="zh-CN"/>
        </w:rPr>
        <w:t xml:space="preserve">其他未列明行业</w:t>
      </w:r>
      <w:r>
        <w:rPr>
          <w:rFonts w:hint="eastAsia" w:ascii="宋体" w:hAnsi="宋体" w:eastAsia="宋体" w:cs="宋体"/>
          <w:b/>
          <w:bCs/>
          <w:color w:val="auto"/>
          <w:sz w:val="24"/>
          <w:szCs w:val="24"/>
          <w:highlight w:val="none"/>
        </w:rPr>
        <w:t xml:space="preserve">。</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（3）上述“中小企业声明函”格式原则上不得改动，因擅自改动引起的评审风险由投标人自行承担。</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（4）如未对上述声明函内（中型企业、小型企业、微型企业）进行勾选或明确，引起的评审风险由投标人自行承担。</w:t>
      </w:r>
      <w:r/>
    </w:p>
    <w:p>
      <w:pPr>
        <w:ind w:firstLine="562"/>
        <w:spacing w:line="440" w:lineRule="exact"/>
        <w:rPr>
          <w:rFonts w:hint="eastAsia" w:ascii="宋体" w:hAnsi="宋体" w:eastAsia="宋体" w:cs="宋体"/>
          <w:b/>
          <w:bCs/>
          <w:color w:val="auto"/>
          <w:sz w:val="28"/>
          <w:szCs w:val="28"/>
          <w:highlight w:val="none"/>
        </w:rPr>
        <w:sectPr>
          <w:footnotePr/>
          <w:endnotePr/>
          <w:type w:val="nextPage"/>
          <w:pgSz w:w="11907" w:h="16840" w:orient="portrait"/>
          <w:pgMar w:top="1134" w:right="882" w:bottom="1134" w:left="1365" w:header="567" w:footer="794" w:gutter="0"/>
          <w:cols w:num="1" w:sep="0" w:space="720" w:equalWidth="1"/>
          <w:docGrid w:linePitch="360"/>
          <w:titlePg/>
        </w:sectPr>
      </w:pPr>
      <w:r>
        <w:rPr>
          <w:rFonts w:hint="eastAsia" w:ascii="宋体" w:hAnsi="宋体" w:eastAsia="宋体" w:cs="宋体"/>
          <w:b/>
          <w:bCs/>
          <w:color w:val="auto"/>
          <w:sz w:val="28"/>
          <w:szCs w:val="28"/>
          <w:highlight w:val="none"/>
        </w:rPr>
      </w:r>
      <w:r/>
    </w:p>
    <w:p>
      <w:pPr>
        <w:jc w:val="center"/>
        <w:spacing w:line="440" w:lineRule="exact"/>
        <w:rPr>
          <w:rFonts w:hint="eastAsia" w:ascii="宋体" w:hAnsi="宋体" w:eastAsia="宋体" w:cs="宋体"/>
          <w:color w:val="auto"/>
          <w:highlight w:val="none"/>
        </w:rPr>
        <w:outlineLvl w:val="1"/>
      </w:pPr>
      <w:r/>
      <w:bookmarkStart w:id="308" w:name="_Toc9286"/>
      <w:r/>
      <w:bookmarkStart w:id="309" w:name="_Toc3925"/>
      <w:r/>
      <w:bookmarkStart w:id="310" w:name="_Toc1913"/>
      <w:r>
        <w:rPr>
          <w:rFonts w:hint="eastAsia" w:ascii="宋体" w:hAnsi="宋体" w:eastAsia="宋体" w:cs="宋体"/>
          <w:b/>
          <w:bCs/>
          <w:color w:val="auto"/>
          <w:sz w:val="28"/>
          <w:szCs w:val="28"/>
          <w:highlight w:val="none"/>
        </w:rPr>
        <w:t xml:space="preserve">附件</w:t>
      </w:r>
      <w:bookmarkEnd w:id="308"/>
      <w:r>
        <w:rPr>
          <w:rFonts w:hint="eastAsia" w:ascii="宋体" w:hAnsi="宋体" w:eastAsia="宋体" w:cs="宋体"/>
          <w:b/>
          <w:bCs/>
          <w:color w:val="auto"/>
          <w:sz w:val="28"/>
          <w:szCs w:val="28"/>
          <w:highlight w:val="none"/>
          <w:lang w:val="en-US" w:eastAsia="zh-CN"/>
        </w:rPr>
        <w:t xml:space="preserve">8</w:t>
      </w:r>
      <w:r>
        <w:rPr>
          <w:rFonts w:hint="eastAsia" w:ascii="宋体" w:hAnsi="宋体" w:eastAsia="宋体" w:cs="宋体"/>
          <w:b/>
          <w:bCs/>
          <w:color w:val="auto"/>
          <w:sz w:val="28"/>
          <w:szCs w:val="28"/>
          <w:highlight w:val="none"/>
        </w:rPr>
        <w:t xml:space="preserve"> 残疾人福利性单位声明函</w:t>
      </w:r>
      <w:bookmarkEnd w:id="309"/>
      <w:r/>
      <w:bookmarkEnd w:id="310"/>
      <w:r/>
      <w:r/>
    </w:p>
    <w:p>
      <w:pPr>
        <w:ind w:firstLine="480"/>
        <w:spacing w:line="5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本单位对上述声明的真实性负责。如有虚假，将依法承担相应责任。</w:t>
      </w:r>
      <w:r/>
    </w:p>
    <w:p>
      <w:pPr>
        <w:jc w:val="left"/>
        <w:spacing w:line="5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0"/>
        <w:jc w:val="left"/>
        <w:spacing w:line="5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单位名称：</w:t>
      </w:r>
      <w:r/>
    </w:p>
    <w:p>
      <w:pPr>
        <w:ind w:firstLine="4800"/>
        <w:jc w:val="left"/>
        <w:spacing w:line="5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w:t>
      </w:r>
      <w:r/>
    </w:p>
    <w:p>
      <w:pPr>
        <w:jc w:val="left"/>
        <w:spacing w:line="5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请投标人认真阅读如下内容：</w:t>
      </w:r>
      <w:r/>
    </w:p>
    <w:p>
      <w:pPr>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80"/>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1）安置的残疾人占本单位在职职工人数的比例不低于25%（含25%），并且安置的残疾人人数不少于10人（含10人）；</w:t>
      </w:r>
      <w:r/>
    </w:p>
    <w:p>
      <w:pPr>
        <w:ind w:firstLine="480"/>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2）依法与安置的每位残疾人签订了一年以上（含一年）的劳动合同或服务协议；</w:t>
      </w:r>
      <w:r/>
    </w:p>
    <w:p>
      <w:pPr>
        <w:ind w:firstLine="480"/>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3）为安置的每位残疾人按月足额缴纳了基本养老保险、基本医疗保险、失业保险、工伤保险和生育保险等社会保险费；</w:t>
      </w:r>
      <w:r/>
    </w:p>
    <w:p>
      <w:pPr>
        <w:ind w:firstLine="480"/>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4）通过银行等金融机构向安置的每位残疾人，按月支付了不低于单位所在区县适用的经省级人民政府批准的月最低工资标准的工资；</w:t>
      </w:r>
      <w:r/>
    </w:p>
    <w:p>
      <w:pPr>
        <w:ind w:firstLine="480"/>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hint="eastAsia" w:ascii="宋体" w:hAnsi="宋体" w:eastAsia="宋体" w:cs="宋体"/>
          <w:color w:val="auto"/>
          <w:highlight w:val="none"/>
        </w:rPr>
      </w:pPr>
      <w:r>
        <w:rPr>
          <w:rFonts w:hint="eastAsia" w:ascii="宋体" w:hAnsi="宋体" w:eastAsia="宋体" w:cs="宋体"/>
          <w:color w:val="auto"/>
          <w:sz w:val="24"/>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1"/>
        <w:keepNext w:val="0"/>
        <w:pageBreakBefore/>
        <w:rPr>
          <w:rFonts w:hint="eastAsia" w:ascii="宋体" w:hAnsi="宋体" w:eastAsia="宋体" w:cs="宋体"/>
          <w:color w:val="auto"/>
          <w:highlight w:val="none"/>
        </w:rPr>
      </w:pPr>
      <w:r/>
      <w:bookmarkStart w:id="311" w:name="_Toc32083"/>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服务要求响应及偏离表</w:t>
      </w:r>
      <w:bookmarkEnd w:id="311"/>
      <w:r/>
      <w:r/>
    </w:p>
    <w:tbl>
      <w:tblPr>
        <w:tblStyle w:val="910"/>
        <w:tblW w:w="9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6"/>
        <w:gridCol w:w="1606"/>
        <w:gridCol w:w="1623"/>
        <w:gridCol w:w="1923"/>
        <w:gridCol w:w="845"/>
        <w:gridCol w:w="805"/>
        <w:gridCol w:w="2670"/>
      </w:tblGrid>
      <w:tr>
        <w:trPr>
          <w:trHeight w:val="606"/>
        </w:trPr>
        <w:tc>
          <w:tcPr>
            <w:tcW w:w="466" w:type="dxa"/>
            <w:vAlign w:val="center"/>
            <w:vMerge w:val="restart"/>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606" w:type="dxa"/>
            <w:vAlign w:val="center"/>
            <w:vMerge w:val="restart"/>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招标文件服务要求</w:t>
            </w:r>
            <w:r/>
          </w:p>
        </w:tc>
        <w:tc>
          <w:tcPr>
            <w:tcW w:w="1623" w:type="dxa"/>
            <w:vAlign w:val="center"/>
            <w:vMerge w:val="restart"/>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招标文件提供服务承诺</w:t>
            </w:r>
            <w:r/>
          </w:p>
        </w:tc>
        <w:tc>
          <w:tcPr>
            <w:tcW w:w="1923" w:type="dxa"/>
            <w:vAlign w:val="center"/>
            <w:vMerge w:val="restart"/>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有无偏离</w:t>
            </w:r>
            <w:r/>
          </w:p>
        </w:tc>
        <w:tc>
          <w:tcPr>
            <w:gridSpan w:val="2"/>
            <w:tcW w:w="165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有偏离</w:t>
            </w:r>
            <w:r/>
          </w:p>
        </w:tc>
        <w:tc>
          <w:tcPr>
            <w:tcW w:w="267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偏离内容</w:t>
            </w:r>
            <w:r/>
          </w:p>
        </w:tc>
      </w:tr>
      <w:tr>
        <w:trPr>
          <w:trHeight w:val="606"/>
        </w:trPr>
        <w:tc>
          <w:tcPr>
            <w:tcW w:w="466" w:type="dxa"/>
            <w:vAlign w:val="center"/>
            <w:vMerge w:val="continue"/>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606" w:type="dxa"/>
            <w:vAlign w:val="center"/>
            <w:vMerge w:val="continue"/>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623" w:type="dxa"/>
            <w:vAlign w:val="center"/>
            <w:vMerge w:val="continue"/>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923" w:type="dxa"/>
            <w:vAlign w:val="center"/>
            <w:vMerge w:val="continue"/>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84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正</w:t>
            </w:r>
            <w:r/>
          </w:p>
        </w:tc>
        <w:tc>
          <w:tcPr>
            <w:tcW w:w="80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负</w:t>
            </w:r>
            <w:r/>
          </w:p>
        </w:tc>
        <w:tc>
          <w:tcPr>
            <w:tcW w:w="267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479"/>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9"/>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w:t>
            </w:r>
            <w:r/>
          </w:p>
        </w:tc>
        <w:tc>
          <w:tcPr>
            <w:tcW w:w="16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9"/>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9"/>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9"/>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9"/>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注：1、投标人应根据“第四章 采购需求”中的“</w:t>
      </w:r>
      <w:r>
        <w:rPr>
          <w:rFonts w:hint="eastAsia" w:ascii="宋体" w:hAnsi="宋体" w:eastAsia="宋体" w:cs="宋体"/>
          <w:bCs/>
          <w:color w:val="auto"/>
          <w:sz w:val="24"/>
          <w:szCs w:val="24"/>
          <w:highlight w:val="none"/>
          <w:lang w:val="en-US" w:eastAsia="zh-CN"/>
        </w:rPr>
        <w:t xml:space="preserve">三、项目服务要求</w:t>
      </w:r>
      <w:r>
        <w:rPr>
          <w:rFonts w:hint="eastAsia" w:ascii="宋体" w:hAnsi="宋体" w:eastAsia="宋体" w:cs="宋体"/>
          <w:bCs/>
          <w:color w:val="auto"/>
          <w:sz w:val="24"/>
          <w:szCs w:val="24"/>
          <w:highlight w:val="none"/>
        </w:rPr>
        <w:t xml:space="preserve">”，对照投标人所提供的服务承诺进行逐项评议。</w:t>
      </w:r>
      <w:r/>
    </w:p>
    <w:p>
      <w:pPr>
        <w:ind w:firstLine="480"/>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2、若无偏离，在“</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无偏离”栏中填写“无偏离”；若有偏离在“有偏离”栏中填写“正偏离”或“负偏离”，并在“偏离内容”栏中作出说明。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3、表格不够可另接。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01"/>
        <w:rPr>
          <w:rFonts w:hint="eastAsia" w:ascii="宋体" w:hAnsi="宋体" w:eastAsia="宋体" w:cs="宋体"/>
          <w:color w:val="auto"/>
          <w:highlight w:val="none"/>
        </w:rPr>
      </w:pPr>
      <w:r/>
      <w:bookmarkStart w:id="312" w:name="_Toc30518"/>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 项目实施方案</w:t>
      </w:r>
      <w:bookmarkEnd w:id="312"/>
      <w:r/>
      <w:r/>
    </w:p>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根据“第五章  评审方法与评审标准”提供相关说明及证明材料</w:t>
      </w:r>
      <w:bookmarkEnd w:id="290"/>
      <w:r/>
      <w:bookmarkStart w:id="313" w:name="_Toc42157463"/>
      <w:r/>
      <w:bookmarkEnd w:id="313"/>
      <w:r/>
    </w:p>
    <w:p>
      <w:pPr>
        <w:rPr>
          <w:rFonts w:hint="eastAsia" w:ascii="宋体" w:hAnsi="宋体" w:eastAsia="宋体" w:cs="宋体"/>
          <w:color w:val="auto"/>
          <w:highlight w:val="none"/>
        </w:rPr>
      </w:pPr>
      <w:r/>
      <w:bookmarkStart w:id="314" w:name="_Toc631"/>
      <w:r/>
      <w:bookmarkStart w:id="315" w:name="_Toc511680884"/>
      <w:r/>
      <w:bookmarkStart w:id="316" w:name="_Toc472326802"/>
      <w:r/>
      <w:bookmarkStart w:id="317" w:name="_Toc321922918"/>
      <w:r/>
      <w:bookmarkStart w:id="318" w:name="_Toc69302318"/>
      <w:r>
        <w:rPr>
          <w:rFonts w:hint="eastAsia" w:ascii="宋体" w:hAnsi="宋体" w:eastAsia="宋体" w:cs="宋体"/>
          <w:color w:val="auto"/>
          <w:highlight w:val="none"/>
        </w:rPr>
        <w:br w:type="page" w:clear="all"/>
      </w:r>
      <w:r/>
    </w:p>
    <w:p>
      <w:pPr>
        <w:pStyle w:val="901"/>
        <w:rPr>
          <w:rFonts w:hint="eastAsia" w:ascii="宋体" w:hAnsi="宋体" w:eastAsia="宋体" w:cs="宋体"/>
          <w:color w:val="auto"/>
          <w:highlight w:val="none"/>
        </w:rPr>
      </w:pPr>
      <w:r/>
      <w:bookmarkStart w:id="319" w:name="_Toc24488"/>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 项目组人员一览表</w:t>
      </w:r>
      <w:bookmarkEnd w:id="319"/>
      <w:r/>
      <w:bookmarkEnd w:id="314"/>
      <w:r/>
    </w:p>
    <w:tbl>
      <w:tblPr>
        <w:tblStyle w:val="9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926"/>
        <w:gridCol w:w="845"/>
        <w:gridCol w:w="764"/>
        <w:gridCol w:w="764"/>
        <w:gridCol w:w="750"/>
        <w:gridCol w:w="886"/>
        <w:gridCol w:w="1766"/>
        <w:gridCol w:w="1087"/>
      </w:tblGrid>
      <w:tr>
        <w:trPr>
          <w:jc w:val="center"/>
          <w:trHeight w:val="405"/>
        </w:trPr>
        <w:tc>
          <w:tcPr>
            <w:tcW w:w="87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26" w:type="dxa"/>
            <w:vAlign w:val="center"/>
            <w:textDirection w:val="lrTb"/>
            <w:noWrap/>
          </w:tcPr>
          <w:p>
            <w:pPr>
              <w:pStyle w:val="9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项目组所任职务</w:t>
            </w:r>
            <w:r/>
          </w:p>
        </w:tc>
        <w:tc>
          <w:tcPr>
            <w:tcW w:w="845" w:type="dxa"/>
            <w:vAlign w:val="center"/>
            <w:textDirection w:val="lrTb"/>
            <w:noWrap/>
          </w:tcPr>
          <w:p>
            <w:pPr>
              <w:pStyle w:val="9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764" w:type="dxa"/>
            <w:vAlign w:val="center"/>
            <w:textDirection w:val="lrTb"/>
            <w:noWrap/>
          </w:tcPr>
          <w:p>
            <w:pPr>
              <w:pStyle w:val="9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764" w:type="dxa"/>
            <w:vAlign w:val="center"/>
            <w:textDirection w:val="lrTb"/>
            <w:noWrap/>
          </w:tcPr>
          <w:p>
            <w:pPr>
              <w:pStyle w:val="9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750" w:type="dxa"/>
            <w:vAlign w:val="center"/>
            <w:textDirection w:val="lrTb"/>
            <w:noWrap/>
          </w:tcPr>
          <w:p>
            <w:pPr>
              <w:pStyle w:val="9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w:t>
            </w:r>
            <w:r/>
          </w:p>
        </w:tc>
        <w:tc>
          <w:tcPr>
            <w:tcW w:w="886" w:type="dxa"/>
            <w:vAlign w:val="center"/>
            <w:textDirection w:val="lrTb"/>
            <w:noWrap/>
          </w:tcPr>
          <w:p>
            <w:pPr>
              <w:pStyle w:val="9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766" w:type="dxa"/>
            <w:vAlign w:val="center"/>
            <w:textDirection w:val="lrTb"/>
            <w:noWrap/>
          </w:tcPr>
          <w:p>
            <w:pPr>
              <w:pStyle w:val="9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典型业务</w:t>
            </w:r>
            <w:r/>
          </w:p>
          <w:p>
            <w:pPr>
              <w:pStyle w:val="9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与技术专长</w:t>
            </w:r>
            <w:r/>
          </w:p>
        </w:tc>
        <w:tc>
          <w:tcPr>
            <w:tcW w:w="1087"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  注</w:t>
            </w:r>
            <w:r/>
          </w:p>
        </w:tc>
      </w:tr>
      <w:tr>
        <w:trPr>
          <w:jc w:val="center"/>
          <w:trHeight w:val="680"/>
        </w:trPr>
        <w:tc>
          <w:tcPr>
            <w:tcW w:w="87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2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5"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7"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87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92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5"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7"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87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92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5"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7"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87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92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5"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7"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87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bottom w:val="single" w:color="auto" w:sz="4" w:space="0"/>
            </w:tcBorders>
            <w:tcW w:w="192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845"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764"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764"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750"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88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1766"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1087" w:type="dxa"/>
            <w:vAlign w:val="center"/>
            <w:textDirection w:val="lrTb"/>
            <w:noWrap/>
          </w:tcPr>
          <w:p>
            <w:pPr>
              <w:pStyle w:val="91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4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bCs/>
          <w:color w:val="auto"/>
          <w:sz w:val="24"/>
          <w:szCs w:val="24"/>
          <w:highlight w:val="none"/>
        </w:rPr>
        <w:t xml:space="preserve">投标文件中须根据“第五章  评审方法与评审标准”提供相关说明及证明材料</w:t>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315"/>
      <w:r/>
      <w:bookmarkEnd w:id="316"/>
      <w:r/>
      <w:bookmarkEnd w:id="317"/>
      <w:r/>
      <w:bookmarkEnd w:id="318"/>
      <w:r/>
      <w:r/>
    </w:p>
    <w:p>
      <w:pPr>
        <w:pStyle w:val="901"/>
        <w:keepNext w:val="0"/>
        <w:pageBreakBefore/>
        <w:rPr>
          <w:rFonts w:hint="eastAsia" w:ascii="宋体" w:hAnsi="宋体" w:eastAsia="宋体" w:cs="宋体"/>
          <w:color w:val="auto"/>
          <w:highlight w:val="none"/>
        </w:rPr>
      </w:pPr>
      <w:r/>
      <w:bookmarkStart w:id="320" w:name="_Toc32498"/>
      <w:r/>
      <w:bookmarkStart w:id="321" w:name="_Toc32268"/>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 业绩一览表</w:t>
      </w:r>
      <w:bookmarkEnd w:id="320"/>
      <w:r/>
      <w:bookmarkEnd w:id="321"/>
      <w:r/>
      <w:r/>
    </w:p>
    <w:tbl>
      <w:tblPr>
        <w:tblStyle w:val="910"/>
        <w:tblW w:w="98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404"/>
        <w:gridCol w:w="1776"/>
        <w:gridCol w:w="1860"/>
        <w:gridCol w:w="1296"/>
        <w:gridCol w:w="1779"/>
        <w:gridCol w:w="920"/>
      </w:tblGrid>
      <w:tr>
        <w:trPr>
          <w:jc w:val="center"/>
          <w:trHeight w:val="613"/>
        </w:trPr>
        <w:tc>
          <w:tcPr>
            <w:tcW w:w="772" w:type="dxa"/>
            <w:vAlign w:val="center"/>
            <w:textDirection w:val="lrTb"/>
            <w:noWrap w:val="false"/>
          </w:tcPr>
          <w:p>
            <w:pPr>
              <w:pStyle w:val="1075"/>
              <w:jc w:val="center"/>
              <w:rPr>
                <w:rFonts w:hint="eastAsia" w:ascii="宋体" w:hAnsi="宋体" w:eastAsia="宋体" w:cs="宋体"/>
                <w:b/>
                <w:bCs/>
                <w:color w:val="auto"/>
                <w:sz w:val="24"/>
                <w:highlight w:val="none"/>
              </w:rPr>
            </w:pPr>
            <w:r/>
            <w:bookmarkStart w:id="322" w:name="_Toc75437942"/>
            <w:r>
              <w:rPr>
                <w:rFonts w:hint="eastAsia" w:ascii="宋体" w:hAnsi="宋体" w:eastAsia="宋体" w:cs="宋体"/>
                <w:b/>
                <w:bCs/>
                <w:color w:val="auto"/>
                <w:sz w:val="24"/>
                <w:highlight w:val="none"/>
              </w:rPr>
              <w:t xml:space="preserve">序号</w:t>
            </w:r>
            <w:r/>
          </w:p>
        </w:tc>
        <w:tc>
          <w:tcPr>
            <w:tcW w:w="1404" w:type="dxa"/>
            <w:vAlign w:val="center"/>
            <w:textDirection w:val="lrTb"/>
            <w:noWrap w:val="false"/>
          </w:tcPr>
          <w:p>
            <w:pPr>
              <w:pStyle w:val="1075"/>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1776" w:type="dxa"/>
            <w:vAlign w:val="center"/>
            <w:textDirection w:val="lrTb"/>
            <w:noWrap w:val="false"/>
          </w:tcPr>
          <w:p>
            <w:pPr>
              <w:pStyle w:val="1075"/>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主要服务内容</w:t>
            </w:r>
            <w:r/>
          </w:p>
        </w:tc>
        <w:tc>
          <w:tcPr>
            <w:tcW w:w="1860" w:type="dxa"/>
            <w:vAlign w:val="center"/>
            <w:textDirection w:val="lrTb"/>
            <w:noWrap w:val="false"/>
          </w:tcPr>
          <w:p>
            <w:pPr>
              <w:pStyle w:val="1075"/>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合同/协议金额</w:t>
            </w:r>
            <w:r/>
          </w:p>
        </w:tc>
        <w:tc>
          <w:tcPr>
            <w:tcW w:w="1296" w:type="dxa"/>
            <w:vAlign w:val="center"/>
            <w:textDirection w:val="lrTb"/>
            <w:noWrap w:val="false"/>
          </w:tcPr>
          <w:p>
            <w:pPr>
              <w:pStyle w:val="1075"/>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实施时间</w:t>
            </w:r>
            <w:r/>
          </w:p>
        </w:tc>
        <w:tc>
          <w:tcPr>
            <w:tcW w:w="1779" w:type="dxa"/>
            <w:vAlign w:val="center"/>
            <w:textDirection w:val="lrTb"/>
            <w:noWrap w:val="false"/>
          </w:tcPr>
          <w:p>
            <w:pPr>
              <w:pStyle w:val="1075"/>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甲方联系人及联系电话</w:t>
            </w:r>
            <w:r/>
          </w:p>
        </w:tc>
        <w:tc>
          <w:tcPr>
            <w:tcW w:w="920" w:type="dxa"/>
            <w:vAlign w:val="center"/>
            <w:textDirection w:val="lrTb"/>
            <w:noWrap w:val="false"/>
          </w:tcPr>
          <w:p>
            <w:pPr>
              <w:pStyle w:val="1075"/>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备注</w:t>
            </w:r>
            <w:r/>
          </w:p>
        </w:tc>
      </w:tr>
      <w:tr>
        <w:trPr>
          <w:jc w:val="center"/>
          <w:trHeight w:val="567"/>
        </w:trPr>
        <w:tc>
          <w:tcPr>
            <w:tcW w:w="772"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404"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76"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60"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6"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79"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0"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772"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404"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76"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60"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6"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79"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0"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772"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404"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76"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60"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6"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79"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0"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772"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404"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76"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60"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6"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79"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0"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772"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404"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76"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60"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6"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79"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0" w:type="dxa"/>
            <w:vAlign w:val="center"/>
            <w:textDirection w:val="lrTb"/>
            <w:noWrap w:val="false"/>
          </w:tcPr>
          <w:p>
            <w:pPr>
              <w:pStyle w:val="107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bCs/>
          <w:color w:val="auto"/>
          <w:sz w:val="24"/>
          <w:szCs w:val="24"/>
          <w:highlight w:val="none"/>
        </w:rPr>
        <w:t xml:space="preserve">1、上述业绩应为投标人根据“第五章  评审方法与评审标准”提供相关说明及证明材料（如果有的话）。</w:t>
      </w:r>
      <w:r/>
    </w:p>
    <w:p>
      <w:pPr>
        <w:ind w:firstLine="60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2、如有需要说明的事项，请在备注中列明。</w:t>
      </w:r>
      <w:r/>
    </w:p>
    <w:p>
      <w:pPr>
        <w:ind w:firstLine="60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3、我方在此声明，我方所提供的以上资料均真实和准确；我方保证上述信息的真实和准确，并愿意承担因我方就此弄虚作假所引起的一切法律后果。</w:t>
      </w:r>
      <w:r/>
    </w:p>
    <w:p>
      <w:pPr>
        <w:ind w:firstLine="60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322"/>
      <w:r/>
    </w:p>
    <w:p>
      <w:pPr>
        <w:pStyle w:val="901"/>
        <w:keepNext w:val="0"/>
        <w:pageBreakBefore/>
        <w:rPr>
          <w:rFonts w:hint="eastAsia" w:ascii="宋体" w:hAnsi="宋体" w:eastAsia="宋体" w:cs="宋体"/>
          <w:color w:val="auto"/>
          <w:highlight w:val="none"/>
        </w:rPr>
      </w:pPr>
      <w:r/>
      <w:bookmarkStart w:id="323" w:name="_Toc14574"/>
      <w:r/>
      <w:bookmarkStart w:id="324" w:name="_Toc69302323"/>
      <w:r/>
      <w:bookmarkStart w:id="325" w:name="_Toc18015"/>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商务条件响应及偏离表</w:t>
      </w:r>
      <w:bookmarkEnd w:id="323"/>
      <w:r/>
      <w:bookmarkEnd w:id="324"/>
      <w:r/>
      <w:bookmarkEnd w:id="325"/>
      <w:r/>
      <w:r/>
    </w:p>
    <w:tbl>
      <w:tblPr>
        <w:tblStyle w:val="910"/>
        <w:tblW w:w="953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0"/>
        <w:gridCol w:w="1412"/>
        <w:gridCol w:w="4097"/>
      </w:tblGrid>
      <w:tr>
        <w:trPr>
          <w:trHeight w:val="424"/>
        </w:trPr>
        <w:tc>
          <w:tcPr>
            <w:tcW w:w="403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合同条款号</w:t>
            </w:r>
            <w:r/>
          </w:p>
        </w:tc>
        <w:tc>
          <w:tcPr>
            <w:tcW w:w="1412"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W w:w="4097"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合同组成部分</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标的</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付款方式、开票方式</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服务期限和地点</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双方权利义务</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1.7 违约责任</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合同的解除</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合同争议的解决</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合同生效及其他</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定义</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技术规范</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知识产权</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2.4 履约检查和问题反馈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验收办法</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技术资料和保密义务</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2.6 质量保证</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 延迟履行</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 合同变更</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 合同转让和分包</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 不可抗力</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税费</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乙方破产</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合同中止、终止</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通知和送达</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 合同使用的文字和适用的法律</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3"/>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 履约保证金</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注：1、投标人应据实、详细填写上述表格，因表述含糊导致的评标风险将由投标人承担。</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2、若无偏离，在“有无偏离”栏中填写“无”；若有偏离在“有无偏离”栏中填写“有”并在“偏离内容及原因”栏中作出说明。</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3、投标人如不能满足本项目的付款方式，将作无效投标处理。</w:t>
      </w:r>
      <w:bookmarkEnd w:id="291"/>
      <w:bookmarkEnd w:id="292"/>
      <w:bookmarkEnd w:id="293"/>
      <w:bookmarkEnd w:id="294"/>
      <w:bookmarkEnd w:id="295"/>
      <w:r/>
    </w:p>
    <w:p>
      <w:pPr>
        <w:pStyle w:val="901"/>
        <w:keepNext w:val="0"/>
        <w:pageBreakBefore/>
        <w:rPr>
          <w:rFonts w:hint="eastAsia" w:ascii="宋体" w:hAnsi="宋体" w:eastAsia="宋体" w:cs="宋体"/>
          <w:color w:val="auto"/>
          <w:highlight w:val="none"/>
        </w:rPr>
      </w:pPr>
      <w:r/>
      <w:bookmarkStart w:id="326" w:name="_Toc12971"/>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供应商与其他单位存在直接控股、管理关系情况表</w:t>
      </w:r>
      <w:bookmarkEnd w:id="326"/>
      <w:r/>
      <w:r/>
    </w:p>
    <w:p>
      <w:pPr>
        <w:ind w:firstLine="42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w:t>
      </w:r>
      <w:r/>
    </w:p>
    <w:tbl>
      <w:tblPr>
        <w:tblStyle w:val="910"/>
        <w:tblW w:w="10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704"/>
        <w:gridCol w:w="1506"/>
        <w:gridCol w:w="1580"/>
        <w:gridCol w:w="1440"/>
        <w:gridCol w:w="1711"/>
        <w:gridCol w:w="1268"/>
      </w:tblGrid>
      <w:tr>
        <w:trPr>
          <w:jc w:val="center"/>
          <w:trHeight w:val="766"/>
        </w:trPr>
        <w:tc>
          <w:tcPr>
            <w:gridSpan w:val="4"/>
            <w:tcW w:w="62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w:t>
            </w:r>
            <w:r>
              <w:rPr>
                <w:rFonts w:hint="eastAsia" w:ascii="宋体" w:hAnsi="宋体" w:eastAsia="宋体" w:cs="宋体"/>
                <w:b/>
                <w:color w:val="auto"/>
                <w:sz w:val="24"/>
                <w:szCs w:val="24"/>
                <w:highlight w:val="none"/>
                <w:shd w:val="clear" w:color="auto" w:fill="ffffff"/>
                <w:lang w:val="en-US" w:eastAsia="zh-CN"/>
              </w:rPr>
              <w:t xml:space="preserve">供应商</w:t>
            </w:r>
            <w:r>
              <w:rPr>
                <w:rFonts w:hint="eastAsia" w:ascii="宋体" w:hAnsi="宋体" w:eastAsia="宋体" w:cs="宋体"/>
                <w:b/>
                <w:color w:val="auto"/>
                <w:sz w:val="24"/>
                <w:szCs w:val="24"/>
                <w:highlight w:val="none"/>
                <w:shd w:val="clear" w:color="auto" w:fill="ffffff"/>
              </w:rPr>
              <w:t xml:space="preserve">存在直接股权关系</w:t>
            </w:r>
            <w:r/>
          </w:p>
        </w:tc>
        <w:tc>
          <w:tcPr>
            <w:gridSpan w:val="3"/>
            <w:tcW w:w="441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w:t>
            </w:r>
            <w:r>
              <w:rPr>
                <w:rFonts w:hint="eastAsia" w:ascii="宋体" w:hAnsi="宋体" w:eastAsia="宋体" w:cs="宋体"/>
                <w:b/>
                <w:color w:val="auto"/>
                <w:sz w:val="24"/>
                <w:szCs w:val="24"/>
                <w:highlight w:val="none"/>
                <w:shd w:val="clear" w:color="auto" w:fill="ffffff"/>
                <w:lang w:val="en-US" w:eastAsia="zh-CN"/>
              </w:rPr>
              <w:t xml:space="preserve">供应商</w:t>
            </w:r>
            <w:r>
              <w:rPr>
                <w:rFonts w:hint="eastAsia" w:ascii="宋体" w:hAnsi="宋体" w:eastAsia="宋体" w:cs="宋体"/>
                <w:b/>
                <w:color w:val="auto"/>
                <w:sz w:val="24"/>
                <w:szCs w:val="24"/>
                <w:highlight w:val="none"/>
                <w:shd w:val="clear" w:color="auto" w:fill="ffffff"/>
              </w:rPr>
              <w:t xml:space="preserve">存在直接管理关系</w:t>
            </w:r>
            <w:r/>
          </w:p>
        </w:tc>
      </w:tr>
      <w:tr>
        <w:trPr>
          <w:jc w:val="center"/>
          <w:trHeight w:val="768"/>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506" w:type="dxa"/>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是否直接控股</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直接控股关系情况说明（持股比例等）</w:t>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直接管理关系情况说明</w:t>
            </w:r>
            <w:r/>
          </w:p>
        </w:tc>
      </w:tr>
      <w:tr>
        <w:trPr>
          <w:jc w:val="center"/>
          <w:trHeight w:val="850"/>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bl>
    <w:p>
      <w:pPr>
        <w:ind w:firstLine="482"/>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注：1、本表仅须填写与投标人存在直接股权、管理关系的企业情况。投标人应按上表要求据实填写，如填写“无”或不填写，均视为投标人声明不存在有关情形。</w:t>
      </w:r>
      <w:r/>
    </w:p>
    <w:p>
      <w:pPr>
        <w:ind w:firstLine="482"/>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2、其中“直接控股”是指投标人与大型企业之间存在直接投资并控股（非普通持股）的关系。</w:t>
      </w:r>
      <w:r/>
    </w:p>
    <w:p>
      <w:pPr>
        <w:pStyle w:val="919"/>
        <w:ind w:left="4060" w:right="2166" w:firstLine="358"/>
        <w:spacing w:before="35" w:line="44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企业名称（加盖CA电子公章）：</w:t>
      </w:r>
      <w:r/>
    </w:p>
    <w:p>
      <w:pPr>
        <w:pStyle w:val="919"/>
        <w:ind w:left="4060" w:right="2166" w:firstLine="358"/>
        <w:spacing w:before="35" w:line="440" w:lineRule="exact"/>
        <w:rPr>
          <w:rFonts w:hint="eastAsia" w:ascii="宋体" w:hAnsi="宋体" w:eastAsia="宋体" w:cs="宋体"/>
          <w:b/>
          <w:bCs/>
          <w:color w:val="auto"/>
          <w:sz w:val="28"/>
          <w:szCs w:val="28"/>
          <w:highlight w:val="none"/>
          <w:lang w:val="en-US" w:eastAsia="zh-CN" w:bidi="ar-SA"/>
        </w:rPr>
        <w:sectPr>
          <w:footerReference w:type="default" r:id="rId18"/>
          <w:footerReference w:type="first" r:id="rId19"/>
          <w:footnotePr/>
          <w:endnotePr/>
          <w:type w:val="nextPage"/>
          <w:pgSz w:w="11907" w:h="16840" w:orient="portrait"/>
          <w:pgMar w:top="1134" w:right="882" w:bottom="1418" w:left="1365" w:header="567" w:footer="794" w:gutter="0"/>
          <w:cols w:num="1" w:sep="0" w:space="720" w:equalWidth="1"/>
          <w:docGrid w:linePitch="360"/>
          <w:titlePg/>
        </w:sectPr>
      </w:pPr>
      <w:r>
        <w:rPr>
          <w:rFonts w:hint="eastAsia" w:ascii="宋体" w:hAnsi="宋体" w:eastAsia="宋体" w:cs="宋体"/>
          <w:color w:val="auto"/>
          <w:spacing w:val="-2"/>
          <w:sz w:val="24"/>
          <w:szCs w:val="24"/>
          <w:highlight w:val="none"/>
        </w:rPr>
        <w:t xml:space="preserve">日期：</w:t>
      </w:r>
      <w:r/>
    </w:p>
    <w:p>
      <w:pPr>
        <w:ind w:firstLine="562"/>
        <w:jc w:val="center"/>
        <w:spacing w:line="440" w:lineRule="exact"/>
        <w:rPr>
          <w:rFonts w:hint="eastAsia" w:ascii="宋体" w:hAnsi="宋体" w:eastAsia="宋体" w:cs="宋体"/>
          <w:b/>
          <w:bCs/>
          <w:color w:val="auto"/>
          <w:sz w:val="28"/>
          <w:szCs w:val="28"/>
          <w:highlight w:val="none"/>
        </w:rPr>
        <w:outlineLvl w:val="1"/>
      </w:pPr>
      <w:r/>
      <w:bookmarkStart w:id="327" w:name="_Toc11664"/>
      <w:r/>
      <w:bookmarkStart w:id="328" w:name="_Toc20160"/>
      <w:r/>
      <w:bookmarkStart w:id="329" w:name="_Toc15371"/>
      <w:r>
        <w:rPr>
          <w:rFonts w:hint="eastAsia" w:ascii="宋体" w:hAnsi="宋体" w:eastAsia="宋体" w:cs="宋体"/>
          <w:b/>
          <w:bCs/>
          <w:color w:val="auto"/>
          <w:sz w:val="28"/>
          <w:szCs w:val="28"/>
          <w:highlight w:val="none"/>
        </w:rPr>
        <w:t xml:space="preserve">附件1</w:t>
      </w:r>
      <w:r>
        <w:rPr>
          <w:rFonts w:hint="eastAsia" w:ascii="宋体" w:hAnsi="宋体" w:eastAsia="宋体" w:cs="宋体"/>
          <w:b/>
          <w:bCs/>
          <w:color w:val="auto"/>
          <w:sz w:val="28"/>
          <w:szCs w:val="28"/>
          <w:highlight w:val="none"/>
          <w:lang w:val="en-US" w:eastAsia="zh-CN"/>
        </w:rPr>
        <w:t xml:space="preserve">5 </w:t>
      </w:r>
      <w:r>
        <w:rPr>
          <w:rFonts w:hint="eastAsia" w:ascii="宋体" w:hAnsi="宋体" w:eastAsia="宋体" w:cs="宋体"/>
          <w:b/>
          <w:bCs/>
          <w:color w:val="auto"/>
          <w:sz w:val="28"/>
          <w:szCs w:val="28"/>
          <w:highlight w:val="none"/>
        </w:rPr>
        <w:t xml:space="preserve">关于符合本国产品标准的声明函</w:t>
      </w:r>
      <w:bookmarkEnd w:id="327"/>
      <w:r/>
      <w:bookmarkEnd w:id="328"/>
      <w:r/>
      <w:bookmarkEnd w:id="329"/>
      <w:r/>
      <w:r/>
    </w:p>
    <w:p>
      <w:pPr>
        <w:pStyle w:val="950"/>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420"/>
        <w:spacing w:before="0" w:beforeAutospacing="0" w:after="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0"/>
        <w:numPr>
          <w:ilvl w:val="0"/>
          <w:numId w:val="4"/>
        </w:numPr>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1672590</wp:posOffset>
                </wp:positionH>
                <wp:positionV relativeFrom="paragraph">
                  <wp:posOffset>262255</wp:posOffset>
                </wp:positionV>
                <wp:extent cx="364490" cy="97790"/>
                <wp:effectExtent l="1270" t="4445" r="15240" b="1206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131.7pt;mso-position-horizontal:absolute;mso-position-vertical-relative:text;margin-top:20.6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1286510</wp:posOffset>
                </wp:positionH>
                <wp:positionV relativeFrom="paragraph">
                  <wp:posOffset>434975</wp:posOffset>
                </wp:positionV>
                <wp:extent cx="876300" cy="120015"/>
                <wp:effectExtent l="635" t="4445" r="18415" b="889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101.3pt;mso-position-horizontal:absolute;mso-position-vertical-relative:text;margin-top:34.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u w:val="single"/>
          <w:shd w:val="clear" w:color="auto" w:fill="ffffff"/>
          <w:lang w:val="en-US" w:eastAsia="zh-CN"/>
        </w:rPr>
        <w:t xml:space="preserve">   /   </w:t>
      </w:r>
      <w:r>
        <w:rPr>
          <w:rFonts w:hint="eastAsia" w:ascii="宋体" w:hAnsi="宋体" w:eastAsia="宋体" w:cs="宋体"/>
          <w:color w:val="auto"/>
          <w:highlight w:val="none"/>
          <w:shd w:val="clear" w:color="auto" w:fill="ffffff"/>
        </w:rPr>
        <w:t xml:space="preserve">，生产厂为</w:t>
      </w:r>
      <w:r>
        <w:rPr>
          <w:rStyle w:val="958"/>
          <w:rFonts w:hint="eastAsia" w:ascii="宋体" w:hAnsi="宋体" w:eastAsia="宋体" w:cs="宋体"/>
          <w:i w:val="0"/>
          <w:color w:val="auto"/>
          <w:highlight w:val="none"/>
          <w:u w:val="single"/>
          <w:shd w:val="clear" w:color="auto" w:fill="ffffff"/>
        </w:rPr>
        <w:t xml:space="preserve">（厂名）</w:t>
      </w:r>
      <w:r>
        <w:rPr>
          <w:rStyle w:val="958"/>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958"/>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958"/>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958"/>
          <w:rFonts w:hint="eastAsia" w:ascii="宋体" w:hAnsi="宋体" w:eastAsia="宋体" w:cs="宋体"/>
          <w:i w:val="0"/>
          <w:color w:val="auto"/>
          <w:highlight w:val="none"/>
          <w:u w:val="single"/>
          <w:shd w:val="clear" w:color="auto" w:fill="ffffff"/>
        </w:rPr>
        <w:t xml:space="preserve">（规定比例）</w:t>
      </w:r>
      <w:r>
        <w:rPr>
          <w:rStyle w:val="958"/>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958"/>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958"/>
          <w:rFonts w:hint="eastAsia" w:ascii="宋体" w:hAnsi="宋体" w:eastAsia="宋体" w:cs="宋体"/>
          <w:i w:val="0"/>
          <w:color w:val="auto"/>
          <w:highlight w:val="none"/>
          <w:u w:val="single"/>
          <w:shd w:val="clear" w:color="auto" w:fill="ffffff"/>
        </w:rPr>
        <w:t xml:space="preserve">（关键组件）</w:t>
      </w:r>
      <w:r>
        <w:rPr>
          <w:rStyle w:val="958"/>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958"/>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958"/>
          <w:rFonts w:hint="eastAsia" w:ascii="宋体" w:hAnsi="宋体" w:eastAsia="宋体" w:cs="宋体"/>
          <w:i w:val="0"/>
          <w:color w:val="auto"/>
          <w:highlight w:val="none"/>
          <w:u w:val="single"/>
          <w:shd w:val="clear" w:color="auto" w:fill="ffffff"/>
        </w:rPr>
        <w:t xml:space="preserve">（关键工序）</w:t>
      </w:r>
      <w:r>
        <w:rPr>
          <w:rStyle w:val="958"/>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950"/>
        <w:ind w:firstLine="42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950"/>
        <w:ind w:firstLine="42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950"/>
        <w:ind w:firstLine="42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5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0"/>
        <w:ind w:right="480" w:firstLine="372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950"/>
        <w:ind w:right="480" w:firstLine="372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950"/>
        <w:ind w:right="480" w:firstLine="372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950"/>
        <w:ind w:right="480" w:firstLine="372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950"/>
        <w:ind w:right="480" w:firstLine="372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950"/>
        <w:ind w:right="480" w:firstLine="372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950"/>
        <w:jc w:val="center"/>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9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9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9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9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9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9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95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__________________</w:t>
      </w:r>
      <w:r/>
    </w:p>
    <w:p>
      <w:pPr>
        <w:pStyle w:val="95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5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5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5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950"/>
        <w:spacing w:before="30" w:beforeAutospacing="0" w:after="30" w:afterAutospacing="0" w:line="0" w:lineRule="atLeast"/>
        <w:rPr>
          <w:rFonts w:hint="eastAsia" w:ascii="宋体" w:hAnsi="宋体" w:eastAsia="宋体" w:cs="宋体"/>
          <w:color w:val="auto"/>
          <w:sz w:val="24"/>
          <w:szCs w:val="24"/>
          <w:highlight w:val="none"/>
          <w:shd w:val="clear" w:color="auto" w:fill="ffffff"/>
        </w:rPr>
        <w:sectPr>
          <w:footnotePr/>
          <w:endnotePr/>
          <w:type w:val="nextPage"/>
          <w:pgSz w:w="11907" w:h="16840" w:orient="portrait"/>
          <w:pgMar w:top="1134" w:right="882" w:bottom="1418" w:left="1365" w:header="567" w:footer="794" w:gutter="0"/>
          <w:cols w:num="1" w:sep="0" w:space="720" w:equalWidth="1"/>
          <w:docGrid w:linePitch="360"/>
          <w:titlePg/>
        </w:sectPr>
      </w:pPr>
      <w:r>
        <w:rPr>
          <w:rFonts w:hint="eastAsia" w:ascii="宋体" w:hAnsi="宋体" w:eastAsia="宋体" w:cs="宋体"/>
          <w:color w:val="auto"/>
          <w:sz w:val="24"/>
          <w:szCs w:val="24"/>
          <w:highlight w:val="none"/>
          <w:shd w:val="clear" w:color="auto" w:fill="ffffff"/>
        </w:rPr>
        <w:t xml:space="preserve">6.用斜线划除的地方无需填写。</w:t>
      </w:r>
      <w:r/>
    </w:p>
    <w:p>
      <w:pPr>
        <w:ind w:firstLine="562"/>
        <w:jc w:val="center"/>
        <w:spacing w:line="440" w:lineRule="exact"/>
        <w:rPr>
          <w:rFonts w:hint="eastAsia" w:ascii="宋体" w:hAnsi="宋体" w:eastAsia="宋体" w:cs="宋体"/>
          <w:b/>
          <w:bCs/>
          <w:color w:val="auto"/>
          <w:sz w:val="28"/>
          <w:szCs w:val="28"/>
          <w:highlight w:val="none"/>
          <w:lang w:val="en-US" w:eastAsia="zh-CN"/>
        </w:rPr>
        <w:outlineLvl w:val="1"/>
      </w:pPr>
      <w:r/>
      <w:bookmarkStart w:id="330" w:name="_Toc7560"/>
      <w:r/>
      <w:bookmarkStart w:id="331" w:name="_Toc21602"/>
      <w:r/>
      <w:bookmarkStart w:id="332" w:name="_Toc8749"/>
      <w:r>
        <w:rPr>
          <w:rFonts w:hint="eastAsia" w:ascii="宋体" w:hAnsi="宋体" w:eastAsia="宋体" w:cs="宋体"/>
          <w:b/>
          <w:bCs/>
          <w:color w:val="auto"/>
          <w:sz w:val="28"/>
          <w:szCs w:val="28"/>
          <w:highlight w:val="none"/>
          <w:lang w:val="en-US" w:eastAsia="zh-CN"/>
        </w:rPr>
        <w:t xml:space="preserve">附件16 质疑函范本</w:t>
      </w:r>
      <w:bookmarkEnd w:id="330"/>
      <w:r/>
      <w:bookmarkEnd w:id="331"/>
      <w:r/>
      <w:bookmarkEnd w:id="332"/>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质疑函范本</w:t>
      </w:r>
      <w:r/>
    </w:p>
    <w:p>
      <w:pPr>
        <w:spacing w:before="312"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rPr>
          <w:rFonts w:hint="eastAsia" w:ascii="宋体" w:hAnsi="宋体" w:eastAsia="宋体" w:cs="宋体"/>
          <w:b/>
          <w:color w:val="auto"/>
          <w:sz w:val="24"/>
          <w:szCs w:val="24"/>
          <w:highlight w:val="none"/>
        </w:rPr>
        <w:sectPr>
          <w:footerReference w:type="default" r:id="rId20"/>
          <w:footerReference w:type="first" r:id="rId21"/>
          <w:footnotePr/>
          <w:endnotePr/>
          <w:type w:val="nextPage"/>
          <w:pgSz w:w="11906" w:h="16838" w:orient="portrait"/>
          <w:pgMar w:top="771" w:right="720" w:bottom="527" w:left="720" w:header="231" w:footer="200" w:gutter="0"/>
          <w:cols w:num="1" w:sep="0" w:space="720" w:equalWidth="1"/>
          <w:docGrid w:linePitch="360"/>
          <w:titlePg/>
        </w:sectPr>
      </w:pPr>
      <w:r>
        <w:rPr>
          <w:rFonts w:hint="eastAsia" w:ascii="宋体" w:hAnsi="宋体" w:eastAsia="宋体" w:cs="宋体"/>
          <w:b/>
          <w:color w:val="auto"/>
          <w:sz w:val="24"/>
          <w:szCs w:val="24"/>
          <w:highlight w:val="none"/>
        </w:rPr>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sectPr>
      <w:footnotePr/>
      <w:endnotePr/>
      <w:type w:val="nextPage"/>
      <w:pgSz w:w="11907" w:h="16840" w:orient="portrait"/>
      <w:pgMar w:top="1134" w:right="882" w:bottom="1418" w:left="1365"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Tahoma">
    <w:panose1 w:val="020B0604030504040204"/>
  </w:font>
  <w:font w:name="仿宋_GB2312">
    <w:panose1 w:val="02010609060101010101"/>
  </w:font>
  <w:font w:name="Courier New">
    <w:panose1 w:val="02070309020205020404"/>
  </w:font>
  <w:font w:name="Berlin Sans FB Demi">
    <w:panose1 w:val="020E0802020502020306"/>
  </w:font>
  <w:font w:name="Calibri Light">
    <w:panose1 w:val="020F0302020204030204"/>
  </w:font>
  <w:font w:name="楷体_GB2312">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6"/>
      </w:rPr>
      <w:framePr w:wrap="around" w:vAnchor="text" w:hAnchor="margin" w:xAlign="right" w:y="1"/>
    </w:pPr>
    <w:r>
      <w:fldChar w:fldCharType="begin"/>
    </w:r>
    <w:r>
      <w:rPr>
        <w:rStyle w:val="956"/>
      </w:rPr>
      <w:instrText xml:space="preserve">PAGE  </w:instrText>
    </w:r>
    <w:r>
      <w:fldChar w:fldCharType="separate"/>
    </w:r>
    <w:r>
      <w:rPr>
        <w:rStyle w:val="956"/>
      </w:rPr>
      <w:t xml:space="preserve">16</w:t>
    </w:r>
    <w:r>
      <w:fldChar w:fldCharType="end"/>
    </w:r>
    <w:r/>
  </w:p>
  <w:p>
    <w:pPr>
      <w:pStyle w:val="93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right="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0</w:t>
                    </w:r>
                    <w:r>
                      <w:fldChar w:fldCharType="end"/>
                    </w:r>
                    <w:r/>
                  </w:p>
                </w:txbxContent>
              </v:textbox>
            </v:shape>
          </w:pict>
        </mc:Fallback>
      </mc:AlternateContent>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lear" w:pos="4153" w:leader="none"/>
        <w:tab w:val="center" w:pos="7143" w:leader="none"/>
        <w:tab w:val="clear" w:pos="8306"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360" w:lineRule="auto"/>
      <w:rPr>
        <w:rFonts w:hint="eastAsia" w:eastAsia="宋体"/>
        <w:lang w:eastAsia="zh-CN"/>
      </w:rPr>
    </w:pPr>
    <w:r>
      <w:rPr>
        <w:rFonts w:hint="eastAsia"/>
        <w:bCs/>
        <w:sz w:val="18"/>
        <w:szCs w:val="18"/>
        <w:lang w:eastAsia="zh-CN"/>
      </w:rPr>
      <w:t xml:space="preserve">涵熙（苏州）工程顾问有限公司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left"/>
      <w:tabs>
        <w:tab w:val="left" w:pos="3355" w:leader="none"/>
        <w:tab w:val="clear" w:pos="4153" w:leader="none"/>
      </w:tabs>
      <w:pBdr>
        <w:bottom w:val="none" w:color="auto" w:sz="0" w:space="1"/>
      </w:pBdr>
    </w:pPr>
    <w:r>
      <w:rPr>
        <w:rFonts w:hint="eastAsia"/>
        <w:lang w:eastAsia="zh-CN"/>
      </w:rPr>
      <w:t xml:space="preserve">涵熙（苏州）工程顾问有限公司</w:t>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5"/>
      <w:isLgl w:val="false"/>
      <w:suff w:val="tab"/>
      <w:lvlText w:val="%1、"/>
      <w:lvlJc w:val="left"/>
      <w:pPr>
        <w:ind w:left="3211" w:hanging="375"/>
        <w:tabs>
          <w:tab w:val="left" w:pos="3211" w:leader="none"/>
        </w:tabs>
      </w:pPr>
      <w:rPr>
        <w:rFonts w:hint="eastAsia"/>
      </w:rPr>
    </w:lvl>
    <w:lvl w:ilvl="1">
      <w:start w:val="1"/>
      <w:numFmt w:val="lowerLetter"/>
      <w:isLgl w:val="false"/>
      <w:suff w:val="tab"/>
      <w:lvlText w:val="%2)"/>
      <w:lvlJc w:val="left"/>
      <w:pPr>
        <w:ind w:left="3676" w:hanging="420"/>
        <w:tabs>
          <w:tab w:val="left" w:pos="3676" w:leader="none"/>
        </w:tabs>
      </w:pPr>
    </w:lvl>
    <w:lvl w:ilvl="2">
      <w:start w:val="1"/>
      <w:numFmt w:val="lowerRoman"/>
      <w:isLgl w:val="false"/>
      <w:suff w:val="tab"/>
      <w:lvlText w:val="%3."/>
      <w:lvlJc w:val="right"/>
      <w:pPr>
        <w:ind w:left="4096" w:hanging="420"/>
        <w:tabs>
          <w:tab w:val="left" w:pos="4096" w:leader="none"/>
        </w:tabs>
      </w:pPr>
    </w:lvl>
    <w:lvl w:ilvl="3">
      <w:start w:val="1"/>
      <w:numFmt w:val="decimal"/>
      <w:isLgl w:val="false"/>
      <w:suff w:val="tab"/>
      <w:lvlText w:val="%4."/>
      <w:lvlJc w:val="left"/>
      <w:pPr>
        <w:ind w:left="4516" w:hanging="420"/>
        <w:tabs>
          <w:tab w:val="left" w:pos="4516" w:leader="none"/>
        </w:tabs>
      </w:pPr>
    </w:lvl>
    <w:lvl w:ilvl="4">
      <w:start w:val="1"/>
      <w:numFmt w:val="lowerLetter"/>
      <w:isLgl w:val="false"/>
      <w:suff w:val="tab"/>
      <w:lvlText w:val="%5)"/>
      <w:lvlJc w:val="left"/>
      <w:pPr>
        <w:ind w:left="4936" w:hanging="420"/>
        <w:tabs>
          <w:tab w:val="left" w:pos="4936" w:leader="none"/>
        </w:tabs>
      </w:pPr>
    </w:lvl>
    <w:lvl w:ilvl="5">
      <w:start w:val="1"/>
      <w:numFmt w:val="lowerRoman"/>
      <w:isLgl w:val="false"/>
      <w:suff w:val="tab"/>
      <w:lvlText w:val="%6."/>
      <w:lvlJc w:val="right"/>
      <w:pPr>
        <w:ind w:left="5356" w:hanging="420"/>
        <w:tabs>
          <w:tab w:val="left" w:pos="5356" w:leader="none"/>
        </w:tabs>
      </w:pPr>
    </w:lvl>
    <w:lvl w:ilvl="6">
      <w:start w:val="1"/>
      <w:numFmt w:val="decimal"/>
      <w:isLgl w:val="false"/>
      <w:suff w:val="tab"/>
      <w:lvlText w:val="%7."/>
      <w:lvlJc w:val="left"/>
      <w:pPr>
        <w:ind w:left="5776" w:hanging="420"/>
        <w:tabs>
          <w:tab w:val="left" w:pos="5776" w:leader="none"/>
        </w:tabs>
      </w:pPr>
    </w:lvl>
    <w:lvl w:ilvl="7">
      <w:start w:val="1"/>
      <w:numFmt w:val="lowerLetter"/>
      <w:isLgl w:val="false"/>
      <w:suff w:val="tab"/>
      <w:lvlText w:val="%8)"/>
      <w:lvlJc w:val="left"/>
      <w:pPr>
        <w:ind w:left="6196" w:hanging="420"/>
        <w:tabs>
          <w:tab w:val="left" w:pos="6196" w:leader="none"/>
        </w:tabs>
      </w:pPr>
    </w:lvl>
    <w:lvl w:ilvl="8">
      <w:start w:val="1"/>
      <w:numFmt w:val="lowerRoman"/>
      <w:isLgl w:val="false"/>
      <w:suff w:val="tab"/>
      <w:lvlText w:val="%9."/>
      <w:lvlJc w:val="right"/>
      <w:pPr>
        <w:ind w:left="6616" w:hanging="420"/>
        <w:tabs>
          <w:tab w:val="left" w:pos="6616" w:leader="none"/>
        </w:tabs>
      </w:pPr>
    </w:lvl>
  </w:abstractNum>
  <w:abstractNum w:abstractNumId="2">
    <w:multiLevelType w:val="hybridMultilevel"/>
    <w:lvl w:ilvl="0">
      <w:start w:val="1"/>
      <w:numFmt w:val="decimal"/>
      <w:pStyle w:val="1042"/>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09"/>
    <w:link w:val="900"/>
    <w:uiPriority w:val="9"/>
    <w:rPr>
      <w:rFonts w:ascii="Arial" w:hAnsi="Arial" w:eastAsia="Arial" w:cs="Arial"/>
      <w:sz w:val="40"/>
      <w:szCs w:val="40"/>
    </w:rPr>
  </w:style>
  <w:style w:type="character" w:styleId="15">
    <w:name w:val="Heading 2 Char"/>
    <w:basedOn w:val="909"/>
    <w:link w:val="901"/>
    <w:uiPriority w:val="9"/>
    <w:rPr>
      <w:rFonts w:ascii="Arial" w:hAnsi="Arial" w:eastAsia="Arial" w:cs="Arial"/>
      <w:sz w:val="34"/>
    </w:rPr>
  </w:style>
  <w:style w:type="character" w:styleId="17">
    <w:name w:val="Heading 3 Char"/>
    <w:basedOn w:val="909"/>
    <w:link w:val="902"/>
    <w:uiPriority w:val="9"/>
    <w:rPr>
      <w:rFonts w:ascii="Arial" w:hAnsi="Arial" w:eastAsia="Arial" w:cs="Arial"/>
      <w:sz w:val="30"/>
      <w:szCs w:val="30"/>
    </w:rPr>
  </w:style>
  <w:style w:type="character" w:styleId="19">
    <w:name w:val="Heading 4 Char"/>
    <w:basedOn w:val="909"/>
    <w:link w:val="903"/>
    <w:uiPriority w:val="9"/>
    <w:rPr>
      <w:rFonts w:ascii="Arial" w:hAnsi="Arial" w:eastAsia="Arial" w:cs="Arial"/>
      <w:b/>
      <w:bCs/>
      <w:sz w:val="26"/>
      <w:szCs w:val="26"/>
    </w:rPr>
  </w:style>
  <w:style w:type="character" w:styleId="21">
    <w:name w:val="Heading 5 Char"/>
    <w:basedOn w:val="909"/>
    <w:link w:val="904"/>
    <w:uiPriority w:val="9"/>
    <w:rPr>
      <w:rFonts w:ascii="Arial" w:hAnsi="Arial" w:eastAsia="Arial" w:cs="Arial"/>
      <w:b/>
      <w:bCs/>
      <w:sz w:val="24"/>
      <w:szCs w:val="24"/>
    </w:rPr>
  </w:style>
  <w:style w:type="character" w:styleId="23">
    <w:name w:val="Heading 6 Char"/>
    <w:basedOn w:val="909"/>
    <w:link w:val="905"/>
    <w:uiPriority w:val="9"/>
    <w:rPr>
      <w:rFonts w:ascii="Arial" w:hAnsi="Arial" w:eastAsia="Arial" w:cs="Arial"/>
      <w:b/>
      <w:bCs/>
      <w:sz w:val="22"/>
      <w:szCs w:val="22"/>
    </w:rPr>
  </w:style>
  <w:style w:type="character" w:styleId="25">
    <w:name w:val="Heading 7 Char"/>
    <w:basedOn w:val="909"/>
    <w:link w:val="906"/>
    <w:uiPriority w:val="9"/>
    <w:rPr>
      <w:rFonts w:ascii="Arial" w:hAnsi="Arial" w:eastAsia="Arial" w:cs="Arial"/>
      <w:b/>
      <w:bCs/>
      <w:i/>
      <w:iCs/>
      <w:sz w:val="22"/>
      <w:szCs w:val="22"/>
    </w:rPr>
  </w:style>
  <w:style w:type="character" w:styleId="27">
    <w:name w:val="Heading 8 Char"/>
    <w:basedOn w:val="909"/>
    <w:link w:val="907"/>
    <w:uiPriority w:val="9"/>
    <w:rPr>
      <w:rFonts w:ascii="Arial" w:hAnsi="Arial" w:eastAsia="Arial" w:cs="Arial"/>
      <w:i/>
      <w:iCs/>
      <w:sz w:val="22"/>
      <w:szCs w:val="22"/>
    </w:rPr>
  </w:style>
  <w:style w:type="character" w:styleId="29">
    <w:name w:val="Heading 9 Char"/>
    <w:basedOn w:val="909"/>
    <w:link w:val="908"/>
    <w:uiPriority w:val="9"/>
    <w:rPr>
      <w:rFonts w:ascii="Arial" w:hAnsi="Arial" w:eastAsia="Arial" w:cs="Arial"/>
      <w:i/>
      <w:iCs/>
      <w:sz w:val="21"/>
      <w:szCs w:val="21"/>
    </w:rPr>
  </w:style>
  <w:style w:type="character" w:styleId="34">
    <w:name w:val="Title Char"/>
    <w:basedOn w:val="909"/>
    <w:link w:val="952"/>
    <w:uiPriority w:val="10"/>
    <w:rPr>
      <w:sz w:val="48"/>
      <w:szCs w:val="48"/>
    </w:rPr>
  </w:style>
  <w:style w:type="character" w:styleId="36">
    <w:name w:val="Subtitle Char"/>
    <w:basedOn w:val="909"/>
    <w:link w:val="941"/>
    <w:uiPriority w:val="11"/>
    <w:rPr>
      <w:sz w:val="24"/>
      <w:szCs w:val="24"/>
    </w:rPr>
  </w:style>
  <w:style w:type="character" w:styleId="38">
    <w:name w:val="Quote Char"/>
    <w:link w:val="1022"/>
    <w:uiPriority w:val="29"/>
    <w:rPr>
      <w:i/>
    </w:rPr>
  </w:style>
  <w:style w:type="character" w:styleId="40">
    <w:name w:val="Intense Quote Char"/>
    <w:link w:val="1005"/>
    <w:uiPriority w:val="30"/>
    <w:rPr>
      <w:i/>
    </w:rPr>
  </w:style>
  <w:style w:type="character" w:styleId="42">
    <w:name w:val="Header Char"/>
    <w:basedOn w:val="909"/>
    <w:link w:val="935"/>
    <w:uiPriority w:val="99"/>
  </w:style>
  <w:style w:type="character" w:styleId="44">
    <w:name w:val="Footer Char"/>
    <w:basedOn w:val="909"/>
    <w:link w:val="934"/>
    <w:uiPriority w:val="99"/>
  </w:style>
  <w:style w:type="character" w:styleId="46">
    <w:name w:val="Caption Char"/>
    <w:basedOn w:val="914"/>
    <w:link w:val="934"/>
    <w:uiPriority w:val="99"/>
  </w:style>
  <w:style w:type="table" w:styleId="48">
    <w:name w:val="Table Grid Light"/>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1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1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1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1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1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1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9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9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9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9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9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9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9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9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9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9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9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9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9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9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9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9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9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9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9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9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9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9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9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09"/>
    <w:uiPriority w:val="99"/>
    <w:unhideWhenUsed/>
    <w:rPr>
      <w:vertAlign w:val="superscript"/>
    </w:rPr>
  </w:style>
  <w:style w:type="paragraph" w:styleId="177">
    <w:name w:val="endnote text"/>
    <w:basedOn w:val="8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09"/>
    <w:uiPriority w:val="99"/>
    <w:semiHidden/>
    <w:unhideWhenUsed/>
    <w:rPr>
      <w:vertAlign w:val="superscript"/>
    </w:rPr>
  </w:style>
  <w:style w:type="paragraph" w:styleId="189">
    <w:name w:val="TOC Heading"/>
    <w:uiPriority w:val="39"/>
    <w:unhideWhenUsed/>
  </w:style>
  <w:style w:type="paragraph" w:styleId="899" w:default="1">
    <w:name w:val="Normal"/>
    <w:uiPriority w:val="0"/>
    <w:qFormat/>
    <w:pPr>
      <w:jc w:val="both"/>
      <w:widowControl w:val="off"/>
    </w:pPr>
    <w:rPr>
      <w:rFonts w:ascii="Calibri" w:hAnsi="Calibri" w:eastAsia="宋体" w:cs="Times New Roman"/>
      <w:sz w:val="21"/>
      <w:lang w:val="en-US" w:eastAsia="zh-CN" w:bidi="ar-SA"/>
    </w:rPr>
  </w:style>
  <w:style w:type="paragraph" w:styleId="900">
    <w:name w:val="Heading 1"/>
    <w:basedOn w:val="899"/>
    <w:next w:val="899"/>
    <w:link w:val="973"/>
    <w:uiPriority w:val="0"/>
    <w:qFormat/>
    <w:pPr>
      <w:jc w:val="center"/>
      <w:keepNext/>
      <w:tabs>
        <w:tab w:val="left" w:pos="200" w:leader="none"/>
      </w:tabs>
      <w:outlineLvl w:val="0"/>
    </w:pPr>
    <w:rPr>
      <w:rFonts w:ascii="宋体" w:hAnsi="宋体"/>
      <w:b/>
      <w:sz w:val="36"/>
    </w:rPr>
  </w:style>
  <w:style w:type="paragraph" w:styleId="901">
    <w:name w:val="Heading 2"/>
    <w:basedOn w:val="899"/>
    <w:next w:val="899"/>
    <w:link w:val="974"/>
    <w:uiPriority w:val="0"/>
    <w:qFormat/>
    <w:pPr>
      <w:jc w:val="center"/>
      <w:keepNext/>
      <w:outlineLvl w:val="1"/>
    </w:pPr>
    <w:rPr>
      <w:rFonts w:eastAsia="楷体_GB2312"/>
      <w:b/>
      <w:bCs/>
      <w:sz w:val="28"/>
      <w:szCs w:val="28"/>
    </w:rPr>
  </w:style>
  <w:style w:type="paragraph" w:styleId="902">
    <w:name w:val="Heading 3"/>
    <w:basedOn w:val="899"/>
    <w:next w:val="899"/>
    <w:link w:val="975"/>
    <w:uiPriority w:val="9"/>
    <w:qFormat/>
    <w:pPr>
      <w:jc w:val="center"/>
      <w:keepNext/>
      <w:outlineLvl w:val="2"/>
    </w:pPr>
    <w:rPr>
      <w:rFonts w:ascii="宋体" w:hAnsi="宋体"/>
      <w:sz w:val="28"/>
    </w:rPr>
  </w:style>
  <w:style w:type="paragraph" w:styleId="903">
    <w:name w:val="Heading 4"/>
    <w:basedOn w:val="899"/>
    <w:next w:val="899"/>
    <w:link w:val="976"/>
    <w:uiPriority w:val="9"/>
    <w:qFormat/>
    <w:pPr>
      <w:keepNext/>
      <w:outlineLvl w:val="3"/>
    </w:pPr>
    <w:rPr>
      <w:b/>
      <w:bCs/>
      <w:sz w:val="18"/>
    </w:rPr>
  </w:style>
  <w:style w:type="paragraph" w:styleId="904">
    <w:name w:val="Heading 5"/>
    <w:basedOn w:val="899"/>
    <w:next w:val="899"/>
    <w:link w:val="977"/>
    <w:uiPriority w:val="9"/>
    <w:qFormat/>
    <w:pPr>
      <w:jc w:val="center"/>
      <w:keepNext/>
      <w:outlineLvl w:val="4"/>
    </w:pPr>
    <w:rPr>
      <w:b/>
      <w:bCs/>
      <w:sz w:val="18"/>
    </w:rPr>
  </w:style>
  <w:style w:type="paragraph" w:styleId="905">
    <w:name w:val="Heading 6"/>
    <w:basedOn w:val="899"/>
    <w:next w:val="899"/>
    <w:link w:val="978"/>
    <w:uiPriority w:val="9"/>
    <w:qFormat/>
    <w:pPr>
      <w:keepLines/>
      <w:keepNext/>
      <w:spacing w:before="120" w:line="252" w:lineRule="auto"/>
      <w:widowControl/>
      <w:outlineLvl w:val="5"/>
    </w:pPr>
    <w:rPr>
      <w:rFonts w:ascii="Calibri Light" w:hAnsi="Calibri Light"/>
      <w:b/>
      <w:bCs/>
      <w:i/>
      <w:iCs/>
      <w:sz w:val="20"/>
    </w:rPr>
  </w:style>
  <w:style w:type="paragraph" w:styleId="906">
    <w:name w:val="Heading 7"/>
    <w:basedOn w:val="899"/>
    <w:next w:val="899"/>
    <w:link w:val="979"/>
    <w:uiPriority w:val="9"/>
    <w:qFormat/>
    <w:pPr>
      <w:keepLines/>
      <w:keepNext/>
      <w:spacing w:before="120" w:line="252" w:lineRule="auto"/>
      <w:widowControl/>
      <w:outlineLvl w:val="6"/>
    </w:pPr>
    <w:rPr>
      <w:i/>
      <w:iCs/>
      <w:sz w:val="20"/>
    </w:rPr>
  </w:style>
  <w:style w:type="paragraph" w:styleId="907">
    <w:name w:val="Heading 8"/>
    <w:basedOn w:val="899"/>
    <w:next w:val="899"/>
    <w:link w:val="980"/>
    <w:uiPriority w:val="9"/>
    <w:qFormat/>
    <w:pPr>
      <w:keepLines/>
      <w:keepNext/>
      <w:spacing w:before="120" w:line="252" w:lineRule="auto"/>
      <w:widowControl/>
      <w:outlineLvl w:val="7"/>
    </w:pPr>
    <w:rPr>
      <w:b/>
      <w:bCs/>
      <w:sz w:val="20"/>
    </w:rPr>
  </w:style>
  <w:style w:type="paragraph" w:styleId="908">
    <w:name w:val="Heading 9"/>
    <w:basedOn w:val="899"/>
    <w:next w:val="899"/>
    <w:link w:val="981"/>
    <w:uiPriority w:val="9"/>
    <w:qFormat/>
    <w:pPr>
      <w:keepLines/>
      <w:keepNext/>
      <w:spacing w:before="120" w:line="252" w:lineRule="auto"/>
      <w:widowControl/>
      <w:outlineLvl w:val="8"/>
    </w:pPr>
    <w:rPr>
      <w:i/>
      <w:iCs/>
      <w:sz w:val="20"/>
    </w:rPr>
  </w:style>
  <w:style w:type="character" w:styleId="909" w:default="1">
    <w:name w:val="Default Paragraph Font"/>
    <w:uiPriority w:val="1"/>
    <w:semiHidden/>
    <w:unhideWhenUsed/>
    <w:qFormat/>
  </w:style>
  <w:style w:type="table" w:styleId="910" w:default="1">
    <w:name w:val="Normal Table"/>
    <w:uiPriority w:val="99"/>
    <w:semiHidden/>
    <w:unhideWhenUsed/>
    <w:qFormat/>
    <w:tblPr>
      <w:tblCellMar>
        <w:left w:w="108" w:type="dxa"/>
        <w:top w:w="0" w:type="dxa"/>
        <w:right w:w="108" w:type="dxa"/>
        <w:bottom w:w="0" w:type="dxa"/>
      </w:tblCellMar>
    </w:tblPr>
  </w:style>
  <w:style w:type="paragraph" w:styleId="911">
    <w:name w:val="toc 7"/>
    <w:basedOn w:val="899"/>
    <w:next w:val="899"/>
    <w:uiPriority w:val="0"/>
    <w:semiHidden/>
    <w:qFormat/>
    <w:pPr>
      <w:ind w:left="1260"/>
      <w:jc w:val="left"/>
    </w:pPr>
    <w:rPr>
      <w:szCs w:val="21"/>
    </w:rPr>
  </w:style>
  <w:style w:type="paragraph" w:styleId="912">
    <w:name w:val="index 8"/>
    <w:basedOn w:val="899"/>
    <w:next w:val="899"/>
    <w:uiPriority w:val="0"/>
    <w:semiHidden/>
    <w:qFormat/>
    <w:pPr>
      <w:ind w:left="1400"/>
    </w:pPr>
  </w:style>
  <w:style w:type="paragraph" w:styleId="913">
    <w:name w:val="Normal Indent"/>
    <w:basedOn w:val="899"/>
    <w:link w:val="982"/>
    <w:uiPriority w:val="0"/>
    <w:qFormat/>
    <w:pPr>
      <w:ind w:firstLine="420"/>
    </w:pPr>
  </w:style>
  <w:style w:type="paragraph" w:styleId="914">
    <w:name w:val="Caption"/>
    <w:basedOn w:val="899"/>
    <w:next w:val="899"/>
    <w:uiPriority w:val="35"/>
    <w:qFormat/>
    <w:pPr>
      <w:spacing w:after="160" w:line="252" w:lineRule="auto"/>
      <w:widowControl/>
    </w:pPr>
    <w:rPr>
      <w:b/>
      <w:bCs/>
      <w:sz w:val="18"/>
      <w:szCs w:val="18"/>
    </w:rPr>
  </w:style>
  <w:style w:type="paragraph" w:styleId="915">
    <w:name w:val="index 5"/>
    <w:basedOn w:val="899"/>
    <w:next w:val="899"/>
    <w:uiPriority w:val="0"/>
    <w:semiHidden/>
    <w:qFormat/>
    <w:pPr>
      <w:ind w:left="800"/>
    </w:pPr>
  </w:style>
  <w:style w:type="paragraph" w:styleId="916">
    <w:name w:val="Document Map"/>
    <w:basedOn w:val="899"/>
    <w:link w:val="983"/>
    <w:uiPriority w:val="0"/>
    <w:semiHidden/>
    <w:qFormat/>
    <w:pPr>
      <w:shd w:val="clear" w:color="auto" w:fill="000080"/>
    </w:pPr>
  </w:style>
  <w:style w:type="paragraph" w:styleId="917">
    <w:name w:val="annotation text"/>
    <w:basedOn w:val="899"/>
    <w:link w:val="984"/>
    <w:uiPriority w:val="0"/>
    <w:qFormat/>
    <w:pPr>
      <w:jc w:val="left"/>
    </w:pPr>
  </w:style>
  <w:style w:type="paragraph" w:styleId="918">
    <w:name w:val="index 6"/>
    <w:basedOn w:val="899"/>
    <w:next w:val="899"/>
    <w:uiPriority w:val="0"/>
    <w:semiHidden/>
    <w:qFormat/>
    <w:pPr>
      <w:ind w:left="1000"/>
    </w:pPr>
  </w:style>
  <w:style w:type="paragraph" w:styleId="919">
    <w:name w:val="Body Text"/>
    <w:basedOn w:val="899"/>
    <w:next w:val="920"/>
    <w:link w:val="985"/>
    <w:uiPriority w:val="99"/>
    <w:qFormat/>
    <w:rPr>
      <w:rFonts w:ascii="楷体_GB2312" w:hAnsi="Arial" w:eastAsia="楷体_GB2312"/>
      <w:sz w:val="28"/>
    </w:rPr>
  </w:style>
  <w:style w:type="paragraph" w:styleId="920">
    <w:name w:val="Body Text First Indent"/>
    <w:basedOn w:val="919"/>
    <w:next w:val="921"/>
    <w:link w:val="1054"/>
    <w:uiPriority w:val="99"/>
    <w:unhideWhenUsed/>
    <w:qFormat/>
    <w:pPr>
      <w:ind w:firstLine="420"/>
      <w:spacing w:after="120"/>
    </w:pPr>
    <w:rPr>
      <w:rFonts w:ascii="Calibri" w:hAnsi="Calibri" w:eastAsia="宋体"/>
      <w:sz w:val="21"/>
    </w:rPr>
  </w:style>
  <w:style w:type="paragraph" w:styleId="921">
    <w:name w:val="Body Text First Indent 2"/>
    <w:basedOn w:val="922"/>
    <w:next w:val="920"/>
    <w:uiPriority w:val="99"/>
    <w:unhideWhenUsed/>
    <w:qFormat/>
    <w:pPr>
      <w:ind w:left="420" w:firstLine="420"/>
      <w:spacing w:after="120"/>
    </w:pPr>
    <w:rPr>
      <w:rFonts w:ascii="Calibri"/>
      <w:sz w:val="21"/>
    </w:rPr>
  </w:style>
  <w:style w:type="paragraph" w:styleId="922">
    <w:name w:val="Body Text Indent"/>
    <w:basedOn w:val="899"/>
    <w:next w:val="923"/>
    <w:link w:val="986"/>
    <w:uiPriority w:val="0"/>
    <w:qFormat/>
    <w:pPr>
      <w:ind w:firstLine="574"/>
      <w:spacing w:line="312" w:lineRule="atLeast"/>
    </w:pPr>
    <w:rPr>
      <w:rFonts w:ascii="宋体"/>
      <w:sz w:val="28"/>
    </w:rPr>
  </w:style>
  <w:style w:type="paragraph" w:styleId="923">
    <w:name w:val="envelope return"/>
    <w:basedOn w:val="899"/>
    <w:uiPriority w:val="99"/>
    <w:unhideWhenUsed/>
    <w:qFormat/>
    <w:rPr>
      <w:rFonts w:ascii="Arial" w:hAnsi="Arial"/>
    </w:rPr>
  </w:style>
  <w:style w:type="paragraph" w:styleId="924">
    <w:name w:val="Block Text"/>
    <w:basedOn w:val="899"/>
    <w:uiPriority w:val="0"/>
    <w:qFormat/>
    <w:pPr>
      <w:ind w:left="1890" w:right="11" w:hanging="1409"/>
      <w:spacing w:before="89"/>
      <w:tabs>
        <w:tab w:val="left" w:pos="822" w:leader="none"/>
        <w:tab w:val="left" w:pos="2205" w:leader="none"/>
        <w:tab w:val="left" w:pos="9000" w:leader="none"/>
      </w:tabs>
    </w:pPr>
    <w:rPr>
      <w:sz w:val="24"/>
    </w:rPr>
  </w:style>
  <w:style w:type="paragraph" w:styleId="925">
    <w:name w:val="index 4"/>
    <w:basedOn w:val="899"/>
    <w:next w:val="899"/>
    <w:uiPriority w:val="0"/>
    <w:semiHidden/>
    <w:qFormat/>
    <w:pPr>
      <w:ind w:left="600"/>
    </w:pPr>
  </w:style>
  <w:style w:type="paragraph" w:styleId="926">
    <w:name w:val="toc 5"/>
    <w:basedOn w:val="899"/>
    <w:next w:val="899"/>
    <w:uiPriority w:val="0"/>
    <w:semiHidden/>
    <w:qFormat/>
    <w:pPr>
      <w:ind w:left="840"/>
      <w:jc w:val="left"/>
    </w:pPr>
    <w:rPr>
      <w:szCs w:val="21"/>
    </w:rPr>
  </w:style>
  <w:style w:type="paragraph" w:styleId="927">
    <w:name w:val="toc 3"/>
    <w:basedOn w:val="899"/>
    <w:next w:val="899"/>
    <w:uiPriority w:val="0"/>
    <w:semiHidden/>
    <w:qFormat/>
    <w:pPr>
      <w:ind w:left="420"/>
      <w:jc w:val="left"/>
    </w:pPr>
    <w:rPr>
      <w:i/>
      <w:iCs/>
      <w:szCs w:val="24"/>
    </w:rPr>
  </w:style>
  <w:style w:type="paragraph" w:styleId="928">
    <w:name w:val="Plain Text"/>
    <w:basedOn w:val="899"/>
    <w:link w:val="987"/>
    <w:uiPriority w:val="0"/>
    <w:qFormat/>
    <w:rPr>
      <w:rFonts w:ascii="宋体" w:hAnsi="Courier New"/>
    </w:rPr>
  </w:style>
  <w:style w:type="paragraph" w:styleId="929">
    <w:name w:val="toc 8"/>
    <w:basedOn w:val="899"/>
    <w:next w:val="899"/>
    <w:uiPriority w:val="0"/>
    <w:semiHidden/>
    <w:qFormat/>
    <w:pPr>
      <w:ind w:left="1470"/>
      <w:jc w:val="left"/>
    </w:pPr>
    <w:rPr>
      <w:szCs w:val="21"/>
    </w:rPr>
  </w:style>
  <w:style w:type="paragraph" w:styleId="930">
    <w:name w:val="index 3"/>
    <w:basedOn w:val="899"/>
    <w:next w:val="899"/>
    <w:uiPriority w:val="0"/>
    <w:semiHidden/>
    <w:qFormat/>
    <w:pPr>
      <w:ind w:left="400"/>
    </w:pPr>
  </w:style>
  <w:style w:type="paragraph" w:styleId="931">
    <w:name w:val="Date"/>
    <w:basedOn w:val="899"/>
    <w:next w:val="899"/>
    <w:link w:val="988"/>
    <w:uiPriority w:val="0"/>
    <w:qFormat/>
    <w:pPr>
      <w:spacing w:line="312" w:lineRule="atLeast"/>
    </w:pPr>
    <w:rPr>
      <w:rFonts w:ascii="宋体"/>
      <w:sz w:val="28"/>
    </w:rPr>
  </w:style>
  <w:style w:type="paragraph" w:styleId="932">
    <w:name w:val="Body Text Indent 2"/>
    <w:basedOn w:val="899"/>
    <w:link w:val="989"/>
    <w:uiPriority w:val="0"/>
    <w:qFormat/>
    <w:pPr>
      <w:ind w:left="1890" w:hanging="1409"/>
      <w:tabs>
        <w:tab w:val="left" w:pos="1785" w:leader="none"/>
        <w:tab w:val="left" w:pos="1887" w:leader="none"/>
        <w:tab w:val="left" w:pos="2112" w:leader="none"/>
        <w:tab w:val="left" w:pos="9000" w:leader="none"/>
      </w:tabs>
    </w:pPr>
    <w:rPr>
      <w:sz w:val="24"/>
    </w:rPr>
  </w:style>
  <w:style w:type="paragraph" w:styleId="933">
    <w:name w:val="Balloon Text"/>
    <w:basedOn w:val="899"/>
    <w:link w:val="990"/>
    <w:uiPriority w:val="0"/>
    <w:qFormat/>
    <w:rPr>
      <w:sz w:val="18"/>
      <w:szCs w:val="18"/>
    </w:rPr>
  </w:style>
  <w:style w:type="paragraph" w:styleId="934">
    <w:name w:val="Footer"/>
    <w:basedOn w:val="899"/>
    <w:link w:val="991"/>
    <w:uiPriority w:val="0"/>
    <w:qFormat/>
    <w:pPr>
      <w:jc w:val="left"/>
      <w:tabs>
        <w:tab w:val="center" w:pos="4153" w:leader="none"/>
        <w:tab w:val="right" w:pos="8306" w:leader="none"/>
      </w:tabs>
    </w:pPr>
    <w:rPr>
      <w:sz w:val="18"/>
    </w:rPr>
  </w:style>
  <w:style w:type="paragraph" w:styleId="935">
    <w:name w:val="Header"/>
    <w:basedOn w:val="899"/>
    <w:link w:val="992"/>
    <w:uiPriority w:val="99"/>
    <w:qFormat/>
    <w:pPr>
      <w:jc w:val="center"/>
      <w:tabs>
        <w:tab w:val="center" w:pos="4153" w:leader="none"/>
        <w:tab w:val="right" w:pos="8306" w:leader="none"/>
      </w:tabs>
      <w:pBdr>
        <w:bottom w:val="single" w:color="auto" w:sz="6" w:space="1"/>
      </w:pBdr>
    </w:pPr>
    <w:rPr>
      <w:sz w:val="18"/>
    </w:rPr>
  </w:style>
  <w:style w:type="paragraph" w:styleId="936">
    <w:name w:val="Signature"/>
    <w:basedOn w:val="899"/>
    <w:link w:val="993"/>
    <w:uiPriority w:val="0"/>
    <w:qFormat/>
    <w:pPr>
      <w:jc w:val="center"/>
      <w:spacing w:after="600" w:line="312" w:lineRule="atLeast"/>
    </w:pPr>
    <w:rPr>
      <w:rFonts w:eastAsia="仿宋_GB2312"/>
      <w:sz w:val="24"/>
    </w:rPr>
  </w:style>
  <w:style w:type="paragraph" w:styleId="937">
    <w:name w:val="toc 1"/>
    <w:basedOn w:val="899"/>
    <w:next w:val="899"/>
    <w:uiPriority w:val="39"/>
    <w:qFormat/>
    <w:pPr>
      <w:ind w:left="210"/>
      <w:spacing w:before="100" w:beforeAutospacing="1" w:after="100" w:afterAutospacing="1" w:line="360" w:lineRule="exact"/>
      <w:tabs>
        <w:tab w:val="right" w:pos="9450" w:leader="dot"/>
      </w:tabs>
    </w:pPr>
    <w:rPr>
      <w:b/>
      <w:bCs/>
      <w:caps/>
      <w:sz w:val="28"/>
      <w:szCs w:val="36"/>
    </w:rPr>
  </w:style>
  <w:style w:type="paragraph" w:styleId="938">
    <w:name w:val="toc 4"/>
    <w:basedOn w:val="899"/>
    <w:next w:val="899"/>
    <w:uiPriority w:val="0"/>
    <w:semiHidden/>
    <w:qFormat/>
    <w:pPr>
      <w:ind w:left="630"/>
      <w:jc w:val="left"/>
    </w:pPr>
    <w:rPr>
      <w:szCs w:val="21"/>
    </w:rPr>
  </w:style>
  <w:style w:type="paragraph" w:styleId="939">
    <w:name w:val="index heading"/>
    <w:basedOn w:val="899"/>
    <w:next w:val="940"/>
    <w:uiPriority w:val="0"/>
    <w:semiHidden/>
    <w:qFormat/>
  </w:style>
  <w:style w:type="paragraph" w:styleId="940">
    <w:name w:val="index 1"/>
    <w:basedOn w:val="899"/>
    <w:next w:val="899"/>
    <w:uiPriority w:val="0"/>
    <w:semiHidden/>
    <w:qFormat/>
  </w:style>
  <w:style w:type="paragraph" w:styleId="941">
    <w:name w:val="Subtitle"/>
    <w:basedOn w:val="899"/>
    <w:next w:val="899"/>
    <w:link w:val="994"/>
    <w:uiPriority w:val="11"/>
    <w:qFormat/>
    <w:pPr>
      <w:jc w:val="center"/>
      <w:spacing w:after="240" w:line="252" w:lineRule="auto"/>
      <w:widowControl/>
    </w:pPr>
    <w:rPr>
      <w:rFonts w:ascii="Calibri Light" w:hAnsi="Calibri Light"/>
      <w:sz w:val="24"/>
      <w:szCs w:val="24"/>
    </w:rPr>
  </w:style>
  <w:style w:type="paragraph" w:styleId="942">
    <w:name w:val="toc 6"/>
    <w:basedOn w:val="899"/>
    <w:next w:val="899"/>
    <w:uiPriority w:val="0"/>
    <w:semiHidden/>
    <w:qFormat/>
    <w:pPr>
      <w:ind w:left="1050"/>
      <w:jc w:val="left"/>
    </w:pPr>
    <w:rPr>
      <w:szCs w:val="21"/>
    </w:rPr>
  </w:style>
  <w:style w:type="paragraph" w:styleId="943">
    <w:name w:val="Body Text Indent 3"/>
    <w:basedOn w:val="899"/>
    <w:link w:val="995"/>
    <w:uiPriority w:val="0"/>
    <w:qFormat/>
    <w:pPr>
      <w:ind w:firstLine="555"/>
    </w:pPr>
    <w:rPr>
      <w:b/>
      <w:bCs/>
      <w:sz w:val="28"/>
      <w:u w:val="single"/>
    </w:rPr>
  </w:style>
  <w:style w:type="paragraph" w:styleId="944">
    <w:name w:val="index 7"/>
    <w:basedOn w:val="899"/>
    <w:next w:val="899"/>
    <w:uiPriority w:val="0"/>
    <w:semiHidden/>
    <w:qFormat/>
    <w:pPr>
      <w:ind w:left="1200"/>
    </w:pPr>
  </w:style>
  <w:style w:type="paragraph" w:styleId="945">
    <w:name w:val="index 9"/>
    <w:basedOn w:val="899"/>
    <w:next w:val="899"/>
    <w:uiPriority w:val="0"/>
    <w:semiHidden/>
    <w:qFormat/>
    <w:pPr>
      <w:ind w:left="1600"/>
    </w:pPr>
  </w:style>
  <w:style w:type="paragraph" w:styleId="946">
    <w:name w:val="table of figures"/>
    <w:basedOn w:val="899"/>
    <w:next w:val="899"/>
    <w:uiPriority w:val="0"/>
    <w:semiHidden/>
    <w:qFormat/>
    <w:pPr>
      <w:ind w:left="840" w:hanging="420"/>
    </w:pPr>
  </w:style>
  <w:style w:type="paragraph" w:styleId="947">
    <w:name w:val="toc 2"/>
    <w:basedOn w:val="899"/>
    <w:next w:val="899"/>
    <w:uiPriority w:val="39"/>
    <w:qFormat/>
    <w:pPr>
      <w:ind w:left="250"/>
      <w:jc w:val="left"/>
      <w:spacing w:line="400" w:lineRule="exact"/>
      <w:tabs>
        <w:tab w:val="right" w:pos="9450" w:leader="dot"/>
      </w:tabs>
    </w:pPr>
    <w:rPr>
      <w:bCs/>
      <w:smallCaps/>
      <w:sz w:val="24"/>
      <w:szCs w:val="24"/>
    </w:rPr>
  </w:style>
  <w:style w:type="paragraph" w:styleId="948">
    <w:name w:val="toc 9"/>
    <w:basedOn w:val="899"/>
    <w:next w:val="899"/>
    <w:uiPriority w:val="0"/>
    <w:semiHidden/>
    <w:qFormat/>
    <w:pPr>
      <w:ind w:left="1680"/>
      <w:jc w:val="left"/>
    </w:pPr>
    <w:rPr>
      <w:szCs w:val="21"/>
    </w:rPr>
  </w:style>
  <w:style w:type="paragraph" w:styleId="949">
    <w:name w:val="HTML Preformatted"/>
    <w:basedOn w:val="899"/>
    <w:link w:val="9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50">
    <w:name w:val="Normal (Web)"/>
    <w:basedOn w:val="899"/>
    <w:uiPriority w:val="99"/>
    <w:qFormat/>
    <w:pPr>
      <w:jc w:val="left"/>
      <w:spacing w:before="100" w:beforeAutospacing="1" w:after="100" w:afterAutospacing="1"/>
      <w:widowControl/>
    </w:pPr>
    <w:rPr>
      <w:rFonts w:ascii="宋体" w:hAnsi="宋体" w:cs="宋体"/>
      <w:sz w:val="24"/>
      <w:szCs w:val="24"/>
    </w:rPr>
  </w:style>
  <w:style w:type="paragraph" w:styleId="951">
    <w:name w:val="index 2"/>
    <w:basedOn w:val="899"/>
    <w:next w:val="899"/>
    <w:uiPriority w:val="0"/>
    <w:semiHidden/>
    <w:qFormat/>
    <w:pPr>
      <w:ind w:left="200"/>
    </w:pPr>
  </w:style>
  <w:style w:type="paragraph" w:styleId="952">
    <w:name w:val="Title"/>
    <w:basedOn w:val="899"/>
    <w:next w:val="899"/>
    <w:link w:val="997"/>
    <w:uiPriority w:val="10"/>
    <w:qFormat/>
    <w:pPr>
      <w:contextualSpacing/>
      <w:jc w:val="center"/>
      <w:widowControl/>
    </w:pPr>
    <w:rPr>
      <w:rFonts w:ascii="Calibri Light" w:hAnsi="Calibri Light"/>
      <w:b/>
      <w:bCs/>
      <w:spacing w:val="-7"/>
      <w:sz w:val="48"/>
      <w:szCs w:val="48"/>
    </w:rPr>
  </w:style>
  <w:style w:type="paragraph" w:styleId="953">
    <w:name w:val="annotation subject"/>
    <w:basedOn w:val="917"/>
    <w:next w:val="917"/>
    <w:link w:val="998"/>
    <w:uiPriority w:val="0"/>
    <w:qFormat/>
    <w:rPr>
      <w:b/>
      <w:bCs/>
    </w:rPr>
  </w:style>
  <w:style w:type="table" w:styleId="954">
    <w:name w:val="Table Grid"/>
    <w:basedOn w:val="91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5">
    <w:name w:val="Strong"/>
    <w:uiPriority w:val="22"/>
    <w:qFormat/>
    <w:rPr>
      <w:b/>
      <w:bCs/>
    </w:rPr>
  </w:style>
  <w:style w:type="character" w:styleId="956">
    <w:name w:val="page number"/>
    <w:uiPriority w:val="0"/>
    <w:qFormat/>
  </w:style>
  <w:style w:type="character" w:styleId="957">
    <w:name w:val="FollowedHyperlink"/>
    <w:uiPriority w:val="0"/>
    <w:qFormat/>
    <w:rPr>
      <w:color w:val="800080"/>
      <w:u w:val="single"/>
    </w:rPr>
  </w:style>
  <w:style w:type="character" w:styleId="958">
    <w:name w:val="Emphasis"/>
    <w:uiPriority w:val="20"/>
    <w:qFormat/>
    <w:rPr>
      <w:i/>
      <w:iCs/>
    </w:rPr>
  </w:style>
  <w:style w:type="character" w:styleId="959">
    <w:name w:val="line number"/>
    <w:uiPriority w:val="0"/>
    <w:qFormat/>
  </w:style>
  <w:style w:type="character" w:styleId="960">
    <w:name w:val="HTML Definition"/>
    <w:basedOn w:val="909"/>
    <w:uiPriority w:val="0"/>
    <w:semiHidden/>
    <w:unhideWhenUsed/>
    <w:qFormat/>
  </w:style>
  <w:style w:type="character" w:styleId="961">
    <w:name w:val="HTML Typewriter"/>
    <w:basedOn w:val="909"/>
    <w:uiPriority w:val="0"/>
    <w:semiHidden/>
    <w:unhideWhenUsed/>
    <w:qFormat/>
    <w:rPr>
      <w:rFonts w:hint="default" w:ascii="monospace" w:hAnsi="monospace" w:eastAsia="monospace" w:cs="monospace"/>
      <w:sz w:val="20"/>
    </w:rPr>
  </w:style>
  <w:style w:type="character" w:styleId="962">
    <w:name w:val="HTML Acronym"/>
    <w:basedOn w:val="909"/>
    <w:uiPriority w:val="0"/>
    <w:semiHidden/>
    <w:unhideWhenUsed/>
    <w:qFormat/>
  </w:style>
  <w:style w:type="character" w:styleId="963">
    <w:name w:val="HTML Variable"/>
    <w:basedOn w:val="909"/>
    <w:uiPriority w:val="0"/>
    <w:semiHidden/>
    <w:unhideWhenUsed/>
    <w:qFormat/>
  </w:style>
  <w:style w:type="character" w:styleId="964">
    <w:name w:val="Hyperlink"/>
    <w:uiPriority w:val="99"/>
    <w:qFormat/>
    <w:rPr>
      <w:color w:val="0000ff"/>
      <w:u w:val="single"/>
    </w:rPr>
  </w:style>
  <w:style w:type="character" w:styleId="965">
    <w:name w:val="HTML Code"/>
    <w:basedOn w:val="909"/>
    <w:uiPriority w:val="0"/>
    <w:semiHidden/>
    <w:unhideWhenUsed/>
    <w:qFormat/>
    <w:rPr>
      <w:rFonts w:hint="default" w:ascii="monospace" w:hAnsi="monospace" w:eastAsia="monospace" w:cs="monospace"/>
      <w:sz w:val="20"/>
    </w:rPr>
  </w:style>
  <w:style w:type="character" w:styleId="966">
    <w:name w:val="annotation reference"/>
    <w:uiPriority w:val="0"/>
    <w:qFormat/>
    <w:rPr>
      <w:sz w:val="21"/>
      <w:szCs w:val="21"/>
    </w:rPr>
  </w:style>
  <w:style w:type="character" w:styleId="967">
    <w:name w:val="HTML Cite"/>
    <w:basedOn w:val="909"/>
    <w:uiPriority w:val="0"/>
    <w:semiHidden/>
    <w:unhideWhenUsed/>
    <w:qFormat/>
  </w:style>
  <w:style w:type="character" w:styleId="968">
    <w:name w:val="HTML Keyboard"/>
    <w:basedOn w:val="909"/>
    <w:uiPriority w:val="0"/>
    <w:semiHidden/>
    <w:unhideWhenUsed/>
    <w:qFormat/>
    <w:rPr>
      <w:rFonts w:hint="default" w:ascii="monospace" w:hAnsi="monospace" w:eastAsia="monospace" w:cs="monospace"/>
      <w:sz w:val="20"/>
    </w:rPr>
  </w:style>
  <w:style w:type="character" w:styleId="969">
    <w:name w:val="HTML Sample"/>
    <w:basedOn w:val="909"/>
    <w:uiPriority w:val="0"/>
    <w:semiHidden/>
    <w:unhideWhenUsed/>
    <w:qFormat/>
    <w:rPr>
      <w:rFonts w:ascii="monospace" w:hAnsi="monospace" w:eastAsia="monospace" w:cs="monospace"/>
    </w:rPr>
  </w:style>
  <w:style w:type="paragraph" w:styleId="970" w:customStyle="1">
    <w:name w:val="表格内容"/>
    <w:basedOn w:val="899"/>
    <w:uiPriority w:val="0"/>
    <w:qFormat/>
    <w:pPr>
      <w:jc w:val="center"/>
      <w:widowControl/>
    </w:pPr>
    <w:rPr>
      <w:rFonts w:ascii="Times New Roman" w:hAnsi="Times New Roman"/>
      <w:szCs w:val="22"/>
    </w:rPr>
  </w:style>
  <w:style w:type="paragraph" w:styleId="971" w:customStyle="1">
    <w:name w:val="段"/>
    <w:next w:val="899"/>
    <w:uiPriority w:val="0"/>
    <w:qFormat/>
    <w:pPr>
      <w:ind w:firstLine="200"/>
      <w:jc w:val="both"/>
    </w:pPr>
    <w:rPr>
      <w:rFonts w:ascii="宋体" w:hAnsi="Times New Roman" w:eastAsia="宋体" w:cs="Times New Roman"/>
      <w:sz w:val="21"/>
      <w:szCs w:val="22"/>
      <w:lang w:val="en-US" w:eastAsia="zh-CN" w:bidi="ar-SA"/>
    </w:rPr>
  </w:style>
  <w:style w:type="paragraph" w:styleId="972" w:customStyle="1">
    <w:name w:val="首行缩进"/>
    <w:basedOn w:val="899"/>
    <w:uiPriority w:val="0"/>
    <w:qFormat/>
    <w:pPr>
      <w:ind w:firstLine="480"/>
    </w:pPr>
    <w:rPr>
      <w:lang w:val="zh-CN"/>
    </w:rPr>
  </w:style>
  <w:style w:type="character" w:styleId="973" w:customStyle="1">
    <w:name w:val="标题 1 字符"/>
    <w:link w:val="900"/>
    <w:uiPriority w:val="0"/>
    <w:qFormat/>
    <w:rPr>
      <w:rFonts w:ascii="宋体" w:hAnsi="宋体"/>
      <w:b/>
      <w:sz w:val="36"/>
    </w:rPr>
  </w:style>
  <w:style w:type="character" w:styleId="974" w:customStyle="1">
    <w:name w:val="标题 2 字符"/>
    <w:link w:val="901"/>
    <w:uiPriority w:val="0"/>
    <w:qFormat/>
    <w:rPr>
      <w:rFonts w:eastAsia="楷体_GB2312"/>
      <w:b/>
      <w:bCs/>
      <w:sz w:val="28"/>
      <w:szCs w:val="28"/>
    </w:rPr>
  </w:style>
  <w:style w:type="character" w:styleId="975" w:customStyle="1">
    <w:name w:val="标题 3 字符"/>
    <w:link w:val="902"/>
    <w:uiPriority w:val="9"/>
    <w:qFormat/>
    <w:rPr>
      <w:rFonts w:ascii="宋体" w:hAnsi="宋体"/>
      <w:sz w:val="28"/>
    </w:rPr>
  </w:style>
  <w:style w:type="character" w:styleId="976" w:customStyle="1">
    <w:name w:val="标题 4 字符"/>
    <w:link w:val="903"/>
    <w:uiPriority w:val="9"/>
    <w:qFormat/>
    <w:rPr>
      <w:b/>
      <w:bCs/>
      <w:sz w:val="18"/>
    </w:rPr>
  </w:style>
  <w:style w:type="character" w:styleId="977" w:customStyle="1">
    <w:name w:val="标题 5 字符"/>
    <w:link w:val="904"/>
    <w:uiPriority w:val="9"/>
    <w:qFormat/>
    <w:rPr>
      <w:b/>
      <w:bCs/>
      <w:sz w:val="18"/>
    </w:rPr>
  </w:style>
  <w:style w:type="character" w:styleId="978" w:customStyle="1">
    <w:name w:val="标题 6 字符"/>
    <w:link w:val="905"/>
    <w:uiPriority w:val="9"/>
    <w:qFormat/>
    <w:rPr>
      <w:rFonts w:ascii="Calibri Light" w:hAnsi="Calibri Light"/>
      <w:b/>
      <w:bCs/>
      <w:i/>
      <w:iCs/>
    </w:rPr>
  </w:style>
  <w:style w:type="character" w:styleId="979" w:customStyle="1">
    <w:name w:val="标题 7 字符"/>
    <w:link w:val="906"/>
    <w:uiPriority w:val="9"/>
    <w:qFormat/>
    <w:rPr>
      <w:i/>
      <w:iCs/>
    </w:rPr>
  </w:style>
  <w:style w:type="character" w:styleId="980" w:customStyle="1">
    <w:name w:val="标题 8 字符"/>
    <w:link w:val="907"/>
    <w:uiPriority w:val="9"/>
    <w:qFormat/>
    <w:rPr>
      <w:b/>
      <w:bCs/>
    </w:rPr>
  </w:style>
  <w:style w:type="character" w:styleId="981" w:customStyle="1">
    <w:name w:val="标题 9 字符"/>
    <w:link w:val="908"/>
    <w:uiPriority w:val="9"/>
    <w:qFormat/>
    <w:rPr>
      <w:i/>
      <w:iCs/>
    </w:rPr>
  </w:style>
  <w:style w:type="character" w:styleId="982" w:customStyle="1">
    <w:name w:val="正文缩进 字符"/>
    <w:link w:val="913"/>
    <w:uiPriority w:val="0"/>
    <w:qFormat/>
    <w:rPr>
      <w:sz w:val="21"/>
    </w:rPr>
  </w:style>
  <w:style w:type="character" w:styleId="983" w:customStyle="1">
    <w:name w:val="文档结构图 字符"/>
    <w:link w:val="916"/>
    <w:uiPriority w:val="0"/>
    <w:semiHidden/>
    <w:qFormat/>
    <w:rPr>
      <w:sz w:val="21"/>
      <w:shd w:val="clear" w:color="auto" w:fill="000080"/>
    </w:rPr>
  </w:style>
  <w:style w:type="character" w:styleId="984" w:customStyle="1">
    <w:name w:val="批注文字 字符"/>
    <w:link w:val="917"/>
    <w:uiPriority w:val="0"/>
    <w:qFormat/>
    <w:rPr>
      <w:sz w:val="21"/>
    </w:rPr>
  </w:style>
  <w:style w:type="character" w:styleId="985" w:customStyle="1">
    <w:name w:val="正文文本 字符1"/>
    <w:link w:val="919"/>
    <w:uiPriority w:val="0"/>
    <w:qFormat/>
    <w:rPr>
      <w:rFonts w:ascii="楷体_GB2312" w:hAnsi="Arial" w:eastAsia="楷体_GB2312"/>
      <w:sz w:val="28"/>
    </w:rPr>
  </w:style>
  <w:style w:type="character" w:styleId="986" w:customStyle="1">
    <w:name w:val="正文文本缩进 字符"/>
    <w:link w:val="922"/>
    <w:uiPriority w:val="0"/>
    <w:qFormat/>
    <w:rPr>
      <w:rFonts w:ascii="宋体"/>
      <w:sz w:val="28"/>
    </w:rPr>
  </w:style>
  <w:style w:type="character" w:styleId="987" w:customStyle="1">
    <w:name w:val="纯文本 字符"/>
    <w:link w:val="928"/>
    <w:uiPriority w:val="0"/>
    <w:qFormat/>
    <w:rPr>
      <w:rFonts w:ascii="宋体" w:hAnsi="Courier New"/>
      <w:sz w:val="21"/>
    </w:rPr>
  </w:style>
  <w:style w:type="character" w:styleId="988" w:customStyle="1">
    <w:name w:val="日期 字符"/>
    <w:link w:val="931"/>
    <w:uiPriority w:val="0"/>
    <w:qFormat/>
    <w:rPr>
      <w:rFonts w:ascii="宋体"/>
      <w:sz w:val="28"/>
    </w:rPr>
  </w:style>
  <w:style w:type="character" w:styleId="989" w:customStyle="1">
    <w:name w:val="正文文本缩进 2 字符"/>
    <w:link w:val="932"/>
    <w:uiPriority w:val="0"/>
    <w:qFormat/>
    <w:rPr>
      <w:sz w:val="24"/>
    </w:rPr>
  </w:style>
  <w:style w:type="character" w:styleId="990" w:customStyle="1">
    <w:name w:val="批注框文本 字符"/>
    <w:link w:val="933"/>
    <w:uiPriority w:val="0"/>
    <w:qFormat/>
    <w:rPr>
      <w:sz w:val="18"/>
      <w:szCs w:val="18"/>
    </w:rPr>
  </w:style>
  <w:style w:type="character" w:styleId="991" w:customStyle="1">
    <w:name w:val="页脚 字符"/>
    <w:link w:val="934"/>
    <w:uiPriority w:val="0"/>
    <w:qFormat/>
    <w:rPr>
      <w:sz w:val="18"/>
    </w:rPr>
  </w:style>
  <w:style w:type="character" w:styleId="992" w:customStyle="1">
    <w:name w:val="页眉 字符"/>
    <w:link w:val="935"/>
    <w:uiPriority w:val="99"/>
    <w:qFormat/>
    <w:rPr>
      <w:sz w:val="18"/>
    </w:rPr>
  </w:style>
  <w:style w:type="character" w:styleId="993" w:customStyle="1">
    <w:name w:val="签名 字符1"/>
    <w:link w:val="936"/>
    <w:uiPriority w:val="0"/>
    <w:qFormat/>
    <w:rPr>
      <w:rFonts w:eastAsia="仿宋_GB2312"/>
      <w:sz w:val="24"/>
    </w:rPr>
  </w:style>
  <w:style w:type="character" w:styleId="994" w:customStyle="1">
    <w:name w:val="副标题 字符"/>
    <w:link w:val="941"/>
    <w:uiPriority w:val="11"/>
    <w:qFormat/>
    <w:rPr>
      <w:rFonts w:ascii="Calibri Light" w:hAnsi="Calibri Light"/>
      <w:sz w:val="24"/>
      <w:szCs w:val="24"/>
    </w:rPr>
  </w:style>
  <w:style w:type="character" w:styleId="995" w:customStyle="1">
    <w:name w:val="正文文本缩进 3 字符"/>
    <w:link w:val="943"/>
    <w:uiPriority w:val="0"/>
    <w:qFormat/>
    <w:rPr>
      <w:b/>
      <w:bCs/>
      <w:sz w:val="28"/>
      <w:u w:val="single"/>
    </w:rPr>
  </w:style>
  <w:style w:type="character" w:styleId="996" w:customStyle="1">
    <w:name w:val="HTML 预设格式 字符"/>
    <w:link w:val="949"/>
    <w:uiPriority w:val="0"/>
    <w:qFormat/>
    <w:rPr>
      <w:rFonts w:ascii="Arial" w:hAnsi="Arial" w:cs="Arial"/>
      <w:sz w:val="24"/>
      <w:szCs w:val="24"/>
    </w:rPr>
  </w:style>
  <w:style w:type="character" w:styleId="997" w:customStyle="1">
    <w:name w:val="标题 字符"/>
    <w:link w:val="952"/>
    <w:uiPriority w:val="10"/>
    <w:qFormat/>
    <w:rPr>
      <w:rFonts w:ascii="Calibri Light" w:hAnsi="Calibri Light"/>
      <w:b/>
      <w:bCs/>
      <w:spacing w:val="-7"/>
      <w:sz w:val="48"/>
      <w:szCs w:val="48"/>
    </w:rPr>
  </w:style>
  <w:style w:type="character" w:styleId="998" w:customStyle="1">
    <w:name w:val="批注主题 字符"/>
    <w:link w:val="953"/>
    <w:uiPriority w:val="0"/>
    <w:qFormat/>
    <w:rPr>
      <w:b/>
      <w:bCs/>
      <w:sz w:val="21"/>
    </w:rPr>
  </w:style>
  <w:style w:type="character" w:styleId="999" w:customStyle="1">
    <w:name w:val="引用 Char1"/>
    <w:uiPriority w:val="29"/>
    <w:qFormat/>
    <w:rPr>
      <w:i/>
      <w:iCs/>
      <w:color w:val="404040"/>
      <w:sz w:val="21"/>
    </w:rPr>
  </w:style>
  <w:style w:type="character" w:styleId="1000" w:customStyle="1">
    <w:name w:val="副标题 Char1"/>
    <w:uiPriority w:val="11"/>
    <w:qFormat/>
    <w:rPr>
      <w:rFonts w:ascii="Calibri Light" w:hAnsi="Calibri Light" w:cs="Times New Roman"/>
      <w:b/>
      <w:bCs/>
      <w:sz w:val="32"/>
      <w:szCs w:val="32"/>
    </w:rPr>
  </w:style>
  <w:style w:type="character" w:styleId="1001" w:customStyle="1">
    <w:name w:val="纯文本 Char1"/>
    <w:link w:val="1002"/>
    <w:uiPriority w:val="0"/>
    <w:qFormat/>
    <w:rPr>
      <w:rFonts w:ascii="宋体" w:hAnsi="Courier New"/>
    </w:rPr>
  </w:style>
  <w:style w:type="paragraph" w:styleId="1002" w:customStyle="1">
    <w:name w:val="纯文本1"/>
    <w:basedOn w:val="899"/>
    <w:link w:val="1001"/>
    <w:uiPriority w:val="0"/>
    <w:qFormat/>
    <w:rPr>
      <w:rFonts w:ascii="宋体" w:hAnsi="Courier New"/>
      <w:sz w:val="20"/>
    </w:rPr>
  </w:style>
  <w:style w:type="character" w:styleId="1003" w:customStyle="1">
    <w:name w:val="标题 1 Char1"/>
    <w:uiPriority w:val="9"/>
    <w:qFormat/>
    <w:rPr>
      <w:rFonts w:ascii="Calibri Light" w:hAnsi="Calibri Light"/>
      <w:b/>
      <w:bCs/>
      <w:caps/>
      <w:spacing w:val="4"/>
      <w:sz w:val="28"/>
      <w:szCs w:val="28"/>
    </w:rPr>
  </w:style>
  <w:style w:type="character" w:styleId="1004" w:customStyle="1">
    <w:name w:val="明显引用 字符"/>
    <w:link w:val="1005"/>
    <w:uiPriority w:val="30"/>
    <w:qFormat/>
    <w:rPr>
      <w:rFonts w:ascii="Calibri Light" w:hAnsi="Calibri Light"/>
      <w:sz w:val="26"/>
      <w:szCs w:val="26"/>
    </w:rPr>
  </w:style>
  <w:style w:type="paragraph" w:styleId="1005">
    <w:name w:val="Intense Quote"/>
    <w:basedOn w:val="899"/>
    <w:next w:val="899"/>
    <w:link w:val="1004"/>
    <w:uiPriority w:val="30"/>
    <w:qFormat/>
    <w:pPr>
      <w:ind w:left="936" w:right="936"/>
      <w:jc w:val="center"/>
      <w:spacing w:before="100" w:beforeAutospacing="1" w:after="240" w:line="252" w:lineRule="auto"/>
      <w:widowControl/>
    </w:pPr>
    <w:rPr>
      <w:rFonts w:ascii="Calibri Light" w:hAnsi="Calibri Light"/>
      <w:sz w:val="26"/>
      <w:szCs w:val="26"/>
    </w:rPr>
  </w:style>
  <w:style w:type="character" w:styleId="1006" w:customStyle="1">
    <w:name w:val="签名 Char1"/>
    <w:uiPriority w:val="0"/>
    <w:semiHidden/>
    <w:qFormat/>
    <w:rPr>
      <w:sz w:val="24"/>
      <w:szCs w:val="24"/>
    </w:rPr>
  </w:style>
  <w:style w:type="character" w:styleId="1007" w:customStyle="1">
    <w:name w:val="书籍标题1"/>
    <w:uiPriority w:val="33"/>
    <w:qFormat/>
    <w:rPr>
      <w:b/>
      <w:bCs/>
      <w:smallCaps/>
      <w:color w:val="auto"/>
    </w:rPr>
  </w:style>
  <w:style w:type="character" w:styleId="1008" w:customStyle="1">
    <w:name w:val="不明显强调1"/>
    <w:uiPriority w:val="19"/>
    <w:qFormat/>
    <w:rPr>
      <w:i/>
      <w:iCs/>
      <w:color w:val="auto"/>
    </w:rPr>
  </w:style>
  <w:style w:type="character" w:styleId="1009" w:customStyle="1">
    <w:name w:val="明显引用 Char1"/>
    <w:uiPriority w:val="30"/>
    <w:qFormat/>
    <w:rPr>
      <w:i/>
      <w:iCs/>
      <w:color w:val="5b9bd5"/>
      <w:sz w:val="21"/>
    </w:rPr>
  </w:style>
  <w:style w:type="character" w:styleId="1010" w:customStyle="1">
    <w:name w:val="标题 Char1"/>
    <w:uiPriority w:val="10"/>
    <w:qFormat/>
    <w:rPr>
      <w:rFonts w:ascii="Calibri Light" w:hAnsi="Calibri Light" w:cs="Times New Roman"/>
      <w:b/>
      <w:bCs/>
      <w:sz w:val="32"/>
      <w:szCs w:val="32"/>
    </w:rPr>
  </w:style>
  <w:style w:type="character" w:styleId="1011" w:customStyle="1">
    <w:name w:val="正文文本 Char2"/>
    <w:uiPriority w:val="0"/>
    <w:semiHidden/>
    <w:qFormat/>
    <w:rPr>
      <w:sz w:val="24"/>
      <w:szCs w:val="24"/>
    </w:rPr>
  </w:style>
  <w:style w:type="character" w:styleId="1012" w:customStyle="1">
    <w:name w:val="正文格式（小四） Char"/>
    <w:link w:val="1013"/>
    <w:uiPriority w:val="0"/>
    <w:qFormat/>
    <w:rPr>
      <w:sz w:val="24"/>
      <w:szCs w:val="24"/>
    </w:rPr>
  </w:style>
  <w:style w:type="paragraph" w:styleId="1013" w:customStyle="1">
    <w:name w:val="正文格式（小四）"/>
    <w:basedOn w:val="899"/>
    <w:link w:val="1012"/>
    <w:uiPriority w:val="0"/>
    <w:qFormat/>
    <w:pPr>
      <w:ind w:firstLine="482"/>
      <w:jc w:val="left"/>
      <w:spacing w:after="160" w:line="360" w:lineRule="auto"/>
      <w:widowControl/>
    </w:pPr>
    <w:rPr>
      <w:sz w:val="24"/>
      <w:szCs w:val="24"/>
    </w:rPr>
  </w:style>
  <w:style w:type="character" w:styleId="1014" w:customStyle="1">
    <w:name w:val="批注文字 Char2"/>
    <w:uiPriority w:val="0"/>
    <w:semiHidden/>
    <w:qFormat/>
    <w:rPr>
      <w:sz w:val="24"/>
      <w:szCs w:val="24"/>
    </w:rPr>
  </w:style>
  <w:style w:type="character" w:styleId="1015" w:customStyle="1">
    <w:name w:val="Plain Text Char"/>
    <w:uiPriority w:val="0"/>
    <w:qFormat/>
    <w:rPr>
      <w:rFonts w:ascii="宋体" w:hAnsi="Courier New" w:eastAsia="楷体_GB2312"/>
      <w:sz w:val="26"/>
    </w:rPr>
  </w:style>
  <w:style w:type="character" w:styleId="1016" w:customStyle="1">
    <w:name w:val="批注主题 Char1"/>
    <w:uiPriority w:val="0"/>
    <w:semiHidden/>
    <w:qFormat/>
    <w:rPr>
      <w:b/>
      <w:bCs/>
      <w:sz w:val="24"/>
      <w:szCs w:val="24"/>
    </w:rPr>
  </w:style>
  <w:style w:type="character" w:styleId="1017" w:customStyle="1">
    <w:name w:val="方案正文 Char"/>
    <w:link w:val="1018"/>
    <w:uiPriority w:val="0"/>
    <w:qFormat/>
    <w:rPr>
      <w:spacing w:val="2"/>
      <w:sz w:val="21"/>
      <w:szCs w:val="21"/>
    </w:rPr>
  </w:style>
  <w:style w:type="paragraph" w:styleId="1018" w:customStyle="1">
    <w:name w:val="方案正文"/>
    <w:basedOn w:val="899"/>
    <w:link w:val="1017"/>
    <w:uiPriority w:val="0"/>
    <w:qFormat/>
    <w:pPr>
      <w:jc w:val="left"/>
      <w:spacing w:line="360" w:lineRule="auto"/>
      <w:widowControl/>
      <w:tabs>
        <w:tab w:val="left" w:pos="0" w:leader="none"/>
      </w:tabs>
    </w:pPr>
    <w:rPr>
      <w:spacing w:val="2"/>
      <w:szCs w:val="21"/>
    </w:rPr>
  </w:style>
  <w:style w:type="character" w:styleId="1019" w:customStyle="1">
    <w:name w:val="正文文本 字符"/>
    <w:uiPriority w:val="0"/>
    <w:qFormat/>
    <w:rPr>
      <w:rFonts w:ascii="楷体_GB2312" w:hAnsi="Arial" w:eastAsia="楷体_GB2312"/>
      <w:sz w:val="28"/>
    </w:rPr>
  </w:style>
  <w:style w:type="character" w:styleId="1020" w:customStyle="1">
    <w:name w:val="明显强调1"/>
    <w:uiPriority w:val="21"/>
    <w:qFormat/>
    <w:rPr>
      <w:b/>
      <w:bCs/>
      <w:i/>
      <w:iCs/>
      <w:color w:val="auto"/>
    </w:rPr>
  </w:style>
  <w:style w:type="character" w:styleId="1021" w:customStyle="1">
    <w:name w:val="引用 字符"/>
    <w:link w:val="1022"/>
    <w:uiPriority w:val="29"/>
    <w:qFormat/>
    <w:rPr>
      <w:rFonts w:ascii="Calibri Light" w:hAnsi="Calibri Light"/>
      <w:i/>
      <w:iCs/>
      <w:sz w:val="24"/>
      <w:szCs w:val="24"/>
    </w:rPr>
  </w:style>
  <w:style w:type="paragraph" w:styleId="1022">
    <w:name w:val="Quote"/>
    <w:basedOn w:val="899"/>
    <w:next w:val="899"/>
    <w:link w:val="1021"/>
    <w:uiPriority w:val="29"/>
    <w:qFormat/>
    <w:pPr>
      <w:ind w:left="864" w:right="864"/>
      <w:jc w:val="center"/>
      <w:spacing w:before="200" w:after="160" w:line="264" w:lineRule="auto"/>
      <w:widowControl/>
    </w:pPr>
    <w:rPr>
      <w:rFonts w:ascii="Calibri Light" w:hAnsi="Calibri Light"/>
      <w:i/>
      <w:iCs/>
      <w:sz w:val="24"/>
      <w:szCs w:val="24"/>
    </w:rPr>
  </w:style>
  <w:style w:type="character" w:styleId="1023" w:customStyle="1">
    <w:name w:val="页眉 Char1"/>
    <w:uiPriority w:val="99"/>
    <w:semiHidden/>
    <w:qFormat/>
    <w:rPr>
      <w:sz w:val="18"/>
      <w:szCs w:val="18"/>
    </w:rPr>
  </w:style>
  <w:style w:type="character" w:styleId="1024" w:customStyle="1">
    <w:name w:val="列出段落 字符"/>
    <w:link w:val="1025"/>
    <w:uiPriority w:val="34"/>
    <w:qFormat/>
    <w:rPr>
      <w:sz w:val="24"/>
      <w:szCs w:val="21"/>
    </w:rPr>
  </w:style>
  <w:style w:type="paragraph" w:styleId="1025">
    <w:name w:val="List Paragraph"/>
    <w:basedOn w:val="899"/>
    <w:link w:val="1024"/>
    <w:uiPriority w:val="34"/>
    <w:qFormat/>
    <w:pPr>
      <w:ind w:firstLine="420"/>
      <w:spacing w:line="360" w:lineRule="auto"/>
    </w:pPr>
    <w:rPr>
      <w:sz w:val="24"/>
      <w:szCs w:val="21"/>
    </w:rPr>
  </w:style>
  <w:style w:type="character" w:styleId="1026" w:customStyle="1">
    <w:name w:val="不明显参考1"/>
    <w:uiPriority w:val="31"/>
    <w:qFormat/>
    <w:rPr>
      <w:smallCaps/>
      <w:color w:val="auto"/>
      <w:u w:val="single"/>
    </w:rPr>
  </w:style>
  <w:style w:type="character" w:styleId="1027" w:customStyle="1">
    <w:name w:val="日期 Char1"/>
    <w:uiPriority w:val="0"/>
    <w:semiHidden/>
    <w:qFormat/>
    <w:rPr>
      <w:sz w:val="24"/>
      <w:szCs w:val="24"/>
    </w:rPr>
  </w:style>
  <w:style w:type="character" w:styleId="1028" w:customStyle="1">
    <w:name w:val="正文文本 Char1"/>
    <w:uiPriority w:val="0"/>
    <w:qFormat/>
    <w:rPr>
      <w:rFonts w:ascii="楷体_GB2312" w:hAnsi="Arial" w:eastAsia="楷体_GB2312"/>
      <w:sz w:val="28"/>
    </w:rPr>
  </w:style>
  <w:style w:type="character" w:styleId="1029" w:customStyle="1">
    <w:name w:val="签名 字符"/>
    <w:uiPriority w:val="0"/>
    <w:qFormat/>
    <w:rPr>
      <w:rFonts w:eastAsia="仿宋_GB2312"/>
      <w:sz w:val="24"/>
    </w:rPr>
  </w:style>
  <w:style w:type="character" w:styleId="1030" w:customStyle="1">
    <w:name w:val="批注文字 Char"/>
    <w:uiPriority w:val="0"/>
    <w:qFormat/>
    <w:rPr>
      <w:sz w:val="21"/>
    </w:rPr>
  </w:style>
  <w:style w:type="character" w:styleId="1031" w:customStyle="1">
    <w:name w:val="批注框文本 Char1"/>
    <w:uiPriority w:val="0"/>
    <w:semiHidden/>
    <w:qFormat/>
    <w:rPr>
      <w:sz w:val="18"/>
      <w:szCs w:val="18"/>
    </w:rPr>
  </w:style>
  <w:style w:type="character" w:styleId="1032" w:customStyle="1">
    <w:name w:val="正文缩进 Char1"/>
    <w:link w:val="1033"/>
    <w:uiPriority w:val="0"/>
    <w:qFormat/>
    <w:rPr>
      <w:rFonts w:ascii="宋体"/>
      <w:sz w:val="24"/>
    </w:rPr>
  </w:style>
  <w:style w:type="paragraph" w:styleId="1033" w:customStyle="1">
    <w:name w:val="正文缩进1"/>
    <w:basedOn w:val="899"/>
    <w:link w:val="1032"/>
    <w:uiPriority w:val="0"/>
    <w:qFormat/>
    <w:pPr>
      <w:ind w:firstLine="420"/>
      <w:jc w:val="left"/>
    </w:pPr>
    <w:rPr>
      <w:rFonts w:ascii="宋体"/>
      <w:sz w:val="24"/>
    </w:rPr>
  </w:style>
  <w:style w:type="character" w:styleId="1034" w:customStyle="1">
    <w:name w:val="HTML 预设格式 Char1"/>
    <w:uiPriority w:val="0"/>
    <w:semiHidden/>
    <w:qFormat/>
    <w:rPr>
      <w:rFonts w:ascii="Courier New" w:hAnsi="Courier New" w:cs="Courier New"/>
    </w:rPr>
  </w:style>
  <w:style w:type="character" w:styleId="1035" w:customStyle="1">
    <w:name w:val="明显参考1"/>
    <w:uiPriority w:val="32"/>
    <w:qFormat/>
    <w:rPr>
      <w:b/>
      <w:bCs/>
      <w:smallCaps/>
      <w:color w:val="auto"/>
      <w:u w:val="single"/>
    </w:rPr>
  </w:style>
  <w:style w:type="paragraph" w:styleId="1036" w:customStyle="1">
    <w:name w:val="Char Char"/>
    <w:basedOn w:val="899"/>
    <w:uiPriority w:val="0"/>
    <w:qFormat/>
    <w:rPr>
      <w:szCs w:val="21"/>
    </w:rPr>
  </w:style>
  <w:style w:type="paragraph" w:styleId="1037"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1038" w:customStyle="1">
    <w:name w:val="Char Char1 Char Char Char Char Char Char Char"/>
    <w:basedOn w:val="899"/>
    <w:uiPriority w:val="0"/>
    <w:qFormat/>
    <w:rPr>
      <w:rFonts w:ascii="Tahoma" w:hAnsi="Tahoma"/>
      <w:sz w:val="24"/>
    </w:rPr>
  </w:style>
  <w:style w:type="paragraph" w:styleId="1039" w:customStyle="1">
    <w:name w:val="索引 11"/>
    <w:basedOn w:val="899"/>
    <w:next w:val="899"/>
    <w:uiPriority w:val="0"/>
    <w:qFormat/>
    <w:pPr>
      <w:spacing w:line="360" w:lineRule="auto"/>
    </w:pPr>
    <w:rPr>
      <w:rFonts w:ascii="仿宋_GB2312" w:eastAsia="仿宋_GB2312"/>
      <w:sz w:val="24"/>
    </w:rPr>
  </w:style>
  <w:style w:type="paragraph" w:styleId="1040">
    <w:name w:val="No Spacing"/>
    <w:uiPriority w:val="1"/>
    <w:qFormat/>
    <w:pPr>
      <w:jc w:val="both"/>
    </w:pPr>
    <w:rPr>
      <w:rFonts w:ascii="Calibri" w:hAnsi="Calibri" w:eastAsia="宋体" w:cs="Times New Roman"/>
      <w:sz w:val="22"/>
      <w:szCs w:val="22"/>
      <w:lang w:val="en-US" w:eastAsia="zh-CN" w:bidi="ar-SA"/>
    </w:rPr>
  </w:style>
  <w:style w:type="paragraph" w:styleId="1041" w:customStyle="1">
    <w:name w:val="Char Char Char"/>
    <w:basedOn w:val="899"/>
    <w:uiPriority w:val="0"/>
    <w:qFormat/>
    <w:pPr>
      <w:ind w:left="375" w:hanging="375"/>
      <w:tabs>
        <w:tab w:val="left" w:pos="375" w:leader="none"/>
        <w:tab w:val="left" w:pos="1545" w:leader="none"/>
      </w:tabs>
    </w:pPr>
  </w:style>
  <w:style w:type="paragraph" w:styleId="1042" w:customStyle="1">
    <w:name w:val="Char"/>
    <w:basedOn w:val="899"/>
    <w:uiPriority w:val="0"/>
    <w:qFormat/>
    <w:pPr>
      <w:numPr>
        <w:ilvl w:val="0"/>
        <w:numId w:val="1"/>
      </w:numPr>
    </w:pPr>
    <w:rPr>
      <w:sz w:val="24"/>
      <w:szCs w:val="24"/>
    </w:rPr>
  </w:style>
  <w:style w:type="paragraph" w:styleId="1043" w:customStyle="1">
    <w:name w:val="Char1 Char Char Char"/>
    <w:basedOn w:val="899"/>
    <w:uiPriority w:val="0"/>
    <w:qFormat/>
    <w:rPr>
      <w:rFonts w:ascii="Tahoma" w:hAnsi="Tahoma"/>
      <w:sz w:val="24"/>
    </w:rPr>
  </w:style>
  <w:style w:type="paragraph" w:styleId="1044" w:customStyle="1">
    <w:name w:val="Char Char Char Char"/>
    <w:basedOn w:val="916"/>
    <w:uiPriority w:val="0"/>
    <w:qFormat/>
    <w:pPr>
      <w:spacing w:line="360" w:lineRule="auto"/>
    </w:pPr>
    <w:rPr>
      <w:rFonts w:ascii="Tahoma" w:hAnsi="Tahoma"/>
      <w:sz w:val="24"/>
      <w:szCs w:val="24"/>
    </w:rPr>
  </w:style>
  <w:style w:type="paragraph" w:styleId="1045" w:customStyle="1">
    <w:name w:val="Char Char Char1"/>
    <w:basedOn w:val="899"/>
    <w:uiPriority w:val="0"/>
    <w:qFormat/>
    <w:pPr>
      <w:numPr>
        <w:ilvl w:val="0"/>
        <w:numId w:val="2"/>
      </w:numPr>
      <w:tabs>
        <w:tab w:val="left" w:pos="375" w:leader="none"/>
        <w:tab w:val="left" w:pos="1545" w:leader="none"/>
      </w:tabs>
    </w:pPr>
  </w:style>
  <w:style w:type="paragraph" w:styleId="1046" w:customStyle="1">
    <w:name w:val="样式1"/>
    <w:basedOn w:val="899"/>
    <w:uiPriority w:val="0"/>
    <w:qFormat/>
    <w:pPr>
      <w:numPr>
        <w:ilvl w:val="0"/>
        <w:numId w:val="3"/>
      </w:numPr>
    </w:pPr>
    <w:rPr>
      <w:rFonts w:ascii="宋体" w:hAnsi="宋体"/>
      <w:szCs w:val="21"/>
    </w:rPr>
  </w:style>
  <w:style w:type="paragraph" w:styleId="1047" w:customStyle="1">
    <w:name w:val="_Style 12"/>
    <w:basedOn w:val="916"/>
    <w:uiPriority w:val="0"/>
    <w:qFormat/>
    <w:pPr>
      <w:jc w:val="left"/>
      <w:spacing w:line="360" w:lineRule="auto"/>
      <w:widowControl/>
    </w:pPr>
    <w:rPr>
      <w:sz w:val="24"/>
      <w:szCs w:val="24"/>
    </w:rPr>
  </w:style>
  <w:style w:type="paragraph" w:styleId="1048" w:customStyle="1">
    <w:name w:val="Plain Text1"/>
    <w:basedOn w:val="899"/>
    <w:uiPriority w:val="0"/>
    <w:qFormat/>
    <w:rPr>
      <w:rFonts w:ascii="宋体" w:hAnsi="Courier New" w:eastAsia="楷体_GB2312"/>
      <w:sz w:val="28"/>
    </w:rPr>
  </w:style>
  <w:style w:type="paragraph" w:styleId="1049" w:customStyle="1">
    <w:name w:val="列出段落1"/>
    <w:uiPriority w:val="0"/>
    <w:qFormat/>
    <w:pPr>
      <w:ind w:left="720"/>
      <w:pBdr>
        <w:top w:val="none" w:color="FFFFFF" w:sz="0" w:space="31"/>
        <w:left w:val="none" w:color="FFFFFF" w:sz="0" w:space="31"/>
        <w:bottom w:val="none" w:color="FFFFFF" w:sz="0" w:space="31"/>
        <w:right w:val="none" w:color="FFFFFF" w:sz="0" w:space="31"/>
      </w:pBdr>
    </w:pPr>
    <w:rPr>
      <w:rFonts w:ascii="Arial" w:hAnsi="Arial" w:eastAsia="宋体" w:cs="Arial"/>
      <w:color w:val="000000"/>
      <w:sz w:val="24"/>
      <w:szCs w:val="24"/>
      <w:lang w:val="en-US" w:eastAsia="zh-CN" w:bidi="ar-SA"/>
    </w:rPr>
  </w:style>
  <w:style w:type="paragraph" w:styleId="1050" w:customStyle="1">
    <w:name w:val="Char Char1 Char Char Char Char Char Char Char1"/>
    <w:basedOn w:val="899"/>
    <w:uiPriority w:val="0"/>
    <w:qFormat/>
    <w:rPr>
      <w:rFonts w:ascii="Calibri Light" w:hAnsi="Calibri Light" w:cs="Berlin Sans FB Demi"/>
      <w:sz w:val="24"/>
    </w:rPr>
  </w:style>
  <w:style w:type="paragraph" w:styleId="1051" w:customStyle="1">
    <w:name w:val="TOC 标题1"/>
    <w:basedOn w:val="900"/>
    <w:next w:val="899"/>
    <w:uiPriority w:val="39"/>
    <w:qFormat/>
    <w:pPr>
      <w:jc w:val="both"/>
      <w:keepLines/>
      <w:spacing w:before="320" w:after="40" w:line="252" w:lineRule="auto"/>
      <w:widowControl/>
      <w:tabs>
        <w:tab w:val="clear" w:pos="200" w:leader="none"/>
      </w:tabs>
      <w:outlineLvl w:val="9"/>
    </w:pPr>
    <w:rPr>
      <w:rFonts w:ascii="Calibri Light" w:hAnsi="Calibri Light"/>
      <w:bCs/>
      <w:caps/>
      <w:spacing w:val="4"/>
      <w:sz w:val="28"/>
      <w:szCs w:val="28"/>
    </w:rPr>
  </w:style>
  <w:style w:type="table" w:styleId="1052" w:customStyle="1">
    <w:name w:val="网格型1"/>
    <w:basedOn w:val="910"/>
    <w:uiPriority w:val="0"/>
    <w:qFormat/>
    <w:pPr>
      <w:jc w:val="both"/>
      <w:widowControl w:val="off"/>
    </w:pPr>
    <w:rPr>
      <w:rFonts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3" w:customStyle="1">
    <w:name w:val="正文首行缩进 字符"/>
    <w:basedOn w:val="985"/>
    <w:uiPriority w:val="0"/>
    <w:qFormat/>
    <w:rPr>
      <w:rFonts w:ascii="楷体_GB2312" w:hAnsi="Arial" w:eastAsia="楷体_GB2312"/>
      <w:sz w:val="21"/>
    </w:rPr>
  </w:style>
  <w:style w:type="character" w:styleId="1054" w:customStyle="1">
    <w:name w:val="正文首行缩进 字符1"/>
    <w:link w:val="920"/>
    <w:uiPriority w:val="99"/>
    <w:qFormat/>
    <w:rPr>
      <w:sz w:val="21"/>
    </w:rPr>
  </w:style>
  <w:style w:type="paragraph" w:styleId="1055" w:customStyle="1">
    <w:name w:val="纯文本2"/>
    <w:basedOn w:val="899"/>
    <w:uiPriority w:val="0"/>
    <w:qFormat/>
    <w:rPr>
      <w:rFonts w:ascii="宋体" w:hAnsi="Courier New" w:eastAsia="楷体_GB2312"/>
      <w:sz w:val="28"/>
    </w:rPr>
  </w:style>
  <w:style w:type="character" w:styleId="1056" w:customStyle="1">
    <w:name w:val="NormalCharacter"/>
    <w:uiPriority w:val="0"/>
    <w:semiHidden/>
    <w:qFormat/>
    <w:rPr>
      <w:sz w:val="21"/>
      <w:lang w:val="en-US" w:eastAsia="zh-CN" w:bidi="ar-SA"/>
    </w:rPr>
  </w:style>
  <w:style w:type="character" w:styleId="1057" w:customStyle="1">
    <w:name w:val="Plain Text Char Char"/>
    <w:uiPriority w:val="0"/>
    <w:qFormat/>
    <w:rPr>
      <w:rFonts w:ascii="宋体" w:hAnsi="Courier New" w:eastAsia="楷体_GB2312"/>
      <w:sz w:val="28"/>
    </w:rPr>
  </w:style>
  <w:style w:type="character" w:styleId="1058" w:customStyle="1">
    <w:name w:val="text1 Char"/>
    <w:link w:val="1059"/>
    <w:uiPriority w:val="0"/>
    <w:qFormat/>
    <w:rPr>
      <w:sz w:val="24"/>
      <w:lang w:val="zh-CN"/>
    </w:rPr>
  </w:style>
  <w:style w:type="paragraph" w:styleId="1059" w:customStyle="1">
    <w:name w:val="text1"/>
    <w:basedOn w:val="899"/>
    <w:link w:val="1058"/>
    <w:uiPriority w:val="0"/>
    <w:qFormat/>
    <w:pPr>
      <w:ind w:firstLine="200"/>
      <w:spacing w:line="360" w:lineRule="auto"/>
    </w:pPr>
    <w:rPr>
      <w:sz w:val="24"/>
      <w:lang w:val="zh-CN"/>
    </w:rPr>
  </w:style>
  <w:style w:type="paragraph" w:styleId="1060" w:customStyle="1">
    <w:name w:val="Body text|1"/>
    <w:basedOn w:val="899"/>
    <w:uiPriority w:val="0"/>
    <w:qFormat/>
    <w:pPr>
      <w:ind w:firstLine="240"/>
      <w:spacing w:after="80" w:line="401" w:lineRule="auto"/>
    </w:pPr>
    <w:rPr>
      <w:rFonts w:ascii="宋体" w:hAnsi="宋体" w:cs="宋体"/>
      <w:sz w:val="22"/>
      <w:szCs w:val="22"/>
      <w:lang w:val="zh-TW" w:eastAsia="zh-TW" w:bidi="zh-TW"/>
    </w:rPr>
  </w:style>
  <w:style w:type="paragraph" w:styleId="1061" w:customStyle="1">
    <w:name w:val="Other|1"/>
    <w:basedOn w:val="899"/>
    <w:uiPriority w:val="0"/>
    <w:qFormat/>
    <w:pPr>
      <w:ind w:firstLine="240"/>
      <w:spacing w:after="80" w:line="401" w:lineRule="auto"/>
    </w:pPr>
    <w:rPr>
      <w:rFonts w:ascii="宋体" w:hAnsi="宋体" w:cs="宋体"/>
      <w:sz w:val="22"/>
      <w:szCs w:val="22"/>
      <w:lang w:val="zh-TW" w:eastAsia="zh-TW" w:bidi="zh-TW"/>
    </w:rPr>
  </w:style>
  <w:style w:type="paragraph" w:styleId="1062" w:customStyle="1">
    <w:name w:val="Header or footer|2"/>
    <w:basedOn w:val="899"/>
    <w:uiPriority w:val="0"/>
    <w:qFormat/>
    <w:rPr>
      <w:sz w:val="20"/>
      <w:lang w:val="zh-TW" w:eastAsia="zh-TW" w:bidi="zh-TW"/>
    </w:rPr>
  </w:style>
  <w:style w:type="paragraph" w:styleId="1063" w:customStyle="1">
    <w:name w:val="Heading #3|1"/>
    <w:basedOn w:val="899"/>
    <w:uiPriority w:val="0"/>
    <w:qFormat/>
    <w:pPr>
      <w:ind w:left="2180" w:firstLine="20"/>
      <w:spacing w:line="432" w:lineRule="exact"/>
      <w:outlineLvl w:val="2"/>
    </w:pPr>
    <w:rPr>
      <w:rFonts w:ascii="宋体" w:hAnsi="宋体" w:cs="宋体"/>
      <w:sz w:val="26"/>
      <w:szCs w:val="26"/>
      <w:lang w:val="zh-TW" w:eastAsia="zh-TW" w:bidi="zh-TW"/>
    </w:rPr>
  </w:style>
  <w:style w:type="paragraph" w:styleId="1064" w:customStyle="1">
    <w:name w:val="Header or footer|1"/>
    <w:basedOn w:val="899"/>
    <w:uiPriority w:val="0"/>
    <w:qFormat/>
    <w:pPr>
      <w:jc w:val="right"/>
    </w:pPr>
    <w:rPr>
      <w:rFonts w:ascii="宋体" w:hAnsi="宋体" w:cs="宋体"/>
      <w:sz w:val="26"/>
      <w:szCs w:val="26"/>
      <w:lang w:val="zh-TW" w:eastAsia="zh-TW" w:bidi="zh-TW"/>
    </w:rPr>
  </w:style>
  <w:style w:type="character" w:styleId="1065" w:customStyle="1">
    <w:name w:val="hover"/>
    <w:basedOn w:val="909"/>
    <w:uiPriority w:val="0"/>
    <w:qFormat/>
    <w:rPr>
      <w:color w:val="2590eb"/>
    </w:rPr>
  </w:style>
  <w:style w:type="character" w:styleId="1066" w:customStyle="1">
    <w:name w:val="hover1"/>
    <w:basedOn w:val="909"/>
    <w:uiPriority w:val="0"/>
    <w:qFormat/>
    <w:rPr>
      <w:color w:val="2590eb"/>
    </w:rPr>
  </w:style>
  <w:style w:type="character" w:styleId="1067" w:customStyle="1">
    <w:name w:val="hover2"/>
    <w:basedOn w:val="909"/>
    <w:uiPriority w:val="0"/>
    <w:qFormat/>
  </w:style>
  <w:style w:type="character" w:styleId="1068" w:customStyle="1">
    <w:name w:val="hover3"/>
    <w:basedOn w:val="909"/>
    <w:uiPriority w:val="0"/>
    <w:qFormat/>
    <w:rPr>
      <w:color w:val="2590eb"/>
      <w:shd w:val="clear" w:color="auto" w:fill="e9f4fd"/>
    </w:rPr>
  </w:style>
  <w:style w:type="paragraph" w:styleId="1069" w:customStyle="1">
    <w:name w:val="标题 3.1"/>
    <w:basedOn w:val="902"/>
    <w:uiPriority w:val="0"/>
    <w:qFormat/>
    <w:pPr>
      <w:jc w:val="both"/>
      <w:keepLines/>
      <w:spacing w:before="260" w:after="260" w:line="600" w:lineRule="exact"/>
      <w:tabs>
        <w:tab w:val="left" w:pos="1440" w:leader="none"/>
        <w:tab w:val="left" w:pos="1620" w:leader="none"/>
      </w:tabs>
    </w:pPr>
    <w:rPr>
      <w:b/>
      <w:color w:val="ff0000"/>
      <w:sz w:val="32"/>
    </w:rPr>
  </w:style>
  <w:style w:type="paragraph" w:styleId="1070" w:customStyle="1">
    <w:name w:val="Char Char1 Char Char Char Char Char Char Char2"/>
    <w:basedOn w:val="899"/>
    <w:uiPriority w:val="0"/>
    <w:qFormat/>
    <w:rPr>
      <w:rFonts w:ascii="Tahoma" w:hAnsi="Tahoma"/>
      <w:sz w:val="24"/>
    </w:rPr>
  </w:style>
  <w:style w:type="paragraph" w:styleId="1071" w:customStyle="1">
    <w:name w:val="普通(网站)1"/>
    <w:basedOn w:val="899"/>
    <w:uiPriority w:val="0"/>
    <w:qFormat/>
    <w:pPr>
      <w:jc w:val="left"/>
      <w:spacing w:before="100" w:beforeAutospacing="1" w:after="100" w:afterAutospacing="1"/>
      <w:widowControl/>
    </w:pPr>
    <w:rPr>
      <w:rFonts w:ascii="宋体" w:hAnsi="宋体" w:cs="宋体"/>
      <w:sz w:val="24"/>
    </w:rPr>
  </w:style>
  <w:style w:type="paragraph" w:styleId="1072" w:customStyle="1">
    <w:name w:val="普通正文"/>
    <w:basedOn w:val="899"/>
    <w:uiPriority w:val="0"/>
    <w:qFormat/>
    <w:pPr>
      <w:ind w:firstLine="480"/>
      <w:jc w:val="left"/>
      <w:spacing w:before="120" w:after="120" w:line="360" w:lineRule="auto"/>
    </w:pPr>
    <w:rPr>
      <w:rFonts w:ascii="Arial" w:hAnsi="Arial"/>
      <w:sz w:val="24"/>
      <w:szCs w:val="24"/>
    </w:rPr>
  </w:style>
  <w:style w:type="character" w:styleId="1073" w:customStyle="1">
    <w:name w:val="默认段落字体1"/>
    <w:uiPriority w:val="1"/>
    <w:unhideWhenUsed/>
    <w:qFormat/>
    <w:rPr>
      <w:rFonts w:ascii="Calibri" w:hAnsi="Calibri" w:eastAsia="宋体" w:cs="Times New Roman"/>
      <w:sz w:val="21"/>
      <w:lang w:val="en-US" w:eastAsia="zh-CN" w:bidi="ar-SA"/>
    </w:rPr>
  </w:style>
  <w:style w:type="paragraph" w:styleId="1074" w:customStyle="1">
    <w:name w:val="Normal_0_2"/>
    <w:uiPriority w:val="0"/>
    <w:qFormat/>
    <w:rPr>
      <w:rFonts w:ascii="Times New Roman" w:hAnsi="Times New Roman" w:eastAsia="Times New Roman" w:cs="Times New Roman"/>
      <w:sz w:val="24"/>
      <w:szCs w:val="24"/>
      <w:lang w:val="en-US" w:eastAsia="zh-CN" w:bidi="ar-SA"/>
    </w:rPr>
  </w:style>
  <w:style w:type="paragraph" w:styleId="1075" w:customStyle="1">
    <w:name w:val="正文文本1"/>
    <w:basedOn w:val="899"/>
    <w:next w:val="899"/>
    <w:uiPriority w:val="0"/>
    <w:qFormat/>
    <w:rPr>
      <w:rFonts w:ascii="楷体_GB2312" w:hAnsi="Arial" w:eastAsia="楷体_GB2312"/>
      <w:sz w:val="28"/>
    </w:rPr>
  </w:style>
  <w:style w:type="paragraph" w:styleId="1076" w:customStyle="1">
    <w:name w:val="正文文本缩进1"/>
    <w:basedOn w:val="899"/>
    <w:next w:val="1077"/>
    <w:uiPriority w:val="0"/>
    <w:qFormat/>
    <w:pPr>
      <w:ind w:firstLine="574"/>
      <w:spacing w:line="312" w:lineRule="atLeast"/>
    </w:pPr>
    <w:rPr>
      <w:rFonts w:ascii="宋体"/>
      <w:sz w:val="28"/>
    </w:rPr>
  </w:style>
  <w:style w:type="paragraph" w:styleId="1077" w:customStyle="1">
    <w:name w:val="寄信人地址1"/>
    <w:basedOn w:val="899"/>
    <w:uiPriority w:val="0"/>
    <w:qFormat/>
    <w:rPr>
      <w:rFonts w:ascii="Arial" w:hAnsi="Arial"/>
    </w:rPr>
  </w:style>
  <w:style w:type="character" w:styleId="1078" w:customStyle="1">
    <w:name w:val="font11"/>
    <w:basedOn w:val="909"/>
    <w:uiPriority w:val="0"/>
    <w:qFormat/>
    <w:rPr>
      <w:rFonts w:hint="eastAsia" w:ascii="宋体" w:hAnsi="宋体" w:eastAsia="宋体" w:cs="宋体"/>
      <w:b/>
      <w:bCs/>
      <w:color w:val="000000"/>
      <w:sz w:val="24"/>
      <w:szCs w:val="24"/>
      <w:u w:val="none"/>
    </w:rPr>
  </w:style>
  <w:style w:type="character" w:styleId="1079" w:customStyle="1">
    <w:name w:val="font81"/>
    <w:basedOn w:val="909"/>
    <w:uiPriority w:val="0"/>
    <w:qFormat/>
    <w:rPr>
      <w:rFonts w:hint="eastAsia" w:ascii="宋体" w:hAnsi="宋体" w:eastAsia="宋体" w:cs="宋体"/>
      <w:b/>
      <w:bCs/>
      <w:color w:val="000000"/>
      <w:sz w:val="24"/>
      <w:szCs w:val="24"/>
      <w:u w:val="single"/>
    </w:rPr>
  </w:style>
  <w:style w:type="character" w:styleId="1080" w:customStyle="1">
    <w:name w:val="font71"/>
    <w:basedOn w:val="909"/>
    <w:uiPriority w:val="0"/>
    <w:qFormat/>
    <w:rPr>
      <w:rFonts w:hint="default" w:ascii="MS Mincho" w:hAnsi="MS Mincho" w:eastAsia="MS Mincho" w:cs="MS Mincho"/>
      <w:color w:val="000000"/>
      <w:sz w:val="22"/>
      <w:szCs w:val="22"/>
      <w:u w:val="none"/>
    </w:rPr>
  </w:style>
  <w:style w:type="character" w:styleId="1081" w:customStyle="1">
    <w:name w:val="font31"/>
    <w:basedOn w:val="909"/>
    <w:uiPriority w:val="0"/>
    <w:qFormat/>
    <w:rPr>
      <w:rFonts w:hint="eastAsia" w:ascii="宋体" w:hAnsi="宋体" w:eastAsia="宋体" w:cs="宋体"/>
      <w:color w:val="000000"/>
      <w:sz w:val="22"/>
      <w:szCs w:val="22"/>
      <w:u w:val="none"/>
    </w:rPr>
  </w:style>
  <w:style w:type="character" w:styleId="1082" w:customStyle="1">
    <w:name w:val="font41"/>
    <w:basedOn w:val="909"/>
    <w:uiPriority w:val="0"/>
    <w:qFormat/>
    <w:rPr>
      <w:rFonts w:hint="eastAsia" w:ascii="宋体" w:hAnsi="宋体" w:eastAsia="宋体" w:cs="宋体"/>
      <w:color w:val="000000"/>
      <w:sz w:val="24"/>
      <w:szCs w:val="24"/>
      <w:u w:val="none"/>
    </w:rPr>
  </w:style>
  <w:style w:type="numbering" w:styleId="118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customXml" Target="../customXml/item1.xml" /><Relationship Id="rId2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AB1EC96-2E82-4092-80AD-1712BC2BA81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王蔼玲</cp:lastModifiedBy>
  <cp:revision>20</cp:revision>
  <dcterms:created xsi:type="dcterms:W3CDTF">2022-09-15T08:01:00Z</dcterms:created>
  <dcterms:modified xsi:type="dcterms:W3CDTF">2026-07-29T01:03:48Z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046EC2FDDE3A4D48A76FA7323BEEEEFA_13</vt:lpwstr>
  </property>
  <property fmtid="{D5CDD505-2E9C-101B-9397-08002B2CF9AE}" pid="4" name="KSOTemplateDocerSaveRecord">
    <vt:lpwstr>eyJoZGlkIjoiNzgwMzk5YWNlOTlhZGNmYTkwYzkzMGM2MDFhMzUwMDQiLCJ1c2VySWQiOiI0MDM5OTE5NjUifQ==</vt:lpwstr>
  </property>
</Properties>
</file>