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78"/>
      </w:pPr>
      <w:r/>
      <w:r/>
    </w:p>
    <w:p>
      <w:pPr>
        <w:pStyle w:val="989"/>
        <w:jc w:val="center"/>
        <w:rPr>
          <w:rFonts w:eastAsia="黑体"/>
          <w:b/>
          <w:bCs/>
          <w:sz w:val="84"/>
        </w:rPr>
      </w:pPr>
      <w:r>
        <w:rPr>
          <w:rFonts w:hint="eastAsia" w:eastAsia="黑体"/>
          <w:b/>
          <w:bCs/>
          <w:sz w:val="84"/>
        </w:rPr>
        <w:t xml:space="preserve">招　标　文　件</w:t>
      </w:r>
      <w:r/>
    </w:p>
    <w:p>
      <w:pPr>
        <w:ind w:left="2942" w:hanging="1506"/>
        <w:spacing w:line="360" w:lineRule="auto"/>
        <w:rPr>
          <w:b/>
          <w:sz w:val="30"/>
          <w:szCs w:val="30"/>
        </w:rPr>
      </w:pPr>
      <w:r>
        <w:rPr>
          <w:rFonts w:hint="eastAsia"/>
          <w:b/>
          <w:sz w:val="30"/>
          <w:szCs w:val="30"/>
        </w:rPr>
        <w:t xml:space="preserve">项目名称：六合区</w:t>
      </w:r>
      <w:r>
        <w:rPr>
          <w:rFonts w:hint="eastAsia"/>
          <w:b/>
          <w:sz w:val="30"/>
          <w:szCs w:val="30"/>
          <w:lang w:val="zh-CN"/>
        </w:rPr>
        <w:t xml:space="preserve">中小学生专用校车</w:t>
      </w:r>
      <w:r/>
    </w:p>
    <w:p>
      <w:pPr>
        <w:ind w:firstLine="1506"/>
        <w:rPr>
          <w:b/>
          <w:sz w:val="30"/>
          <w:szCs w:val="30"/>
        </w:rPr>
      </w:pPr>
      <w:r>
        <w:rPr>
          <w:rFonts w:hint="eastAsia"/>
          <w:b/>
          <w:sz w:val="30"/>
          <w:szCs w:val="30"/>
        </w:rPr>
        <w:t xml:space="preserve">项目编号：</w:t>
      </w:r>
      <w:r>
        <w:rPr>
          <w:b/>
          <w:sz w:val="30"/>
          <w:szCs w:val="30"/>
        </w:rPr>
        <w:t xml:space="preserve">JSZC-320116-JZCG-G2026-0040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89"/>
        <w:ind w:firstLine="0"/>
        <w:jc w:val="center"/>
        <w:rPr>
          <w:b/>
          <w:bCs/>
          <w:sz w:val="32"/>
        </w:rPr>
      </w:pPr>
      <w:r>
        <w:rPr>
          <w:rFonts w:hint="eastAsia"/>
          <w:b/>
          <w:bCs/>
          <w:sz w:val="32"/>
        </w:rPr>
        <w:t xml:space="preserve">南京市公共资源交易中心六合分中心</w:t>
      </w:r>
      <w:r/>
    </w:p>
    <w:p>
      <w:pPr>
        <w:jc w:val="center"/>
        <w:rPr>
          <w:b/>
          <w:sz w:val="32"/>
          <w:szCs w:val="32"/>
        </w:rPr>
      </w:pPr>
      <w:r>
        <w:rPr>
          <w:rFonts w:hint="eastAsia"/>
          <w:b/>
          <w:sz w:val="32"/>
          <w:szCs w:val="32"/>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rFonts w:hint="eastAsia" w:ascii="Arial" w:hAnsi="Arial"/>
          <w:sz w:val="24"/>
          <w:szCs w:val="24"/>
        </w:rPr>
        <w:t xml:space="preserve"> </w:t>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901"/>
        <w:ind w:firstLine="465"/>
        <w:spacing w:before="120" w:after="120" w:line="252" w:lineRule="auto"/>
        <w:rPr>
          <w:rFonts w:hint="eastAsia" w:ascii="方正黑体_GBK" w:hAnsi="方正黑体_GBK" w:eastAsia="方正黑体_GBK" w:cs="方正黑体_GBK"/>
          <w:b w:val="0"/>
          <w:bCs w:val="0"/>
          <w:sz w:val="30"/>
          <w:szCs w:val="3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contextualSpacing/>
        <w:ind w:firstLine="480"/>
        <w:jc w:val="both"/>
        <w:spacing w:line="252" w:lineRule="auto"/>
        <w:rPr>
          <w:rFonts w:hint="eastAsia" w:ascii="宋体" w:hAnsi="宋体"/>
          <w:sz w:val="24"/>
          <w:szCs w:val="24"/>
        </w:rPr>
        <w:suppressLineNumbers w:val="0"/>
      </w:pPr>
      <w:r/>
      <w:bookmarkStart w:id="12" w:name="_Toc35393622"/>
      <w:r/>
      <w:bookmarkStart w:id="13" w:name="_Toc35393791"/>
      <w:r/>
      <w:bookmarkStart w:id="14" w:name="_Toc28359080"/>
      <w:r/>
      <w:bookmarkStart w:id="15" w:name="_Toc28359003"/>
      <w:r/>
      <w:bookmarkStart w:id="16" w:name="_Toc38985264"/>
      <w:r>
        <w:rPr>
          <w:rFonts w:hint="eastAsia" w:ascii="宋体" w:hAnsi="宋体"/>
          <w:sz w:val="24"/>
          <w:szCs w:val="24"/>
        </w:rPr>
        <w:t xml:space="preserve">1.项目编号：</w:t>
      </w:r>
      <w:r>
        <w:rPr>
          <w:rFonts w:ascii="宋体" w:hAnsi="宋体"/>
          <w:sz w:val="24"/>
          <w:szCs w:val="24"/>
        </w:rPr>
        <w:t xml:space="preserve">JSZC-320116-JZCG-G2026-0040  </w:t>
      </w:r>
      <w:r/>
    </w:p>
    <w:p>
      <w:pPr>
        <w:contextualSpacing/>
        <w:ind w:firstLine="480"/>
        <w:jc w:val="both"/>
        <w:spacing w:line="360" w:lineRule="auto"/>
        <w:rPr>
          <w:rFonts w:hint="eastAsia" w:ascii="宋体" w:hAnsi="宋体"/>
          <w:sz w:val="24"/>
          <w:szCs w:val="24"/>
        </w:rPr>
        <w:suppressLineNumbers w:val="0"/>
      </w:pPr>
      <w:r>
        <w:rPr>
          <w:rFonts w:hint="eastAsia" w:ascii="宋体" w:hAnsi="宋体"/>
          <w:sz w:val="24"/>
          <w:szCs w:val="24"/>
        </w:rPr>
        <w:t xml:space="preserve">2.项目名称：六合区</w:t>
      </w:r>
      <w:r>
        <w:rPr>
          <w:rFonts w:hint="eastAsia" w:ascii="宋体" w:hAnsi="宋体"/>
          <w:sz w:val="24"/>
          <w:szCs w:val="24"/>
          <w:lang w:val="zh-CN"/>
        </w:rPr>
        <w:t xml:space="preserve">中小学生专用校车</w:t>
      </w:r>
      <w:r/>
    </w:p>
    <w:p>
      <w:pPr>
        <w:contextualSpacing/>
        <w:ind w:firstLine="480"/>
        <w:jc w:val="both"/>
        <w:spacing w:line="400" w:lineRule="exact"/>
        <w:rPr>
          <w:rFonts w:hint="eastAsia" w:ascii="宋体" w:hAnsi="宋体"/>
          <w:sz w:val="24"/>
          <w:szCs w:val="24"/>
        </w:rPr>
        <w:suppressLineNumbers w:val="0"/>
      </w:pPr>
      <w:r>
        <w:rPr>
          <w:rFonts w:hint="eastAsia" w:ascii="宋体" w:hAnsi="宋体"/>
          <w:sz w:val="24"/>
          <w:szCs w:val="24"/>
        </w:rPr>
        <w:t xml:space="preserve">3.预算金额：2100万元；</w:t>
      </w:r>
      <w:r/>
    </w:p>
    <w:p>
      <w:pPr>
        <w:contextualSpacing/>
        <w:ind w:firstLine="480"/>
        <w:jc w:val="both"/>
        <w:spacing w:line="252" w:lineRule="auto"/>
        <w:rPr>
          <w:rFonts w:hint="eastAsia" w:ascii="宋体" w:hAnsi="宋体"/>
          <w:sz w:val="24"/>
          <w:szCs w:val="24"/>
        </w:rPr>
        <w:suppressLineNumbers w:val="0"/>
      </w:pPr>
      <w:r>
        <w:rPr>
          <w:rFonts w:hint="eastAsia" w:ascii="宋体" w:hAnsi="宋体"/>
          <w:sz w:val="24"/>
          <w:szCs w:val="24"/>
        </w:rPr>
        <w:t xml:space="preserve">4.最高限价：2100万元；</w:t>
      </w:r>
      <w:r/>
    </w:p>
    <w:p>
      <w:pPr>
        <w:pStyle w:val="977"/>
        <w:ind w:firstLine="480"/>
        <w:rPr>
          <w:rFonts w:hint="eastAsia" w:ascii="宋体" w:hAnsi="宋体"/>
          <w:szCs w:val="24"/>
          <w:u w:val="single"/>
        </w:rPr>
      </w:pPr>
      <w:r>
        <w:rPr>
          <w:rFonts w:hint="eastAsia" w:ascii="宋体" w:hAnsi="宋体"/>
          <w:szCs w:val="24"/>
        </w:rPr>
        <w:t xml:space="preserve">5.采购需求（简介）：</w:t>
      </w:r>
      <w:r>
        <w:rPr>
          <w:rFonts w:hint="eastAsia" w:ascii="宋体" w:hAnsi="宋体"/>
          <w:szCs w:val="24"/>
        </w:rPr>
        <w:t xml:space="preserve">为切实保障全区中小学生上下学出行安全，精准适配全区教育布局调整总体要求，经实地摸排调研、多方会商论证、综合评估研判，拟新购70辆（1.小学生专用校车30+1+1座50辆；2.中小学生专用校车28+1+1座20辆）。</w:t>
      </w:r>
      <w:r>
        <w:rPr>
          <w:rFonts w:hint="eastAsia" w:ascii="宋体" w:hAnsi="宋体" w:cs="宋体"/>
          <w:szCs w:val="24"/>
        </w:rPr>
        <w:t xml:space="preserve">（详细内容见本招标文件第四章） </w:t>
      </w:r>
      <w:r/>
    </w:p>
    <w:p>
      <w:pPr>
        <w:ind w:firstLine="480"/>
        <w:spacing w:line="252" w:lineRule="auto"/>
        <w:rPr>
          <w:rFonts w:hint="eastAsia" w:ascii="宋体" w:hAnsi="宋体"/>
          <w:sz w:val="24"/>
          <w:szCs w:val="24"/>
        </w:rPr>
      </w:pPr>
      <w:r>
        <w:rPr>
          <w:rFonts w:hint="eastAsia" w:ascii="宋体" w:hAnsi="宋体"/>
          <w:sz w:val="24"/>
          <w:szCs w:val="24"/>
        </w:rPr>
        <w:t xml:space="preserve">6.合同履行期限：365天（备注：交货期为合同签订后50天内）</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901"/>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901"/>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01"/>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5393625"/>
      <w:r/>
      <w:bookmarkStart w:id="28" w:name="_Toc28359007"/>
      <w:r/>
      <w:bookmarkStart w:id="29" w:name="_Toc35393794"/>
      <w:r/>
      <w:bookmarkStart w:id="30" w:name="_Toc38985267"/>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9</w:t>
      </w:r>
      <w:r>
        <w:rPr>
          <w:rFonts w:hint="eastAsia" w:ascii="宋体" w:hAnsi="宋体"/>
          <w:bCs/>
          <w:sz w:val="24"/>
          <w:szCs w:val="24"/>
        </w:rPr>
        <w:t xml:space="preserve">月</w:t>
      </w: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00</w:t>
      </w:r>
      <w:r>
        <w:rPr>
          <w:rFonts w:hint="eastAsia" w:ascii="宋体" w:hAnsi="宋体"/>
          <w:bCs/>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01"/>
        <w:ind w:firstLine="465"/>
        <w:spacing w:before="120" w:after="120" w:line="252" w:lineRule="auto"/>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901"/>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8985269"/>
      <w:r/>
      <w:bookmarkStart w:id="36" w:name="_Toc35393796"/>
      <w:r/>
      <w:bookmarkStart w:id="37" w:name="_Toc28359085"/>
      <w:r/>
      <w:bookmarkStart w:id="38" w:name="_Toc28359008"/>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pPr>
      <w:r>
        <w:rPr>
          <w:rFonts w:hint="eastAsia" w:ascii="宋体" w:hAnsi="宋体" w:cs="宋体"/>
          <w:sz w:val="24"/>
          <w:szCs w:val="24"/>
        </w:rPr>
        <w:t xml:space="preserve">2.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3.有关本次招标的事项若存在变动或修改，请及时关注“江苏政府采购网”（www.ccgp-jiangsu.gov.cn）更正公告。</w:t>
      </w:r>
      <w:r/>
    </w:p>
    <w:p>
      <w:pPr>
        <w:ind w:firstLine="480"/>
        <w:tabs>
          <w:tab w:val="left" w:pos="900" w:leader="none"/>
        </w:tabs>
        <w:rPr>
          <w:rFonts w:hint="eastAsia" w:ascii="宋体" w:hAnsi="宋体"/>
          <w:sz w:val="24"/>
          <w:szCs w:val="21"/>
        </w:rPr>
      </w:pPr>
      <w:r>
        <w:rPr>
          <w:rFonts w:hint="eastAsia" w:ascii="宋体" w:hAnsi="宋体"/>
          <w:sz w:val="24"/>
        </w:rPr>
        <w:t xml:space="preserve">4.</w:t>
      </w:r>
      <w:r>
        <w:rPr>
          <w:rFonts w:hint="eastAsia" w:ascii="宋体" w:hAnsi="宋体"/>
          <w:b/>
          <w:bCs/>
          <w:sz w:val="24"/>
        </w:rPr>
        <w:t xml:space="preserve">对本项目有关的所有询问或质疑向采购人提出，由采购人负责答复。</w:t>
      </w:r>
      <w:r/>
    </w:p>
    <w:p>
      <w:pPr>
        <w:ind w:firstLine="480"/>
        <w:tabs>
          <w:tab w:val="left" w:pos="900" w:leader="none"/>
        </w:tabs>
        <w:rPr>
          <w:rFonts w:hint="eastAsia" w:ascii="宋体" w:hAnsi="宋体"/>
          <w:sz w:val="24"/>
        </w:rPr>
      </w:pPr>
      <w:r>
        <w:rPr>
          <w:rFonts w:hint="eastAsia" w:ascii="宋体" w:hAnsi="宋体"/>
          <w:sz w:val="24"/>
        </w:rPr>
        <w:t xml:space="preserve">采购人《质疑函》收件人：王老师，收件地址：南京市六合区雄州南路268号六合区教育局1721室，联系电话：</w:t>
      </w:r>
      <w:r>
        <w:rPr>
          <w:rFonts w:hint="eastAsia" w:ascii="宋体" w:hAnsi="宋体"/>
          <w:sz w:val="24"/>
          <w:szCs w:val="24"/>
        </w:rPr>
        <w:t xml:space="preserve">025-57675198</w:t>
      </w:r>
      <w:r>
        <w:rPr>
          <w:rFonts w:hint="eastAsia" w:ascii="宋体" w:hAnsi="宋体"/>
          <w:sz w:val="24"/>
        </w:rPr>
        <w:t xml:space="preserve">。</w:t>
      </w:r>
      <w:r/>
    </w:p>
    <w:p>
      <w:pPr>
        <w:pStyle w:val="901"/>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称：南京市六合区教育局          </w:t>
      </w:r>
      <w:r/>
    </w:p>
    <w:p>
      <w:pPr>
        <w:ind w:firstLine="480"/>
        <w:spacing w:line="252" w:lineRule="auto"/>
        <w:rPr>
          <w:rFonts w:hint="eastAsia" w:ascii="宋体" w:hAnsi="宋体"/>
          <w:sz w:val="24"/>
          <w:szCs w:val="24"/>
        </w:rPr>
      </w:pPr>
      <w:r>
        <w:rPr>
          <w:rFonts w:hint="eastAsia" w:ascii="宋体" w:hAnsi="宋体"/>
          <w:sz w:val="24"/>
          <w:szCs w:val="24"/>
        </w:rPr>
        <w:t xml:space="preserve">地  址：南京市六合区雄州南路268号    </w:t>
      </w:r>
      <w:r/>
    </w:p>
    <w:p>
      <w:pPr>
        <w:ind w:firstLine="480"/>
        <w:spacing w:line="252" w:lineRule="auto"/>
        <w:rPr>
          <w:rFonts w:hint="eastAsia" w:ascii="宋体" w:hAnsi="宋体"/>
          <w:sz w:val="24"/>
          <w:szCs w:val="24"/>
        </w:rPr>
      </w:pPr>
      <w:r>
        <w:rPr>
          <w:rFonts w:hint="eastAsia" w:ascii="宋体" w:hAnsi="宋体"/>
          <w:sz w:val="24"/>
          <w:szCs w:val="24"/>
        </w:rPr>
        <w:t xml:space="preserve">联系人：王老师 </w:t>
      </w:r>
      <w:r/>
    </w:p>
    <w:p>
      <w:pPr>
        <w:ind w:firstLine="480"/>
        <w:spacing w:line="252" w:lineRule="auto"/>
        <w:rPr>
          <w:rFonts w:hint="eastAsia" w:ascii="宋体" w:hAnsi="宋体"/>
          <w:sz w:val="24"/>
          <w:szCs w:val="24"/>
        </w:rPr>
      </w:pPr>
      <w:r>
        <w:rPr>
          <w:rFonts w:hint="eastAsia" w:ascii="宋体" w:hAnsi="宋体"/>
          <w:sz w:val="24"/>
          <w:szCs w:val="24"/>
        </w:rPr>
        <w:t xml:space="preserve">联系电话：025-</w:t>
      </w:r>
      <w:bookmarkStart w:id="40" w:name="_Toc28359009"/>
      <w:r/>
      <w:bookmarkStart w:id="41" w:name="_Toc28359086"/>
      <w:r>
        <w:rPr>
          <w:rFonts w:hint="eastAsia" w:ascii="宋体" w:hAnsi="宋体"/>
          <w:sz w:val="24"/>
          <w:szCs w:val="24"/>
        </w:rPr>
        <w:t xml:space="preserve">57675198</w:t>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址：南京市六合区雄州街道龙池路333号    </w:t>
      </w:r>
      <w:r/>
    </w:p>
    <w:p>
      <w:pPr>
        <w:ind w:firstLine="480"/>
        <w:spacing w:line="252"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val="en-US" w:eastAsia="zh-CN"/>
        </w:rPr>
        <w:t xml:space="preserve">王老师</w:t>
      </w:r>
      <w:r/>
    </w:p>
    <w:p>
      <w:pPr>
        <w:ind w:firstLine="480"/>
        <w:jc w:val="left"/>
        <w:spacing w:line="252" w:lineRule="auto"/>
        <w:rPr>
          <w:rFonts w:hint="default" w:ascii="宋体" w:hAnsi="宋体" w:eastAsia="宋体"/>
          <w:sz w:val="24"/>
          <w:szCs w:val="24"/>
          <w:lang w:val="en-US" w:eastAsia="zh-CN"/>
        </w:rPr>
      </w:pPr>
      <w:r>
        <w:rPr>
          <w:rFonts w:hint="eastAsia" w:ascii="宋体" w:hAnsi="宋体"/>
          <w:sz w:val="24"/>
          <w:szCs w:val="24"/>
        </w:rPr>
        <w:t xml:space="preserve">联系电话：025-57</w:t>
      </w:r>
      <w:r>
        <w:rPr>
          <w:rFonts w:hint="eastAsia" w:ascii="宋体" w:hAnsi="宋体"/>
          <w:sz w:val="24"/>
          <w:szCs w:val="24"/>
          <w:lang w:val="en-US" w:eastAsia="zh-CN"/>
        </w:rPr>
        <w:t xml:space="preserve">130503</w:t>
      </w:r>
      <w:r/>
    </w:p>
    <w:p>
      <w:pPr>
        <w:pStyle w:val="97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（1）投标报价低于全部通过符合性审查投标人投标报价平均值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的，即投标报价&lt;全部通过符合性审查投标人投标报价平均值×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（2）投标报价低于通过符合性审查的次低报价投标人投标报价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的，即投标报价&lt;通过符合性审查的次低报价投标人投标报价×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（4）评委会基于专业判断，认为投标报价过低，有可能影响产品质量或者不能诚信履约的其他情形。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投标人对采购人、交易中心的质疑答复不满意，或者采购人、交易中心未在规定时间内作出质疑答复的，可以在答复期满后15个工作日内向南京市六合区财政局提起投诉。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901"/>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02"/>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90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902"/>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20823314"/>
      <w:r/>
      <w:bookmarkStart w:id="44" w:name="_Toc120614221"/>
      <w:r/>
      <w:bookmarkStart w:id="45" w:name="_Toc16938558"/>
      <w:r/>
      <w:bookmarkStart w:id="46" w:name="_Toc513029242"/>
      <w:r/>
      <w:bookmarkStart w:id="47" w:name="_Toc479757207"/>
      <w:r/>
      <w:r/>
    </w:p>
    <w:p>
      <w:pPr>
        <w:pStyle w:val="978"/>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78"/>
        <w:ind w:left="0"/>
        <w:jc w:val="center"/>
        <w:rPr>
          <w:rFonts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hint="eastAsia" w:ascii="宋体" w:hAnsi="宋体"/>
          <w:bCs/>
          <w:sz w:val="24"/>
          <w:szCs w:val="21"/>
        </w:rPr>
      </w:pPr>
      <w:r/>
      <w:bookmarkStart w:id="48" w:name="_Toc16938559"/>
      <w:r/>
      <w:bookmarkStart w:id="49" w:name="_Toc513029243"/>
      <w:r/>
      <w:bookmarkStart w:id="50" w:name="_Toc20823315"/>
      <w:r/>
      <w:bookmarkStart w:id="51" w:name="_Hlt16619350"/>
      <w:r/>
      <w:bookmarkStart w:id="52" w:name="_Toc20823346"/>
      <w:r/>
      <w:bookmarkStart w:id="53" w:name="_Toc120614244"/>
      <w:r/>
      <w:bookmarkStart w:id="54" w:name="_Toc16938590"/>
      <w:r/>
      <w:bookmarkStart w:id="55" w:name="_Toc462564139"/>
      <w:r/>
      <w:bookmarkStart w:id="56" w:name="_Toc479757211"/>
      <w:r>
        <w:rPr>
          <w:rFonts w:hint="eastAsia" w:ascii="宋体" w:hAnsi="宋体"/>
          <w:bCs/>
          <w:sz w:val="24"/>
          <w:szCs w:val="21"/>
        </w:rPr>
        <w:t xml:space="preserve">以下为本项目的合同条款，合同双方不得对招标、投标文件内容作实质性修改。</w:t>
      </w:r>
      <w:r/>
    </w:p>
    <w:p>
      <w:pPr>
        <w:jc w:val="center"/>
        <w:spacing w:before="120" w:after="120" w:line="264" w:lineRule="auto"/>
        <w:rPr>
          <w:rFonts w:hint="eastAsia" w:ascii="宋体" w:hAnsi="宋体"/>
          <w:b/>
          <w:sz w:val="30"/>
          <w:szCs w:val="21"/>
        </w:rPr>
      </w:pPr>
      <w:r>
        <w:rPr>
          <w:rFonts w:hint="eastAsia" w:ascii="宋体" w:hAnsi="宋体"/>
          <w:b/>
          <w:sz w:val="30"/>
          <w:szCs w:val="21"/>
        </w:rPr>
      </w:r>
      <w:r/>
    </w:p>
    <w:p>
      <w:pPr>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22"/>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22"/>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922"/>
        <w:spacing w:line="264" w:lineRule="auto"/>
        <w:rPr>
          <w:rFonts w:hint="eastAsia" w:hAnsi="宋体"/>
          <w:sz w:val="24"/>
          <w:szCs w:val="24"/>
        </w:rPr>
      </w:pPr>
      <w:r>
        <w:rPr>
          <w:rFonts w:hint="eastAsia" w:hAnsi="宋体"/>
          <w:sz w:val="24"/>
          <w:szCs w:val="24"/>
        </w:rPr>
        <w:t xml:space="preserve">8.1.1 合同签订后，甲方支付合同总价款的30%作为预付款。</w:t>
      </w:r>
      <w:r/>
    </w:p>
    <w:p>
      <w:pPr>
        <w:pStyle w:val="922"/>
        <w:spacing w:line="264" w:lineRule="auto"/>
        <w:rPr>
          <w:rFonts w:hint="eastAsia" w:hAnsi="宋体"/>
          <w:sz w:val="24"/>
          <w:szCs w:val="24"/>
        </w:rPr>
      </w:pPr>
      <w:r>
        <w:rPr>
          <w:rFonts w:hint="eastAsia" w:hAnsi="宋体"/>
          <w:sz w:val="24"/>
          <w:szCs w:val="24"/>
        </w:rPr>
        <w:t xml:space="preserve">8.1.2 供货结束并验收合格后，余款下一年度分12个月支付。</w:t>
      </w:r>
      <w:r/>
    </w:p>
    <w:p>
      <w:pPr>
        <w:pStyle w:val="922"/>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2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22"/>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整车质保期不少于3年或15万公里（时间与里程以先到者为准）；易损易耗件按车辆原厂保修手册执行。车身骨架、车架质保不少于5年（不计里程）</w:t>
      </w:r>
      <w:r>
        <w:rPr>
          <w:rFonts w:hint="eastAsia" w:ascii="宋体" w:hAnsi="宋体" w:cs="Courier New"/>
          <w:sz w:val="24"/>
          <w:szCs w:val="24"/>
        </w:rPr>
        <w:t xml:space="preserve">，因人为因素出现的故障不在质保范围内。超过质保期的乙方负责终生维修，维修时只收取部件成本费。</w:t>
      </w:r>
      <w:bookmarkStart w:id="70" w:name="_GoBack"/>
      <w:r/>
      <w:bookmarkEnd w:id="70"/>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如有必要，甲方可邀请参加本项目投标的其他投标人或第三方专业机构及专家参与验收，相关意见将作为验收结论的参考。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十六、合同生效及其他</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48"/>
      <w:r/>
      <w:bookmarkEnd w:id="49"/>
      <w:r/>
      <w:bookmarkEnd w:id="50"/>
      <w:r/>
      <w:r/>
    </w:p>
    <w:p>
      <w:pPr>
        <w:pStyle w:val="922"/>
        <w:spacing w:before="120" w:after="120" w:line="264" w:lineRule="auto"/>
        <w:rPr>
          <w:rFonts w:hint="eastAsia" w:hAnsi="宋体"/>
          <w:sz w:val="24"/>
          <w:szCs w:val="24"/>
        </w:rPr>
      </w:pPr>
      <w:r/>
      <w:bookmarkStart w:id="57" w:name="_Hlt16619369"/>
      <w:r/>
      <w:bookmarkEnd w:id="57"/>
      <w:r>
        <w:rPr>
          <w:rFonts w:hint="eastAsia" w:hAnsi="宋体"/>
          <w:sz w:val="24"/>
          <w:szCs w:val="24"/>
        </w:rPr>
        <w:t xml:space="preserve">  </w:t>
      </w:r>
      <w:r/>
    </w:p>
    <w:p>
      <w:pPr>
        <w:pStyle w:val="922"/>
        <w:spacing w:before="120" w:after="120" w:line="264" w:lineRule="auto"/>
        <w:rPr>
          <w:rFonts w:hint="eastAsia" w:hAnsi="宋体"/>
          <w:sz w:val="24"/>
          <w:szCs w:val="24"/>
        </w:rPr>
      </w:pPr>
      <w:r>
        <w:rPr>
          <w:rFonts w:hint="eastAsia" w:hAnsi="宋体"/>
          <w:sz w:val="24"/>
          <w:szCs w:val="24"/>
        </w:rPr>
        <w:t xml:space="preserve">甲  方：（公章）                       乙  方：（公章） </w:t>
      </w:r>
      <w:r/>
    </w:p>
    <w:p>
      <w:pPr>
        <w:pStyle w:val="922"/>
        <w:spacing w:before="120" w:after="120" w:line="264" w:lineRule="auto"/>
        <w:rPr>
          <w:rFonts w:hint="eastAsia" w:hAnsi="宋体"/>
          <w:sz w:val="24"/>
          <w:szCs w:val="24"/>
        </w:rPr>
      </w:pPr>
      <w:r>
        <w:rPr>
          <w:rFonts w:hint="eastAsia" w:hAnsi="宋体"/>
          <w:sz w:val="24"/>
          <w:szCs w:val="24"/>
        </w:rPr>
        <w:t xml:space="preserve">地  址：                               地  址： </w:t>
      </w:r>
      <w:r/>
    </w:p>
    <w:p>
      <w:pPr>
        <w:pStyle w:val="922"/>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22"/>
        <w:spacing w:before="120" w:after="120" w:line="264" w:lineRule="auto"/>
        <w:rPr>
          <w:rFonts w:hint="eastAsia" w:hAnsi="宋体"/>
          <w:sz w:val="24"/>
          <w:szCs w:val="24"/>
        </w:rPr>
      </w:pPr>
      <w:r>
        <w:rPr>
          <w:rFonts w:hint="eastAsia" w:hAnsi="宋体"/>
          <w:sz w:val="24"/>
          <w:szCs w:val="24"/>
        </w:rPr>
        <w:t xml:space="preserve">联系电话：                             联系电话：          </w:t>
      </w:r>
      <w:r/>
    </w:p>
    <w:p>
      <w:pPr>
        <w:pStyle w:val="922"/>
        <w:spacing w:before="120" w:after="120" w:line="264" w:lineRule="auto"/>
        <w:rPr>
          <w:rFonts w:hint="eastAsia" w:hAnsi="宋体"/>
          <w:sz w:val="24"/>
          <w:szCs w:val="24"/>
        </w:rPr>
      </w:pPr>
      <w:r>
        <w:rPr>
          <w:rFonts w:hint="eastAsia" w:hAnsi="宋体"/>
          <w:sz w:val="24"/>
          <w:szCs w:val="24"/>
        </w:rPr>
        <w:t xml:space="preserve">                                          </w:t>
      </w:r>
      <w:r/>
    </w:p>
    <w:p>
      <w:pPr>
        <w:pStyle w:val="922"/>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20" w:after="120" w:line="264" w:lineRule="auto"/>
        <w:rPr>
          <w:rFonts w:hint="eastAsia" w:ascii="宋体" w:hAnsi="宋体"/>
          <w:b/>
          <w:sz w:val="30"/>
          <w:szCs w:val="21"/>
        </w:rPr>
      </w:pPr>
      <w:r>
        <w:rPr>
          <w:rFonts w:hint="eastAsia" w:ascii="宋体" w:hAnsi="宋体"/>
          <w:b/>
          <w:sz w:val="30"/>
          <w:szCs w:val="21"/>
        </w:rPr>
      </w:r>
      <w:r/>
    </w:p>
    <w:p>
      <w:pP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22"/>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51"/>
      <w:r>
        <w:rPr>
          <w:rFonts w:hint="eastAsia" w:ascii="方正小标宋简体" w:hAnsi="方正小标宋简体" w:eastAsia="方正小标宋简体" w:cs="方正小标宋简体"/>
          <w:sz w:val="36"/>
          <w:szCs w:val="36"/>
        </w:rPr>
        <w:t xml:space="preserve">四章  采购需求</w:t>
      </w:r>
      <w:bookmarkEnd w:id="52"/>
      <w:r/>
      <w:bookmarkEnd w:id="53"/>
      <w:r/>
      <w:bookmarkEnd w:id="54"/>
      <w:r/>
      <w:r/>
    </w:p>
    <w:p>
      <w:pPr>
        <w:ind w:firstLine="480"/>
        <w:spacing w:line="264" w:lineRule="auto"/>
        <w:rPr>
          <w:rFonts w:hint="eastAsia" w:ascii="黑体" w:hAnsi="黑体" w:eastAsia="黑体" w:cs="黑体"/>
          <w:sz w:val="24"/>
          <w:szCs w:val="24"/>
        </w:rPr>
      </w:pPr>
      <w:r/>
      <w:bookmarkStart w:id="58" w:name="_Toc26554093"/>
      <w:r/>
      <w:bookmarkStart w:id="59"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977"/>
        <w:ind w:firstLine="480"/>
        <w:rPr>
          <w:rFonts w:hint="eastAsia" w:ascii="宋体" w:hAnsi="宋体" w:cs="宋体"/>
          <w:bCs/>
          <w:szCs w:val="24"/>
        </w:rPr>
      </w:pPr>
      <w:r>
        <w:rPr>
          <w:rFonts w:hint="eastAsia" w:ascii="宋体" w:hAnsi="宋体" w:cs="宋体"/>
          <w:bCs/>
          <w:szCs w:val="24"/>
        </w:rPr>
        <w:t xml:space="preserve">（一）项目背景</w:t>
      </w:r>
      <w:r/>
    </w:p>
    <w:p>
      <w:pPr>
        <w:pStyle w:val="977"/>
        <w:ind w:firstLine="480"/>
        <w:rPr>
          <w:rFonts w:hint="eastAsia" w:ascii="宋体" w:hAnsi="宋体"/>
          <w:szCs w:val="24"/>
        </w:rPr>
      </w:pPr>
      <w:r>
        <w:rPr>
          <w:rFonts w:hint="eastAsia" w:ascii="宋体" w:hAnsi="宋体"/>
          <w:szCs w:val="24"/>
        </w:rPr>
        <w:t xml:space="preserve">为切实保障全区中小学生上下学出行安全，精准适配全区教育布局调整总体要求，经实地摸排调研、多方会商论证、综合评估研判，拟新购70辆（1.小学生专用校车30+1+1座50辆；2.中小学生专用校车28+1+1座20辆）。</w:t>
      </w:r>
      <w:r/>
    </w:p>
    <w:p>
      <w:pPr>
        <w:numPr>
          <w:ilvl w:val="0"/>
          <w:numId w:val="5"/>
        </w:numPr>
        <w:ind w:firstLine="480"/>
        <w:spacing w:line="264" w:lineRule="auto"/>
        <w:rPr>
          <w:rFonts w:hint="eastAsia" w:ascii="宋体" w:hAnsi="宋体" w:cs="宋体"/>
          <w:sz w:val="24"/>
          <w:szCs w:val="24"/>
        </w:rPr>
      </w:pPr>
      <w:r>
        <w:rPr>
          <w:rFonts w:hint="eastAsia" w:ascii="宋体" w:hAnsi="宋体" w:cs="宋体"/>
          <w:sz w:val="24"/>
          <w:szCs w:val="24"/>
        </w:rPr>
        <w:t xml:space="preserve">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（1）投标车型必须列入国家工信部《道路机动车辆生产企业及产品公告》目录。</w:t>
      </w:r>
      <w:r/>
    </w:p>
    <w:p>
      <w:pPr>
        <w:ind w:firstLine="480"/>
        <w:spacing w:line="264" w:lineRule="auto"/>
        <w:rPr>
          <w:rFonts w:hint="eastAsia" w:ascii="宋体" w:hAnsi="宋体"/>
          <w:sz w:val="24"/>
          <w:szCs w:val="24"/>
        </w:rPr>
      </w:pPr>
      <w:r>
        <w:rPr>
          <w:rFonts w:hint="eastAsia" w:ascii="宋体" w:hAnsi="宋体"/>
          <w:sz w:val="24"/>
          <w:szCs w:val="24"/>
        </w:rPr>
        <w:t xml:space="preserve">（2）所投标车型必须符合GB24407-2012《专用校车安全技术条件》及GB24406-2024《专用校车学生座椅系统及其车辆固定件的强度》要求。</w:t>
      </w:r>
      <w:r/>
    </w:p>
    <w:p>
      <w:pPr>
        <w:ind w:firstLine="480"/>
        <w:spacing w:line="264" w:lineRule="auto"/>
        <w:rPr>
          <w:rFonts w:hint="eastAsia" w:ascii="宋体" w:hAnsi="宋体"/>
          <w:sz w:val="24"/>
          <w:szCs w:val="24"/>
        </w:rPr>
      </w:pPr>
      <w:r>
        <w:rPr>
          <w:rFonts w:hint="eastAsia" w:ascii="宋体" w:hAnsi="宋体"/>
          <w:sz w:val="24"/>
          <w:szCs w:val="24"/>
        </w:rPr>
        <w:t xml:space="preserve">（3）整车性能必须符合GB7258-2017《机动车运行安全技术条件》、GB1589-2016《道路车辆外廓尺寸、轴荷及质量限制》及相关国家标准、行业标准的要求。投标车辆及相关配置应符合国家一致性管理相关要求。</w:t>
      </w:r>
      <w:r/>
    </w:p>
    <w:p>
      <w:pPr>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sectPr>
          <w:footerReference w:type="default" r:id="rId10"/>
          <w:footnotePr/>
          <w:endnotePr/>
          <w:type w:val="nextPage"/>
          <w:pgSz w:w="12240" w:h="15840" w:orient="portrait"/>
          <w:pgMar w:top="927" w:right="1170" w:bottom="0" w:left="1086" w:header="0" w:footer="0" w:gutter="0"/>
          <w:cols w:num="1" w:sep="0" w:space="720" w:equalWidth="1"/>
          <w:docGrid w:linePitch="360"/>
        </w:sectPr>
      </w:pPr>
      <w:r>
        <w:rPr>
          <w:rFonts w:hint="eastAsia" w:ascii="宋体" w:hAnsi="宋体"/>
          <w:sz w:val="24"/>
          <w:szCs w:val="24"/>
        </w:rPr>
      </w:r>
      <w:r/>
    </w:p>
    <w:p>
      <w:pPr>
        <w:pStyle w:val="977"/>
      </w:pPr>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1015"/>
        <w:tblW w:w="507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2"/>
        <w:gridCol w:w="3070"/>
        <w:gridCol w:w="582"/>
        <w:gridCol w:w="675"/>
        <w:gridCol w:w="1413"/>
        <w:gridCol w:w="1255"/>
        <w:gridCol w:w="1103"/>
        <w:gridCol w:w="723"/>
        <w:gridCol w:w="1433"/>
      </w:tblGrid>
      <w:tr>
        <w:trPr>
          <w:trHeight w:val="470"/>
        </w:trPr>
        <w:tc>
          <w:tcPr>
            <w:tcW w:w="32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39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2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0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6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5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0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中小企业划分标准所属行业</w:t>
            </w:r>
            <w:r/>
          </w:p>
        </w:tc>
        <w:tc>
          <w:tcPr>
            <w:tcW w:w="32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cs="宋体"/>
                <w:bCs/>
                <w:sz w:val="24"/>
                <w:szCs w:val="24"/>
              </w:rPr>
              <w:t xml:space="preserve">政府强制采购节能产品（如有）</w:t>
            </w:r>
            <w:r/>
          </w:p>
        </w:tc>
      </w:tr>
      <w:tr>
        <w:trPr>
          <w:trHeight w:val="414"/>
        </w:trPr>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1</w:t>
            </w:r>
            <w:r/>
          </w:p>
        </w:tc>
        <w:tc>
          <w:tcPr>
            <w:tcW w:w="1397" w:type="pct"/>
            <w:vAlign w:val="center"/>
            <w:textDirection w:val="lrTb"/>
            <w:noWrap w:val="false"/>
          </w:tcPr>
          <w:p>
            <w:pP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小学生专用校车（30+1+1座）</w:t>
            </w:r>
            <w:r/>
          </w:p>
        </w:tc>
        <w:tc>
          <w:tcPr>
            <w:tcW w:w="265"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50</w:t>
            </w:r>
            <w:r/>
          </w:p>
        </w:tc>
        <w:tc>
          <w:tcPr>
            <w:tcW w:w="307"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辆</w:t>
            </w:r>
            <w:r/>
          </w:p>
        </w:tc>
        <w:tc>
          <w:tcPr>
            <w:tcW w:w="643"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294000</w:t>
            </w:r>
            <w:r/>
          </w:p>
        </w:tc>
        <w:tc>
          <w:tcPr>
            <w:tcW w:w="571"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核心产品</w:t>
            </w:r>
            <w:r/>
          </w:p>
        </w:tc>
        <w:tc>
          <w:tcPr>
            <w:tcW w:w="50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工业</w:t>
            </w:r>
            <w:r/>
          </w:p>
        </w:tc>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货物</w:t>
            </w:r>
            <w:r/>
          </w:p>
        </w:tc>
        <w:tc>
          <w:tcPr>
            <w:tcW w:w="65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r>
      <w:tr>
        <w:trPr>
          <w:trHeight w:val="414"/>
        </w:trPr>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w:t>
            </w:r>
            <w:r/>
          </w:p>
        </w:tc>
        <w:tc>
          <w:tcPr>
            <w:tcW w:w="1397" w:type="pct"/>
            <w:vAlign w:val="center"/>
            <w:textDirection w:val="lrTb"/>
            <w:noWrap w:val="false"/>
          </w:tcPr>
          <w:p>
            <w:pP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中小学生专用校车（28+1+1座）</w:t>
            </w:r>
            <w:r/>
          </w:p>
        </w:tc>
        <w:tc>
          <w:tcPr>
            <w:tcW w:w="265"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20</w:t>
            </w:r>
            <w:r/>
          </w:p>
        </w:tc>
        <w:tc>
          <w:tcPr>
            <w:tcW w:w="307"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辆</w:t>
            </w:r>
            <w:r/>
          </w:p>
        </w:tc>
        <w:tc>
          <w:tcPr>
            <w:tcW w:w="643"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315000</w:t>
            </w:r>
            <w:r/>
          </w:p>
        </w:tc>
        <w:tc>
          <w:tcPr>
            <w:tcW w:w="571"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c>
          <w:tcPr>
            <w:tcW w:w="50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工业</w:t>
            </w:r>
            <w:r/>
          </w:p>
        </w:tc>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货物</w:t>
            </w:r>
            <w:r/>
          </w:p>
        </w:tc>
        <w:tc>
          <w:tcPr>
            <w:tcW w:w="65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1.产品技术指标</w:t>
      </w:r>
      <w:r/>
    </w:p>
    <w:tbl>
      <w:tblPr>
        <w:tblStyle w:val="909"/>
        <w:tblpPr w:horzAnchor="page" w:tblpX="720" w:vertAnchor="text" w:tblpY="319" w:leftFromText="180" w:topFromText="0" w:rightFromText="180" w:bottomFromText="0"/>
        <w:tblW w:w="108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1354"/>
        <w:gridCol w:w="7499"/>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gridSpan w:val="2"/>
            <w:tcW w:w="8853"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979"/>
        </w:trPr>
        <w:tc>
          <w:tcPr>
            <w:tcW w:w="660" w:type="dxa"/>
            <w:vAlign w:val="center"/>
            <w:vMerge w:val="restart"/>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1</w:t>
            </w:r>
            <w:r/>
          </w:p>
        </w:tc>
        <w:tc>
          <w:tcPr>
            <w:tcW w:w="1354" w:type="dxa"/>
            <w:vAlign w:val="center"/>
            <w:vMerge w:val="restart"/>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小学生专用校车</w:t>
            </w:r>
            <w:r/>
          </w:p>
        </w:tc>
        <w:tc>
          <w:tcPr>
            <w:tcW w:w="1354" w:type="dxa"/>
            <w:vAlign w:val="center"/>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spacing w:val="-2"/>
                <w:szCs w:val="21"/>
              </w:rPr>
              <w:t xml:space="preserve">★实质性要求</w:t>
            </w:r>
            <w:r/>
          </w:p>
        </w:tc>
        <w:tc>
          <w:tcPr>
            <w:tcW w:w="7499" w:type="dxa"/>
            <w:vAlign w:val="center"/>
            <w:textDirection w:val="lrTb"/>
            <w:noWrap w:val="false"/>
          </w:tcPr>
          <w:p>
            <w:pPr>
              <w:spacing w:line="400" w:lineRule="exact"/>
              <w:rPr>
                <w:rFonts w:hint="eastAsia" w:ascii="仿宋_GB2312" w:hAnsi="仿宋_GB2312" w:eastAsia="仿宋_GB2312" w:cs="仿宋_GB2312"/>
                <w:b/>
                <w:bCs/>
              </w:rPr>
            </w:pPr>
            <w:r>
              <w:rPr>
                <w:rFonts w:hint="eastAsia" w:ascii="仿宋_GB2312" w:hAnsi="仿宋_GB2312" w:eastAsia="仿宋_GB2312" w:cs="仿宋_GB2312"/>
                <w:b/>
                <w:bCs/>
              </w:rPr>
            </w:r>
            <w:r/>
          </w:p>
          <w:p>
            <w:pPr>
              <w:spacing w:line="264" w:lineRule="auto"/>
              <w:rPr>
                <w:rFonts w:hint="eastAsia" w:ascii="仿宋_GB2312" w:hAnsi="仿宋_GB2312" w:eastAsia="仿宋_GB2312" w:cs="仿宋_GB2312"/>
              </w:rPr>
            </w:pPr>
            <w:r>
              <w:rPr>
                <w:rFonts w:hint="eastAsia" w:ascii="仿宋_GB2312" w:hAnsi="仿宋_GB2312" w:eastAsia="仿宋_GB2312" w:cs="仿宋_GB2312"/>
              </w:rPr>
              <w:t xml:space="preserve">1.投标车型必须列入国家工信部《道路机动车辆生产企业及产品公告》目录，产品名称为“小学生专用校车”，投标车型已获 3C 认证。</w:t>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t xml:space="preserve">2.所投车辆整车必须符合GB24407-2012《专用校车安全技术条件》、GB24406-2024《专用校车学生座椅及其车辆固定件的强度》。</w:t>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t xml:space="preserve">3.整车性能必须符合GB7258-2017《机动车运行安全技术条件》、GB1589-2016《道路车辆外廓尺寸、轴荷及质量限制》及相关国家标准、行业标准的要求。投标车辆及相关配置应符合国家一致性管理相关要求。</w:t>
            </w:r>
            <w:r/>
          </w:p>
          <w:p>
            <w:pPr>
              <w:spacing w:line="400" w:lineRule="exact"/>
              <w:rPr>
                <w:rFonts w:hint="eastAsia" w:ascii="仿宋_GB2312" w:hAnsi="仿宋_GB2312" w:eastAsia="仿宋_GB2312" w:cs="仿宋_GB2312"/>
                <w:szCs w:val="21"/>
              </w:rPr>
            </w:pPr>
            <w:r>
              <w:rPr>
                <w:rFonts w:hint="eastAsia" w:ascii="仿宋_GB2312" w:hAnsi="仿宋_GB2312" w:eastAsia="仿宋_GB2312" w:cs="仿宋_GB2312"/>
                <w:szCs w:val="21"/>
              </w:rPr>
            </w:r>
            <w:r/>
          </w:p>
        </w:tc>
      </w:tr>
      <w:tr>
        <w:trPr>
          <w:cantSplit/>
          <w:trHeight w:val="14526"/>
        </w:trPr>
        <w:tc>
          <w:tcPr>
            <w:tcW w:w="660" w:type="dxa"/>
            <w:vAlign w:val="center"/>
            <w:vMerge w:val="continue"/>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c>
          <w:tcPr>
            <w:tcW w:w="1354" w:type="dxa"/>
            <w:vAlign w:val="center"/>
            <w:vMerge w:val="continue"/>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c>
          <w:tcPr>
            <w:tcW w:w="1354" w:type="dxa"/>
            <w:vAlign w:val="center"/>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spacing w:val="-2"/>
                <w:szCs w:val="21"/>
              </w:rPr>
              <w:t xml:space="preserve">非实质性要求</w:t>
            </w:r>
            <w:r/>
          </w:p>
        </w:tc>
        <w:tc>
          <w:tcPr>
            <w:tcW w:w="7499" w:type="dxa"/>
            <w:vAlign w:val="center"/>
            <w:textDirection w:val="lrTb"/>
            <w:noWrap w:val="false"/>
          </w:tcPr>
          <w:p>
            <w:pPr>
              <w:spacing w:line="220" w:lineRule="exact"/>
              <w:rPr>
                <w:rFonts w:hint="eastAsia" w:ascii="仿宋_GB2312" w:hAnsi="仿宋_GB2312" w:eastAsia="仿宋_GB2312" w:cs="仿宋_GB2312"/>
                <w:b/>
                <w:bCs/>
                <w:spacing w:val="-4"/>
                <w:sz w:val="18"/>
                <w:szCs w:val="18"/>
              </w:rPr>
            </w:pPr>
            <w:r>
              <w:rPr>
                <w:rFonts w:hint="eastAsia" w:ascii="仿宋_GB2312" w:hAnsi="仿宋_GB2312" w:eastAsia="仿宋_GB2312" w:cs="仿宋_GB2312"/>
                <w:b/>
                <w:bCs/>
                <w:sz w:val="18"/>
                <w:szCs w:val="18"/>
              </w:rPr>
              <w:t xml:space="preserve">一、基本要求</w:t>
            </w:r>
            <w:r/>
          </w:p>
          <w:p>
            <w:pPr>
              <w:spacing w:line="220" w:lineRule="exact"/>
              <w:rPr>
                <w:rFonts w:hint="eastAsia" w:ascii="仿宋_GB2312" w:hAnsi="仿宋_GB2312" w:eastAsia="仿宋_GB2312" w:cs="仿宋_GB2312"/>
                <w:spacing w:val="-4"/>
                <w:sz w:val="18"/>
                <w:szCs w:val="18"/>
              </w:rPr>
            </w:pPr>
            <w:r/>
            <w:bookmarkStart w:id="60" w:name="OLE_LINK2"/>
            <w:r>
              <w:rPr>
                <w:rFonts w:hint="eastAsia" w:ascii="仿宋_GB2312" w:hAnsi="仿宋_GB2312" w:eastAsia="仿宋_GB2312" w:cs="仿宋_GB2312"/>
                <w:spacing w:val="-4"/>
                <w:sz w:val="18"/>
                <w:szCs w:val="18"/>
              </w:rPr>
              <w:t xml:space="preserve">▲1.车长6780mm</w:t>
            </w:r>
            <w:r>
              <w:rPr>
                <w:rFonts w:hint="eastAsia" w:ascii="宋体" w:hAnsi="宋体" w:cs="仿宋_GB2312"/>
                <w:spacing w:val="-4"/>
                <w:sz w:val="18"/>
                <w:szCs w:val="18"/>
              </w:rPr>
              <w:t xml:space="preserve">～</w:t>
            </w:r>
            <w:r>
              <w:rPr>
                <w:rFonts w:hint="eastAsia" w:ascii="仿宋_GB2312" w:hAnsi="仿宋_GB2312" w:eastAsia="仿宋_GB2312" w:cs="仿宋_GB2312"/>
                <w:spacing w:val="-4"/>
                <w:sz w:val="18"/>
                <w:szCs w:val="18"/>
              </w:rPr>
              <w:t xml:space="preserve">7400mm；（</w:t>
            </w:r>
            <w:r>
              <w:rPr>
                <w:rFonts w:hint="eastAsia" w:ascii="仿宋_GB2312" w:hAnsi="仿宋_GB2312" w:eastAsia="仿宋_GB2312" w:cs="仿宋_GB2312"/>
                <w:sz w:val="18"/>
                <w:szCs w:val="18"/>
              </w:rPr>
              <w:t xml:space="preserve">以国家工信部产品公告参数为准，提供公告页证明材料）</w:t>
            </w:r>
            <w:r/>
          </w:p>
          <w:p>
            <w:pPr>
              <w:spacing w:line="220" w:lineRule="exact"/>
              <w:rPr>
                <w:rFonts w:hint="eastAsia" w:ascii="仿宋_GB2312" w:hAnsi="仿宋_GB2312" w:eastAsia="仿宋_GB2312" w:cs="仿宋_GB2312"/>
                <w:spacing w:val="-4"/>
                <w:sz w:val="18"/>
                <w:szCs w:val="18"/>
              </w:rPr>
            </w:pPr>
            <w:r>
              <w:rPr>
                <w:rFonts w:hint="eastAsia" w:ascii="仿宋_GB2312" w:hAnsi="仿宋_GB2312" w:eastAsia="仿宋_GB2312" w:cs="仿宋_GB2312"/>
                <w:spacing w:val="-4"/>
                <w:sz w:val="18"/>
                <w:szCs w:val="18"/>
              </w:rPr>
              <w:t xml:space="preserve">▲2</w:t>
            </w:r>
            <w:r>
              <w:rPr>
                <w:rFonts w:ascii="仿宋_GB2312" w:hAnsi="仿宋_GB2312" w:eastAsia="仿宋_GB2312" w:cs="仿宋_GB2312"/>
                <w:spacing w:val="-4"/>
                <w:sz w:val="18"/>
                <w:szCs w:val="18"/>
              </w:rPr>
              <w:t xml:space="preserve">.</w:t>
            </w:r>
            <w:r>
              <w:rPr>
                <w:rFonts w:hint="eastAsia" w:ascii="仿宋_GB2312" w:hAnsi="仿宋_GB2312" w:eastAsia="仿宋_GB2312" w:cs="仿宋_GB2312"/>
                <w:spacing w:val="-4"/>
                <w:sz w:val="18"/>
                <w:szCs w:val="18"/>
              </w:rPr>
              <w:t xml:space="preserve">车宽</w:t>
            </w:r>
            <w:r>
              <w:rPr>
                <w:rFonts w:ascii="仿宋_GB2312" w:hAnsi="仿宋_GB2312" w:eastAsia="仿宋_GB2312" w:cs="仿宋_GB2312"/>
                <w:spacing w:val="-4"/>
                <w:sz w:val="18"/>
                <w:szCs w:val="18"/>
              </w:rPr>
              <w:t xml:space="preserve">2</w:t>
            </w:r>
            <w:r>
              <w:rPr>
                <w:rFonts w:hint="eastAsia" w:ascii="仿宋_GB2312" w:hAnsi="仿宋_GB2312" w:eastAsia="仿宋_GB2312" w:cs="仿宋_GB2312"/>
                <w:spacing w:val="-4"/>
                <w:sz w:val="18"/>
                <w:szCs w:val="18"/>
              </w:rPr>
              <w:t xml:space="preserve">25</w:t>
            </w:r>
            <w:r>
              <w:rPr>
                <w:rFonts w:ascii="仿宋_GB2312" w:hAnsi="仿宋_GB2312" w:eastAsia="仿宋_GB2312" w:cs="仿宋_GB2312"/>
                <w:spacing w:val="-4"/>
                <w:sz w:val="18"/>
                <w:szCs w:val="18"/>
              </w:rPr>
              <w:t xml:space="preserve">0mm～</w:t>
            </w:r>
            <w:r>
              <w:rPr>
                <w:rFonts w:hint="eastAsia" w:ascii="仿宋_GB2312" w:hAnsi="仿宋_GB2312" w:eastAsia="仿宋_GB2312" w:cs="仿宋_GB2312"/>
                <w:spacing w:val="-4"/>
                <w:sz w:val="18"/>
                <w:szCs w:val="18"/>
              </w:rPr>
              <w:t xml:space="preserve">2500</w:t>
            </w:r>
            <w:r>
              <w:rPr>
                <w:rFonts w:ascii="仿宋_GB2312" w:hAnsi="仿宋_GB2312" w:eastAsia="仿宋_GB2312" w:cs="仿宋_GB2312"/>
                <w:spacing w:val="-4"/>
                <w:sz w:val="18"/>
                <w:szCs w:val="18"/>
              </w:rPr>
              <w:t xml:space="preserve">mm</w:t>
            </w: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sz w:val="18"/>
                <w:szCs w:val="18"/>
              </w:rPr>
              <w:t xml:space="preserve">以国家工信部产品公告参数为准，提供公告页证明材料）</w:t>
            </w:r>
            <w:r/>
          </w:p>
          <w:p>
            <w:pPr>
              <w:spacing w:line="220" w:lineRule="exact"/>
              <w:rPr>
                <w:rFonts w:hint="eastAsia" w:ascii="仿宋_GB2312" w:hAnsi="仿宋_GB2312" w:eastAsia="仿宋_GB2312" w:cs="仿宋_GB2312"/>
                <w:spacing w:val="-4"/>
                <w:sz w:val="18"/>
                <w:szCs w:val="18"/>
              </w:rPr>
            </w:pPr>
            <w:r>
              <w:rPr>
                <w:rFonts w:hint="eastAsia" w:ascii="仿宋_GB2312" w:hAnsi="仿宋_GB2312" w:eastAsia="仿宋_GB2312" w:cs="仿宋_GB2312"/>
                <w:spacing w:val="-4"/>
                <w:sz w:val="18"/>
                <w:szCs w:val="18"/>
              </w:rPr>
              <w:t xml:space="preserve">▲3</w:t>
            </w:r>
            <w:r>
              <w:rPr>
                <w:rFonts w:ascii="仿宋_GB2312" w:hAnsi="仿宋_GB2312" w:eastAsia="仿宋_GB2312" w:cs="仿宋_GB2312"/>
                <w:spacing w:val="-4"/>
                <w:sz w:val="18"/>
                <w:szCs w:val="18"/>
              </w:rPr>
              <w:t xml:space="preserve">.</w:t>
            </w:r>
            <w:r>
              <w:rPr>
                <w:rFonts w:hint="eastAsia" w:ascii="仿宋_GB2312" w:hAnsi="仿宋_GB2312" w:eastAsia="仿宋_GB2312" w:cs="仿宋_GB2312"/>
                <w:spacing w:val="-4"/>
                <w:sz w:val="18"/>
                <w:szCs w:val="18"/>
              </w:rPr>
              <w:t xml:space="preserve">车高2800mm</w:t>
            </w:r>
            <w:r>
              <w:rPr>
                <w:rFonts w:hint="eastAsia" w:ascii="宋体" w:hAnsi="宋体" w:cs="仿宋_GB2312"/>
                <w:spacing w:val="-4"/>
                <w:sz w:val="18"/>
                <w:szCs w:val="18"/>
              </w:rPr>
              <w:t xml:space="preserve">～</w:t>
            </w:r>
            <w:r>
              <w:rPr>
                <w:rFonts w:hint="eastAsia" w:ascii="仿宋_GB2312" w:hAnsi="仿宋_GB2312" w:eastAsia="仿宋_GB2312" w:cs="仿宋_GB2312"/>
                <w:spacing w:val="-4"/>
                <w:sz w:val="18"/>
                <w:szCs w:val="18"/>
              </w:rPr>
              <w:t xml:space="preserve">3100mm；（</w:t>
            </w:r>
            <w:r>
              <w:rPr>
                <w:rFonts w:hint="eastAsia" w:ascii="仿宋_GB2312" w:hAnsi="仿宋_GB2312" w:eastAsia="仿宋_GB2312" w:cs="仿宋_GB2312"/>
                <w:sz w:val="18"/>
                <w:szCs w:val="18"/>
              </w:rPr>
              <w:t xml:space="preserve">以国家工信部产品公告参数为准，提供公告页证明材料）</w:t>
            </w:r>
            <w:bookmarkEnd w:id="60"/>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4.排放标准：国六；</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5.额定载客（人）：30+1+1座；</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6.最高车速(km/h): ≤80km，带发动机ECU限速装置，有超速报警功能。</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二、整车结构及设施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1.外观：车体统一采用“校车黄”警示颜色、反光条、专用校车标识及采购方要求的宣传词。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饰：整车内饰材料必须采用环保材料，车内无明显气味，车内有害物质限值符合GB/T17729‑2023标准要求；环保内饰，车内顶板、侧裙等材料均为标准防火阻燃材质；饰料美观，整体协调，色彩清雅，品质高档，宽敞整洁，打造独特校车氛围；软化护栏，无尖角结构。</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3.车身：优质矩形管，全钢封闭环骨架结构，高强度车身结构，前后保险杠设计；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4.空调：采用非独立式顶置空调（制冷量：≥14000Kcal/h）。</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5.暖风及除霜：非独立水暖，全车安装不少于4个底置式散热器，驾驶区设置除霜器。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6.蒙皮：镀锌板张拉蒙皮，厚度≥1mm。</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7.地板：须达到国家《专用校车安全技术条件》对地板材料的要求，地板革采用校车专用优质防滑阻燃耐磨地板革，乘客区平地板设计。地板采取环保粘结工艺。</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8.踏步：按国家校车要求设计须达到国家《专用校车安全技术条件》要求，踏步加装黄色防滑垫。</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9.前风挡及侧窗：夹胶前风挡玻璃，装司机前单幅遮阳帘；侧窗采用下固定上铝框式推拉侧窗；侧窗配备蓝色软布窗帘。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10.后视镜：左右两侧采用双长倒车镜，大视野镜面，无盲区，视野好；采用广角、补盲后视镜，增大可视范围，保证学生安全。360度无盲区设计，手动后视镜，下视镜，补盲镜。</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11.车门及门泵：气动外摆乘客门，遥控门锁，车门内外配置应急阀；采用后置式安全门；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12.座椅：高靠背前后可调驾驶员座椅，三点卷收式安全带；2+3布置，学生专用高靠背海绵座椅，全车两点卷收式安全带，通道两侧带扶手；副驾驶区安装1个可折叠式照管员座椅，配备三点式安全带；座椅间距必须达到国家专用校车安全技术标准；提供整车座椅布套一套（暂不安装）。</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三、动力系统</w:t>
            </w:r>
            <w:r/>
          </w:p>
          <w:p>
            <w:pPr>
              <w:jc w:val="left"/>
              <w:spacing w:line="220" w:lineRule="exact"/>
              <w:widowControl/>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1.发动机类型及功率 ：采用国产柴油发动机，比功率应不小于9.0 kW/t。</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sz w:val="18"/>
                <w:szCs w:val="18"/>
              </w:rPr>
              <w:t xml:space="preserve">2.排量≥2</w:t>
            </w:r>
            <w:r>
              <w:rPr>
                <w:rFonts w:ascii="仿宋_GB2312" w:hAnsi="仿宋_GB2312" w:eastAsia="仿宋_GB2312" w:cs="仿宋_GB2312"/>
                <w:sz w:val="18"/>
                <w:szCs w:val="18"/>
              </w:rPr>
              <w:t xml:space="preserve">.2L</w:t>
            </w:r>
            <w:r>
              <w:rPr>
                <w:rFonts w:hint="eastAsia" w:ascii="仿宋_GB2312" w:hAnsi="仿宋_GB2312" w:eastAsia="仿宋_GB2312" w:cs="仿宋_GB2312"/>
                <w:b/>
                <w:sz w:val="18"/>
                <w:szCs w:val="18"/>
              </w:rPr>
              <w:t xml:space="preserve">（以国家工信部产品公告参数为准，提供公告扫描件）；</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rPr>
              <w:t xml:space="preserve">3.发动机舱：发动机舱内采用阻燃铝箔+黑阻海绵+PE+阻尼板单面贴复合棉，外侧覆盖铝网；进行隔热、隔音处理，阻燃性能好；设置发动机误起动保险装置</w:t>
            </w:r>
            <w:r>
              <w:rPr>
                <w:rFonts w:hint="eastAsia" w:ascii="仿宋_GB2312" w:hAnsi="仿宋_GB2312" w:eastAsia="仿宋_GB2312" w:cs="仿宋_GB2312"/>
                <w:b/>
                <w:bCs/>
                <w:sz w:val="18"/>
                <w:szCs w:val="18"/>
              </w:rPr>
              <w:t xml:space="preserve">；</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4.冷却系统：铜制或铝制水箱，水管路走向合理，排气畅通；</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四、底盘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1.国产优质前后桥：后桥采用精磨齿、油润滑结构；传动轴必须与底盘相匹配。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2.离合器：单片干式离合器，液压远距离操控，气助力；</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3.变速箱：采用优质品牌，六挡，变速箱全部前进挡均需带有同步器，保证换挡操作平顺、舒适；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4.行车制动：前盘后鼓式制动器，后桥蹄片磨损报警装置，气压双回路行车制动，储能弹簧驻车制动；ABS系统带自动间隙调整臂；安装优质干燥器，气罐智能排水系统；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5.悬架：</w:t>
            </w:r>
            <w:r>
              <w:rPr>
                <w:rFonts w:hint="eastAsia" w:ascii="仿宋_GB2312" w:hAnsi="仿宋_GB2312" w:eastAsia="仿宋_GB2312" w:cs="仿宋_GB2312"/>
                <w:spacing w:val="-4"/>
                <w:sz w:val="18"/>
                <w:szCs w:val="18"/>
              </w:rPr>
              <w:t xml:space="preserve">使用复合衬套少片簧结构，前桥带横向稳定杆；</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6.转向：液压助力转向，方向盘上下前后可调；</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7.轮胎：采用≥215／75R17．5 无内胎子午线轮胎，后轮双胎，带同全尺寸备胎一条/辆，有前轮胎压报警器，前轮安装符合法规要求的爆胎安全应急装置（仪表显示）；</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五、电器设备及其他</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1.电瓶：装优质免维护电瓶，电瓶线接线柱配绝缘保护套；电瓶仓内设手闸电源总开关，司机处安装应急电源总开关（不切断监控电源）。</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2.电路布置：整车采用耐高温阻燃线束，并熔断器保护，穿越孔时应加装护圈；全车电线束加覆阻燃波纹管。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3.点火开关：拔掉钥匙即可锁死方向盘，安全可靠。</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4.接插件：涉水部分及重要传感器采用防水插接件，前后保险杠或其他可拆卸部件不能固定线束；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5.灯光系统：可调前大灯，材料需阻燃耐高温，保证灯具安全性能。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6.其它：MP3播放器、校车停车示意臂、校车反光带及标志贴、车顶前后4只警示灯、顶置内饰厢灯、司机风扇，安装电子钟；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b/>
                <w:sz w:val="18"/>
                <w:szCs w:val="18"/>
              </w:rPr>
              <w:t xml:space="preserve">7.车载监控系统确保能接入六合区VIMS校车监控平台且正常运行；（供应商提供平台接入承诺书）</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六、安全装置</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1.天窗：逃生安全换气天窗1扇，按国家《专用校车安全技术条件》要求。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2.逃生装置：产品型号符合新标准要求的报警安全锤6个；司机处与车内、外安装带报警应急开关及车门报警装置。</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rPr>
              <w:t xml:space="preserve">3.灭火装置：4kg手持灭火器2个；发动机舱安装智能灭火弹2只及火灾预警器装置且在仪表区有声光报警功能；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4.工具：按标准配备工具及工具箱，三角牌1只；</w:t>
            </w:r>
            <w:r/>
          </w:p>
          <w:p>
            <w:pPr>
              <w:spacing w:line="220" w:lineRule="exact"/>
              <w:rPr>
                <w:rFonts w:hint="eastAsia" w:ascii="仿宋_GB2312" w:hAnsi="仿宋_GB2312" w:eastAsia="仿宋_GB2312" w:cs="仿宋_GB2312"/>
                <w:szCs w:val="21"/>
              </w:rPr>
            </w:pPr>
            <w:r>
              <w:rPr>
                <w:rFonts w:hint="eastAsia" w:ascii="仿宋_GB2312" w:hAnsi="仿宋_GB2312" w:eastAsia="仿宋_GB2312" w:cs="仿宋_GB2312"/>
                <w:spacing w:val="-4"/>
                <w:sz w:val="18"/>
                <w:szCs w:val="18"/>
              </w:rPr>
              <w:t xml:space="preserve">5.约束隔板：座椅前无座椅处设置外敷软化材料的约束隔板。</w:t>
            </w:r>
            <w:r/>
          </w:p>
        </w:tc>
      </w:tr>
      <w:tr>
        <w:trPr>
          <w:cantSplit/>
          <w:trHeight w:val="979"/>
        </w:trPr>
        <w:tc>
          <w:tcPr>
            <w:tcW w:w="660" w:type="dxa"/>
            <w:vAlign w:val="center"/>
            <w:vMerge w:val="restart"/>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w:t>
            </w:r>
            <w:r/>
          </w:p>
        </w:tc>
        <w:tc>
          <w:tcPr>
            <w:tcW w:w="1354" w:type="dxa"/>
            <w:vAlign w:val="center"/>
            <w:vMerge w:val="restart"/>
            <w:textDirection w:val="lrTb"/>
            <w:noWrap w:val="false"/>
          </w:tcPr>
          <w:p>
            <w:pP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中小学生专用校车</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★实质性要求</w:t>
            </w:r>
            <w:r/>
          </w:p>
        </w:tc>
        <w:tc>
          <w:tcPr>
            <w:tcW w:w="7499" w:type="dxa"/>
            <w:vAlign w:val="center"/>
            <w:textDirection w:val="lrTb"/>
            <w:noWrap w:val="false"/>
          </w:tcPr>
          <w:p>
            <w:pPr>
              <w:spacing w:line="360" w:lineRule="exact"/>
              <w:rPr>
                <w:rFonts w:hint="eastAsia" w:ascii="仿宋_GB2312" w:hAnsi="仿宋_GB2312" w:eastAsia="仿宋_GB2312" w:cs="仿宋_GB2312"/>
                <w:szCs w:val="21"/>
              </w:rPr>
            </w:pPr>
            <w:r>
              <w:rPr>
                <w:rFonts w:hint="eastAsia" w:ascii="仿宋_GB2312" w:hAnsi="仿宋_GB2312" w:eastAsia="仿宋_GB2312" w:cs="仿宋_GB2312"/>
                <w:spacing w:val="-1"/>
                <w:szCs w:val="21"/>
              </w:rPr>
              <w:t xml:space="preserve">1.投标车型必须列入国家工信部《道路机动车辆生产企业及产品公告》目录，</w:t>
            </w:r>
            <w:r>
              <w:rPr>
                <w:rFonts w:hint="eastAsia" w:ascii="仿宋_GB2312" w:hAnsi="仿宋_GB2312" w:eastAsia="仿宋_GB2312" w:cs="仿宋_GB2312"/>
              </w:rPr>
              <w:t xml:space="preserve">产品名称为“中小学生专用校车”，投标车型已获 3C 认证。</w:t>
            </w:r>
            <w:r/>
          </w:p>
          <w:p>
            <w:pPr>
              <w:spacing w:line="360" w:lineRule="exact"/>
              <w:rPr>
                <w:rFonts w:hint="eastAsia" w:ascii="仿宋_GB2312" w:hAnsi="仿宋_GB2312" w:eastAsia="仿宋_GB2312" w:cs="仿宋_GB2312"/>
                <w:szCs w:val="21"/>
              </w:rPr>
            </w:pPr>
            <w:r>
              <w:rPr>
                <w:rFonts w:hint="eastAsia" w:ascii="仿宋_GB2312" w:hAnsi="仿宋_GB2312" w:eastAsia="仿宋_GB2312" w:cs="仿宋_GB2312"/>
                <w:spacing w:val="-1"/>
                <w:szCs w:val="21"/>
              </w:rPr>
              <w:t xml:space="preserve">2.所投车辆整车必须符合GB24407-2012《专用校车安全技术条件》、GB24406-2024《专用校车学生座椅及其车辆固定件的强度》。</w:t>
            </w:r>
            <w:r/>
          </w:p>
          <w:p>
            <w:pPr>
              <w:spacing w:line="360" w:lineRule="auto"/>
            </w:pPr>
            <w:r>
              <w:rPr>
                <w:rFonts w:hint="eastAsia" w:ascii="仿宋_GB2312" w:hAnsi="仿宋_GB2312" w:eastAsia="仿宋_GB2312" w:cs="仿宋_GB2312"/>
                <w:spacing w:val="-1"/>
                <w:szCs w:val="21"/>
              </w:rPr>
              <w:t xml:space="preserve">3.整车性能必须符合GB7258-2017《机动车运行安全技术条件》</w:t>
            </w:r>
            <w:r>
              <w:rPr>
                <w:rFonts w:hint="eastAsia" w:ascii="仿宋_GB2312" w:hAnsi="仿宋_GB2312" w:eastAsia="仿宋_GB2312" w:cs="仿宋_GB2312"/>
                <w:szCs w:val="21"/>
              </w:rPr>
              <w:t xml:space="preserve">、GB1589-2016《道路车辆外廓尺</w:t>
            </w:r>
            <w:r>
              <w:rPr>
                <w:rFonts w:hint="eastAsia" w:ascii="仿宋_GB2312" w:hAnsi="仿宋_GB2312" w:eastAsia="仿宋_GB2312" w:cs="仿宋_GB2312"/>
                <w:spacing w:val="-1"/>
                <w:szCs w:val="21"/>
              </w:rPr>
              <w:t xml:space="preserve">寸、轴荷及质量限制》及相关国家标准、行业标准的要求。投标车辆及相关配置应符合国家一致性管理相关要</w:t>
            </w:r>
            <w:r>
              <w:rPr>
                <w:rFonts w:hint="eastAsia" w:ascii="仿宋_GB2312" w:hAnsi="仿宋_GB2312" w:eastAsia="仿宋_GB2312" w:cs="仿宋_GB2312"/>
                <w:spacing w:val="-2"/>
                <w:szCs w:val="21"/>
              </w:rPr>
              <w:t xml:space="preserve">求。</w:t>
            </w:r>
            <w:r/>
          </w:p>
        </w:tc>
      </w:tr>
      <w:tr>
        <w:trPr>
          <w:cantSplit/>
          <w:trHeight w:val="979"/>
        </w:trPr>
        <w:tc>
          <w:tcPr>
            <w:tcW w:w="660" w:type="dxa"/>
            <w:vAlign w:val="center"/>
            <w:vMerge w:val="continue"/>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54" w:type="dxa"/>
            <w:vAlign w:val="center"/>
            <w:vMerge w:val="continue"/>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非实质性要求</w:t>
            </w:r>
            <w:r/>
          </w:p>
        </w:tc>
        <w:tc>
          <w:tcPr>
            <w:tcBorders>
              <w:bottom w:val="single" w:color="auto" w:sz="4" w:space="0"/>
            </w:tcBorders>
            <w:tcW w:w="7499" w:type="dxa"/>
            <w:vAlign w:val="center"/>
            <w:textDirection w:val="lrTb"/>
            <w:noWrap w:val="false"/>
          </w:tcPr>
          <w:p>
            <w:pPr>
              <w:spacing w:line="220" w:lineRule="exact"/>
              <w:rPr>
                <w:rFonts w:hint="eastAsia" w:ascii="仿宋_GB2312" w:hAnsi="仿宋_GB2312" w:eastAsia="仿宋_GB2312" w:cs="仿宋_GB2312"/>
                <w:b/>
                <w:bCs/>
                <w:spacing w:val="-4"/>
                <w:sz w:val="18"/>
                <w:szCs w:val="18"/>
              </w:rPr>
            </w:pPr>
            <w:r>
              <w:rPr>
                <w:rFonts w:hint="eastAsia" w:ascii="仿宋_GB2312" w:hAnsi="仿宋_GB2312" w:eastAsia="仿宋_GB2312" w:cs="仿宋_GB2312"/>
                <w:b/>
                <w:bCs/>
                <w:sz w:val="18"/>
                <w:szCs w:val="18"/>
              </w:rPr>
              <w:t xml:space="preserve">一、基本要求</w:t>
            </w:r>
            <w:r/>
          </w:p>
          <w:p>
            <w:pPr>
              <w:spacing w:line="18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▲1.车长7950mm～8300mm；（以国家工信部产品公告参数为准，提供公告页证明材料）</w:t>
            </w:r>
            <w:r/>
          </w:p>
          <w:p>
            <w:pPr>
              <w:spacing w:line="18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▲2.车宽2250mm～2500mm；（以国家工信部产品公告参数为准，提供公告页证明材料）</w:t>
            </w:r>
            <w:r/>
          </w:p>
          <w:p>
            <w:pPr>
              <w:spacing w:line="180" w:lineRule="exact"/>
              <w:rPr>
                <w:rFonts w:ascii="仿宋_GB2312" w:hAnsi="仿宋_GB2312" w:eastAsia="仿宋_GB2312" w:cs="仿宋_GB2312"/>
                <w:sz w:val="18"/>
                <w:szCs w:val="18"/>
              </w:rPr>
            </w:pPr>
            <w:r>
              <w:rPr>
                <w:rFonts w:hint="eastAsia" w:ascii="仿宋_GB2312" w:hAnsi="仿宋_GB2312" w:eastAsia="仿宋_GB2312" w:cs="仿宋_GB2312"/>
                <w:sz w:val="18"/>
                <w:szCs w:val="18"/>
              </w:rPr>
              <w:t xml:space="preserve">▲3.车高2800mm～3100mm；（以国家工信部产品公告参数为准，提供公告页证明材料）</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4.排放标准：国六；</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5.额定载客（人）：28+1+1座；</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6.最高车速(km/h): ≤80km，带发动机ECU限速装置，有超速报警功能。</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二、整车结构及设施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1.外观：车体统一采用“校车黄”警示颜色、反光条、专用校车标识及采购方要求的宣传词。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饰：整车内饰材料必须采用环保材料，车内无明显气味，车内有害物质限值符合GB/T17729‑2023标准要求；环保内饰，车内顶板、侧裙等材料均为标准防火阻燃材质；饰料美观，整体协调，色彩清雅，品质高档，宽敞整洁，打造独特校车氛围；软化护栏，无尖角结构。</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3.车身：优质矩形管，全钢封闭环骨架结构，高强度车身结构，前后保险杠设计；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4.空调：采用非独立式顶置空调（制冷量：≥16000Kcal/h）。</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5.暖风及除霜：非独立水暖，全车安装不少于4个底置式散热器，驾驶区设置除霜器。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6.蒙皮：镀锌板张拉蒙皮，厚度≥1mm。</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7.地板：须达到国家《专用校车安全技术条件》对地板材料的要求，地板革采用校车专用优质防滑阻燃耐磨地板革，乘客区平地板设计。地板采取环保粘结工艺。</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8.踏步：按国家校车要求设计须达到国家《专用校车安全技术条件》要求，踏步加装黄色防滑垫。</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9.前风挡及侧窗：夹胶前风挡玻璃，装司机前单幅遮阳帘；侧窗采用下固定上铝框式推拉侧窗；侧窗配备蓝色软布窗帘。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10.后视镜：左右两侧采用双长倒车镜，大视野镜面，无盲区，视野好；采用广角、补盲后视镜，增大可视范围，保证学生安全。360度无盲区设计，手动后视镜，下视镜，补盲镜。</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11.车门及门泵：气动外摆乘客门，遥控门锁，车门内外配置应急阀；采用后置式安全门；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12.座椅：高靠背前后可调驾驶员座椅，三点卷收式安全带；2+2布置，学生专用高靠背海绵座椅，全车两点卷收式安全带，通道两侧带扶手；副驾驶区安装1个可折叠式照管员座椅，配备三点式安全带；座椅间距必须达到国家专用校车安全技术标准；提供整车座椅布套一套（暂不安装）。</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三、动力系统</w:t>
            </w:r>
            <w:r/>
          </w:p>
          <w:p>
            <w:pPr>
              <w:jc w:val="left"/>
              <w:spacing w:line="220" w:lineRule="exact"/>
              <w:widowControl/>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1.发动机类型及功率 ：采用国产柴油发动机，比功率应不小于9.0 kW/t。</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sz w:val="18"/>
                <w:szCs w:val="18"/>
              </w:rPr>
              <w:t xml:space="preserve">2.排量≥2</w:t>
            </w:r>
            <w:r>
              <w:rPr>
                <w:rFonts w:ascii="仿宋_GB2312" w:hAnsi="仿宋_GB2312" w:eastAsia="仿宋_GB2312" w:cs="仿宋_GB2312"/>
                <w:sz w:val="18"/>
                <w:szCs w:val="18"/>
              </w:rPr>
              <w:t xml:space="preserve">.</w:t>
            </w:r>
            <w:r>
              <w:rPr>
                <w:rFonts w:hint="eastAsia" w:ascii="仿宋_GB2312" w:hAnsi="仿宋_GB2312" w:eastAsia="仿宋_GB2312" w:cs="仿宋_GB2312"/>
                <w:sz w:val="18"/>
                <w:szCs w:val="18"/>
              </w:rPr>
              <w:t xml:space="preserve">3</w:t>
            </w:r>
            <w:r>
              <w:rPr>
                <w:rFonts w:ascii="仿宋_GB2312" w:hAnsi="仿宋_GB2312" w:eastAsia="仿宋_GB2312" w:cs="仿宋_GB2312"/>
                <w:sz w:val="18"/>
                <w:szCs w:val="18"/>
              </w:rPr>
              <w:t xml:space="preserve">L</w:t>
            </w:r>
            <w:r>
              <w:rPr>
                <w:rFonts w:hint="eastAsia" w:ascii="仿宋_GB2312" w:hAnsi="仿宋_GB2312" w:eastAsia="仿宋_GB2312" w:cs="仿宋_GB2312"/>
                <w:b/>
                <w:sz w:val="18"/>
                <w:szCs w:val="18"/>
              </w:rPr>
              <w:t xml:space="preserve">（以国家工信部产品公告参数为准，提供公告扫描件）；</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rPr>
              <w:t xml:space="preserve">3.发动机舱：发动机舱内采用阻燃铝箔+黑阻海绵+PE+阻尼板单面贴复合棉，外侧覆盖铝网；进行隔热、隔音处理，阻燃性能好；设置发动机误起动保险装置</w:t>
            </w:r>
            <w:r>
              <w:rPr>
                <w:rFonts w:hint="eastAsia" w:ascii="仿宋_GB2312" w:hAnsi="仿宋_GB2312" w:eastAsia="仿宋_GB2312" w:cs="仿宋_GB2312"/>
                <w:b/>
                <w:bCs/>
                <w:sz w:val="18"/>
                <w:szCs w:val="18"/>
              </w:rPr>
              <w:t xml:space="preserve">；</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4.冷却系统：铜制或铝制水箱，水管路走向合理，排气畅通；</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四、底盘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1.国产优质前后桥：后桥采用精磨齿、油润滑结构；传动轴必须与底盘相匹配。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2.离合器：单片干式离合器，液压远距离操控，气助力；</w:t>
            </w:r>
            <w:r/>
          </w:p>
          <w:p>
            <w:pPr>
              <w:spacing w:line="220" w:lineRule="exact"/>
              <w:rPr>
                <w:rFonts w:hint="eastAsia" w:ascii="仿宋_GB2312" w:hAnsi="仿宋_GB2312" w:eastAsia="仿宋_GB2312" w:cs="仿宋_GB2312"/>
                <w:spacing w:val="-4"/>
                <w:sz w:val="18"/>
                <w:szCs w:val="18"/>
              </w:rPr>
            </w:pPr>
            <w:r>
              <w:rPr>
                <w:rFonts w:hint="eastAsia" w:ascii="仿宋_GB2312" w:hAnsi="仿宋_GB2312" w:eastAsia="仿宋_GB2312" w:cs="仿宋_GB2312"/>
                <w:sz w:val="18"/>
                <w:szCs w:val="18"/>
              </w:rPr>
              <w:t xml:space="preserve">3.变速箱：采用优质品牌，六挡，变速箱全部前进挡均需带有同步器，保证换挡操作平顺、舒适；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4.行车制动：前盘后鼓式制动器，后桥蹄片磨损报警装置，气压双回路行车制动，储能弹簧驻车制动；ABS系统带自动间隙调整臂；安装优质干燥器，气罐智能排水系统；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5.悬架：</w:t>
            </w:r>
            <w:r>
              <w:rPr>
                <w:rFonts w:hint="eastAsia" w:ascii="仿宋_GB2312" w:hAnsi="仿宋_GB2312" w:eastAsia="仿宋_GB2312" w:cs="仿宋_GB2312"/>
                <w:spacing w:val="-4"/>
                <w:sz w:val="18"/>
                <w:szCs w:val="18"/>
              </w:rPr>
              <w:t xml:space="preserve">使用复合衬套少片簧结构，前桥带横向稳定杆；</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6.转向：液压助力转向，方向盘上下前后可调；</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7.轮胎：采用≥215／75R17．5 无内胎子午线轮胎，后轮双胎，带同全尺寸备胎一条/辆，有前轮胎压报警器，前轮安装符合法规要求的爆胎安全应急装置（仪表显示）；</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五、电器设备及其他</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1.电瓶：装优质免维护电瓶，电瓶线接线柱配绝缘保护套；电瓶仓内设手闸电源总开关，司机处安装应急电源总开关（不切断监控电源）。</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2.电路布置：整车采用耐高温阻燃线束，并熔断器保护，穿越孔时应加装护圈；全车电线束加覆阻燃波纹管。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3.点火开关：拔掉钥匙即可锁死方向盘，安全可靠。</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4.接插件：涉水部分及重要传感器采用防水插接件，前后保险杠或其他可拆卸部件不能固定线束；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5.灯光系统：可调前大灯，材料需阻燃耐高温，保证灯具安全性能。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6.其它：MP3播放器、校车停车示意臂、校车反光带及标志贴、车顶前后4只警示灯、顶置内饰厢灯、司机风扇，安装电子钟；</w:t>
            </w:r>
            <w:r/>
          </w:p>
          <w:p>
            <w:pPr>
              <w:jc w:val="left"/>
              <w:spacing w:line="220" w:lineRule="exact"/>
              <w:widowControl/>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b/>
                <w:sz w:val="18"/>
                <w:szCs w:val="18"/>
              </w:rPr>
              <w:t xml:space="preserve">7.车载监控系统确保能接入六合区VIMS校车监控平台且正常运行；（供应商提供平台接入承诺书）</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六、安全装置</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1.天窗：逃生安全换气天窗1扇，按国家《专用校车安全技术条件》要求。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2.逃生装置：产品型号符合新标准要求的报警安全锤6个；司机处与车内、外安装带报警应急开关及车门报警装置。</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b/>
                <w:sz w:val="18"/>
                <w:szCs w:val="18"/>
              </w:rPr>
              <w:t xml:space="preserve">3.</w:t>
            </w:r>
            <w:r>
              <w:rPr>
                <w:rFonts w:hint="eastAsia" w:ascii="仿宋_GB2312" w:hAnsi="仿宋_GB2312" w:eastAsia="仿宋_GB2312" w:cs="仿宋_GB2312"/>
                <w:bCs/>
                <w:sz w:val="18"/>
                <w:szCs w:val="18"/>
              </w:rPr>
              <w:t xml:space="preserve">灭火装置：4kg手持灭火器2个；发动机舱安装智能灭火弹2只及火灾预警器装置且在仪表区有声光报警功能；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4.工具：按标准配备工具及工具箱，三角牌1只；</w:t>
            </w:r>
            <w:r/>
          </w:p>
          <w:p>
            <w:pPr>
              <w:spacing w:line="220" w:lineRule="exact"/>
            </w:pPr>
            <w:r>
              <w:rPr>
                <w:rFonts w:hint="eastAsia" w:ascii="仿宋_GB2312" w:hAnsi="仿宋_GB2312" w:eastAsia="仿宋_GB2312" w:cs="仿宋_GB2312"/>
                <w:spacing w:val="-4"/>
                <w:sz w:val="18"/>
                <w:szCs w:val="18"/>
              </w:rPr>
              <w:t xml:space="preserve">5.约束隔板：座椅前无座椅处设置外敷软化材料的约束隔板。</w:t>
            </w:r>
            <w:r/>
          </w:p>
        </w:tc>
      </w:tr>
    </w:tbl>
    <w:p>
      <w:pPr>
        <w:spacing w:line="264" w:lineRule="auto"/>
        <w:rPr>
          <w:rFonts w:hint="eastAsia" w:ascii="宋体" w:hAnsi="宋体" w:cs="宋体"/>
          <w:bCs/>
          <w:sz w:val="24"/>
          <w:szCs w:val="24"/>
        </w:rPr>
      </w:pPr>
      <w:r>
        <w:rPr>
          <w:rFonts w:hint="eastAsia" w:ascii="宋体" w:hAnsi="宋体" w:cs="宋体"/>
          <w:bCs/>
          <w:sz w:val="24"/>
          <w:szCs w:val="24"/>
        </w:rPr>
      </w:r>
      <w:r/>
    </w:p>
    <w:p>
      <w:pPr>
        <w:spacing w:line="264" w:lineRule="auto"/>
        <w:rPr>
          <w:rFonts w:hint="eastAsia" w:ascii="宋体" w:hAnsi="宋体" w:cs="宋体"/>
          <w:bCs/>
          <w:sz w:val="24"/>
          <w:szCs w:val="24"/>
        </w:rPr>
      </w:pPr>
      <w:r>
        <w:rPr>
          <w:rFonts w:hint="eastAsia" w:ascii="宋体" w:hAnsi="宋体" w:cs="宋体"/>
          <w:bCs/>
          <w:sz w:val="24"/>
          <w:szCs w:val="24"/>
        </w:rPr>
      </w:r>
      <w:r/>
    </w:p>
    <w:p>
      <w:pPr>
        <w:ind w:firstLine="618"/>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w:t>
      </w:r>
      <w:r>
        <w:rPr>
          <w:rFonts w:hint="eastAsia" w:ascii="宋体" w:hAnsi="宋体" w:cs="宋体"/>
          <w:bCs/>
          <w:sz w:val="24"/>
          <w:szCs w:val="24"/>
        </w:rPr>
        <w:t xml:space="preserve">2.其他技术要求 </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（1）车身保证15年无结构性腐蚀，金刚封闭环结构。</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（2）智能管理要求：</w:t>
      </w:r>
      <w:r/>
    </w:p>
    <w:p>
      <w:pPr>
        <w:ind w:firstLine="480"/>
        <w:spacing w:line="264" w:lineRule="auto"/>
        <w:rPr>
          <w:rFonts w:hint="eastAsia" w:ascii="宋体" w:hAnsi="宋体" w:cs="宋体"/>
          <w:bCs/>
          <w:sz w:val="24"/>
          <w:szCs w:val="24"/>
        </w:rPr>
      </w:pPr>
      <w:r>
        <w:rPr>
          <w:rFonts w:ascii="宋体" w:hAnsi="宋体" w:cs="宋体"/>
          <w:bCs/>
          <w:sz w:val="24"/>
          <w:szCs w:val="24"/>
        </w:rPr>
        <w:t xml:space="preserve">①</w:t>
      </w:r>
      <w:r>
        <w:rPr>
          <w:rFonts w:hint="eastAsia" w:ascii="宋体" w:hAnsi="宋体" w:cs="宋体"/>
          <w:bCs/>
          <w:sz w:val="24"/>
          <w:szCs w:val="24"/>
        </w:rPr>
        <w:t xml:space="preserve">具有北斗/GPS双模行车记录仪功能，符合JT/T1076-2016，JT/T1078-2016标准。存储器的视频拍摄储存量＞30天。</w:t>
      </w:r>
      <w:r/>
    </w:p>
    <w:p>
      <w:pPr>
        <w:ind w:firstLine="480"/>
        <w:spacing w:line="264" w:lineRule="auto"/>
        <w:rPr>
          <w:rFonts w:hint="eastAsia" w:ascii="宋体" w:hAnsi="宋体" w:cs="宋体"/>
          <w:bCs/>
          <w:sz w:val="24"/>
          <w:szCs w:val="24"/>
        </w:rPr>
      </w:pPr>
      <w:r>
        <w:rPr>
          <w:rFonts w:ascii="宋体" w:hAnsi="宋体" w:cs="宋体"/>
          <w:bCs/>
          <w:sz w:val="24"/>
          <w:szCs w:val="24"/>
        </w:rPr>
        <w:t xml:space="preserve">②</w:t>
      </w:r>
      <w:r>
        <w:rPr>
          <w:rFonts w:hint="eastAsia" w:ascii="宋体" w:hAnsi="宋体" w:cs="宋体"/>
          <w:bCs/>
          <w:sz w:val="24"/>
          <w:szCs w:val="24"/>
        </w:rPr>
        <w:t xml:space="preserve">安装3D版360度实时全景影像监测（监控）系统。</w:t>
      </w:r>
      <w:r/>
    </w:p>
    <w:p>
      <w:pPr>
        <w:ind w:firstLine="480"/>
        <w:spacing w:line="264" w:lineRule="auto"/>
        <w:rPr>
          <w:rFonts w:hint="eastAsia" w:ascii="宋体" w:hAnsi="宋体" w:cs="宋体"/>
          <w:bCs/>
          <w:sz w:val="24"/>
          <w:szCs w:val="24"/>
        </w:rPr>
      </w:pPr>
      <w:r>
        <w:rPr>
          <w:rFonts w:ascii="宋体" w:hAnsi="宋体" w:cs="宋体"/>
          <w:bCs/>
          <w:sz w:val="24"/>
          <w:szCs w:val="24"/>
        </w:rPr>
        <w:t xml:space="preserve">③</w:t>
      </w:r>
      <w:r>
        <w:rPr>
          <w:rFonts w:hint="eastAsia" w:ascii="宋体" w:hAnsi="宋体" w:cs="宋体"/>
          <w:bCs/>
          <w:sz w:val="24"/>
          <w:szCs w:val="24"/>
        </w:rPr>
        <w:t xml:space="preserve">不少于5路高清摄像头，与一体机对接，车内具体安装位置：司机+整车+前路况+上下车门。360倒车影像，倒车摄像头具有防水功能，同时主机集成倒车语音报警功能。</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④车辆前部配置LED滚动式电子路牌（24点阵，三基色钢结构全彩屏，一体机控制，与一体机联动，后台修改显示内容。）</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⑤其他附件：配备GPS天线、通信天线。</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⑥提供面对车门的摄像头，具有人脸识别及测体温功能。</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⑦配置校车防遗忘装置，在后围安全门附件位置安装“防遗忘”装置，防遗忘按钮关闭前不得通过乘客门开关或乘客门遥控器关闭车门；车道偏离及碰撞预警系统。</w:t>
      </w:r>
      <w:r/>
    </w:p>
    <w:p>
      <w:pPr>
        <w:ind w:firstLine="412"/>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提供车辆已进入国家工信部公告，获得3C认证，提供车辆必须为新生产车辆，不得交付库存车辆（整车出厂日期距离合同交货日期超过6个月）。</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（2）补充说明</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对车内饰品用料提供第三方权威检测报告；技术配置要求未提及的事项均按照生产厂家标准配置。</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（3）质量</w:t>
      </w:r>
      <w:r>
        <w:rPr>
          <w:rFonts w:ascii="宋体" w:hAnsi="宋体" w:cs="宋体"/>
          <w:sz w:val="24"/>
          <w:szCs w:val="24"/>
        </w:rPr>
        <w:t xml:space="preserve">要求</w:t>
      </w:r>
      <w:r/>
    </w:p>
    <w:tbl>
      <w:tblPr>
        <w:tblStyle w:val="1015"/>
        <w:tblW w:w="10795" w:type="dxa"/>
        <w:tblInd w:w="2"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1080"/>
        <w:gridCol w:w="1460"/>
        <w:gridCol w:w="8255"/>
      </w:tblGrid>
      <w:tr>
        <w:trPr>
          <w:trHeight w:val="397"/>
        </w:trPr>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ind w:left="361"/>
              <w:spacing w:before="104" w:line="221" w:lineRule="auto"/>
              <w:rPr>
                <w:rFonts w:hint="eastAsia" w:ascii="宋体" w:hAnsi="宋体" w:cs="宋体"/>
                <w:b/>
                <w:bCs/>
                <w:sz w:val="18"/>
                <w:szCs w:val="18"/>
              </w:rPr>
            </w:pPr>
            <w:r>
              <w:rPr>
                <w:rFonts w:ascii="宋体" w:hAnsi="宋体" w:cs="宋体"/>
                <w:b/>
                <w:bCs/>
                <w:spacing w:val="-2"/>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W w:w="1460" w:type="dxa"/>
            <w:textDirection w:val="lrTb"/>
            <w:noWrap w:val="false"/>
          </w:tcPr>
          <w:p>
            <w:pPr>
              <w:ind w:firstLine="699"/>
              <w:spacing w:before="105" w:line="221" w:lineRule="auto"/>
              <w:rPr>
                <w:rFonts w:hint="eastAsia" w:ascii="宋体" w:hAnsi="宋体" w:cs="宋体"/>
                <w:b/>
                <w:bCs/>
                <w:sz w:val="18"/>
                <w:szCs w:val="18"/>
              </w:rPr>
            </w:pPr>
            <w:r>
              <w:rPr>
                <w:rFonts w:ascii="宋体" w:hAnsi="宋体" w:cs="宋体"/>
                <w:b/>
                <w:bCs/>
                <w:spacing w:val="-3"/>
                <w:sz w:val="18"/>
                <w:szCs w:val="18"/>
              </w:rPr>
              <w:t xml:space="preserve">名称</w:t>
            </w:r>
            <w:r/>
          </w:p>
        </w:tc>
        <w:tc>
          <w:tcPr>
            <w:shd w:val="clear" w:color="auto" w:fill="ffffff"/>
            <w:tcBorders>
              <w:top w:val="single" w:color="000000" w:sz="8" w:space="0"/>
              <w:left w:val="single" w:color="000000" w:sz="8" w:space="0"/>
              <w:bottom w:val="single" w:color="000000" w:sz="8" w:space="0"/>
              <w:right w:val="single" w:color="000000" w:sz="8" w:space="0"/>
            </w:tcBorders>
            <w:tcW w:w="8255" w:type="dxa"/>
            <w:textDirection w:val="lrTb"/>
            <w:noWrap w:val="false"/>
          </w:tcPr>
          <w:p>
            <w:pPr>
              <w:ind w:left="20"/>
              <w:jc w:val="center"/>
              <w:spacing w:before="104" w:line="219" w:lineRule="auto"/>
              <w:rPr>
                <w:rFonts w:hint="eastAsia" w:ascii="宋体" w:hAnsi="宋体" w:cs="宋体"/>
                <w:b/>
                <w:bCs/>
                <w:sz w:val="18"/>
                <w:szCs w:val="18"/>
              </w:rPr>
            </w:pPr>
            <w:r>
              <w:rPr>
                <w:rFonts w:ascii="宋体" w:hAnsi="宋体" w:cs="宋体"/>
                <w:b/>
                <w:bCs/>
                <w:spacing w:val="-2"/>
                <w:sz w:val="18"/>
                <w:szCs w:val="18"/>
              </w:rPr>
              <w:t xml:space="preserve">采购要求</w:t>
            </w:r>
            <w:r/>
          </w:p>
        </w:tc>
      </w:tr>
      <w:tr>
        <w:trPr>
          <w:trHeight w:val="907"/>
        </w:trPr>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ind w:left="510"/>
              <w:spacing w:before="58" w:line="241" w:lineRule="auto"/>
              <w:rPr>
                <w:rFonts w:hint="eastAsia" w:ascii="宋体" w:hAnsi="宋体" w:cs="宋体"/>
                <w:sz w:val="18"/>
                <w:szCs w:val="18"/>
              </w:rPr>
            </w:pPr>
            <w:r>
              <w:rPr>
                <w:rFonts w:ascii="宋体" w:hAnsi="宋体" w:cs="宋体"/>
                <w:sz w:val="18"/>
                <w:szCs w:val="18"/>
              </w:rPr>
              <w:t xml:space="preserve">1</w:t>
            </w:r>
            <w:r/>
          </w:p>
        </w:tc>
        <w:tc>
          <w:tcPr>
            <w:tcBorders>
              <w:top w:val="single" w:color="000000" w:sz="8" w:space="0"/>
              <w:left w:val="single" w:color="000000" w:sz="8" w:space="0"/>
              <w:bottom w:val="single" w:color="000000" w:sz="8" w:space="0"/>
              <w:right w:val="single" w:color="000000" w:sz="8" w:space="0"/>
            </w:tcBorders>
            <w:tcW w:w="1460" w:type="dxa"/>
            <w:textDirection w:val="lrTb"/>
            <w:noWrap w:val="false"/>
          </w:tcPr>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4"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pStyle w:val="1029"/>
              <w:spacing w:line="245" w:lineRule="auto"/>
            </w:pPr>
            <w:r/>
            <w:r/>
          </w:p>
          <w:p>
            <w:pPr>
              <w:jc w:val="left"/>
              <w:spacing w:before="58" w:line="219" w:lineRule="auto"/>
              <w:rPr>
                <w:rFonts w:hint="eastAsia" w:ascii="宋体" w:hAnsi="宋体" w:cs="宋体"/>
                <w:sz w:val="18"/>
                <w:szCs w:val="18"/>
              </w:rPr>
            </w:pPr>
            <w:r>
              <w:rPr>
                <w:rFonts w:hint="eastAsia" w:ascii="宋体" w:hAnsi="宋体" w:cs="宋体"/>
                <w:spacing w:val="-1"/>
                <w:sz w:val="18"/>
                <w:szCs w:val="18"/>
              </w:rPr>
              <w:t xml:space="preserve">主要部件质保要求</w:t>
            </w:r>
            <w:r/>
          </w:p>
        </w:tc>
        <w:tc>
          <w:tcPr>
            <w:shd w:val="clear" w:color="auto" w:fill="ffffff"/>
            <w:tcBorders>
              <w:top w:val="single" w:color="000000" w:sz="8" w:space="0"/>
              <w:left w:val="single" w:color="000000" w:sz="8" w:space="0"/>
              <w:bottom w:val="single" w:color="000000" w:sz="8" w:space="0"/>
              <w:right w:val="single" w:color="000000" w:sz="8" w:space="0"/>
            </w:tcBorders>
            <w:tcW w:w="8255" w:type="dxa"/>
            <w:textDirection w:val="lrTb"/>
            <w:noWrap w:val="false"/>
          </w:tcPr>
          <w:tbl>
            <w:tblPr>
              <w:tblStyle w:val="90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59"/>
              <w:gridCol w:w="5386"/>
              <w:gridCol w:w="2268"/>
            </w:tblGrid>
            <w:tr>
              <w:trPr>
                <w:trHeight w:val="6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b/>
                      <w:bCs/>
                      <w:sz w:val="15"/>
                      <w:szCs w:val="15"/>
                    </w:rPr>
                  </w:pPr>
                  <w:r>
                    <w:rPr>
                      <w:rFonts w:hint="eastAsia" w:ascii="仿宋_GB2312" w:hAnsi="仿宋_GB2312" w:eastAsia="仿宋_GB2312" w:cs="仿宋_GB2312"/>
                      <w:b/>
                      <w:bCs/>
                      <w:sz w:val="15"/>
                      <w:szCs w:val="15"/>
                      <w:lang w:bidi="ar"/>
                    </w:rPr>
                    <w:t xml:space="preserve">序</w:t>
                  </w:r>
                  <w:r>
                    <w:rPr>
                      <w:rFonts w:hint="eastAsia" w:ascii="仿宋_GB2312" w:hAnsi="仿宋_GB2312" w:eastAsia="仿宋_GB2312" w:cs="仿宋_GB2312"/>
                      <w:b/>
                      <w:bCs/>
                      <w:spacing w:val="-9"/>
                      <w:sz w:val="15"/>
                      <w:szCs w:val="15"/>
                    </w:rPr>
                    <w:t xml:space="preserve">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before="98" w:line="200" w:lineRule="exact"/>
                    <w:rPr>
                      <w:rFonts w:hint="eastAsia" w:ascii="仿宋_GB2312" w:hAnsi="仿宋_GB2312" w:eastAsia="仿宋_GB2312" w:cs="仿宋_GB2312"/>
                      <w:b/>
                      <w:bCs/>
                      <w:sz w:val="15"/>
                      <w:szCs w:val="15"/>
                    </w:rPr>
                  </w:pPr>
                  <w:r>
                    <w:rPr>
                      <w:rFonts w:hint="eastAsia" w:ascii="仿宋_GB2312" w:hAnsi="仿宋_GB2312" w:eastAsia="仿宋_GB2312" w:cs="仿宋_GB2312"/>
                      <w:b/>
                      <w:bCs/>
                      <w:spacing w:val="-9"/>
                      <w:sz w:val="15"/>
                      <w:szCs w:val="15"/>
                    </w:rPr>
                    <w:t xml:space="preserve">项   </w:t>
                  </w:r>
                  <w:r>
                    <w:rPr>
                      <w:rFonts w:hint="eastAsia" w:ascii="仿宋_GB2312" w:hAnsi="仿宋_GB2312" w:eastAsia="仿宋_GB2312" w:cs="仿宋_GB2312"/>
                      <w:b/>
                      <w:bCs/>
                      <w:spacing w:val="8"/>
                      <w:sz w:val="15"/>
                      <w:szCs w:val="15"/>
                    </w:rPr>
                    <w:t xml:space="preserve">    </w:t>
                  </w:r>
                  <w:r>
                    <w:rPr>
                      <w:rFonts w:hint="eastAsia" w:ascii="仿宋_GB2312" w:hAnsi="仿宋_GB2312" w:eastAsia="仿宋_GB2312" w:cs="仿宋_GB2312"/>
                      <w:b/>
                      <w:bCs/>
                      <w:sz w:val="15"/>
                      <w:szCs w:val="15"/>
                      <w:lang w:bidi="ar"/>
                    </w:rPr>
                    <w:t xml:space="preserve">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20"/>
                    <w:jc w:val="left"/>
                    <w:spacing w:before="98" w:line="200" w:lineRule="exact"/>
                    <w:rPr>
                      <w:rFonts w:hint="eastAsia" w:ascii="仿宋_GB2312" w:hAnsi="仿宋_GB2312" w:eastAsia="仿宋_GB2312" w:cs="仿宋_GB2312"/>
                      <w:b/>
                      <w:bCs/>
                      <w:sz w:val="15"/>
                      <w:szCs w:val="15"/>
                    </w:rPr>
                  </w:pPr>
                  <w:r>
                    <w:rPr>
                      <w:rFonts w:hint="eastAsia" w:ascii="仿宋_GB2312" w:hAnsi="仿宋_GB2312" w:eastAsia="仿宋_GB2312" w:cs="仿宋_GB2312"/>
                      <w:b/>
                      <w:bCs/>
                      <w:spacing w:val="-9"/>
                      <w:sz w:val="15"/>
                      <w:szCs w:val="15"/>
                    </w:rPr>
                  </w:r>
                  <w:r/>
                </w:p>
                <w:p>
                  <w:pPr>
                    <w:jc w:val="left"/>
                    <w:spacing w:line="200" w:lineRule="exact"/>
                    <w:widowControl/>
                    <w:rPr>
                      <w:rFonts w:hint="eastAsia" w:ascii="仿宋_GB2312" w:hAnsi="仿宋_GB2312" w:eastAsia="仿宋_GB2312" w:cs="仿宋_GB2312"/>
                      <w:b/>
                      <w:bCs/>
                      <w:sz w:val="15"/>
                      <w:szCs w:val="15"/>
                    </w:rPr>
                  </w:pPr>
                  <w:r>
                    <w:rPr>
                      <w:rFonts w:hint="eastAsia" w:ascii="仿宋_GB2312" w:hAnsi="仿宋_GB2312" w:eastAsia="仿宋_GB2312" w:cs="仿宋_GB2312"/>
                      <w:b/>
                      <w:bCs/>
                      <w:sz w:val="15"/>
                      <w:szCs w:val="15"/>
                      <w:lang w:bidi="ar"/>
                    </w:rPr>
                    <w:t xml:space="preserve">质保期</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发动机（四配套、燃料供给系统、传感器、水泵、空压机、涡轮增压器、飞轮齿圈、线束、油封、尾气处理系统）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15万Km或5年以先到为准</w:t>
                  </w:r>
                  <w:r/>
                </w:p>
              </w:tc>
            </w:tr>
            <w:tr>
              <w:trPr>
                <w:trHeight w:val="33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离合器压盘、分离轴承、离合器总泵、分泵、助力泵、油管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29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离合器片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0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转向器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横直拉杆球头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转向系油管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前桥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后桥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变速箱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司机、学生座椅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空调主机、空调系统（含发电机、冷媒、压缩机、风机、蒸发器、冷凝器、干燥瓶、控制面板）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暖风系统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CAN模块系统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行车、倒车监视系统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2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铝合金顶板空调风道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0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LED厢灯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1年</w:t>
                  </w:r>
                  <w:r/>
                </w:p>
              </w:tc>
            </w:tr>
            <w:tr>
              <w:trPr>
                <w:trHeight w:val="25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排风天窗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后视镜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车门系统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盘（鼓）式制动器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传动轴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避震器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整车电气系统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ABS控制系统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制动总泵、制动分泵及其它阀类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起动机、发电机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3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水箱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风机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整车线束、接插件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电控单元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整车各电气传感器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免维护蓄电池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雨刷器(含雨刮连动杆、雨刮电机)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地板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4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地板革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3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大梁及主骨架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侧窗玻璃、后挡风玻璃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顶盖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内顶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车顶漏雨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40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电子信息设施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消防设备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GPS服务费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终身</w:t>
                  </w:r>
                  <w:r/>
                </w:p>
              </w:tc>
            </w:tr>
            <w:tr>
              <w:trPr>
                <w:trHeight w:val="449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23" w:right="102"/>
                    <w:spacing w:before="149" w:line="360" w:lineRule="exact"/>
                    <w:rPr>
                      <w:rFonts w:hint="eastAsia" w:ascii="宋体" w:hAnsi="宋体" w:cs="宋体"/>
                      <w:spacing w:val="-2"/>
                      <w:sz w:val="18"/>
                      <w:szCs w:val="18"/>
                    </w:rPr>
                  </w:pPr>
                  <w:r>
                    <w:rPr>
                      <w:rFonts w:hint="eastAsia" w:ascii="宋体" w:hAnsi="宋体" w:cs="宋体"/>
                      <w:spacing w:val="-2"/>
                      <w:sz w:val="18"/>
                      <w:szCs w:val="18"/>
                    </w:rPr>
                    <w:t xml:space="preserve">（1）未列出的总成件全部纳入技术要求和整车质保期；</w:t>
                  </w:r>
                  <w:r/>
                </w:p>
                <w:p>
                  <w:pPr>
                    <w:ind w:left="23" w:right="102"/>
                    <w:spacing w:before="149" w:line="360" w:lineRule="exact"/>
                    <w:rPr>
                      <w:rFonts w:hint="eastAsia" w:ascii="宋体" w:hAnsi="宋体" w:cs="宋体"/>
                      <w:spacing w:val="-2"/>
                      <w:sz w:val="18"/>
                      <w:szCs w:val="18"/>
                    </w:rPr>
                  </w:pPr>
                  <w:r>
                    <w:rPr>
                      <w:rFonts w:hint="eastAsia" w:ascii="宋体" w:hAnsi="宋体" w:cs="宋体"/>
                      <w:spacing w:val="-2"/>
                      <w:sz w:val="18"/>
                      <w:szCs w:val="18"/>
                    </w:rPr>
                    <w:t xml:space="preserve">（2）其它易损、易耗件不列入整车质保期；</w:t>
                  </w:r>
                  <w:r/>
                </w:p>
                <w:p>
                  <w:pPr>
                    <w:ind w:left="23" w:right="102"/>
                    <w:spacing w:before="149" w:line="360" w:lineRule="exact"/>
                    <w:rPr>
                      <w:rFonts w:hint="eastAsia" w:ascii="宋体" w:hAnsi="宋体" w:cs="宋体"/>
                      <w:spacing w:val="-2"/>
                      <w:sz w:val="18"/>
                      <w:szCs w:val="18"/>
                    </w:rPr>
                  </w:pPr>
                  <w:r>
                    <w:rPr>
                      <w:rFonts w:hint="eastAsia" w:ascii="宋体" w:hAnsi="宋体" w:cs="宋体"/>
                      <w:spacing w:val="-2"/>
                      <w:sz w:val="18"/>
                      <w:szCs w:val="18"/>
                    </w:rPr>
                    <w:t xml:space="preserve">（3）以上43个部件须供应商提供质保条款的承诺书，此项要求为★号条款；</w:t>
                  </w:r>
                  <w:r/>
                </w:p>
                <w:p>
                  <w:pPr>
                    <w:ind w:left="23" w:right="102"/>
                    <w:spacing w:before="149" w:line="360" w:lineRule="exact"/>
                    <w:rPr>
                      <w:rFonts w:hint="eastAsia" w:ascii="仿宋_GB2312" w:hAnsi="仿宋_GB2312" w:eastAsia="仿宋_GB2312" w:cs="仿宋_GB2312"/>
                      <w:sz w:val="15"/>
                      <w:szCs w:val="15"/>
                    </w:rPr>
                  </w:pPr>
                  <w:r>
                    <w:rPr>
                      <w:rFonts w:hint="eastAsia" w:ascii="宋体" w:hAnsi="宋体" w:cs="宋体"/>
                      <w:spacing w:val="-2"/>
                      <w:sz w:val="18"/>
                      <w:szCs w:val="18"/>
                    </w:rPr>
                    <w:t xml:space="preserve">（4）供应商须承诺，中标后五个工作日内，提供中标校车品牌的制造商出具的：响应招标文件中校车技术配置内容及投标文件内容并授权中标供应商供货的承诺书，提供中标校车品牌的制造商承诺保障本项目售后要求的承诺书。未提供承诺书视同供应商放弃中标。供应商是校车制造商的，投标时可以不提供该承诺，此项要求为★号条款。</w:t>
                  </w:r>
                  <w:r/>
                </w:p>
              </w:tc>
            </w:tr>
          </w:tbl>
          <w:p>
            <w:pPr>
              <w:spacing w:before="147" w:line="219" w:lineRule="auto"/>
              <w:rPr>
                <w:rFonts w:hint="eastAsia" w:ascii="宋体" w:hAnsi="宋体" w:cs="宋体"/>
                <w:sz w:val="18"/>
                <w:szCs w:val="18"/>
              </w:rPr>
            </w:pPr>
            <w:r>
              <w:rPr>
                <w:rFonts w:hint="eastAsia" w:ascii="宋体" w:hAnsi="宋体" w:cs="宋体"/>
                <w:sz w:val="18"/>
                <w:szCs w:val="18"/>
              </w:rPr>
            </w:r>
            <w:r/>
          </w:p>
        </w:tc>
      </w:tr>
    </w:tbl>
    <w:p>
      <w:pPr>
        <w:sectPr>
          <w:footnotePr/>
          <w:endnotePr/>
          <w:type w:val="nextPage"/>
          <w:pgSz w:w="12240" w:h="15840" w:orient="portrait"/>
          <w:pgMar w:top="1000" w:right="720" w:bottom="0" w:left="720" w:header="0" w:footer="0" w:gutter="0"/>
          <w:cols w:num="1" w:sep="0" w:space="720" w:equalWidth="1"/>
          <w:docGrid w:linePitch="360"/>
        </w:sectPr>
      </w:pPr>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中标供应商交付车辆须满足GB24407、GB24406、GB7258、GB1589-2016专用校车国家标准及采购合同全部技术参数。交付时提交完整整车资料、合格证、三包凭证、随车工具、车内环境检查报告等。验收小组对外观、校车标识、制动、限速装置、监控系统、灭火器、急救箱、座椅安全带、应急出口等安全设施逐项核验，并进行路试。所有车辆须为全新原厂车辆，无损伤、无改装瑕疵。验收不合格由供应商无偿整改；拒不整改或整改两次仍不合格，采购人有权拒收、解除合同并追责。验收合格签署验收报告，作为付款依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（5）质保（维保）及售后要求</w:t>
      </w:r>
      <w:r/>
    </w:p>
    <w:p>
      <w:pPr>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本项目要求整体质保（维保）期3年或15万公里，从验收合格之日起计算。</w:t>
      </w:r>
      <w:r>
        <w:rPr>
          <w:rFonts w:ascii="宋体" w:hAnsi="宋体" w:cs="宋体"/>
          <w:sz w:val="24"/>
          <w:szCs w:val="24"/>
        </w:rPr>
        <w:t xml:space="preserve">质保期内</w:t>
      </w:r>
      <w:r>
        <w:rPr>
          <w:rFonts w:hint="eastAsia" w:ascii="宋体" w:hAnsi="宋体" w:cs="宋体"/>
          <w:sz w:val="24"/>
          <w:szCs w:val="24"/>
        </w:rPr>
        <w:t xml:space="preserve">，</w:t>
      </w:r>
      <w:r>
        <w:rPr>
          <w:rFonts w:ascii="宋体" w:hAnsi="宋体" w:cs="宋体"/>
          <w:sz w:val="24"/>
          <w:szCs w:val="24"/>
        </w:rPr>
        <w:t xml:space="preserve">每年维护保养1次</w:t>
      </w:r>
      <w:r>
        <w:rPr>
          <w:rFonts w:hint="eastAsia" w:ascii="宋体" w:hAnsi="宋体" w:cs="宋体"/>
          <w:sz w:val="24"/>
          <w:szCs w:val="24"/>
        </w:rPr>
        <w:t xml:space="preserve">，</w:t>
      </w:r>
      <w:r>
        <w:rPr>
          <w:rFonts w:ascii="宋体" w:hAnsi="宋体" w:cs="宋体"/>
          <w:sz w:val="24"/>
          <w:szCs w:val="24"/>
        </w:rPr>
        <w:t xml:space="preserve">维护保养及更换损坏件的费用包含在投标总价中。</w:t>
      </w:r>
      <w:r/>
    </w:p>
    <w:p>
      <w:pPr>
        <w:ind w:firstLine="480"/>
        <w:spacing w:line="264" w:lineRule="auto"/>
        <w:rPr>
          <w:rFonts w:hint="eastAsia" w:ascii="宋体" w:hAnsi="宋体" w:cs="宋体"/>
          <w:sz w:val="24"/>
          <w:szCs w:val="24"/>
        </w:rPr>
      </w:pPr>
      <w:r>
        <w:rPr>
          <w:rFonts w:ascii="宋体" w:hAnsi="宋体" w:cs="宋体"/>
          <w:sz w:val="24"/>
          <w:szCs w:val="24"/>
        </w:rPr>
        <w:t xml:space="preserve">②质保期内</w:t>
      </w:r>
      <w:r>
        <w:rPr>
          <w:rFonts w:hint="eastAsia" w:ascii="宋体" w:hAnsi="宋体" w:cs="宋体"/>
          <w:sz w:val="24"/>
          <w:szCs w:val="24"/>
        </w:rPr>
        <w:t xml:space="preserve">，</w:t>
      </w:r>
      <w:r>
        <w:rPr>
          <w:rFonts w:ascii="宋体" w:hAnsi="宋体" w:cs="宋体"/>
          <w:sz w:val="24"/>
          <w:szCs w:val="24"/>
        </w:rPr>
        <w:t xml:space="preserve">一旦产品发生质量问题</w:t>
      </w:r>
      <w:r>
        <w:rPr>
          <w:rFonts w:hint="eastAsia" w:ascii="宋体" w:hAnsi="宋体" w:cs="宋体"/>
          <w:sz w:val="24"/>
          <w:szCs w:val="24"/>
        </w:rPr>
        <w:t xml:space="preserve">，中标人</w:t>
      </w:r>
      <w:r>
        <w:rPr>
          <w:rFonts w:ascii="宋体" w:hAnsi="宋体" w:cs="宋体"/>
          <w:sz w:val="24"/>
          <w:szCs w:val="24"/>
        </w:rPr>
        <w:t xml:space="preserve">接到报修请求</w:t>
      </w:r>
      <w:r>
        <w:rPr>
          <w:rFonts w:hint="eastAsia" w:ascii="宋体" w:hAnsi="宋体" w:cs="宋体"/>
          <w:sz w:val="24"/>
          <w:szCs w:val="24"/>
        </w:rPr>
        <w:t xml:space="preserve">，</w:t>
      </w:r>
      <w:r>
        <w:rPr>
          <w:rFonts w:ascii="宋体" w:hAnsi="宋体" w:cs="宋体"/>
          <w:sz w:val="24"/>
          <w:szCs w:val="24"/>
        </w:rPr>
        <w:t xml:space="preserve">在2小时内响应</w:t>
      </w:r>
      <w:r>
        <w:rPr>
          <w:rFonts w:hint="eastAsia" w:ascii="宋体" w:hAnsi="宋体" w:cs="宋体"/>
          <w:sz w:val="24"/>
          <w:szCs w:val="24"/>
        </w:rPr>
        <w:t xml:space="preserve">，4</w:t>
      </w:r>
      <w:r>
        <w:rPr>
          <w:rFonts w:ascii="宋体" w:hAnsi="宋体" w:cs="宋体"/>
          <w:sz w:val="24"/>
          <w:szCs w:val="24"/>
        </w:rPr>
        <w:t xml:space="preserve">小时内维修人员到达现场进行修理、更换或退货</w:t>
      </w:r>
      <w:r>
        <w:rPr>
          <w:rFonts w:hint="eastAsia" w:ascii="宋体" w:hAnsi="宋体" w:cs="宋体"/>
          <w:sz w:val="24"/>
          <w:szCs w:val="24"/>
        </w:rPr>
        <w:t xml:space="preserve">，</w:t>
      </w:r>
      <w:r>
        <w:rPr>
          <w:rFonts w:ascii="宋体" w:hAnsi="宋体" w:cs="宋体"/>
          <w:sz w:val="24"/>
          <w:szCs w:val="24"/>
        </w:rPr>
        <w:t xml:space="preserve">费用由</w:t>
      </w:r>
      <w:r>
        <w:rPr>
          <w:rFonts w:hint="eastAsia" w:ascii="宋体" w:hAnsi="宋体" w:cs="宋体"/>
          <w:sz w:val="24"/>
          <w:szCs w:val="24"/>
        </w:rPr>
        <w:t xml:space="preserve">中标人</w:t>
      </w:r>
      <w:r>
        <w:rPr>
          <w:rFonts w:ascii="宋体" w:hAnsi="宋体" w:cs="宋体"/>
          <w:sz w:val="24"/>
          <w:szCs w:val="24"/>
        </w:rPr>
        <w:t xml:space="preserve">负责。如</w:t>
      </w:r>
      <w:r>
        <w:rPr>
          <w:rFonts w:hint="eastAsia" w:ascii="宋体" w:hAnsi="宋体" w:cs="宋体"/>
          <w:sz w:val="24"/>
          <w:szCs w:val="24"/>
        </w:rPr>
        <w:t xml:space="preserve">中标人</w:t>
      </w:r>
      <w:r>
        <w:rPr>
          <w:rFonts w:ascii="宋体" w:hAnsi="宋体" w:cs="宋体"/>
          <w:sz w:val="24"/>
          <w:szCs w:val="24"/>
        </w:rPr>
        <w:t xml:space="preserve">在接到通知后2小时内没有答复</w:t>
      </w:r>
      <w:r>
        <w:rPr>
          <w:rFonts w:hint="eastAsia" w:ascii="宋体" w:hAnsi="宋体" w:cs="宋体"/>
          <w:sz w:val="24"/>
          <w:szCs w:val="24"/>
        </w:rPr>
        <w:t xml:space="preserve">，</w:t>
      </w:r>
      <w:r>
        <w:rPr>
          <w:rFonts w:ascii="宋体" w:hAnsi="宋体" w:cs="宋体"/>
          <w:sz w:val="24"/>
          <w:szCs w:val="24"/>
        </w:rPr>
        <w:t xml:space="preserve">则视为承认质量问题并承担由此发生的一切费用。质保期内</w:t>
      </w:r>
      <w:r>
        <w:rPr>
          <w:rFonts w:hint="eastAsia" w:ascii="宋体" w:hAnsi="宋体" w:cs="宋体"/>
          <w:sz w:val="24"/>
          <w:szCs w:val="24"/>
        </w:rPr>
        <w:t xml:space="preserve">产品</w:t>
      </w:r>
      <w:r>
        <w:rPr>
          <w:rFonts w:ascii="宋体" w:hAnsi="宋体" w:cs="宋体"/>
          <w:sz w:val="24"/>
          <w:szCs w:val="24"/>
        </w:rPr>
        <w:t xml:space="preserve">的一切质量问题</w:t>
      </w:r>
      <w:r>
        <w:rPr>
          <w:rFonts w:hint="eastAsia" w:ascii="宋体" w:hAnsi="宋体" w:cs="宋体"/>
          <w:sz w:val="24"/>
          <w:szCs w:val="24"/>
        </w:rPr>
        <w:t xml:space="preserve">，</w:t>
      </w:r>
      <w:r>
        <w:rPr>
          <w:rFonts w:ascii="宋体" w:hAnsi="宋体" w:cs="宋体"/>
          <w:sz w:val="24"/>
          <w:szCs w:val="24"/>
        </w:rPr>
        <w:t xml:space="preserve">更换部件及</w:t>
      </w:r>
      <w:r>
        <w:rPr>
          <w:rFonts w:hint="eastAsia" w:ascii="宋体" w:hAnsi="宋体" w:cs="宋体"/>
          <w:sz w:val="24"/>
          <w:szCs w:val="24"/>
        </w:rPr>
        <w:t xml:space="preserve">产品</w:t>
      </w:r>
      <w:r>
        <w:rPr>
          <w:rFonts w:ascii="宋体" w:hAnsi="宋体" w:cs="宋体"/>
          <w:sz w:val="24"/>
          <w:szCs w:val="24"/>
        </w:rPr>
        <w:t xml:space="preserve">本身质量原因造成的直接经济损失全部由</w:t>
      </w:r>
      <w:r>
        <w:rPr>
          <w:rFonts w:hint="eastAsia" w:ascii="宋体" w:hAnsi="宋体" w:cs="宋体"/>
          <w:sz w:val="24"/>
          <w:szCs w:val="24"/>
        </w:rPr>
        <w:t xml:space="preserve">中标人</w:t>
      </w:r>
      <w:r>
        <w:rPr>
          <w:rFonts w:ascii="宋体" w:hAnsi="宋体" w:cs="宋体"/>
          <w:sz w:val="24"/>
          <w:szCs w:val="24"/>
        </w:rPr>
        <w:t xml:space="preserve">负责。无法短时间完成维修的</w:t>
      </w:r>
      <w:r>
        <w:rPr>
          <w:rFonts w:hint="eastAsia" w:ascii="宋体" w:hAnsi="宋体" w:cs="宋体"/>
          <w:sz w:val="24"/>
          <w:szCs w:val="24"/>
        </w:rPr>
        <w:t xml:space="preserve">，</w:t>
      </w:r>
      <w:r>
        <w:rPr>
          <w:rFonts w:ascii="宋体" w:hAnsi="宋体" w:cs="宋体"/>
          <w:sz w:val="24"/>
          <w:szCs w:val="24"/>
        </w:rPr>
        <w:t xml:space="preserve">应向采购人提供应急备用产品。 </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p>
    <w:p>
      <w:pPr>
        <w:ind w:firstLine="480"/>
        <w:spacing w:line="360" w:lineRule="exact"/>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360" w:lineRule="exact"/>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50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right="97" w:firstLine="480"/>
        <w:spacing w:before="129" w:line="360" w:lineRule="exact"/>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bCs/>
          <w:sz w:val="24"/>
          <w:szCs w:val="24"/>
        </w:rPr>
      </w:pPr>
      <w:r/>
      <w:bookmarkStart w:id="61" w:name="OLE_LINK1"/>
      <w:r>
        <w:rPr>
          <w:rFonts w:hint="eastAsia" w:ascii="宋体" w:hAnsi="宋体" w:cs="宋体"/>
          <w:bCs/>
          <w:sz w:val="24"/>
          <w:szCs w:val="24"/>
        </w:rPr>
        <w:t xml:space="preserve">6.其他要求</w:t>
      </w:r>
      <w:bookmarkEnd w:id="61"/>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ind w:right="840"/>
        <w:jc w:val="center"/>
        <w:rPr>
          <w:rFonts w:hint="eastAsia" w:ascii="方正小标宋简体" w:hAnsi="方正小标宋简体" w:eastAsia="方正小标宋简体" w:cs="方正小标宋简体"/>
          <w:sz w:val="36"/>
          <w:szCs w:val="36"/>
        </w:rPr>
        <w:outlineLvl w:val="0"/>
      </w:pPr>
      <w:r/>
      <w:bookmarkStart w:id="62"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0"/>
        <w:widowControl/>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20"/>
        <w:widowControl/>
        <w:rPr>
          <w:rFonts w:hint="eastAsia" w:ascii="宋体" w:hAnsi="宋体"/>
          <w:sz w:val="24"/>
          <w:szCs w:val="24"/>
        </w:rPr>
      </w:pPr>
      <w:r>
        <w:rPr>
          <w:rFonts w:hint="eastAsia" w:ascii="宋体" w:hAnsi="宋体"/>
          <w:sz w:val="24"/>
          <w:szCs w:val="24"/>
        </w:rPr>
        <w:t xml:space="preserve">三、小微企业价格扣除</w:t>
      </w:r>
      <w:r/>
    </w:p>
    <w:p>
      <w:pPr>
        <w:ind w:firstLine="420"/>
        <w:widowControl/>
        <w:rPr>
          <w:rFonts w:hint="eastAsia" w:ascii="宋体" w:hAnsi="宋体"/>
          <w:sz w:val="24"/>
          <w:szCs w:val="24"/>
        </w:rPr>
      </w:pPr>
      <w:r>
        <w:rPr>
          <w:rFonts w:hint="eastAsia" w:ascii="宋体" w:hAnsi="宋体"/>
          <w:sz w:val="24"/>
          <w:szCs w:val="24"/>
        </w:rPr>
        <w:t xml:space="preserve">1.本项目全部货物制造商为小微企业的，对报价给予10%的扣除，用扣除后的价格参与评审。</w:t>
      </w:r>
      <w:r/>
    </w:p>
    <w:p>
      <w:pPr>
        <w:ind w:firstLine="420"/>
        <w:widowControl/>
        <w:rPr>
          <w:rFonts w:hint="eastAsia" w:ascii="宋体" w:hAnsi="宋体"/>
          <w:sz w:val="24"/>
          <w:szCs w:val="24"/>
        </w:rPr>
      </w:pPr>
      <w:r>
        <w:rPr>
          <w:rFonts w:hint="eastAsia" w:ascii="宋体" w:hAnsi="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spacing w:line="264" w:lineRule="auto"/>
        <w:rPr>
          <w:rFonts w:hint="eastAsia" w:ascii="黑体" w:hAnsi="黑体" w:eastAsia="黑体" w:cs="黑体"/>
          <w:sz w:val="24"/>
          <w:szCs w:val="24"/>
        </w:rPr>
      </w:pPr>
      <w:r>
        <w:rPr>
          <w:rFonts w:hint="eastAsia" w:ascii="黑体" w:hAnsi="黑体" w:eastAsia="黑体" w:cs="黑体"/>
          <w:sz w:val="24"/>
          <w:szCs w:val="24"/>
        </w:rPr>
      </w:r>
      <w:r/>
    </w:p>
    <w:p>
      <w:pPr>
        <w:spacing w:line="264" w:lineRule="auto"/>
        <w:rPr>
          <w:sz w:val="24"/>
          <w:szCs w:val="24"/>
        </w:rPr>
      </w:pPr>
      <w:r>
        <w:rPr>
          <w:rFonts w:hint="eastAsia" w:ascii="黑体" w:hAnsi="黑体" w:eastAsia="黑体" w:cs="黑体"/>
          <w:sz w:val="24"/>
          <w:szCs w:val="24"/>
        </w:rPr>
        <w:t xml:space="preserve">三、评标标准</w:t>
      </w:r>
      <w:r/>
    </w:p>
    <w:tbl>
      <w:tblPr>
        <w:tblStyle w:val="101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式计算：投标报价得分=（评标基准价/投标报价）×40（小数点保留两位）</w:t>
            </w:r>
            <w:r/>
          </w:p>
          <w:p>
            <w:pPr>
              <w:jc w:val="left"/>
              <w:spacing w:line="264" w:lineRule="auto"/>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40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jc w:val="left"/>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1029"/>
              <w:spacing w:before="106" w:line="219" w:lineRule="auto"/>
              <w:rPr>
                <w:rFonts w:hint="eastAsia" w:ascii="宋体" w:hAnsi="宋体" w:eastAsia="宋体" w:cs="宋体"/>
                <w:spacing w:val="1"/>
                <w:lang w:eastAsia="zh-CN"/>
              </w:rPr>
            </w:pPr>
            <w:r>
              <w:rPr>
                <w:rFonts w:ascii="宋体" w:hAnsi="宋体" w:eastAsia="宋体" w:cs="宋体"/>
                <w:spacing w:val="-1"/>
                <w:sz w:val="18"/>
                <w:szCs w:val="18"/>
                <w:lang w:eastAsia="zh-CN"/>
              </w:rPr>
              <w:t xml:space="preserve">根据投标产品对招标文件的技术参数、技术要求的响应程度进行评议</w:t>
            </w:r>
            <w:r>
              <w:rPr>
                <w:rFonts w:hint="eastAsia" w:ascii="宋体" w:hAnsi="宋体" w:eastAsia="宋体" w:cs="宋体"/>
                <w:spacing w:val="-1"/>
                <w:sz w:val="18"/>
                <w:szCs w:val="18"/>
                <w:lang w:eastAsia="zh-CN"/>
              </w:rPr>
              <w:t xml:space="preserve">，</w:t>
            </w:r>
            <w:r>
              <w:rPr>
                <w:rFonts w:ascii="宋体" w:hAnsi="宋体" w:eastAsia="宋体" w:cs="宋体"/>
                <w:spacing w:val="-1"/>
                <w:sz w:val="18"/>
                <w:szCs w:val="18"/>
                <w:lang w:eastAsia="zh-CN"/>
              </w:rPr>
              <w:t xml:space="preserve">全部响应得</w:t>
            </w:r>
            <w:r>
              <w:rPr>
                <w:rFonts w:hint="eastAsia" w:ascii="宋体" w:hAnsi="宋体" w:cs="宋体"/>
                <w:spacing w:val="-1"/>
                <w:sz w:val="18"/>
                <w:szCs w:val="18"/>
                <w:lang w:eastAsia="zh-CN"/>
              </w:rPr>
              <w:t xml:space="preserve">3</w:t>
            </w:r>
            <w:r>
              <w:rPr>
                <w:rFonts w:ascii="宋体" w:hAnsi="宋体" w:eastAsia="宋体" w:cs="宋体"/>
                <w:spacing w:val="-1"/>
                <w:sz w:val="18"/>
                <w:szCs w:val="18"/>
                <w:lang w:eastAsia="zh-CN"/>
              </w:rPr>
              <w:t xml:space="preserve">0分，</w:t>
            </w:r>
            <w:r>
              <w:rPr>
                <w:rFonts w:hint="eastAsia" w:ascii="宋体" w:hAnsi="宋体" w:eastAsia="宋体" w:cs="宋体"/>
                <w:spacing w:val="-1"/>
                <w:sz w:val="18"/>
                <w:szCs w:val="18"/>
                <w:lang w:eastAsia="zh-CN"/>
              </w:rPr>
              <w:t xml:space="preserve">打▲指标为重要指标（共10个），有1项负偏离扣</w:t>
            </w:r>
            <w:r>
              <w:rPr>
                <w:rFonts w:hint="eastAsia" w:ascii="宋体" w:hAnsi="宋体" w:cs="宋体"/>
                <w:spacing w:val="-1"/>
                <w:sz w:val="18"/>
                <w:szCs w:val="18"/>
                <w:lang w:eastAsia="zh-CN"/>
              </w:rPr>
              <w:t xml:space="preserve">1</w:t>
            </w:r>
            <w:r>
              <w:rPr>
                <w:rFonts w:hint="eastAsia" w:ascii="宋体" w:hAnsi="宋体" w:eastAsia="宋体" w:cs="宋体"/>
                <w:spacing w:val="-1"/>
                <w:sz w:val="18"/>
                <w:szCs w:val="18"/>
                <w:lang w:eastAsia="zh-CN"/>
              </w:rPr>
              <w:t xml:space="preserve">分，其余指标有1项负偏离扣</w:t>
            </w:r>
            <w:r>
              <w:rPr>
                <w:rFonts w:hint="eastAsia" w:ascii="宋体" w:hAnsi="宋体" w:cs="宋体"/>
                <w:spacing w:val="-1"/>
                <w:sz w:val="18"/>
                <w:szCs w:val="18"/>
                <w:lang w:eastAsia="zh-CN"/>
              </w:rPr>
              <w:t xml:space="preserve">0.28</w:t>
            </w:r>
            <w:r>
              <w:rPr>
                <w:rFonts w:ascii="宋体" w:hAnsi="宋体" w:eastAsia="宋体" w:cs="宋体"/>
                <w:spacing w:val="-1"/>
                <w:sz w:val="18"/>
                <w:szCs w:val="18"/>
                <w:lang w:eastAsia="zh-CN"/>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178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2"/>
                <w:szCs w:val="21"/>
              </w:rPr>
            </w:pPr>
            <w:r>
              <w:rPr>
                <w:rFonts w:ascii="宋体" w:hAnsi="宋体" w:cs="宋体"/>
                <w:spacing w:val="-1"/>
                <w:sz w:val="18"/>
                <w:szCs w:val="18"/>
              </w:rPr>
              <w:t xml:space="preserve">车身防腐</w:t>
            </w:r>
            <w:r>
              <w:rPr>
                <w:rFonts w:hint="eastAsia" w:ascii="宋体" w:hAnsi="宋体" w:cs="宋体"/>
                <w:spacing w:val="-1"/>
                <w:sz w:val="18"/>
                <w:szCs w:val="18"/>
              </w:rPr>
              <w:t xml:space="preserve">技术</w:t>
            </w:r>
            <w:r/>
          </w:p>
        </w:tc>
        <w:tc>
          <w:tcPr>
            <w:tcBorders>
              <w:top w:val="single" w:color="000000" w:sz="2" w:space="0"/>
              <w:bottom w:val="single" w:color="000000" w:sz="2" w:space="0"/>
            </w:tcBorders>
            <w:tcW w:w="6330" w:type="dxa"/>
            <w:vAlign w:val="center"/>
            <w:textDirection w:val="lrTb"/>
            <w:noWrap w:val="false"/>
          </w:tcPr>
          <w:p>
            <w:pPr>
              <w:spacing w:line="240" w:lineRule="exact"/>
              <w:rPr>
                <w:rFonts w:hint="eastAsia" w:ascii="宋体" w:hAnsi="宋体" w:cs="宋体"/>
                <w:spacing w:val="-1"/>
                <w:sz w:val="18"/>
                <w:szCs w:val="18"/>
              </w:rPr>
            </w:pPr>
            <w:r>
              <w:rPr>
                <w:rFonts w:ascii="宋体" w:hAnsi="宋体" w:cs="宋体"/>
                <w:spacing w:val="-1"/>
                <w:sz w:val="18"/>
                <w:szCs w:val="18"/>
              </w:rPr>
              <w:t xml:space="preserve">1.整车采用阴极电泳工艺得</w:t>
            </w:r>
            <w:r>
              <w:rPr>
                <w:rFonts w:hint="eastAsia" w:ascii="宋体" w:hAnsi="宋体" w:cs="宋体"/>
                <w:spacing w:val="-1"/>
                <w:sz w:val="18"/>
                <w:szCs w:val="18"/>
              </w:rPr>
              <w:t xml:space="preserve">2</w:t>
            </w:r>
            <w:r>
              <w:rPr>
                <w:rFonts w:ascii="宋体" w:hAnsi="宋体" w:cs="宋体"/>
                <w:spacing w:val="-1"/>
                <w:sz w:val="18"/>
                <w:szCs w:val="18"/>
              </w:rPr>
              <w:t xml:space="preserve">分；车架或者地盘采用阴极电泳工艺得</w:t>
            </w:r>
            <w:r>
              <w:rPr>
                <w:rFonts w:hint="eastAsia" w:ascii="宋体" w:hAnsi="宋体" w:cs="宋体"/>
                <w:spacing w:val="-1"/>
                <w:sz w:val="18"/>
                <w:szCs w:val="18"/>
              </w:rPr>
              <w:t xml:space="preserve">1</w:t>
            </w:r>
            <w:r>
              <w:rPr>
                <w:rFonts w:ascii="宋体" w:hAnsi="宋体" w:cs="宋体"/>
                <w:spacing w:val="-1"/>
                <w:sz w:val="18"/>
                <w:szCs w:val="18"/>
              </w:rPr>
              <w:t xml:space="preserve">分；其余防腐工艺的得</w:t>
            </w:r>
            <w:r>
              <w:rPr>
                <w:rFonts w:hint="eastAsia" w:ascii="宋体" w:hAnsi="宋体" w:cs="宋体"/>
                <w:spacing w:val="-1"/>
                <w:sz w:val="18"/>
                <w:szCs w:val="18"/>
              </w:rPr>
              <w:t xml:space="preserve">0</w:t>
            </w:r>
            <w:r>
              <w:rPr>
                <w:rFonts w:ascii="宋体" w:hAnsi="宋体" w:cs="宋体"/>
                <w:spacing w:val="-1"/>
                <w:sz w:val="18"/>
                <w:szCs w:val="18"/>
              </w:rPr>
              <w:t xml:space="preserve">分</w:t>
            </w:r>
            <w:r>
              <w:rPr>
                <w:rFonts w:hint="eastAsia" w:ascii="宋体" w:hAnsi="宋体" w:cs="宋体"/>
                <w:spacing w:val="-1"/>
                <w:sz w:val="18"/>
                <w:szCs w:val="18"/>
              </w:rPr>
              <w:t xml:space="preserve">（提供电泳漆</w:t>
            </w:r>
            <w:r>
              <w:rPr>
                <w:rFonts w:ascii="宋体" w:hAnsi="宋体" w:cs="宋体"/>
                <w:spacing w:val="-1"/>
                <w:sz w:val="18"/>
                <w:szCs w:val="18"/>
              </w:rPr>
              <w:t xml:space="preserve">设</w:t>
            </w:r>
            <w:r>
              <w:rPr>
                <w:rFonts w:ascii="宋体" w:hAnsi="宋体" w:cs="宋体"/>
                <w:spacing w:val="-2"/>
                <w:sz w:val="18"/>
                <w:szCs w:val="18"/>
              </w:rPr>
              <w:t xml:space="preserve">备采购合同</w:t>
            </w:r>
            <w:r>
              <w:rPr>
                <w:rFonts w:hint="eastAsia" w:ascii="宋体" w:hAnsi="宋体" w:cs="宋体"/>
                <w:spacing w:val="-2"/>
                <w:sz w:val="18"/>
                <w:szCs w:val="18"/>
              </w:rPr>
              <w:t xml:space="preserve">或委托加工合同及现场照片</w:t>
            </w:r>
            <w:r>
              <w:rPr>
                <w:rFonts w:hint="eastAsia" w:ascii="宋体" w:hAnsi="宋体" w:cs="宋体"/>
                <w:spacing w:val="-1"/>
                <w:sz w:val="18"/>
                <w:szCs w:val="18"/>
              </w:rPr>
              <w:t xml:space="preserve">）；</w:t>
            </w:r>
            <w:r/>
          </w:p>
          <w:p>
            <w:pPr>
              <w:spacing w:line="240" w:lineRule="exact"/>
              <w:rPr>
                <w:rFonts w:hint="eastAsia" w:ascii="宋体" w:hAnsi="宋体" w:cs="宋体"/>
                <w:spacing w:val="-1"/>
                <w:sz w:val="18"/>
                <w:szCs w:val="18"/>
              </w:rPr>
            </w:pPr>
            <w:r>
              <w:rPr>
                <w:rFonts w:hint="eastAsia" w:ascii="宋体" w:hAnsi="宋体" w:cs="宋体"/>
                <w:spacing w:val="-1"/>
                <w:sz w:val="18"/>
                <w:szCs w:val="18"/>
              </w:rPr>
              <w:t xml:space="preserve">2.车架</w:t>
            </w:r>
            <w:r>
              <w:rPr>
                <w:rFonts w:ascii="宋体" w:hAnsi="宋体" w:cs="宋体"/>
                <w:spacing w:val="-1"/>
                <w:sz w:val="18"/>
                <w:szCs w:val="18"/>
              </w:rPr>
              <w:t xml:space="preserve">采用机器人自动焊接工艺的得2分；</w:t>
            </w:r>
            <w:r>
              <w:rPr>
                <w:rFonts w:hint="eastAsia" w:ascii="宋体" w:hAnsi="宋体" w:cs="宋体"/>
                <w:spacing w:val="-1"/>
                <w:sz w:val="18"/>
                <w:szCs w:val="18"/>
              </w:rPr>
              <w:t xml:space="preserve">车架采用</w:t>
            </w:r>
            <w:r>
              <w:rPr>
                <w:rFonts w:ascii="宋体" w:hAnsi="宋体" w:cs="宋体"/>
                <w:spacing w:val="-1"/>
                <w:sz w:val="18"/>
                <w:szCs w:val="18"/>
              </w:rPr>
              <w:t xml:space="preserve">其余焊接工艺的得1分</w:t>
            </w:r>
            <w:r>
              <w:rPr>
                <w:rFonts w:hint="eastAsia" w:ascii="宋体" w:hAnsi="宋体" w:cs="宋体"/>
                <w:spacing w:val="-1"/>
                <w:sz w:val="18"/>
                <w:szCs w:val="18"/>
              </w:rPr>
              <w:t xml:space="preserve">     </w:t>
            </w:r>
            <w:r>
              <w:rPr>
                <w:rFonts w:ascii="宋体" w:hAnsi="宋体" w:cs="宋体"/>
                <w:spacing w:val="-1"/>
                <w:sz w:val="18"/>
                <w:szCs w:val="18"/>
              </w:rPr>
              <w:t xml:space="preserve">（</w:t>
            </w:r>
            <w:r>
              <w:rPr>
                <w:rFonts w:hint="eastAsia" w:ascii="宋体" w:hAnsi="宋体" w:cs="宋体"/>
                <w:spacing w:val="-1"/>
                <w:sz w:val="18"/>
                <w:szCs w:val="18"/>
              </w:rPr>
              <w:t xml:space="preserve">提供</w:t>
            </w:r>
            <w:r>
              <w:rPr>
                <w:rFonts w:ascii="宋体" w:hAnsi="宋体" w:cs="宋体"/>
                <w:spacing w:val="-1"/>
                <w:sz w:val="18"/>
                <w:szCs w:val="18"/>
              </w:rPr>
              <w:t xml:space="preserve">机器人焊接设备</w:t>
            </w:r>
            <w:r>
              <w:rPr>
                <w:rFonts w:ascii="宋体" w:hAnsi="宋体" w:cs="宋体"/>
                <w:spacing w:val="-2"/>
                <w:sz w:val="18"/>
                <w:szCs w:val="18"/>
              </w:rPr>
              <w:t xml:space="preserve">采购合同</w:t>
            </w:r>
            <w:r>
              <w:rPr>
                <w:rFonts w:hint="eastAsia" w:ascii="宋体" w:hAnsi="宋体" w:cs="宋体"/>
                <w:spacing w:val="-2"/>
                <w:sz w:val="18"/>
                <w:szCs w:val="18"/>
              </w:rPr>
              <w:t xml:space="preserve">或委托加工合同及现场照片</w:t>
            </w:r>
            <w:r>
              <w:rPr>
                <w:rFonts w:ascii="宋体" w:hAnsi="宋体" w:cs="宋体"/>
                <w:spacing w:val="-2"/>
                <w:sz w:val="18"/>
                <w:szCs w:val="18"/>
              </w:rPr>
              <w:t xml:space="preserve">）</w:t>
            </w:r>
            <w:r>
              <w:rPr>
                <w:rFonts w:hint="eastAsia" w:ascii="宋体" w:hAnsi="宋体" w:cs="宋体"/>
                <w:spacing w:val="-1"/>
                <w:sz w:val="18"/>
                <w:szCs w:val="18"/>
              </w:rPr>
              <w:t xml:space="preserve">；</w:t>
            </w:r>
            <w:r>
              <w:rPr>
                <w:rFonts w:ascii="宋体" w:hAnsi="宋体" w:cs="宋体"/>
                <w:spacing w:val="-1"/>
                <w:sz w:val="18"/>
                <w:szCs w:val="18"/>
              </w:rPr>
              <w:t xml:space="preserve"> </w:t>
            </w:r>
            <w:r/>
          </w:p>
          <w:p>
            <w:pPr>
              <w:spacing w:line="240" w:lineRule="exact"/>
              <w:rPr>
                <w:rFonts w:hint="eastAsia" w:ascii="宋体" w:hAnsi="宋体" w:cs="宋体"/>
                <w:spacing w:val="-1"/>
                <w:sz w:val="18"/>
                <w:szCs w:val="18"/>
              </w:rPr>
            </w:pPr>
            <w:r>
              <w:rPr>
                <w:rFonts w:hint="eastAsia" w:ascii="宋体" w:hAnsi="宋体" w:cs="宋体"/>
                <w:spacing w:val="-1"/>
                <w:sz w:val="18"/>
                <w:szCs w:val="18"/>
              </w:rPr>
              <w:t xml:space="preserve">3.车架</w:t>
            </w:r>
            <w:r>
              <w:rPr>
                <w:rFonts w:ascii="宋体" w:hAnsi="宋体" w:cs="宋体"/>
                <w:spacing w:val="-1"/>
                <w:sz w:val="18"/>
                <w:szCs w:val="18"/>
              </w:rPr>
              <w:t xml:space="preserve">采用机器人自动喷涂工艺的得2分；</w:t>
            </w:r>
            <w:r>
              <w:rPr>
                <w:rFonts w:hint="eastAsia" w:ascii="宋体" w:hAnsi="宋体" w:cs="宋体"/>
                <w:spacing w:val="-1"/>
                <w:sz w:val="18"/>
                <w:szCs w:val="18"/>
              </w:rPr>
              <w:t xml:space="preserve">车架采用</w:t>
            </w:r>
            <w:r>
              <w:rPr>
                <w:rFonts w:ascii="宋体" w:hAnsi="宋体" w:cs="宋体"/>
                <w:spacing w:val="-1"/>
                <w:sz w:val="18"/>
                <w:szCs w:val="18"/>
              </w:rPr>
              <w:t xml:space="preserve">其余喷涂工艺得1分。</w:t>
            </w:r>
            <w:r>
              <w:rPr>
                <w:rFonts w:hint="eastAsia" w:ascii="宋体" w:hAnsi="宋体" w:cs="宋体"/>
                <w:spacing w:val="-1"/>
                <w:sz w:val="18"/>
                <w:szCs w:val="18"/>
              </w:rPr>
              <w:t xml:space="preserve">      </w:t>
            </w:r>
            <w:r>
              <w:rPr>
                <w:rFonts w:ascii="宋体" w:hAnsi="宋体" w:cs="宋体"/>
                <w:spacing w:val="-1"/>
                <w:sz w:val="18"/>
                <w:szCs w:val="18"/>
              </w:rPr>
              <w:t xml:space="preserve">（提供机器人喷涂设</w:t>
            </w:r>
            <w:r>
              <w:rPr>
                <w:rFonts w:ascii="宋体" w:hAnsi="宋体" w:cs="宋体"/>
                <w:spacing w:val="-2"/>
                <w:sz w:val="18"/>
                <w:szCs w:val="18"/>
              </w:rPr>
              <w:t xml:space="preserve">备采购合同</w:t>
            </w:r>
            <w:r>
              <w:rPr>
                <w:rFonts w:hint="eastAsia" w:ascii="宋体" w:hAnsi="宋体" w:cs="宋体"/>
                <w:spacing w:val="-2"/>
                <w:sz w:val="18"/>
                <w:szCs w:val="18"/>
              </w:rPr>
              <w:t xml:space="preserve">或委托加工合同及现场照片</w:t>
            </w:r>
            <w:r>
              <w:rPr>
                <w:rFonts w:ascii="宋体" w:hAnsi="宋体" w:cs="宋体"/>
                <w:spacing w:val="-2"/>
                <w:sz w:val="18"/>
                <w:szCs w:val="18"/>
              </w:rPr>
              <w:t xml:space="preserve">）</w:t>
            </w:r>
            <w:r>
              <w:rPr>
                <w:rFonts w:hint="eastAsia" w:ascii="宋体" w:hAnsi="宋体" w:cs="宋体"/>
                <w:spacing w:val="-2"/>
                <w:sz w:val="18"/>
                <w:szCs w:val="18"/>
              </w:rPr>
              <w:t xml:space="preserve">。</w:t>
            </w:r>
            <w:r/>
          </w:p>
        </w:tc>
        <w:tc>
          <w:tcPr>
            <w:tcBorders>
              <w:top w:val="single" w:color="000000" w:sz="2" w:space="0"/>
              <w:bottom w:val="single" w:color="000000" w:sz="2" w:space="0"/>
            </w:tcBorders>
            <w:tcW w:w="647" w:type="dxa"/>
            <w:vAlign w:val="center"/>
            <w:textDirection w:val="lrTb"/>
            <w:noWrap w:val="false"/>
          </w:tcPr>
          <w:p>
            <w:pPr>
              <w:pStyle w:val="1029"/>
              <w:ind w:left="29"/>
              <w:jc w:val="center"/>
              <w:spacing w:before="58" w:line="220" w:lineRule="auto"/>
              <w:rPr>
                <w:rFonts w:hint="eastAsia" w:ascii="宋体" w:hAnsi="宋体" w:eastAsia="宋体" w:cs="宋体"/>
                <w:lang w:eastAsia="zh-CN"/>
              </w:rPr>
            </w:pPr>
            <w:r>
              <w:rPr>
                <w:rFonts w:hint="eastAsia" w:asciiTheme="minorEastAsia" w:hAnsiTheme="minorEastAsia" w:eastAsiaTheme="minorEastAsia"/>
                <w:spacing w:val="-2"/>
                <w:lang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1"/>
                <w:sz w:val="18"/>
                <w:szCs w:val="18"/>
              </w:rPr>
            </w:pPr>
            <w:r>
              <w:rPr>
                <w:rFonts w:ascii="宋体" w:hAnsi="宋体" w:cs="宋体"/>
                <w:spacing w:val="-1"/>
                <w:sz w:val="18"/>
                <w:szCs w:val="18"/>
              </w:rPr>
              <w:t xml:space="preserve">供货方案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投标人根据本项目采购需求编制方案，内容包含：（1）项目组织实施保障方案；（2）生产质量保障方案；（3）运输交付保障方案；（4）工期及应急供货保障方案。评审专家对以上4项内容逐项评分：</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方案完整详实，专门针对本项目编制，结合六合区校车更新、车型数量、交付时限、交付地点等实际情况，落地性强视为符合；</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方案以通用模板为主，未针对本项目定制，仅部分契合采购需求视为部分符合；</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单纯套用通用模板、未结合本项目采购特点视为不符合。</w:t>
            </w:r>
            <w:r/>
          </w:p>
          <w:p>
            <w:pPr>
              <w:rPr>
                <w:rFonts w:hint="eastAsia" w:ascii="宋体" w:hAnsi="宋体" w:cs="宋体"/>
                <w:spacing w:val="-1"/>
                <w:sz w:val="18"/>
                <w:szCs w:val="18"/>
              </w:rPr>
            </w:pPr>
            <w:r>
              <w:rPr>
                <w:rFonts w:hint="eastAsia" w:ascii="宋体" w:hAnsi="宋体" w:cs="宋体"/>
                <w:spacing w:val="-1"/>
                <w:sz w:val="18"/>
                <w:szCs w:val="18"/>
                <w:lang w:bidi="zh-CN"/>
              </w:rPr>
              <w:t xml:space="preserve">每项符合得1分；部分符合得0.5分；未提供或不符合得0分。</w:t>
            </w:r>
            <w:r/>
          </w:p>
        </w:tc>
        <w:tc>
          <w:tcPr>
            <w:tcBorders>
              <w:top w:val="single" w:color="000000" w:sz="2" w:space="0"/>
              <w:bottom w:val="single" w:color="000000" w:sz="2" w:space="0"/>
            </w:tcBorders>
            <w:tcW w:w="647" w:type="dxa"/>
            <w:vAlign w:val="center"/>
            <w:textDirection w:val="lrTb"/>
            <w:noWrap w:val="false"/>
          </w:tcPr>
          <w:p>
            <w:pPr>
              <w:pStyle w:val="1029"/>
              <w:ind w:left="29"/>
              <w:jc w:val="center"/>
              <w:spacing w:before="58" w:line="220" w:lineRule="auto"/>
              <w:rPr>
                <w:rFonts w:hint="eastAsia" w:ascii="宋体" w:hAnsi="宋体" w:eastAsia="宋体" w:cs="宋体"/>
                <w:spacing w:val="-1"/>
                <w:sz w:val="18"/>
                <w:szCs w:val="18"/>
                <w:lang w:eastAsia="zh-CN"/>
              </w:rPr>
            </w:pPr>
            <w:r>
              <w:rPr>
                <w:rFonts w:hint="eastAsia" w:asciiTheme="minorEastAsia" w:hAnsiTheme="minorEastAsia" w:eastAsiaTheme="minorEastAsia"/>
                <w:spacing w:val="-2"/>
                <w:lang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2.4</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1"/>
                <w:sz w:val="18"/>
                <w:szCs w:val="18"/>
              </w:rPr>
            </w:pPr>
            <w:r>
              <w:rPr>
                <w:rFonts w:hint="eastAsia" w:ascii="宋体" w:hAnsi="宋体" w:cs="宋体"/>
                <w:spacing w:val="-1"/>
                <w:sz w:val="18"/>
                <w:szCs w:val="18"/>
              </w:rPr>
              <w:t xml:space="preserve">检测报告</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投标人提供所投车型有效的</w:t>
            </w:r>
            <w:r>
              <w:rPr>
                <w:rFonts w:ascii="宋体" w:hAnsi="宋体" w:cs="宋体"/>
                <w:spacing w:val="-1"/>
                <w:sz w:val="18"/>
                <w:szCs w:val="18"/>
                <w:lang w:bidi="zh-CN"/>
              </w:rPr>
              <w:t xml:space="preserve">机动车整车检测报告、校车型式检验报告、第三方检测报告、生产厂家正式技术规格书/产品白皮书/官方彩页等</w:t>
            </w:r>
            <w:r>
              <w:rPr>
                <w:rFonts w:hint="eastAsia" w:ascii="宋体" w:hAnsi="宋体" w:cs="宋体"/>
                <w:spacing w:val="-1"/>
                <w:sz w:val="18"/>
                <w:szCs w:val="18"/>
                <w:lang w:bidi="zh-CN"/>
              </w:rPr>
              <w:t xml:space="preserve">材料，</w:t>
            </w:r>
            <w:r>
              <w:rPr>
                <w:rFonts w:ascii="宋体" w:hAnsi="宋体" w:cs="宋体"/>
                <w:spacing w:val="-1"/>
                <w:sz w:val="18"/>
                <w:szCs w:val="18"/>
                <w:lang w:bidi="zh-CN"/>
              </w:rPr>
              <w:t xml:space="preserve">评标委员会</w:t>
            </w:r>
            <w:r>
              <w:rPr>
                <w:rFonts w:hint="eastAsia" w:ascii="宋体" w:hAnsi="宋体" w:cs="宋体"/>
                <w:spacing w:val="-1"/>
                <w:sz w:val="18"/>
                <w:szCs w:val="18"/>
                <w:lang w:bidi="zh-CN"/>
              </w:rPr>
              <w:t xml:space="preserve">依据报告内容进行评审：</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1.校车防撞保险杠：钢材厚度≥5mm，得1分；钢材厚度</w:t>
            </w:r>
            <w:r>
              <w:rPr>
                <w:rFonts w:ascii="宋体" w:hAnsi="宋体" w:cs="宋体"/>
                <w:spacing w:val="-1"/>
                <w:sz w:val="18"/>
                <w:szCs w:val="18"/>
                <w:lang w:bidi="zh-CN"/>
              </w:rPr>
              <w:t xml:space="preserve">≥4mm且＜5mm</w:t>
            </w:r>
            <w:r>
              <w:rPr>
                <w:rFonts w:hint="eastAsia" w:ascii="宋体" w:hAnsi="宋体" w:cs="宋体"/>
                <w:spacing w:val="-1"/>
                <w:sz w:val="18"/>
                <w:szCs w:val="18"/>
                <w:lang w:bidi="zh-CN"/>
              </w:rPr>
              <w:t xml:space="preserve">，得0.5分；</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2.车辆设有</w:t>
            </w:r>
            <w:r>
              <w:rPr>
                <w:rFonts w:ascii="宋体" w:hAnsi="宋体" w:cs="宋体"/>
                <w:spacing w:val="-1"/>
                <w:sz w:val="18"/>
                <w:szCs w:val="18"/>
                <w:lang w:bidi="zh-CN"/>
              </w:rPr>
              <w:t xml:space="preserve">内行李架</w:t>
            </w:r>
            <w:r>
              <w:rPr>
                <w:rFonts w:hint="eastAsia" w:ascii="宋体" w:hAnsi="宋体" w:cs="宋体"/>
                <w:spacing w:val="-1"/>
                <w:sz w:val="18"/>
                <w:szCs w:val="18"/>
                <w:lang w:bidi="zh-CN"/>
              </w:rPr>
              <w:t xml:space="preserve">结构（研学使用），得1分；</w:t>
            </w:r>
            <w:r/>
          </w:p>
          <w:p>
            <w:pPr>
              <w:rPr>
                <w:rFonts w:ascii="宋体" w:hAnsi="宋体" w:cs="宋体"/>
                <w:spacing w:val="-1"/>
                <w:sz w:val="18"/>
                <w:szCs w:val="18"/>
                <w:lang w:bidi="zh-CN"/>
              </w:rPr>
            </w:pPr>
            <w:r>
              <w:rPr>
                <w:rFonts w:hint="eastAsia" w:ascii="宋体" w:hAnsi="宋体" w:cs="宋体"/>
                <w:spacing w:val="-1"/>
                <w:sz w:val="18"/>
                <w:szCs w:val="18"/>
                <w:lang w:bidi="zh-CN"/>
              </w:rPr>
              <w:t xml:space="preserve">3.车辆配备车载智能车况自检系统，具备故障自动预警功能，得1分。</w:t>
            </w:r>
            <w:r/>
          </w:p>
          <w:p>
            <w:pPr>
              <w:rPr>
                <w:rFonts w:ascii="宋体" w:hAnsi="宋体" w:cs="宋体"/>
                <w:spacing w:val="-1"/>
                <w:sz w:val="18"/>
                <w:szCs w:val="18"/>
                <w:lang w:bidi="zh-CN"/>
              </w:rPr>
            </w:pPr>
            <w:r>
              <w:rPr>
                <w:rFonts w:hint="eastAsia" w:ascii="宋体" w:hAnsi="宋体" w:cs="宋体"/>
                <w:spacing w:val="-1"/>
                <w:sz w:val="18"/>
                <w:szCs w:val="18"/>
                <w:lang w:bidi="zh-CN"/>
              </w:rPr>
              <w:t xml:space="preserve">备注：</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若提供的报告或资料产品名称、检验项目与本评分细则要求不一致，投标人应当另行提供对应参数、功能的文字说明，结合佐证资料一并予以评审；佐证材料未直接体现本项所要求的参数或功能，且无有效的补充说明及配套证明资料的，对应项不予计分。</w:t>
            </w:r>
            <w:r/>
          </w:p>
        </w:tc>
        <w:tc>
          <w:tcPr>
            <w:tcBorders>
              <w:top w:val="single" w:color="000000" w:sz="2" w:space="0"/>
              <w:bottom w:val="single" w:color="000000" w:sz="2" w:space="0"/>
            </w:tcBorders>
            <w:tcW w:w="647" w:type="dxa"/>
            <w:vAlign w:val="center"/>
            <w:textDirection w:val="lrTb"/>
            <w:noWrap w:val="false"/>
          </w:tcPr>
          <w:p>
            <w:pPr>
              <w:pStyle w:val="1029"/>
              <w:ind w:left="29"/>
              <w:jc w:val="center"/>
              <w:spacing w:before="58" w:line="220" w:lineRule="auto"/>
              <w:rPr>
                <w:rFonts w:hint="eastAsia" w:asciiTheme="minorEastAsia" w:hAnsiTheme="minorEastAsia" w:eastAsiaTheme="minorEastAsia"/>
                <w:spacing w:val="-2"/>
                <w:lang w:eastAsia="zh-CN"/>
              </w:rPr>
            </w:pPr>
            <w:r>
              <w:rPr>
                <w:rFonts w:hint="eastAsia" w:asciiTheme="minorEastAsia" w:hAnsiTheme="minorEastAsia" w:eastAsiaTheme="minorEastAsia"/>
                <w:spacing w:val="-2"/>
                <w:lang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4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1029"/>
              <w:jc w:val="center"/>
              <w:spacing w:before="59" w:line="219" w:lineRule="auto"/>
              <w:rPr>
                <w:rFonts w:hint="eastAsia" w:ascii="宋体" w:hAnsi="宋体" w:eastAsia="宋体" w:cs="宋体"/>
                <w:spacing w:val="-2"/>
                <w:sz w:val="18"/>
                <w:szCs w:val="18"/>
              </w:rPr>
            </w:pPr>
            <w:r>
              <w:rPr>
                <w:rFonts w:hint="eastAsia" w:ascii="宋体" w:hAnsi="宋体" w:eastAsia="宋体" w:cs="宋体"/>
                <w:spacing w:val="-1"/>
                <w:sz w:val="18"/>
                <w:szCs w:val="18"/>
                <w:lang w:eastAsia="zh-CN" w:bidi="zh-CN"/>
              </w:rPr>
              <w:t xml:space="preserve">本地化服务</w:t>
            </w:r>
            <w:r/>
          </w:p>
        </w:tc>
        <w:tc>
          <w:tcPr>
            <w:tcBorders>
              <w:top w:val="single" w:color="000000" w:sz="2" w:space="0"/>
              <w:bottom w:val="single" w:color="000000" w:sz="2" w:space="0"/>
            </w:tcBorders>
            <w:tcW w:w="6330" w:type="dxa"/>
            <w:textDirection w:val="lrTb"/>
            <w:noWrap w:val="false"/>
          </w:tcPr>
          <w:p>
            <w:pPr>
              <w:rPr>
                <w:rFonts w:hint="eastAsia" w:ascii="宋体" w:hAnsi="宋体" w:cs="宋体"/>
                <w:spacing w:val="-1"/>
                <w:sz w:val="18"/>
                <w:szCs w:val="18"/>
              </w:rPr>
            </w:pPr>
            <w:r>
              <w:rPr>
                <w:rFonts w:hint="eastAsia" w:ascii="宋体" w:hAnsi="宋体" w:cs="宋体"/>
                <w:spacing w:val="-1"/>
                <w:sz w:val="18"/>
                <w:szCs w:val="18"/>
              </w:rPr>
              <w:t xml:space="preserve">1.供应商应提供本地化售后服务，对采购人提出的售后服务要求应在30分钟内予以响应，沟通解决思路，满足要求得2分，60分钟内予以响应得1分，不满足要求不得分（投标人提供承诺函）；</w:t>
            </w:r>
            <w:r/>
          </w:p>
          <w:p>
            <w:pPr>
              <w:rPr>
                <w:rFonts w:hint="eastAsia" w:ascii="宋体" w:hAnsi="宋体" w:cs="宋体"/>
                <w:spacing w:val="-1"/>
                <w:sz w:val="18"/>
                <w:szCs w:val="18"/>
              </w:rPr>
            </w:pPr>
            <w:r>
              <w:rPr>
                <w:rFonts w:hint="eastAsia" w:ascii="宋体" w:hAnsi="宋体" w:cs="宋体"/>
                <w:spacing w:val="-1"/>
                <w:sz w:val="18"/>
                <w:szCs w:val="18"/>
              </w:rPr>
              <w:t xml:space="preserve">2.对确需现场实施的紧急服务（配件供应保障）应在2小时内到达采购人项目所在地，满足要求得2分，3小时内到达得1分，不满足要求不得分</w:t>
            </w:r>
            <w:r>
              <w:rPr>
                <w:rFonts w:ascii="宋体" w:hAnsi="宋体" w:cs="宋体"/>
                <w:spacing w:val="-1"/>
                <w:sz w:val="18"/>
                <w:szCs w:val="18"/>
              </w:rPr>
              <w:t xml:space="preserve">（</w:t>
            </w:r>
            <w:r>
              <w:rPr>
                <w:rFonts w:hint="eastAsia" w:ascii="宋体" w:hAnsi="宋体" w:cs="宋体"/>
                <w:spacing w:val="-1"/>
                <w:sz w:val="18"/>
                <w:szCs w:val="18"/>
              </w:rPr>
              <w:t xml:space="preserve">投标人</w:t>
            </w:r>
            <w:r>
              <w:rPr>
                <w:rFonts w:ascii="宋体" w:hAnsi="宋体" w:cs="宋体"/>
                <w:spacing w:val="-1"/>
                <w:sz w:val="18"/>
                <w:szCs w:val="18"/>
              </w:rPr>
              <w:t xml:space="preserve">提供承诺函）</w:t>
            </w:r>
            <w:r>
              <w:rPr>
                <w:rFonts w:hint="eastAsia" w:ascii="宋体" w:hAnsi="宋体" w:cs="宋体"/>
                <w:spacing w:val="-1"/>
                <w:sz w:val="18"/>
                <w:szCs w:val="18"/>
              </w:rPr>
              <w:t xml:space="preserve">。 </w:t>
            </w:r>
            <w:r/>
          </w:p>
        </w:tc>
        <w:tc>
          <w:tcPr>
            <w:tcBorders>
              <w:top w:val="single" w:color="000000" w:sz="2" w:space="0"/>
              <w:bottom w:val="single" w:color="000000" w:sz="2" w:space="0"/>
            </w:tcBorders>
            <w:tcW w:w="647" w:type="dxa"/>
            <w:vAlign w:val="center"/>
            <w:textDirection w:val="lrTb"/>
            <w:noWrap w:val="false"/>
          </w:tcPr>
          <w:p>
            <w:pPr>
              <w:pStyle w:val="1029"/>
              <w:ind w:left="29"/>
              <w:jc w:val="center"/>
              <w:spacing w:before="58" w:line="220" w:lineRule="auto"/>
              <w:rPr>
                <w:rFonts w:hint="eastAsia" w:ascii="宋体" w:hAnsi="宋体" w:eastAsia="宋体" w:cs="宋体"/>
                <w:lang w:eastAsia="zh-CN"/>
              </w:rPr>
            </w:pPr>
            <w:r>
              <w:rPr>
                <w:rFonts w:hint="eastAsia" w:asciiTheme="minorEastAsia" w:hAnsiTheme="minorEastAsia" w:eastAsiaTheme="minorEastAsia"/>
                <w:spacing w:val="-2"/>
                <w:lang w:eastAsia="zh-CN"/>
              </w:rPr>
              <w:t xml:space="preserve">4</w:t>
            </w:r>
            <w:r/>
          </w:p>
        </w:tc>
        <w:tc>
          <w:tcPr>
            <w:tcBorders>
              <w:top w:val="single" w:color="000000" w:sz="2" w:space="0"/>
              <w:bottom w:val="single" w:color="000000" w:sz="2" w:space="0"/>
            </w:tcBorders>
            <w:tcW w:w="900" w:type="dxa"/>
            <w:vAlign w:val="center"/>
            <w:textDirection w:val="lrTb"/>
            <w:noWrap w:val="false"/>
          </w:tcPr>
          <w:p>
            <w:pPr>
              <w:pStyle w:val="1029"/>
              <w:ind w:left="29"/>
              <w:jc w:val="center"/>
              <w:spacing w:before="68" w:line="264" w:lineRule="auto"/>
              <w:rPr>
                <w:rFonts w:hint="eastAsia" w:ascii="宋体" w:hAnsi="宋体" w:eastAsia="宋体" w:cs="宋体"/>
                <w:spacing w:val="-6"/>
                <w:lang w:eastAsia="zh-CN"/>
              </w:rPr>
            </w:pPr>
            <w:r>
              <w:rPr>
                <w:rFonts w:ascii="宋体" w:hAnsi="宋体" w:eastAsia="宋体" w:cs="宋体"/>
                <w:spacing w:val="-6"/>
                <w:lang w:eastAsia="zh-CN"/>
              </w:rPr>
              <w:t xml:space="preserve">客观分</w:t>
            </w:r>
            <w:r/>
          </w:p>
        </w:tc>
      </w:tr>
      <w:tr>
        <w:trPr>
          <w:jc w:val="center"/>
          <w:trHeight w:val="104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jc w:val="right"/>
              <w:spacing w:before="68" w:line="264" w:lineRule="auto"/>
              <w:rPr>
                <w:rFonts w:hint="eastAsia" w:ascii="宋体" w:hAnsi="宋体" w:cs="宋体"/>
                <w:spacing w:val="-1"/>
                <w:sz w:val="18"/>
                <w:szCs w:val="18"/>
                <w:lang w:bidi="zh-CN"/>
              </w:rPr>
            </w:pPr>
            <w:r>
              <w:rPr>
                <w:rFonts w:ascii="宋体" w:hAnsi="宋体" w:cs="宋体"/>
                <w:spacing w:val="-1"/>
                <w:sz w:val="18"/>
                <w:szCs w:val="18"/>
                <w:lang w:val="zh-CN" w:bidi="zh-CN"/>
              </w:rPr>
              <w:t xml:space="preserve">售后服务</w:t>
            </w:r>
            <w:r>
              <w:rPr>
                <w:rFonts w:hint="eastAsia" w:ascii="宋体" w:hAnsi="宋体" w:cs="宋体"/>
                <w:spacing w:val="-1"/>
                <w:sz w:val="18"/>
                <w:szCs w:val="18"/>
                <w:lang w:val="zh-CN" w:bidi="zh-CN"/>
              </w:rPr>
              <w:t xml:space="preserve">方案</w:t>
            </w:r>
            <w:r/>
          </w:p>
        </w:tc>
        <w:tc>
          <w:tcPr>
            <w:tcBorders>
              <w:top w:val="single" w:color="000000" w:sz="2" w:space="0"/>
              <w:bottom w:val="single" w:color="000000" w:sz="2" w:space="0"/>
            </w:tcBorders>
            <w:tcW w:w="6330" w:type="dxa"/>
            <w:vAlign w:val="center"/>
            <w:textDirection w:val="lrTb"/>
            <w:noWrap w:val="false"/>
          </w:tcPr>
          <w:p>
            <w:pPr>
              <w:pStyle w:val="1019"/>
              <w:spacing w:line="264" w:lineRule="auto"/>
              <w:rPr>
                <w:rFonts w:hint="eastAsia"/>
                <w:spacing w:val="-1"/>
                <w:sz w:val="18"/>
                <w:szCs w:val="18"/>
                <w:lang w:val="en-US"/>
              </w:rPr>
            </w:pPr>
            <w:r>
              <w:rPr>
                <w:rFonts w:hint="eastAsia"/>
                <w:spacing w:val="-1"/>
                <w:sz w:val="18"/>
                <w:szCs w:val="18"/>
                <w:lang w:val="en-US"/>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w:t>
            </w:r>
            <w:r>
              <w:rPr>
                <w:spacing w:val="-1"/>
                <w:sz w:val="18"/>
                <w:szCs w:val="18"/>
              </w:rPr>
              <w:t xml:space="preserve">及</w:t>
            </w:r>
            <w:r>
              <w:rPr>
                <w:rFonts w:hint="eastAsia"/>
                <w:spacing w:val="-1"/>
                <w:sz w:val="18"/>
                <w:szCs w:val="18"/>
                <w:lang w:val="en-US"/>
              </w:rPr>
              <w:t xml:space="preserve">专业技术人员服务保障</w:t>
            </w:r>
            <w:r>
              <w:rPr>
                <w:spacing w:val="-1"/>
                <w:sz w:val="18"/>
                <w:szCs w:val="18"/>
              </w:rPr>
              <w:t xml:space="preserve">，</w:t>
            </w:r>
            <w:r>
              <w:rPr>
                <w:rFonts w:hint="eastAsia"/>
                <w:spacing w:val="-1"/>
                <w:sz w:val="18"/>
                <w:szCs w:val="18"/>
                <w:lang w:val="en-US"/>
              </w:rPr>
              <w:t xml:space="preserve">内容包括但不限于备品备件清单、价格</w:t>
            </w:r>
            <w:r>
              <w:rPr>
                <w:spacing w:val="-1"/>
                <w:sz w:val="18"/>
                <w:szCs w:val="18"/>
              </w:rPr>
              <w:t xml:space="preserve">、专业技术人员</w:t>
            </w:r>
            <w:r>
              <w:rPr>
                <w:rFonts w:hint="eastAsia"/>
                <w:spacing w:val="-1"/>
                <w:sz w:val="18"/>
                <w:szCs w:val="18"/>
              </w:rPr>
              <w:t xml:space="preserve">登记表</w:t>
            </w:r>
            <w:r>
              <w:rPr>
                <w:spacing w:val="-1"/>
                <w:sz w:val="18"/>
                <w:szCs w:val="18"/>
              </w:rPr>
              <w:t xml:space="preserve">等。                                                               </w:t>
            </w:r>
            <w:r>
              <w:rPr>
                <w:rFonts w:hint="eastAsia"/>
                <w:spacing w:val="-1"/>
                <w:sz w:val="18"/>
                <w:szCs w:val="18"/>
                <w:lang w:val="en-US"/>
              </w:rPr>
              <w:t xml:space="preserve">评委根据对以上每条内容逐项评分： </w:t>
            </w:r>
            <w:r/>
          </w:p>
          <w:p>
            <w:pPr>
              <w:pStyle w:val="1019"/>
              <w:spacing w:line="264" w:lineRule="auto"/>
              <w:rPr>
                <w:rFonts w:hint="eastAsia"/>
                <w:spacing w:val="-1"/>
                <w:sz w:val="18"/>
                <w:szCs w:val="18"/>
                <w:lang w:val="en-US"/>
              </w:rPr>
            </w:pPr>
            <w:r>
              <w:rPr>
                <w:rFonts w:hint="eastAsia"/>
                <w:spacing w:val="-1"/>
                <w:sz w:val="18"/>
                <w:szCs w:val="18"/>
                <w:lang w:val="en-US"/>
              </w:rPr>
              <w:t xml:space="preserve">方案内容完整、合理性、操作性强，且专门针对本项目，契合采购需求视为符合；</w:t>
            </w:r>
            <w:r/>
          </w:p>
          <w:p>
            <w:pPr>
              <w:pStyle w:val="1019"/>
              <w:spacing w:line="264" w:lineRule="auto"/>
              <w:rPr>
                <w:rFonts w:hint="eastAsia"/>
                <w:spacing w:val="-1"/>
                <w:sz w:val="18"/>
                <w:szCs w:val="18"/>
                <w:lang w:val="en-US"/>
              </w:rPr>
            </w:pPr>
            <w:r>
              <w:rPr>
                <w:rFonts w:hint="eastAsia"/>
                <w:spacing w:val="-1"/>
                <w:sz w:val="18"/>
                <w:szCs w:val="18"/>
                <w:lang w:val="en-US"/>
              </w:rPr>
              <w:t xml:space="preserve">方案内容属于通用类，非专门针对本项目，部分契合采购需求视为部分符合；</w:t>
            </w:r>
            <w:r/>
          </w:p>
          <w:p>
            <w:pPr>
              <w:pStyle w:val="1019"/>
              <w:spacing w:line="264" w:lineRule="auto"/>
              <w:rPr>
                <w:rFonts w:hint="eastAsia"/>
                <w:spacing w:val="-1"/>
                <w:sz w:val="18"/>
                <w:szCs w:val="18"/>
                <w:lang w:val="en-US"/>
              </w:rPr>
            </w:pPr>
            <w:r>
              <w:rPr>
                <w:rFonts w:hint="eastAsia"/>
                <w:spacing w:val="-1"/>
                <w:sz w:val="18"/>
                <w:szCs w:val="18"/>
                <w:lang w:val="en-US"/>
              </w:rPr>
              <w:t xml:space="preserve">方案内容非专门针对本项目，脱离采购需求视为不符合。</w:t>
            </w:r>
            <w:r/>
          </w:p>
          <w:p>
            <w:pPr>
              <w:pStyle w:val="1019"/>
              <w:spacing w:line="264" w:lineRule="auto"/>
              <w:rPr>
                <w:rFonts w:hint="eastAsia"/>
                <w:spacing w:val="-1"/>
                <w:sz w:val="18"/>
                <w:szCs w:val="18"/>
                <w:lang w:val="en-US"/>
              </w:rPr>
            </w:pPr>
            <w:r>
              <w:rPr>
                <w:rFonts w:hint="eastAsia"/>
                <w:spacing w:val="-1"/>
                <w:sz w:val="18"/>
                <w:szCs w:val="18"/>
                <w:lang w:val="en-US"/>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4"/>
                <w:szCs w:val="21"/>
              </w:rPr>
              <w:t xml:space="preserve">主观分</w:t>
            </w:r>
            <w:r/>
          </w:p>
        </w:tc>
      </w:tr>
      <w:tr>
        <w:trPr>
          <w:jc w:val="center"/>
          <w:trHeight w:val="84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1179" w:type="dxa"/>
            <w:vAlign w:val="center"/>
            <w:textDirection w:val="lrTb"/>
            <w:noWrap w:val="false"/>
          </w:tcPr>
          <w:p>
            <w:pPr>
              <w:jc w:val="center"/>
              <w:spacing w:line="264" w:lineRule="auto"/>
              <w:rPr>
                <w:rFonts w:hint="eastAsia" w:ascii="宋体" w:hAnsi="宋体" w:cs="宋体"/>
                <w:spacing w:val="-2"/>
                <w:sz w:val="18"/>
                <w:szCs w:val="18"/>
              </w:rPr>
            </w:pPr>
            <w:r>
              <w:rPr>
                <w:rFonts w:hint="eastAsia" w:ascii="宋体" w:hAnsi="宋体" w:cs="宋体"/>
                <w:spacing w:val="-1"/>
                <w:sz w:val="18"/>
                <w:szCs w:val="18"/>
              </w:rPr>
              <w:t xml:space="preserve">增值服务</w:t>
            </w:r>
            <w:r/>
          </w:p>
        </w:tc>
        <w:tc>
          <w:tcPr>
            <w:tcBorders>
              <w:top w:val="single" w:color="000000" w:sz="2" w:space="0"/>
              <w:bottom w:val="single" w:color="000000" w:sz="2" w:space="0"/>
            </w:tcBorders>
            <w:tcW w:w="6330" w:type="dxa"/>
            <w:textDirection w:val="lrTb"/>
            <w:noWrap w:val="false"/>
          </w:tcPr>
          <w:p>
            <w:pPr>
              <w:spacing w:line="264" w:lineRule="auto"/>
              <w:rPr>
                <w:rFonts w:hint="eastAsia" w:ascii="宋体" w:hAnsi="宋体" w:cs="宋体"/>
                <w:spacing w:val="-1"/>
                <w:sz w:val="18"/>
                <w:szCs w:val="18"/>
              </w:rPr>
            </w:pPr>
            <w:r>
              <w:rPr>
                <w:rFonts w:hint="eastAsia" w:ascii="宋体" w:hAnsi="宋体" w:cs="宋体"/>
                <w:spacing w:val="-1"/>
                <w:sz w:val="18"/>
                <w:szCs w:val="18"/>
              </w:rPr>
              <w:t xml:space="preserve">1.在满足招标文件法定及最低整车质保年限要求的基础上，供应商每增加1年整车质保服务期限得0.5分，累计最高得1分；</w:t>
            </w:r>
            <w:r/>
          </w:p>
          <w:p>
            <w:pPr>
              <w:spacing w:line="264" w:lineRule="auto"/>
              <w:rPr>
                <w:rFonts w:hint="eastAsia" w:ascii="宋体" w:hAnsi="宋体" w:cs="宋体"/>
                <w:spacing w:val="-1"/>
                <w:sz w:val="18"/>
                <w:szCs w:val="18"/>
              </w:rPr>
            </w:pPr>
            <w:r>
              <w:rPr>
                <w:rFonts w:hint="eastAsia" w:ascii="宋体" w:hAnsi="宋体" w:cs="宋体"/>
                <w:spacing w:val="-1"/>
                <w:sz w:val="18"/>
                <w:szCs w:val="18"/>
              </w:rPr>
              <w:t xml:space="preserve">2.在满足招标文件基础维保要求的基础上，供应商每增加1次整车免费基础保养服务（含机油、机滤更换及标准保养工时）得0.5分，累计最高得1分。</w:t>
            </w:r>
            <w:r/>
          </w:p>
          <w:p>
            <w:pPr>
              <w:spacing w:line="264" w:lineRule="auto"/>
            </w:pPr>
            <w:r>
              <w:rPr>
                <w:rFonts w:hint="eastAsia" w:ascii="宋体" w:hAnsi="宋体" w:cs="宋体"/>
                <w:spacing w:val="-1"/>
                <w:sz w:val="18"/>
                <w:szCs w:val="18"/>
              </w:rPr>
              <w:t xml:space="preserve">（投标人分别提供整车质保和免费维保承诺函）</w:t>
            </w:r>
            <w:r/>
          </w:p>
        </w:tc>
        <w:tc>
          <w:tcPr>
            <w:tcBorders>
              <w:top w:val="single" w:color="000000" w:sz="2" w:space="0"/>
              <w:bottom w:val="single" w:color="000000" w:sz="2" w:space="0"/>
            </w:tcBorders>
            <w:tcW w:w="647" w:type="dxa"/>
            <w:textDirection w:val="lrTb"/>
            <w:noWrap w:val="false"/>
          </w:tcPr>
          <w:p>
            <w:pPr>
              <w:pStyle w:val="1029"/>
              <w:spacing w:before="59"/>
              <w:rPr>
                <w:rFonts w:hint="eastAsia" w:asciiTheme="minorEastAsia" w:hAnsiTheme="minorEastAsia" w:eastAsiaTheme="minorEastAsia"/>
                <w:spacing w:val="-2"/>
                <w:lang w:eastAsia="zh-CN"/>
              </w:rPr>
            </w:pPr>
            <w:r>
              <w:rPr>
                <w:rFonts w:hint="eastAsia" w:asciiTheme="minorEastAsia" w:hAnsiTheme="minorEastAsia" w:eastAsiaTheme="minorEastAsia"/>
                <w:spacing w:val="-2"/>
                <w:lang w:eastAsia="zh-CN"/>
              </w:rPr>
            </w:r>
            <w:r/>
          </w:p>
          <w:p>
            <w:pPr>
              <w:pStyle w:val="1029"/>
              <w:jc w:val="center"/>
              <w:spacing w:before="59"/>
              <w:rPr>
                <w:rFonts w:hint="eastAsia" w:ascii="宋体" w:hAnsi="宋体" w:eastAsia="宋体" w:cs="宋体"/>
                <w:lang w:eastAsia="zh-CN"/>
              </w:rPr>
            </w:pPr>
            <w:r>
              <w:rPr>
                <w:rFonts w:hint="eastAsia" w:asciiTheme="minorEastAsia" w:hAnsiTheme="minorEastAsia" w:eastAsiaTheme="minorEastAsia"/>
                <w:spacing w:val="-2"/>
                <w:lang w:eastAsia="zh-CN"/>
              </w:rPr>
              <w:t xml:space="preserve">2</w:t>
            </w:r>
            <w:r/>
          </w:p>
        </w:tc>
        <w:tc>
          <w:tcPr>
            <w:tcBorders>
              <w:top w:val="single" w:color="000000" w:sz="2" w:space="0"/>
              <w:bottom w:val="single" w:color="000000" w:sz="2" w:space="0"/>
            </w:tcBorders>
            <w:tcW w:w="900" w:type="dxa"/>
            <w:vAlign w:val="center"/>
            <w:textDirection w:val="lrTb"/>
            <w:noWrap w:val="false"/>
          </w:tcPr>
          <w:p>
            <w:pPr>
              <w:pStyle w:val="1029"/>
              <w:jc w:val="center"/>
              <w:spacing w:before="59" w:line="220" w:lineRule="auto"/>
              <w:rPr>
                <w:rFonts w:hint="eastAsia" w:ascii="宋体" w:hAnsi="宋体" w:eastAsia="宋体" w:cs="宋体"/>
                <w:spacing w:val="-6"/>
                <w:lang w:eastAsia="zh-CN"/>
              </w:rPr>
            </w:pPr>
            <w:r>
              <w:rPr>
                <w:rFonts w:hint="eastAsia" w:ascii="宋体" w:hAnsi="宋体" w:eastAsia="宋体" w:cs="宋体"/>
                <w:spacing w:val="-6"/>
                <w:lang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1"/>
                <w:sz w:val="18"/>
                <w:szCs w:val="18"/>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ind w:left="23" w:right="34" w:firstLine="11"/>
              <w:spacing w:before="100" w:line="260" w:lineRule="exact"/>
              <w:rPr>
                <w:rFonts w:hint="eastAsia" w:ascii="宋体" w:hAnsi="宋体" w:cs="宋体"/>
                <w:spacing w:val="-1"/>
                <w:sz w:val="18"/>
                <w:szCs w:val="18"/>
              </w:rPr>
            </w:pPr>
            <w:r>
              <w:rPr>
                <w:rFonts w:hint="eastAsia" w:ascii="宋体" w:hAnsi="宋体" w:cs="宋体"/>
                <w:spacing w:val="-1"/>
                <w:sz w:val="18"/>
                <w:szCs w:val="18"/>
              </w:rPr>
              <w:t xml:space="preserve">投标人业绩或产品业绩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pacing w:val="-1"/>
                <w:sz w:val="18"/>
                <w:szCs w:val="18"/>
              </w:rPr>
            </w:pPr>
            <w:r>
              <w:rPr>
                <w:rFonts w:hint="eastAsia" w:ascii="宋体" w:hAnsi="宋体" w:cs="宋体"/>
                <w:spacing w:val="-1"/>
                <w:sz w:val="18"/>
                <w:szCs w:val="18"/>
              </w:rPr>
              <w:t xml:space="preserve">1.</w:t>
            </w:r>
            <w:r>
              <w:rPr>
                <w:rFonts w:ascii="宋体" w:hAnsi="宋体" w:cs="宋体"/>
                <w:spacing w:val="-1"/>
                <w:sz w:val="18"/>
                <w:szCs w:val="18"/>
              </w:rPr>
              <w:t xml:space="preserve">投标人提供2023年7月1日（含）以来投标人或所投产品制造商具有类似项目业绩（至少包含小学生专用校车），每提供1个</w:t>
            </w:r>
            <w:r>
              <w:rPr>
                <w:rFonts w:hint="eastAsia" w:ascii="宋体" w:hAnsi="宋体" w:cs="宋体"/>
                <w:spacing w:val="-1"/>
                <w:sz w:val="18"/>
                <w:szCs w:val="18"/>
              </w:rPr>
              <w:t xml:space="preserve">得</w:t>
            </w:r>
            <w:r>
              <w:rPr>
                <w:rFonts w:ascii="宋体" w:hAnsi="宋体" w:cs="宋体"/>
                <w:spacing w:val="-1"/>
                <w:sz w:val="18"/>
                <w:szCs w:val="18"/>
              </w:rPr>
              <w:t xml:space="preserve">1分，最多得2分。</w:t>
            </w:r>
            <w:r/>
          </w:p>
          <w:p>
            <w:pPr>
              <w:spacing w:line="264" w:lineRule="auto"/>
              <w:rPr>
                <w:rFonts w:hint="eastAsia" w:ascii="宋体" w:hAnsi="宋体" w:cs="宋体"/>
                <w:spacing w:val="-1"/>
                <w:sz w:val="18"/>
                <w:szCs w:val="18"/>
              </w:rPr>
            </w:pPr>
            <w:r>
              <w:rPr>
                <w:rFonts w:ascii="宋体" w:hAnsi="宋体" w:cs="宋体"/>
                <w:spacing w:val="-1"/>
                <w:sz w:val="18"/>
                <w:szCs w:val="18"/>
              </w:rPr>
              <w:t xml:space="preserve">2.投标人提供2023年7月1日（含）以来投标人或所投产品制造商具有类似项目业绩（至少包含中小学生专用校车），每提供1个</w:t>
            </w:r>
            <w:r>
              <w:rPr>
                <w:rFonts w:hint="eastAsia" w:ascii="宋体" w:hAnsi="宋体" w:cs="宋体"/>
                <w:spacing w:val="-1"/>
                <w:sz w:val="18"/>
                <w:szCs w:val="18"/>
              </w:rPr>
              <w:t xml:space="preserve">得</w:t>
            </w:r>
            <w:r>
              <w:rPr>
                <w:rFonts w:ascii="宋体" w:hAnsi="宋体" w:cs="宋体"/>
                <w:spacing w:val="-1"/>
                <w:sz w:val="18"/>
                <w:szCs w:val="18"/>
              </w:rPr>
              <w:t xml:space="preserve">1分，最多得2分。</w:t>
            </w:r>
            <w:r/>
          </w:p>
          <w:p>
            <w:pPr>
              <w:spacing w:line="264" w:lineRule="auto"/>
              <w:rPr>
                <w:rFonts w:hint="eastAsia" w:ascii="宋体" w:hAnsi="宋体" w:cs="宋体"/>
                <w:spacing w:val="-1"/>
                <w:sz w:val="18"/>
                <w:szCs w:val="18"/>
              </w:rPr>
            </w:pPr>
            <w:r>
              <w:rPr>
                <w:rFonts w:ascii="宋体" w:hAnsi="宋体" w:cs="宋体"/>
                <w:spacing w:val="-1"/>
                <w:sz w:val="18"/>
                <w:szCs w:val="18"/>
              </w:rPr>
              <w:t xml:space="preserve">（备注：所有业绩须提供有效合同，以合同签订时间为准，合同页须清晰可见相应内容）</w:t>
            </w:r>
            <w:r/>
          </w:p>
          <w:p>
            <w:pPr>
              <w:spacing w:line="264" w:lineRule="auto"/>
              <w:rPr>
                <w:rFonts w:hint="eastAsia" w:ascii="宋体" w:hAnsi="宋体" w:cs="宋体"/>
                <w:spacing w:val="-1"/>
                <w:sz w:val="18"/>
                <w:szCs w:val="18"/>
              </w:rPr>
            </w:pPr>
            <w:r>
              <w:rPr>
                <w:rFonts w:hint="eastAsia" w:ascii="宋体" w:hAnsi="宋体" w:cs="宋体"/>
                <w:spacing w:val="-1"/>
                <w:sz w:val="18"/>
                <w:szCs w:val="18"/>
              </w:rPr>
              <w:t xml:space="preserve">评审依据：</w:t>
            </w:r>
            <w:r>
              <w:rPr>
                <w:rFonts w:ascii="宋体" w:hAnsi="宋体" w:cs="宋体"/>
                <w:spacing w:val="-1"/>
                <w:sz w:val="18"/>
                <w:szCs w:val="18"/>
              </w:rPr>
              <w:t xml:space="preserve">有效业绩证明材料须同时提供合同(</w:t>
            </w:r>
            <w:r>
              <w:rPr>
                <w:rFonts w:hint="eastAsia" w:ascii="宋体" w:hAnsi="宋体" w:cs="宋体"/>
                <w:spacing w:val="-1"/>
                <w:sz w:val="18"/>
                <w:szCs w:val="18"/>
              </w:rPr>
              <w:t xml:space="preserve">含</w:t>
            </w:r>
            <w:r>
              <w:rPr>
                <w:rFonts w:ascii="宋体" w:hAnsi="宋体" w:cs="宋体"/>
                <w:spacing w:val="-1"/>
                <w:sz w:val="18"/>
                <w:szCs w:val="18"/>
              </w:rPr>
              <w:t xml:space="preserve">合同首页、供货内容页、</w:t>
            </w:r>
            <w:r>
              <w:rPr>
                <w:rFonts w:hint="eastAsia" w:ascii="宋体" w:hAnsi="宋体" w:cs="宋体"/>
                <w:spacing w:val="-1"/>
                <w:sz w:val="18"/>
                <w:szCs w:val="18"/>
              </w:rPr>
              <w:t xml:space="preserve">甲乙双方</w:t>
            </w:r>
            <w:r>
              <w:rPr>
                <w:rFonts w:ascii="宋体" w:hAnsi="宋体" w:cs="宋体"/>
                <w:spacing w:val="-1"/>
                <w:sz w:val="18"/>
                <w:szCs w:val="18"/>
              </w:rPr>
              <w:t xml:space="preserve">签字盖章页)、发票</w:t>
            </w:r>
            <w:r>
              <w:rPr>
                <w:rFonts w:hint="eastAsia" w:ascii="宋体" w:hAnsi="宋体" w:cs="宋体"/>
                <w:spacing w:val="-1"/>
                <w:sz w:val="18"/>
                <w:szCs w:val="18"/>
              </w:rPr>
              <w:t xml:space="preserve">或</w:t>
            </w:r>
            <w:r>
              <w:rPr>
                <w:rFonts w:ascii="宋体" w:hAnsi="宋体" w:cs="宋体"/>
                <w:spacing w:val="-1"/>
                <w:sz w:val="18"/>
                <w:szCs w:val="18"/>
              </w:rPr>
              <w:t xml:space="preserve">验收报告</w:t>
            </w:r>
            <w:r>
              <w:rPr>
                <w:rFonts w:hint="eastAsia" w:ascii="宋体" w:hAnsi="宋体" w:cs="宋体"/>
                <w:spacing w:val="-1"/>
                <w:sz w:val="18"/>
                <w:szCs w:val="18"/>
              </w:rPr>
              <w:t xml:space="preserve">；</w:t>
            </w:r>
            <w:r>
              <w:rPr>
                <w:rFonts w:ascii="宋体" w:hAnsi="宋体" w:cs="宋体"/>
                <w:spacing w:val="-1"/>
                <w:sz w:val="18"/>
                <w:szCs w:val="18"/>
              </w:rPr>
              <w:t xml:space="preserve">单份业绩资料缺失、不全、模糊无法辨认、无法佐证校车供货内容的，该业绩不计分；重复业绩、虚假业绩不予计分。</w:t>
            </w:r>
            <w:r/>
          </w:p>
        </w:tc>
        <w:tc>
          <w:tcPr>
            <w:tcBorders>
              <w:top w:val="single" w:color="000000" w:sz="2" w:space="0"/>
              <w:bottom w:val="single" w:color="000000" w:sz="2" w:space="0"/>
            </w:tcBorders>
            <w:tcW w:w="647" w:type="dxa"/>
            <w:vAlign w:val="center"/>
            <w:textDirection w:val="lrTb"/>
            <w:noWrap w:val="false"/>
          </w:tcPr>
          <w:p>
            <w:pPr>
              <w:ind w:left="23" w:right="34" w:firstLine="11"/>
              <w:jc w:val="center"/>
              <w:spacing w:before="100" w:line="260" w:lineRule="exact"/>
              <w:rPr>
                <w:rFonts w:hint="eastAsia" w:ascii="宋体" w:hAnsi="宋体" w:cs="宋体"/>
                <w:spacing w:val="-1"/>
                <w:sz w:val="18"/>
                <w:szCs w:val="18"/>
              </w:rPr>
            </w:pPr>
            <w:r>
              <w:rPr>
                <w:rFonts w:hint="eastAsia" w:ascii="宋体" w:hAnsi="宋体" w:cs="宋体"/>
                <w:spacing w:val="-6"/>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1"/>
                <w:sz w:val="18"/>
                <w:szCs w:val="18"/>
              </w:rPr>
            </w:pPr>
            <w:r>
              <w:rPr>
                <w:rFonts w:hint="eastAsia" w:ascii="宋体" w:hAnsi="宋体" w:cs="宋体"/>
                <w:spacing w:val="-6"/>
                <w:szCs w:val="21"/>
              </w:rPr>
              <w:t xml:space="preserve">客观分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jc w:val="center"/>
              <w:spacing w:before="69" w:line="264" w:lineRule="auto"/>
              <w:rPr>
                <w:rFonts w:hint="eastAsia" w:ascii="宋体" w:hAnsi="宋体" w:cs="宋体"/>
                <w:spacing w:val="-1"/>
                <w:szCs w:val="21"/>
              </w:rPr>
            </w:pPr>
            <w:r>
              <w:rPr>
                <w:rFonts w:ascii="宋体" w:hAnsi="宋体" w:cs="宋体"/>
                <w:spacing w:val="-2"/>
                <w:sz w:val="18"/>
                <w:szCs w:val="18"/>
              </w:rPr>
              <w:t xml:space="preserve">交货周期</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ascii="宋体" w:hAnsi="宋体" w:cs="宋体"/>
                <w:spacing w:val="-1"/>
                <w:sz w:val="18"/>
                <w:szCs w:val="18"/>
              </w:rPr>
              <w:t xml:space="preserve">投标人承诺的交车完成时间较招标文件要求交车周期50天每提前1天得0.5分，最高得3分；按投标文件书面承诺计算，未作出提前交付承诺的本项不得分。（投标人提供</w:t>
            </w:r>
            <w:r>
              <w:rPr>
                <w:rFonts w:hint="eastAsia" w:ascii="宋体" w:hAnsi="宋体" w:cs="宋体"/>
                <w:spacing w:val="-1"/>
                <w:sz w:val="18"/>
                <w:szCs w:val="18"/>
              </w:rPr>
              <w:t xml:space="preserve">交付</w:t>
            </w:r>
            <w:r>
              <w:rPr>
                <w:rFonts w:ascii="宋体" w:hAnsi="宋体" w:cs="宋体"/>
                <w:spacing w:val="-1"/>
                <w:sz w:val="18"/>
                <w:szCs w:val="18"/>
              </w:rPr>
              <w:t xml:space="preserve">承诺</w:t>
            </w:r>
            <w:r>
              <w:rPr>
                <w:rFonts w:hint="eastAsia" w:ascii="宋体" w:hAnsi="宋体" w:cs="宋体"/>
                <w:spacing w:val="-1"/>
                <w:sz w:val="18"/>
                <w:szCs w:val="18"/>
              </w:rPr>
              <w:t xml:space="preserve">函</w:t>
            </w:r>
            <w:r>
              <w:rPr>
                <w:rFonts w:ascii="宋体" w:hAnsi="宋体" w:cs="宋体"/>
                <w:spacing w:val="-1"/>
                <w:sz w:val="18"/>
                <w:szCs w:val="18"/>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pacing w:val="-11"/>
                <w:szCs w:val="21"/>
              </w:rPr>
              <w:t xml:space="preserve">100分</w:t>
            </w:r>
            <w:r/>
          </w:p>
        </w:tc>
      </w:tr>
    </w:tbl>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58"/>
      <w:r/>
      <w:bookmarkEnd w:id="59"/>
      <w:r/>
      <w:bookmarkEnd w:id="62"/>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63" w:name="_Hlt26671244"/>
      <w:r/>
      <w:bookmarkEnd w:id="63"/>
      <w:r/>
      <w:bookmarkStart w:id="64" w:name="_Hlt26955039"/>
      <w:r/>
      <w:bookmarkEnd w:id="64"/>
      <w:r/>
      <w:bookmarkStart w:id="65" w:name="_Toc120614282"/>
      <w:r/>
      <w:bookmarkStart w:id="66" w:name="_Toc49090576"/>
      <w:r/>
      <w:bookmarkStart w:id="67" w:name="_Toc26554094"/>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55"/>
      <w:r/>
      <w:bookmarkEnd w:id="56"/>
      <w:r/>
      <w:bookmarkEnd w:id="65"/>
      <w:r/>
      <w:bookmarkEnd w:id="66"/>
      <w:r/>
      <w:bookmarkEnd w:id="67"/>
      <w:r/>
      <w:r/>
    </w:p>
    <w:p>
      <w:pPr>
        <w:ind w:firstLine="560"/>
        <w:spacing w:line="600" w:lineRule="exact"/>
        <w:rPr>
          <w:rFonts w:hint="eastAsia" w:ascii="宋体" w:hAnsi="宋体" w:cs="宋体"/>
          <w:sz w:val="28"/>
          <w:szCs w:val="28"/>
        </w:rPr>
      </w:pPr>
      <w:r/>
      <w:bookmarkStart w:id="68" w:name="_Toc120614284"/>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16"/>
        <w:rPr>
          <w:rFonts w:hint="eastAsia"/>
          <w:sz w:val="24"/>
        </w:rPr>
      </w:pPr>
      <w:r>
        <w:rPr>
          <w:rFonts w:hint="eastAsia"/>
          <w:sz w:val="24"/>
        </w:rPr>
      </w:r>
      <w:r/>
    </w:p>
    <w:p>
      <w:pPr>
        <w:pStyle w:val="1016"/>
        <w:rPr>
          <w:rFonts w:hint="eastAsia"/>
          <w:sz w:val="24"/>
        </w:rPr>
      </w:pPr>
      <w:r>
        <w:rPr>
          <w:rFonts w:hint="eastAsia"/>
          <w:sz w:val="24"/>
        </w:rPr>
      </w:r>
      <w:r/>
    </w:p>
    <w:p>
      <w:pPr>
        <w:pStyle w:val="1016"/>
        <w:rPr>
          <w:rFonts w:hint="eastAsia"/>
          <w:sz w:val="24"/>
        </w:rPr>
      </w:pPr>
      <w:r>
        <w:rPr>
          <w:rFonts w:hint="eastAsia"/>
          <w:sz w:val="24"/>
        </w:rPr>
      </w:r>
      <w:r/>
    </w:p>
    <w:p>
      <w:pPr>
        <w:pStyle w:val="1016"/>
        <w:rPr>
          <w:rFonts w:hint="eastAsia"/>
          <w:sz w:val="24"/>
          <w:szCs w:val="24"/>
        </w:rPr>
      </w:pPr>
      <w:r>
        <w:rPr>
          <w:rFonts w:hint="eastAsia"/>
          <w:sz w:val="24"/>
        </w:rPr>
      </w:r>
      <w:r>
        <w:rPr>
          <w:rFonts w:hint="eastAsia"/>
          <w:sz w:val="24"/>
        </w:rPr>
      </w:r>
      <w:r/>
    </w:p>
    <w:p>
      <w:pPr>
        <w:pStyle w:val="1016"/>
        <w:rPr>
          <w:rFonts w:hint="eastAsia"/>
          <w:sz w:val="24"/>
          <w:szCs w:val="24"/>
        </w:rPr>
      </w:pPr>
      <w:r>
        <w:rPr>
          <w:rFonts w:hint="eastAsia"/>
          <w:sz w:val="24"/>
          <w:szCs w:val="24"/>
        </w:rPr>
      </w:r>
      <w:r>
        <w:rPr>
          <w:rFonts w:hint="eastAsia"/>
          <w:sz w:val="24"/>
          <w:szCs w:val="24"/>
        </w:rPr>
      </w:r>
      <w:r/>
    </w:p>
    <w:p>
      <w:pPr>
        <w:pStyle w:val="1016"/>
        <w:rPr>
          <w:rFonts w:hint="eastAsia"/>
          <w:sz w:val="24"/>
          <w:szCs w:val="24"/>
        </w:rPr>
      </w:pPr>
      <w:r>
        <w:rPr>
          <w:rFonts w:hint="eastAsia"/>
          <w:sz w:val="24"/>
          <w:szCs w:val="24"/>
        </w:rPr>
      </w:r>
      <w:r>
        <w:rPr>
          <w:rFonts w:hint="eastAsia"/>
          <w:sz w:val="24"/>
          <w:szCs w:val="24"/>
        </w:rPr>
      </w:r>
      <w:r/>
    </w:p>
    <w:p>
      <w:pPr>
        <w:pStyle w:val="1016"/>
        <w:rPr>
          <w:rFonts w:hint="eastAsia"/>
          <w:sz w:val="24"/>
          <w:szCs w:val="24"/>
        </w:rPr>
      </w:pPr>
      <w:r>
        <w:rPr>
          <w:rFonts w:hint="eastAsia"/>
          <w:sz w:val="24"/>
          <w:szCs w:val="24"/>
        </w:rPr>
      </w:r>
      <w:r>
        <w:rPr>
          <w:rFonts w:hint="eastAsia"/>
          <w:sz w:val="24"/>
          <w:szCs w:val="24"/>
        </w:rPr>
      </w:r>
      <w:r/>
    </w:p>
    <w:p>
      <w:pPr>
        <w:pStyle w:val="1016"/>
        <w:rPr>
          <w:rFonts w:hint="eastAsia"/>
          <w:sz w:val="24"/>
          <w:szCs w:val="24"/>
        </w:rPr>
      </w:pPr>
      <w:r>
        <w:rPr>
          <w:rFonts w:hint="eastAsia"/>
          <w:sz w:val="24"/>
        </w:rPr>
      </w:r>
      <w:r/>
    </w:p>
    <w:p>
      <w:pPr>
        <w:pStyle w:val="1016"/>
        <w:rPr>
          <w:rFonts w:hint="eastAsia"/>
          <w:sz w:val="24"/>
        </w:rPr>
      </w:pPr>
      <w:r>
        <w:rPr>
          <w:rFonts w:hint="eastAsia"/>
          <w:sz w:val="24"/>
        </w:rPr>
      </w:r>
      <w:r/>
    </w:p>
    <w:p>
      <w:pPr>
        <w:pStyle w:val="1016"/>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1017"/>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87"/>
        <w:ind w:firstLine="480"/>
        <w:spacing w:line="420" w:lineRule="exact"/>
        <w:rPr>
          <w:sz w:val="24"/>
          <w:szCs w:val="24"/>
        </w:rPr>
      </w:pPr>
      <w:r>
        <w:rPr>
          <w:sz w:val="24"/>
          <w:szCs w:val="24"/>
        </w:rPr>
      </w:r>
      <w:r/>
    </w:p>
    <w:p>
      <w:pPr>
        <w:pStyle w:val="987"/>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87"/>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87"/>
        <w:ind w:firstLine="480"/>
        <w:spacing w:line="480" w:lineRule="exact"/>
        <w:rPr>
          <w:sz w:val="24"/>
          <w:szCs w:val="24"/>
        </w:rPr>
      </w:pPr>
      <w:r>
        <w:rPr>
          <w:rFonts w:hint="eastAsia"/>
          <w:sz w:val="24"/>
          <w:szCs w:val="24"/>
        </w:rPr>
        <w:t xml:space="preserve">代理人无转委托权。</w:t>
      </w:r>
      <w:r/>
    </w:p>
    <w:p>
      <w:pPr>
        <w:pStyle w:val="987"/>
        <w:ind w:firstLine="480"/>
        <w:spacing w:line="480" w:lineRule="exact"/>
        <w:rPr>
          <w:sz w:val="24"/>
          <w:szCs w:val="24"/>
        </w:rPr>
      </w:pPr>
      <w:r>
        <w:rPr>
          <w:rFonts w:hint="eastAsia"/>
          <w:sz w:val="24"/>
          <w:szCs w:val="24"/>
        </w:rPr>
        <w:t xml:space="preserve">投标人名称（加盖公章）：________________</w:t>
      </w:r>
      <w:r/>
    </w:p>
    <w:p>
      <w:pPr>
        <w:pStyle w:val="987"/>
        <w:ind w:firstLine="480"/>
        <w:spacing w:line="480" w:lineRule="exact"/>
        <w:rPr>
          <w:sz w:val="24"/>
          <w:szCs w:val="24"/>
        </w:rPr>
      </w:pPr>
      <w:r>
        <w:rPr>
          <w:rFonts w:hint="eastAsia"/>
          <w:sz w:val="24"/>
          <w:szCs w:val="24"/>
        </w:rPr>
        <w:t xml:space="preserve">法定代表人（单位负责人）（签字或签章）：________________</w:t>
      </w:r>
      <w:r/>
    </w:p>
    <w:p>
      <w:pPr>
        <w:pStyle w:val="987"/>
        <w:ind w:firstLine="480"/>
        <w:spacing w:line="480" w:lineRule="exact"/>
        <w:rPr>
          <w:sz w:val="24"/>
          <w:szCs w:val="24"/>
        </w:rPr>
      </w:pPr>
      <w:r>
        <w:rPr>
          <w:rFonts w:hint="eastAsia"/>
          <w:sz w:val="24"/>
          <w:szCs w:val="24"/>
        </w:rPr>
        <w:t xml:space="preserve">代理人（签字或签章）：________________ </w:t>
      </w:r>
      <w:r/>
    </w:p>
    <w:p>
      <w:pPr>
        <w:pStyle w:val="987"/>
        <w:ind w:firstLine="480"/>
        <w:spacing w:line="480" w:lineRule="exact"/>
        <w:rPr>
          <w:sz w:val="24"/>
          <w:szCs w:val="24"/>
        </w:rPr>
      </w:pPr>
      <w:r>
        <w:rPr>
          <w:rFonts w:hint="eastAsia"/>
          <w:sz w:val="24"/>
          <w:szCs w:val="24"/>
        </w:rPr>
        <w:t xml:space="preserve">日期：_____年______月______日</w:t>
      </w:r>
      <w:r/>
    </w:p>
    <w:p>
      <w:pPr>
        <w:pStyle w:val="987"/>
        <w:ind w:firstLine="480"/>
        <w:spacing w:line="480" w:lineRule="exact"/>
        <w:rPr>
          <w:sz w:val="24"/>
          <w:szCs w:val="24"/>
        </w:rPr>
      </w:pPr>
      <w:r>
        <w:rPr>
          <w:rFonts w:hint="eastAsia"/>
          <w:sz w:val="24"/>
          <w:szCs w:val="24"/>
        </w:rPr>
        <w:t xml:space="preserve">附：法定代表人（单位负责人）及代理人有效身份证明文件</w:t>
      </w:r>
      <w:r/>
    </w:p>
    <w:p>
      <w:pPr>
        <w:pStyle w:val="910"/>
        <w:ind w:firstLine="0"/>
      </w:pPr>
      <w:r/>
      <w:r/>
    </w:p>
    <w:p>
      <w:pPr>
        <w:pStyle w:val="987"/>
        <w:ind w:firstLine="480"/>
        <w:spacing w:line="480" w:lineRule="exact"/>
        <w:rPr>
          <w:sz w:val="24"/>
          <w:szCs w:val="24"/>
        </w:rPr>
      </w:pPr>
      <w:r>
        <w:rPr>
          <w:sz w:val="24"/>
          <w:szCs w:val="24"/>
        </w:rPr>
      </w:r>
      <w:r/>
    </w:p>
    <w:p>
      <w:pPr>
        <w:pStyle w:val="987"/>
        <w:ind w:firstLine="480"/>
        <w:spacing w:line="480" w:lineRule="exact"/>
        <w:rPr>
          <w:sz w:val="24"/>
          <w:szCs w:val="24"/>
        </w:rPr>
      </w:pPr>
      <w:r>
        <w:rPr>
          <w:rFonts w:hint="eastAsia"/>
          <w:sz w:val="24"/>
          <w:szCs w:val="24"/>
        </w:rPr>
        <w:t xml:space="preserve">说明：</w:t>
      </w:r>
      <w:r/>
    </w:p>
    <w:p>
      <w:pPr>
        <w:pStyle w:val="987"/>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87"/>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87"/>
        <w:ind w:firstLine="480"/>
        <w:spacing w:line="480" w:lineRule="exact"/>
        <w:rPr>
          <w:sz w:val="24"/>
          <w:szCs w:val="24"/>
        </w:rPr>
      </w:pPr>
      <w:r>
        <w:rPr>
          <w:rFonts w:hint="eastAsia"/>
          <w:sz w:val="24"/>
          <w:szCs w:val="24"/>
        </w:rPr>
        <w:t xml:space="preserve">3.投标人为自然人的，可不提供本《法定代表人授权委托书》。</w:t>
      </w:r>
      <w:r/>
    </w:p>
    <w:p>
      <w:pPr>
        <w:pStyle w:val="987"/>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87"/>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89"/>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89"/>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89"/>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98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42"/>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89"/>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89"/>
        <w:spacing w:before="0" w:after="0" w:line="420" w:lineRule="exact"/>
        <w:rPr>
          <w:rFonts w:hint="eastAsia" w:ascii="宋体" w:hAnsi="宋体"/>
          <w:szCs w:val="21"/>
        </w:rPr>
      </w:pPr>
      <w:r>
        <w:rPr>
          <w:rFonts w:hint="eastAsia" w:ascii="宋体" w:hAnsi="宋体"/>
          <w:szCs w:val="21"/>
        </w:rPr>
        <w:t xml:space="preserve">地  址：</w:t>
      </w:r>
      <w:r/>
    </w:p>
    <w:p>
      <w:pPr>
        <w:pStyle w:val="989"/>
        <w:spacing w:before="0" w:after="0" w:line="420" w:lineRule="exact"/>
        <w:rPr>
          <w:rFonts w:hint="eastAsia" w:ascii="宋体" w:hAnsi="宋体"/>
          <w:szCs w:val="21"/>
        </w:rPr>
      </w:pPr>
      <w:r>
        <w:rPr>
          <w:rFonts w:hint="eastAsia" w:ascii="宋体" w:hAnsi="宋体"/>
          <w:szCs w:val="21"/>
        </w:rPr>
        <w:t xml:space="preserve">邮  编：</w:t>
      </w:r>
      <w:r/>
    </w:p>
    <w:p>
      <w:pPr>
        <w:pStyle w:val="989"/>
        <w:spacing w:before="0" w:after="0" w:line="420" w:lineRule="exact"/>
        <w:rPr>
          <w:rFonts w:hint="eastAsia" w:ascii="宋体" w:hAnsi="宋体"/>
          <w:szCs w:val="21"/>
          <w:u w:val="single"/>
        </w:rPr>
      </w:pPr>
      <w:r>
        <w:rPr>
          <w:rFonts w:hint="eastAsia" w:ascii="宋体" w:hAnsi="宋体"/>
          <w:szCs w:val="21"/>
        </w:rPr>
        <w:t xml:space="preserve">电  话：</w:t>
      </w:r>
      <w:r/>
    </w:p>
    <w:p>
      <w:pPr>
        <w:pStyle w:val="989"/>
        <w:spacing w:before="0" w:after="0" w:line="420" w:lineRule="exact"/>
        <w:rPr>
          <w:rFonts w:hint="eastAsia" w:ascii="宋体" w:hAnsi="宋体"/>
          <w:szCs w:val="21"/>
          <w:u w:val="single"/>
        </w:rPr>
      </w:pPr>
      <w:r>
        <w:rPr>
          <w:rFonts w:hint="eastAsia" w:ascii="宋体" w:hAnsi="宋体"/>
          <w:szCs w:val="21"/>
        </w:rPr>
        <w:t xml:space="preserve">传  真：</w:t>
      </w:r>
      <w:r/>
    </w:p>
    <w:p>
      <w:pPr>
        <w:pStyle w:val="989"/>
        <w:spacing w:before="0" w:after="0" w:line="420" w:lineRule="exact"/>
        <w:rPr>
          <w:rFonts w:hint="eastAsia" w:ascii="宋体" w:hAnsi="宋体"/>
          <w:szCs w:val="21"/>
          <w:u w:val="single"/>
        </w:rPr>
      </w:pPr>
      <w:r>
        <w:rPr>
          <w:rFonts w:hint="eastAsia" w:ascii="宋体" w:hAnsi="宋体"/>
          <w:szCs w:val="21"/>
        </w:rPr>
        <w:t xml:space="preserve">开户行：</w:t>
      </w:r>
      <w:r/>
    </w:p>
    <w:p>
      <w:pPr>
        <w:pStyle w:val="989"/>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89"/>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90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89"/>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78"/>
      </w:pPr>
      <w:r/>
      <w:r/>
    </w:p>
    <w:p>
      <w:pPr>
        <w:pStyle w:val="978"/>
      </w:pPr>
      <w:r/>
      <w:r/>
    </w:p>
    <w:p>
      <w:r/>
      <w:r/>
    </w:p>
    <w:p>
      <w:pPr>
        <w:jc w:val="center"/>
        <w:spacing w:line="360" w:lineRule="auto"/>
        <w:rPr>
          <w:rFonts w:ascii="黑体" w:eastAsia="黑体"/>
          <w:sz w:val="32"/>
          <w:szCs w:val="32"/>
        </w:rPr>
      </w:pPr>
      <w:r>
        <w:rPr>
          <w:rFonts w:ascii="黑体" w:eastAsia="黑体"/>
          <w:sz w:val="32"/>
          <w:szCs w:val="32"/>
        </w:r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2"/>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942"/>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909"/>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tbl>
      <w:tblPr>
        <w:tblStyle w:val="90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p>
            <w:pPr>
              <w:spacing w:line="0" w:lineRule="atLeast"/>
              <w:rPr>
                <w:rFonts w:hint="eastAsia" w:ascii="宋体" w:hAnsi="宋体"/>
                <w:sz w:val="24"/>
                <w:szCs w:val="24"/>
              </w:rPr>
            </w:pPr>
            <w:r>
              <w:rPr>
                <w:rFonts w:hint="eastAsia" w:ascii="宋体" w:hAnsi="宋体"/>
                <w:sz w:val="24"/>
                <w:szCs w:val="24"/>
              </w:rPr>
            </w:r>
            <w:r/>
          </w:p>
        </w:tc>
      </w:tr>
    </w:tbl>
    <w:p>
      <w:pPr>
        <w:ind w:firstLine="480"/>
        <w:rPr>
          <w:rFonts w:hint="eastAsia" w:ascii="宋体" w:hAnsi="宋体"/>
          <w:sz w:val="24"/>
          <w:szCs w:val="24"/>
        </w:rPr>
      </w:pPr>
      <w:r>
        <w:rPr>
          <w:rFonts w:hint="eastAsia" w:ascii="宋体" w:hAnsi="宋体"/>
          <w:sz w:val="24"/>
          <w:szCs w:val="24"/>
        </w:rPr>
      </w:r>
      <w:r/>
    </w:p>
    <w:p>
      <w:pPr>
        <w:pStyle w:val="938"/>
        <w:ind w:firstLine="480"/>
        <w:jc w:val="both"/>
        <w:spacing w:before="0" w:beforeAutospacing="0" w:after="0" w:afterAutospacing="0" w:line="360" w:lineRule="auto"/>
        <w:rPr>
          <w:rFonts w:hint="eastAsia"/>
        </w:rPr>
      </w:pPr>
      <w:r>
        <w:t xml:space="preserve">备注： </w:t>
      </w:r>
      <w:r/>
    </w:p>
    <w:p>
      <w:pPr>
        <w:pStyle w:val="938"/>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38"/>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38"/>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938"/>
        <w:ind w:firstLine="480"/>
        <w:jc w:val="both"/>
        <w:spacing w:before="0" w:beforeAutospacing="0" w:after="0" w:afterAutospacing="0" w:line="360" w:lineRule="auto"/>
        <w:rPr>
          <w:rFonts w:hint="eastAsia"/>
          <w:b/>
          <w:bCs/>
        </w:rPr>
      </w:pPr>
      <w:r>
        <w:rPr>
          <w:rFonts w:hint="eastAsia"/>
        </w:rPr>
        <w:t xml:space="preserve">4.</w:t>
      </w:r>
      <w:r>
        <w:rPr>
          <w:rFonts w:hint="eastAsia"/>
          <w:b/>
          <w:bCs/>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38"/>
        <w:ind w:firstLine="480"/>
        <w:jc w:val="both"/>
        <w:spacing w:before="0" w:beforeAutospacing="0" w:after="0" w:afterAutospacing="0" w:line="360" w:lineRule="auto"/>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pPr>
            <w:r/>
            <w:r/>
          </w:p>
          <w:p>
            <w:pPr>
              <w:pStyle w:val="942"/>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938"/>
        <w:ind w:firstLine="480"/>
        <w:jc w:val="both"/>
        <w:spacing w:before="0" w:beforeAutospacing="0" w:after="0" w:afterAutospacing="0"/>
        <w:rPr>
          <w:rFonts w:hint="eastAsia"/>
        </w:rPr>
      </w:pPr>
      <w:r>
        <w:rPr>
          <w:rFonts w:hint="eastAsia"/>
        </w:rPr>
      </w:r>
      <w:r/>
    </w:p>
    <w:p>
      <w:pPr>
        <w:pStyle w:val="938"/>
        <w:ind w:firstLine="480"/>
        <w:jc w:val="both"/>
        <w:spacing w:before="0" w:beforeAutospacing="0" w:after="0" w:afterAutospacing="0" w:line="360" w:lineRule="auto"/>
        <w:rPr>
          <w:rFonts w:hint="eastAsia"/>
        </w:rPr>
      </w:pPr>
      <w:r>
        <w:t xml:space="preserve">备注： </w:t>
      </w:r>
      <w:r/>
    </w:p>
    <w:p>
      <w:pPr>
        <w:pStyle w:val="938"/>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938"/>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938"/>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pPr>
            <w:r/>
            <w:r/>
          </w:p>
          <w:p>
            <w:pPr>
              <w:pStyle w:val="942"/>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firstLine="480"/>
        <w:rPr>
          <w:rFonts w:hint="eastAsia" w:ascii="宋体" w:hAnsi="宋体"/>
          <w:sz w:val="24"/>
          <w:szCs w:val="24"/>
        </w:rPr>
      </w:pPr>
      <w:r>
        <w:rPr>
          <w:rFonts w:hint="eastAsia" w:ascii="宋体" w:hAnsi="宋体"/>
          <w:sz w:val="24"/>
          <w:szCs w:val="24"/>
        </w:rPr>
      </w:r>
      <w:r/>
    </w:p>
    <w:p>
      <w:pPr>
        <w:pStyle w:val="938"/>
        <w:ind w:firstLine="480"/>
        <w:jc w:val="both"/>
        <w:spacing w:before="0" w:beforeAutospacing="0" w:after="0" w:afterAutospacing="0" w:line="360" w:lineRule="auto"/>
        <w:rPr>
          <w:rFonts w:hint="eastAsia"/>
        </w:rPr>
      </w:pPr>
      <w:r>
        <w:rPr>
          <w:rFonts w:hint="eastAsia"/>
        </w:rPr>
        <w:t xml:space="preserve">备注： </w:t>
      </w:r>
      <w:r/>
    </w:p>
    <w:p>
      <w:pPr>
        <w:pStyle w:val="938"/>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938"/>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shd w:val="nil"/>
        <w:rPr>
          <w:rFonts w:hint="eastAsia"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78"/>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left"/>
        <w:spacing w:line="360" w:lineRule="auto"/>
        <w:rPr>
          <w:rFonts w:hint="eastAsia" w:ascii="黑体" w:hAnsi="黑体" w:eastAsia="黑体"/>
          <w:sz w:val="32"/>
          <w:szCs w:val="32"/>
        </w:rPr>
      </w:pPr>
      <w:r>
        <w:rPr>
          <w:rFonts w:hint="eastAsia" w:ascii="黑体" w:hAnsi="黑体" w:eastAsia="黑体"/>
          <w:b/>
          <w:sz w:val="32"/>
          <w:szCs w:val="32"/>
        </w:rPr>
        <w:br w:type="page" w:clear="all"/>
      </w:r>
      <w:r>
        <w:rPr>
          <w:rFonts w:hint="eastAsia" w:ascii="黑体" w:hAnsi="黑体" w:eastAsia="黑体"/>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（联合体中各投标人全称）在此达成以下协议：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42"/>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7"/>
          <w:rFonts w:hint="eastAsia"/>
          <w:i w:val="0"/>
          <w:u w:val="single"/>
          <w:shd w:val="clear" w:color="auto" w:fill="ffffff"/>
        </w:rPr>
        <w:t xml:space="preserve">（产品名称1）</w:t>
      </w:r>
      <w:r>
        <w:rPr>
          <w:rStyle w:val="94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7"/>
          <w:rFonts w:hint="eastAsia"/>
          <w:i w:val="0"/>
          <w:u w:val="single"/>
          <w:shd w:val="clear" w:color="auto" w:fill="ffffff"/>
        </w:rPr>
        <w:t xml:space="preserve">（厂名）</w:t>
      </w:r>
      <w:r>
        <w:rPr>
          <w:rStyle w:val="947"/>
          <w:rFonts w:hint="eastAsia"/>
          <w:i w:val="0"/>
          <w:shd w:val="clear" w:color="auto" w:fill="ffffff"/>
          <w:vertAlign w:val="superscript"/>
        </w:rPr>
        <w:t xml:space="preserve">2</w:t>
      </w:r>
      <w:r>
        <w:rPr>
          <w:rFonts w:hint="eastAsia"/>
          <w:shd w:val="clear" w:color="auto" w:fill="ffffff"/>
        </w:rPr>
        <w:t xml:space="preserve">，厂址为</w:t>
      </w:r>
      <w:r>
        <w:rPr>
          <w:rStyle w:val="947"/>
          <w:rFonts w:hint="eastAsia"/>
          <w:i w:val="0"/>
          <w:u w:val="single"/>
          <w:shd w:val="clear" w:color="auto" w:fill="ffffff"/>
        </w:rPr>
        <w:t xml:space="preserve">（生产厂址）</w:t>
      </w:r>
      <w:r>
        <w:rPr>
          <w:rFonts w:hint="eastAsia"/>
          <w:shd w:val="clear" w:color="auto" w:fill="ffffff"/>
        </w:rPr>
        <w:t xml:space="preserve">。</w:t>
      </w:r>
      <w:r>
        <w:rPr>
          <w:rStyle w:val="947"/>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7"/>
          <w:rFonts w:hint="eastAsia"/>
          <w:u w:val="single"/>
          <w:shd w:val="clear" w:color="auto" w:fill="ffffff"/>
        </w:rPr>
        <w:t xml:space="preserve">（规定比例）</w:t>
      </w:r>
      <w:r>
        <w:rPr>
          <w:rStyle w:val="947"/>
          <w:rFonts w:hint="eastAsia"/>
          <w:i w:val="0"/>
          <w:shd w:val="clear" w:color="auto" w:fill="ffffff"/>
          <w:vertAlign w:val="superscript"/>
        </w:rPr>
        <w:t xml:space="preserve">3</w:t>
      </w:r>
      <w:r>
        <w:rPr>
          <w:rFonts w:hint="eastAsia"/>
          <w:shd w:val="clear" w:color="auto" w:fill="ffffff"/>
        </w:rPr>
        <w:t xml:space="preserve">。</w:t>
      </w:r>
      <w:r>
        <w:rPr>
          <w:rStyle w:val="947"/>
          <w:rFonts w:hint="eastAsia"/>
          <w:u w:val="single"/>
          <w:shd w:val="clear" w:color="auto" w:fill="ffffff"/>
        </w:rPr>
        <w:t xml:space="preserve">（产品名称1）</w:t>
      </w:r>
      <w:r>
        <w:rPr>
          <w:rFonts w:hint="eastAsia"/>
          <w:shd w:val="clear" w:color="auto" w:fill="ffffff"/>
        </w:rPr>
        <w:t xml:space="preserve">的</w:t>
      </w:r>
      <w:r>
        <w:rPr>
          <w:rStyle w:val="947"/>
          <w:rFonts w:hint="eastAsia"/>
          <w:u w:val="single"/>
          <w:shd w:val="clear" w:color="auto" w:fill="ffffff"/>
        </w:rPr>
        <w:t xml:space="preserve">（关键组件）</w:t>
      </w:r>
      <w:r>
        <w:rPr>
          <w:rStyle w:val="947"/>
          <w:rFonts w:hint="eastAsia"/>
          <w:i w:val="0"/>
          <w:shd w:val="clear" w:color="auto" w:fill="ffffff"/>
          <w:vertAlign w:val="superscript"/>
        </w:rPr>
        <w:t xml:space="preserve">4</w:t>
      </w:r>
      <w:r>
        <w:rPr>
          <w:rFonts w:hint="eastAsia"/>
          <w:shd w:val="clear" w:color="auto" w:fill="ffffff"/>
        </w:rPr>
        <w:t xml:space="preserve">在中国境内生产。</w:t>
      </w:r>
      <w:r>
        <w:rPr>
          <w:rStyle w:val="947"/>
          <w:rFonts w:hint="eastAsia"/>
          <w:u w:val="single"/>
          <w:shd w:val="clear" w:color="auto" w:fill="ffffff"/>
        </w:rPr>
        <w:t xml:space="preserve">（产品名称1）</w:t>
      </w:r>
      <w:r>
        <w:rPr>
          <w:rFonts w:hint="eastAsia"/>
          <w:shd w:val="clear" w:color="auto" w:fill="ffffff"/>
        </w:rPr>
        <w:t xml:space="preserve">的</w:t>
      </w:r>
      <w:r>
        <w:rPr>
          <w:rStyle w:val="947"/>
          <w:rFonts w:hint="eastAsia"/>
          <w:u w:val="single"/>
          <w:shd w:val="clear" w:color="auto" w:fill="ffffff"/>
        </w:rPr>
        <w:t xml:space="preserve">（关键工序）</w:t>
      </w:r>
      <w:r>
        <w:rPr>
          <w:rStyle w:val="947"/>
          <w:rFonts w:hint="eastAsia"/>
          <w:i w:val="0"/>
          <w:shd w:val="clear" w:color="auto" w:fill="ffffff"/>
          <w:vertAlign w:val="superscript"/>
        </w:rPr>
        <w:t xml:space="preserve">5</w:t>
      </w:r>
      <w:r>
        <w:rPr>
          <w:rFonts w:hint="eastAsia"/>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7"/>
          <w:rFonts w:hint="eastAsia"/>
          <w:i w:val="0"/>
          <w:u w:val="single"/>
          <w:shd w:val="clear" w:color="auto" w:fill="ffffff"/>
        </w:rPr>
        <w:t xml:space="preserve">（产品名称2）</w:t>
      </w:r>
      <w:r>
        <w:rPr>
          <w:rFonts w:hint="eastAsia"/>
          <w:shd w:val="clear" w:color="auto" w:fill="ffffff"/>
        </w:rPr>
        <w:t xml:space="preserve">，生产厂为</w:t>
      </w:r>
      <w:r>
        <w:rPr>
          <w:rStyle w:val="947"/>
          <w:rFonts w:hint="eastAsia"/>
          <w:i w:val="0"/>
          <w:u w:val="single"/>
          <w:shd w:val="clear" w:color="auto" w:fill="ffffff"/>
        </w:rPr>
        <w:t xml:space="preserve">（厂名）</w:t>
      </w:r>
      <w:r>
        <w:rPr>
          <w:rFonts w:hint="eastAsia"/>
          <w:shd w:val="clear" w:color="auto" w:fill="ffffff"/>
        </w:rPr>
        <w:t xml:space="preserve">，厂址为</w:t>
      </w:r>
      <w:r>
        <w:rPr>
          <w:rStyle w:val="947"/>
          <w:rFonts w:hint="eastAsia"/>
          <w:i w:val="0"/>
          <w:u w:val="single"/>
          <w:shd w:val="clear" w:color="auto" w:fill="ffffff"/>
        </w:rPr>
        <w:t xml:space="preserve">（生产厂址）</w:t>
      </w:r>
      <w:r>
        <w:rPr>
          <w:rFonts w:hint="eastAsia"/>
          <w:shd w:val="clear" w:color="auto" w:fill="ffffff"/>
        </w:rPr>
        <w:t xml:space="preserve">。</w:t>
      </w:r>
      <w:r>
        <w:rPr>
          <w:rStyle w:val="947"/>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7"/>
          <w:rFonts w:hint="eastAsia"/>
          <w:u w:val="single"/>
          <w:shd w:val="clear" w:color="auto" w:fill="ffffff"/>
        </w:rPr>
        <w:t xml:space="preserve">（规定比例）</w:t>
      </w:r>
      <w:r>
        <w:rPr>
          <w:rFonts w:hint="eastAsia"/>
          <w:shd w:val="clear" w:color="auto" w:fill="ffffff"/>
        </w:rPr>
        <w:t xml:space="preserve">。</w:t>
      </w:r>
      <w:r>
        <w:rPr>
          <w:rStyle w:val="947"/>
          <w:rFonts w:hint="eastAsia"/>
          <w:u w:val="single"/>
          <w:shd w:val="clear" w:color="auto" w:fill="ffffff"/>
        </w:rPr>
        <w:t xml:space="preserve">（产品名称2）</w:t>
      </w:r>
      <w:r>
        <w:rPr>
          <w:rFonts w:hint="eastAsia"/>
          <w:shd w:val="clear" w:color="auto" w:fill="ffffff"/>
        </w:rPr>
        <w:t xml:space="preserve">的</w:t>
      </w:r>
      <w:r>
        <w:rPr>
          <w:rStyle w:val="947"/>
          <w:rFonts w:hint="eastAsia"/>
          <w:u w:val="single"/>
          <w:shd w:val="clear" w:color="auto" w:fill="ffffff"/>
        </w:rPr>
        <w:t xml:space="preserve">（关键组件）</w:t>
      </w:r>
      <w:r>
        <w:rPr>
          <w:rFonts w:hint="eastAsia"/>
          <w:shd w:val="clear" w:color="auto" w:fill="ffffff"/>
        </w:rPr>
        <w:t xml:space="preserve">在中国境内生产。</w:t>
      </w:r>
      <w:r>
        <w:rPr>
          <w:rStyle w:val="947"/>
          <w:rFonts w:hint="eastAsia"/>
          <w:u w:val="single"/>
          <w:shd w:val="clear" w:color="auto" w:fill="ffffff"/>
        </w:rPr>
        <w:t xml:space="preserve">（产品名称2）</w:t>
      </w:r>
      <w:r>
        <w:rPr>
          <w:rFonts w:hint="eastAsia"/>
          <w:shd w:val="clear" w:color="auto" w:fill="ffffff"/>
        </w:rPr>
        <w:t xml:space="preserve">的</w:t>
      </w:r>
      <w:r>
        <w:rPr>
          <w:rStyle w:val="947"/>
          <w:rFonts w:hint="eastAsia"/>
          <w:u w:val="single"/>
          <w:shd w:val="clear" w:color="auto" w:fill="ffffff"/>
        </w:rPr>
        <w:t xml:space="preserve">（关键工序）</w:t>
      </w:r>
      <w:r>
        <w:rPr>
          <w:rFonts w:hint="eastAsia"/>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93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3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3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93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3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69" w:name="OLE_LINK8"/>
      <w:r/>
      <w:bookmarkEnd w:id="69"/>
      <w:r/>
      <w:r/>
    </w:p>
    <w:p>
      <w:pPr>
        <w:jc w:val="left"/>
        <w:spacing w:line="360" w:lineRule="auto"/>
        <w:widowControl/>
      </w:pPr>
      <w:r>
        <w:rPr>
          <w:rFonts w:hint="eastAsia"/>
          <w:szCs w:val="21"/>
          <w:shd w:val="clear" w:color="auto" w:fill="ffffff"/>
        </w:rPr>
        <w:br w:type="page" w:clear="all"/>
      </w:r>
      <w:r>
        <w:rPr>
          <w:rFonts w:hint="eastAsia" w:ascii="黑体" w:hAnsi="黑体" w:eastAsia="黑体"/>
          <w:iCs/>
          <w:sz w:val="32"/>
          <w:szCs w:val="32"/>
        </w:rPr>
        <w:t xml:space="preserve">十三、分包情况说明及分包意向协议</w:t>
      </w:r>
      <w:r/>
    </w:p>
    <w:p>
      <w:pPr>
        <w:jc w:val="center"/>
        <w:widowControl/>
      </w:pPr>
      <w:r>
        <w:rPr>
          <w:rFonts w:ascii="宋体" w:hAnsi="宋体" w:cs="宋体"/>
          <w:b/>
          <w:bCs/>
          <w:sz w:val="36"/>
          <w:szCs w:val="36"/>
          <w:lang w:bidi="ar"/>
        </w:rPr>
        <w:t xml:space="preserve">分包情况说明</w:t>
      </w:r>
      <w:r/>
    </w:p>
    <w:p>
      <w:pPr>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ind w:firstLine="480"/>
        <w:jc w:val="left"/>
        <w:widowControl/>
      </w:pPr>
      <w:r>
        <w:rPr>
          <w:rFonts w:hint="eastAsia" w:ascii="宋体" w:hAnsi="宋体" w:cs="宋体"/>
          <w:sz w:val="24"/>
          <w:szCs w:val="24"/>
          <w:lang w:bidi="ar"/>
        </w:rPr>
        <w:t xml:space="preserve">注： </w:t>
      </w:r>
      <w:r/>
    </w:p>
    <w:p>
      <w:pPr>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ind w:firstLine="480"/>
        <w:jc w:val="left"/>
        <w:widowControl/>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ind w:firstLine="480"/>
        <w:jc w:val="left"/>
        <w:widowControl/>
      </w:pPr>
      <w:r>
        <w:rPr>
          <w:rFonts w:hint="eastAsia" w:ascii="宋体" w:hAnsi="宋体" w:cs="宋体"/>
          <w:sz w:val="24"/>
          <w:szCs w:val="24"/>
          <w:lang w:bidi="ar"/>
        </w:rPr>
        <w:t xml:space="preserve">乙方承诺将在上述情况下与甲方签订分包合同。 </w:t>
      </w:r>
      <w:r/>
    </w:p>
    <w:p>
      <w:pPr>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left"/>
        <w:widowControl/>
      </w:pPr>
      <w:r>
        <w:rPr>
          <w:rFonts w:hint="eastAsia" w:ascii="宋体" w:hAnsi="宋体" w:cs="宋体"/>
          <w:sz w:val="24"/>
          <w:szCs w:val="24"/>
          <w:lang w:bidi="ar"/>
        </w:rPr>
        <w:t xml:space="preserve">注： </w:t>
      </w:r>
      <w:r/>
    </w:p>
    <w:p>
      <w:pPr>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jc w:val="left"/>
        <w:widowControl/>
      </w:pPr>
      <w:r>
        <w:rPr>
          <w:rFonts w:hint="eastAsia" w:ascii="宋体" w:hAnsi="宋体" w:cs="宋体"/>
          <w:sz w:val="24"/>
          <w:szCs w:val="24"/>
          <w:lang w:bidi="ar"/>
        </w:rPr>
        <w:t xml:space="preserve">有关规定，拟享受中小企业政策优惠措施的，仍需提供本协议，否则不予认可； </w:t>
      </w:r>
      <w:r/>
    </w:p>
    <w:p>
      <w:pPr>
        <w:numPr>
          <w:ilvl w:val="0"/>
          <w:numId w:val="6"/>
        </w:numPr>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p>
    <w:p>
      <w:pPr>
        <w:pStyle w:val="93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68"/>
      <w:r/>
      <w:r/>
    </w:p>
    <w:p>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rPr>
                              <w:rStyle w:val="945"/>
                              <w:rFonts w:hint="eastAsia" w:ascii="宋体" w:hAnsi="宋体"/>
                            </w:rPr>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rPr>
                        <w:rStyle w:val="945"/>
                        <w:rFonts w:hint="eastAsia" w:ascii="宋体" w:hAnsi="宋体"/>
                      </w:rPr>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4"/>
      <w:isLgl w:val="false"/>
      <w:suff w:val="nothing"/>
      <w:lvlText w:val=""/>
      <w:lvlJc w:val="left"/>
      <w:pPr>
        <w:ind w:left="0" w:firstLine="0"/>
      </w:pPr>
      <w:rPr>
        <w:rFonts w:hint="eastAsia"/>
      </w:rPr>
    </w:lvl>
    <w:lvl w:ilvl="6">
      <w:start w:val="1"/>
      <w:numFmt w:val="none"/>
      <w:pStyle w:val="905"/>
      <w:isLgl w:val="false"/>
      <w:suff w:val="nothing"/>
      <w:lvlText w:val=""/>
      <w:lvlJc w:val="left"/>
      <w:pPr>
        <w:ind w:left="0" w:firstLine="0"/>
      </w:pPr>
      <w:rPr>
        <w:rFonts w:hint="eastAsia"/>
      </w:rPr>
    </w:lvl>
    <w:lvl w:ilvl="7">
      <w:start w:val="1"/>
      <w:numFmt w:val="none"/>
      <w:pStyle w:val="906"/>
      <w:isLgl w:val="false"/>
      <w:suff w:val="nothing"/>
      <w:lvlText w:val=""/>
      <w:lvlJc w:val="left"/>
      <w:pPr>
        <w:ind w:left="0" w:firstLine="0"/>
      </w:pPr>
      <w:rPr>
        <w:rFonts w:hint="eastAsia"/>
      </w:rPr>
    </w:lvl>
    <w:lvl w:ilvl="8">
      <w:start w:val="1"/>
      <w:numFmt w:val="none"/>
      <w:pStyle w:val="907"/>
      <w:isLgl w:val="false"/>
      <w:suff w:val="nothing"/>
      <w:lvlText w:val=""/>
      <w:lvlJc w:val="left"/>
      <w:pPr>
        <w:ind w:left="0" w:firstLine="0"/>
      </w:pPr>
      <w:rPr>
        <w:rFonts w:hint="eastAsia"/>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08"/>
    <w:link w:val="899"/>
    <w:uiPriority w:val="9"/>
    <w:rPr>
      <w:rFonts w:ascii="Arial" w:hAnsi="Arial" w:eastAsia="Arial" w:cs="Arial"/>
      <w:sz w:val="40"/>
      <w:szCs w:val="40"/>
    </w:rPr>
  </w:style>
  <w:style w:type="character" w:styleId="746">
    <w:name w:val="Heading 2 Char"/>
    <w:basedOn w:val="908"/>
    <w:link w:val="900"/>
    <w:uiPriority w:val="9"/>
    <w:rPr>
      <w:rFonts w:ascii="Arial" w:hAnsi="Arial" w:eastAsia="Arial" w:cs="Arial"/>
      <w:sz w:val="34"/>
    </w:rPr>
  </w:style>
  <w:style w:type="character" w:styleId="747">
    <w:name w:val="Heading 3 Char"/>
    <w:basedOn w:val="908"/>
    <w:link w:val="901"/>
    <w:uiPriority w:val="9"/>
    <w:rPr>
      <w:rFonts w:ascii="Arial" w:hAnsi="Arial" w:eastAsia="Arial" w:cs="Arial"/>
      <w:sz w:val="30"/>
      <w:szCs w:val="30"/>
    </w:rPr>
  </w:style>
  <w:style w:type="character" w:styleId="748">
    <w:name w:val="Heading 4 Char"/>
    <w:basedOn w:val="908"/>
    <w:link w:val="902"/>
    <w:uiPriority w:val="9"/>
    <w:rPr>
      <w:rFonts w:ascii="Arial" w:hAnsi="Arial" w:eastAsia="Arial" w:cs="Arial"/>
      <w:b/>
      <w:bCs/>
      <w:sz w:val="26"/>
      <w:szCs w:val="26"/>
    </w:rPr>
  </w:style>
  <w:style w:type="character" w:styleId="749">
    <w:name w:val="Heading 5 Char"/>
    <w:basedOn w:val="908"/>
    <w:link w:val="903"/>
    <w:uiPriority w:val="9"/>
    <w:rPr>
      <w:rFonts w:ascii="Arial" w:hAnsi="Arial" w:eastAsia="Arial" w:cs="Arial"/>
      <w:b/>
      <w:bCs/>
      <w:sz w:val="24"/>
      <w:szCs w:val="24"/>
    </w:rPr>
  </w:style>
  <w:style w:type="character" w:styleId="750">
    <w:name w:val="Heading 6 Char"/>
    <w:basedOn w:val="908"/>
    <w:link w:val="904"/>
    <w:uiPriority w:val="9"/>
    <w:rPr>
      <w:rFonts w:ascii="Arial" w:hAnsi="Arial" w:eastAsia="Arial" w:cs="Arial"/>
      <w:b/>
      <w:bCs/>
      <w:sz w:val="22"/>
      <w:szCs w:val="22"/>
    </w:rPr>
  </w:style>
  <w:style w:type="character" w:styleId="751">
    <w:name w:val="Heading 7 Char"/>
    <w:basedOn w:val="908"/>
    <w:link w:val="905"/>
    <w:uiPriority w:val="9"/>
    <w:rPr>
      <w:rFonts w:ascii="Arial" w:hAnsi="Arial" w:eastAsia="Arial" w:cs="Arial"/>
      <w:b/>
      <w:bCs/>
      <w:i/>
      <w:iCs/>
      <w:sz w:val="22"/>
      <w:szCs w:val="22"/>
    </w:rPr>
  </w:style>
  <w:style w:type="character" w:styleId="752">
    <w:name w:val="Heading 8 Char"/>
    <w:basedOn w:val="908"/>
    <w:link w:val="906"/>
    <w:uiPriority w:val="9"/>
    <w:rPr>
      <w:rFonts w:ascii="Arial" w:hAnsi="Arial" w:eastAsia="Arial" w:cs="Arial"/>
      <w:i/>
      <w:iCs/>
      <w:sz w:val="22"/>
      <w:szCs w:val="22"/>
    </w:rPr>
  </w:style>
  <w:style w:type="character" w:styleId="753">
    <w:name w:val="Heading 9 Char"/>
    <w:basedOn w:val="908"/>
    <w:link w:val="907"/>
    <w:uiPriority w:val="9"/>
    <w:rPr>
      <w:rFonts w:ascii="Arial" w:hAnsi="Arial" w:eastAsia="Arial" w:cs="Arial"/>
      <w:i/>
      <w:iCs/>
      <w:sz w:val="21"/>
      <w:szCs w:val="21"/>
    </w:rPr>
  </w:style>
  <w:style w:type="paragraph" w:styleId="754">
    <w:name w:val="Title"/>
    <w:basedOn w:val="898"/>
    <w:next w:val="898"/>
    <w:link w:val="755"/>
    <w:uiPriority w:val="10"/>
    <w:qFormat/>
    <w:pPr>
      <w:contextualSpacing/>
      <w:spacing w:before="300" w:after="200"/>
    </w:pPr>
    <w:rPr>
      <w:sz w:val="48"/>
      <w:szCs w:val="48"/>
    </w:rPr>
  </w:style>
  <w:style w:type="character" w:styleId="755">
    <w:name w:val="Title Char"/>
    <w:basedOn w:val="908"/>
    <w:link w:val="754"/>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8"/>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8"/>
    <w:link w:val="928"/>
    <w:uiPriority w:val="99"/>
  </w:style>
  <w:style w:type="character" w:styleId="763">
    <w:name w:val="Footer Char"/>
    <w:basedOn w:val="908"/>
    <w:link w:val="927"/>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7"/>
    <w:uiPriority w:val="99"/>
  </w:style>
  <w:style w:type="table" w:styleId="766">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8"/>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99">
    <w:name w:val="Heading 1"/>
    <w:basedOn w:val="898"/>
    <w:next w:val="898"/>
    <w:link w:val="950"/>
    <w:uiPriority w:val="0"/>
    <w:qFormat/>
    <w:pPr>
      <w:jc w:val="center"/>
      <w:keepNext/>
      <w:outlineLvl w:val="0"/>
    </w:pPr>
    <w:rPr>
      <w:rFonts w:ascii="楷体_GB2312" w:eastAsia="楷体_GB2312"/>
      <w:sz w:val="28"/>
      <w:szCs w:val="28"/>
    </w:rPr>
  </w:style>
  <w:style w:type="paragraph" w:styleId="900">
    <w:name w:val="Heading 2"/>
    <w:basedOn w:val="898"/>
    <w:next w:val="898"/>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name w:val="Heading 3"/>
    <w:basedOn w:val="898"/>
    <w:next w:val="910"/>
    <w:link w:val="952"/>
    <w:uiPriority w:val="0"/>
    <w:qFormat/>
    <w:pPr>
      <w:keepLines/>
      <w:keepNext/>
      <w:spacing w:before="260" w:after="260" w:line="416" w:lineRule="auto"/>
      <w:outlineLvl w:val="2"/>
    </w:pPr>
    <w:rPr>
      <w:b/>
      <w:bCs/>
      <w:sz w:val="32"/>
      <w:szCs w:val="32"/>
    </w:rPr>
  </w:style>
  <w:style w:type="paragraph" w:styleId="902">
    <w:name w:val="Heading 4"/>
    <w:basedOn w:val="898"/>
    <w:next w:val="910"/>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03">
    <w:name w:val="Heading 5"/>
    <w:basedOn w:val="898"/>
    <w:next w:val="910"/>
    <w:link w:val="955"/>
    <w:uiPriority w:val="0"/>
    <w:qFormat/>
    <w:pPr>
      <w:keepNext/>
      <w:outlineLvl w:val="4"/>
    </w:pPr>
    <w:rPr>
      <w:rFonts w:ascii="宋体"/>
      <w:color w:val="000000"/>
      <w:sz w:val="28"/>
      <w:szCs w:val="28"/>
    </w:rPr>
  </w:style>
  <w:style w:type="paragraph" w:styleId="904">
    <w:name w:val="Heading 6"/>
    <w:basedOn w:val="898"/>
    <w:next w:val="898"/>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name w:val="Heading 7"/>
    <w:basedOn w:val="898"/>
    <w:next w:val="898"/>
    <w:link w:val="957"/>
    <w:uiPriority w:val="0"/>
    <w:qFormat/>
    <w:pPr>
      <w:numPr>
        <w:ilvl w:val="6"/>
        <w:numId w:val="1"/>
      </w:numPr>
      <w:keepLines/>
      <w:keepNext/>
      <w:spacing w:before="240" w:after="64" w:line="320" w:lineRule="auto"/>
      <w:outlineLvl w:val="6"/>
    </w:pPr>
    <w:rPr>
      <w:b/>
      <w:bCs/>
      <w:sz w:val="24"/>
      <w:szCs w:val="24"/>
    </w:rPr>
  </w:style>
  <w:style w:type="paragraph" w:styleId="906">
    <w:name w:val="Heading 8"/>
    <w:basedOn w:val="898"/>
    <w:next w:val="898"/>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7">
    <w:name w:val="Heading 9"/>
    <w:basedOn w:val="898"/>
    <w:next w:val="898"/>
    <w:link w:val="959"/>
    <w:uiPriority w:val="0"/>
    <w:qFormat/>
    <w:pPr>
      <w:numPr>
        <w:ilvl w:val="8"/>
        <w:numId w:val="1"/>
      </w:numPr>
      <w:keepLines/>
      <w:keepNext/>
      <w:spacing w:before="240" w:after="64" w:line="320" w:lineRule="auto"/>
      <w:outlineLvl w:val="8"/>
    </w:pPr>
    <w:rPr>
      <w:rFonts w:ascii="Arial" w:hAnsi="Arial" w:eastAsia="黑体"/>
      <w:szCs w:val="21"/>
    </w:rPr>
  </w:style>
  <w:style w:type="character" w:styleId="908" w:default="1">
    <w:name w:val="Default Paragraph Font"/>
    <w:uiPriority w:val="1"/>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Normal Indent"/>
    <w:basedOn w:val="898"/>
    <w:link w:val="953"/>
    <w:uiPriority w:val="0"/>
    <w:qFormat/>
    <w:pPr>
      <w:ind w:firstLine="420"/>
    </w:pPr>
    <w:rPr>
      <w:szCs w:val="21"/>
    </w:rPr>
  </w:style>
  <w:style w:type="paragraph" w:styleId="911">
    <w:name w:val="List 3"/>
    <w:basedOn w:val="898"/>
    <w:uiPriority w:val="0"/>
    <w:qFormat/>
    <w:pPr>
      <w:ind w:left="100" w:hanging="200"/>
    </w:pPr>
    <w:rPr>
      <w:szCs w:val="21"/>
    </w:rPr>
  </w:style>
  <w:style w:type="paragraph" w:styleId="912">
    <w:name w:val="toc 7"/>
    <w:basedOn w:val="898"/>
    <w:next w:val="898"/>
    <w:uiPriority w:val="0"/>
    <w:semiHidden/>
    <w:qFormat/>
    <w:pPr>
      <w:ind w:left="1260"/>
      <w:jc w:val="left"/>
    </w:pPr>
    <w:rPr>
      <w:szCs w:val="21"/>
    </w:rPr>
  </w:style>
  <w:style w:type="paragraph" w:styleId="913">
    <w:name w:val="Document Map"/>
    <w:basedOn w:val="898"/>
    <w:link w:val="960"/>
    <w:uiPriority w:val="0"/>
    <w:semiHidden/>
    <w:qFormat/>
    <w:pPr>
      <w:shd w:val="clear" w:color="auto" w:fill="000080"/>
    </w:pPr>
    <w:rPr>
      <w:szCs w:val="21"/>
    </w:rPr>
  </w:style>
  <w:style w:type="paragraph" w:styleId="914">
    <w:name w:val="annotation text"/>
    <w:basedOn w:val="898"/>
    <w:link w:val="976"/>
    <w:uiPriority w:val="0"/>
    <w:unhideWhenUsed/>
    <w:qFormat/>
    <w:pPr>
      <w:jc w:val="left"/>
    </w:pPr>
    <w:rPr>
      <w:rFonts w:ascii="Calibri" w:hAnsi="Calibri"/>
      <w:szCs w:val="24"/>
    </w:rPr>
  </w:style>
  <w:style w:type="paragraph" w:styleId="915">
    <w:name w:val="Body Text 3"/>
    <w:basedOn w:val="898"/>
    <w:link w:val="962"/>
    <w:uiPriority w:val="0"/>
    <w:qFormat/>
    <w:rPr>
      <w:rFonts w:ascii="仿宋_GB2312" w:hAnsi="Arial" w:eastAsia="仿宋_GB2312"/>
      <w:sz w:val="32"/>
      <w:szCs w:val="32"/>
    </w:rPr>
  </w:style>
  <w:style w:type="paragraph" w:styleId="916">
    <w:name w:val="Body Text"/>
    <w:basedOn w:val="898"/>
    <w:link w:val="963"/>
    <w:uiPriority w:val="0"/>
    <w:qFormat/>
    <w:rPr>
      <w:rFonts w:ascii="楷体_GB2312" w:hAnsi="Arial" w:eastAsia="楷体_GB2312"/>
      <w:sz w:val="28"/>
      <w:szCs w:val="28"/>
    </w:rPr>
  </w:style>
  <w:style w:type="paragraph" w:styleId="917">
    <w:name w:val="Body Text Indent"/>
    <w:basedOn w:val="898"/>
    <w:next w:val="918"/>
    <w:link w:val="964"/>
    <w:uiPriority w:val="0"/>
    <w:unhideWhenUsed/>
    <w:qFormat/>
    <w:pPr>
      <w:ind w:left="420"/>
      <w:spacing w:after="120"/>
    </w:pPr>
  </w:style>
  <w:style w:type="paragraph" w:styleId="918">
    <w:name w:val="envelope return"/>
    <w:basedOn w:val="898"/>
    <w:uiPriority w:val="0"/>
    <w:qFormat/>
    <w:rPr>
      <w:rFonts w:ascii="Arial" w:hAnsi="Arial" w:cs="宋体"/>
    </w:rPr>
  </w:style>
  <w:style w:type="paragraph" w:styleId="919">
    <w:name w:val="List 2"/>
    <w:basedOn w:val="898"/>
    <w:uiPriority w:val="0"/>
    <w:qFormat/>
    <w:pPr>
      <w:ind w:left="100" w:hanging="200"/>
    </w:pPr>
    <w:rPr>
      <w:szCs w:val="21"/>
    </w:rPr>
  </w:style>
  <w:style w:type="paragraph" w:styleId="920">
    <w:name w:val="toc 5"/>
    <w:basedOn w:val="898"/>
    <w:next w:val="898"/>
    <w:uiPriority w:val="0"/>
    <w:semiHidden/>
    <w:qFormat/>
    <w:pPr>
      <w:ind w:left="840"/>
      <w:jc w:val="left"/>
    </w:pPr>
    <w:rPr>
      <w:szCs w:val="21"/>
    </w:rPr>
  </w:style>
  <w:style w:type="paragraph" w:styleId="921">
    <w:name w:val="toc 3"/>
    <w:basedOn w:val="898"/>
    <w:next w:val="898"/>
    <w:uiPriority w:val="0"/>
    <w:semiHidden/>
    <w:qFormat/>
    <w:pPr>
      <w:ind w:left="420"/>
      <w:jc w:val="left"/>
    </w:pPr>
    <w:rPr>
      <w:i/>
      <w:iCs/>
      <w:szCs w:val="24"/>
    </w:rPr>
  </w:style>
  <w:style w:type="paragraph" w:styleId="922">
    <w:name w:val="Plain Text"/>
    <w:basedOn w:val="898"/>
    <w:link w:val="965"/>
    <w:uiPriority w:val="0"/>
    <w:qFormat/>
    <w:rPr>
      <w:rFonts w:ascii="宋体" w:hAnsi="Courier New" w:cs="Courier New"/>
      <w:szCs w:val="21"/>
    </w:rPr>
  </w:style>
  <w:style w:type="paragraph" w:styleId="923">
    <w:name w:val="toc 8"/>
    <w:basedOn w:val="898"/>
    <w:next w:val="898"/>
    <w:uiPriority w:val="0"/>
    <w:semiHidden/>
    <w:qFormat/>
    <w:pPr>
      <w:ind w:left="1470"/>
      <w:jc w:val="left"/>
    </w:pPr>
    <w:rPr>
      <w:szCs w:val="21"/>
    </w:rPr>
  </w:style>
  <w:style w:type="paragraph" w:styleId="924">
    <w:name w:val="Date"/>
    <w:basedOn w:val="898"/>
    <w:next w:val="898"/>
    <w:link w:val="966"/>
    <w:uiPriority w:val="0"/>
    <w:qFormat/>
    <w:rPr>
      <w:sz w:val="24"/>
      <w:szCs w:val="24"/>
    </w:rPr>
  </w:style>
  <w:style w:type="paragraph" w:styleId="925">
    <w:name w:val="Body Text Indent 2"/>
    <w:basedOn w:val="898"/>
    <w:link w:val="967"/>
    <w:uiPriority w:val="0"/>
    <w:qFormat/>
    <w:pPr>
      <w:ind w:left="630" w:firstLine="645"/>
    </w:pPr>
    <w:rPr>
      <w:rFonts w:ascii="Arial" w:hAnsi="Arial" w:eastAsia="仿宋_GB2312" w:cs="Arial"/>
      <w:sz w:val="32"/>
      <w:szCs w:val="32"/>
    </w:rPr>
  </w:style>
  <w:style w:type="paragraph" w:styleId="926">
    <w:name w:val="Balloon Text"/>
    <w:basedOn w:val="898"/>
    <w:link w:val="968"/>
    <w:uiPriority w:val="0"/>
    <w:semiHidden/>
    <w:qFormat/>
    <w:rPr>
      <w:sz w:val="18"/>
      <w:szCs w:val="18"/>
    </w:rPr>
  </w:style>
  <w:style w:type="paragraph" w:styleId="927">
    <w:name w:val="Footer"/>
    <w:basedOn w:val="898"/>
    <w:link w:val="969"/>
    <w:uiPriority w:val="0"/>
    <w:qFormat/>
    <w:pPr>
      <w:jc w:val="left"/>
      <w:tabs>
        <w:tab w:val="center" w:pos="4153" w:leader="none"/>
        <w:tab w:val="right" w:pos="8306" w:leader="none"/>
      </w:tabs>
    </w:pPr>
    <w:rPr>
      <w:sz w:val="18"/>
      <w:szCs w:val="18"/>
    </w:rPr>
  </w:style>
  <w:style w:type="paragraph" w:styleId="928">
    <w:name w:val="Header"/>
    <w:basedOn w:val="898"/>
    <w:link w:val="970"/>
    <w:uiPriority w:val="0"/>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8"/>
    <w:next w:val="898"/>
    <w:uiPriority w:val="0"/>
    <w:semiHidden/>
    <w:qFormat/>
    <w:pPr>
      <w:jc w:val="left"/>
      <w:spacing w:before="120" w:after="120" w:line="400" w:lineRule="exact"/>
      <w:tabs>
        <w:tab w:val="right" w:pos="8720" w:leader="dot"/>
      </w:tabs>
    </w:pPr>
    <w:rPr>
      <w:rFonts w:ascii="宋体" w:hAnsi="宋体"/>
      <w:caps/>
      <w:sz w:val="24"/>
      <w:szCs w:val="24"/>
    </w:rPr>
  </w:style>
  <w:style w:type="paragraph" w:styleId="930">
    <w:name w:val="toc 4"/>
    <w:basedOn w:val="898"/>
    <w:next w:val="898"/>
    <w:uiPriority w:val="0"/>
    <w:semiHidden/>
    <w:qFormat/>
    <w:pPr>
      <w:ind w:left="630"/>
      <w:jc w:val="left"/>
    </w:pPr>
    <w:rPr>
      <w:szCs w:val="21"/>
    </w:rPr>
  </w:style>
  <w:style w:type="paragraph" w:styleId="931">
    <w:name w:val="List"/>
    <w:basedOn w:val="898"/>
    <w:uiPriority w:val="0"/>
    <w:qFormat/>
    <w:pPr>
      <w:ind w:left="200" w:hanging="200"/>
    </w:pPr>
    <w:rPr>
      <w:szCs w:val="21"/>
    </w:rPr>
  </w:style>
  <w:style w:type="paragraph" w:styleId="932">
    <w:name w:val="toc 6"/>
    <w:basedOn w:val="898"/>
    <w:next w:val="898"/>
    <w:uiPriority w:val="0"/>
    <w:semiHidden/>
    <w:qFormat/>
    <w:pPr>
      <w:ind w:left="1050"/>
      <w:jc w:val="left"/>
    </w:pPr>
    <w:rPr>
      <w:szCs w:val="21"/>
    </w:rPr>
  </w:style>
  <w:style w:type="paragraph" w:styleId="933">
    <w:name w:val="Body Text Indent 3"/>
    <w:basedOn w:val="898"/>
    <w:link w:val="971"/>
    <w:uiPriority w:val="0"/>
    <w:qFormat/>
    <w:pPr>
      <w:ind w:left="645" w:firstLine="645"/>
    </w:pPr>
    <w:rPr>
      <w:rFonts w:ascii="Arial" w:hAnsi="Arial" w:eastAsia="仿宋_GB2312" w:cs="Arial"/>
      <w:color w:val="ffff00"/>
      <w:sz w:val="32"/>
      <w:szCs w:val="32"/>
    </w:rPr>
  </w:style>
  <w:style w:type="paragraph" w:styleId="934">
    <w:name w:val="table of figures"/>
    <w:basedOn w:val="898"/>
    <w:next w:val="898"/>
    <w:uiPriority w:val="0"/>
    <w:semiHidden/>
    <w:qFormat/>
    <w:pPr>
      <w:ind w:left="840" w:hanging="420"/>
    </w:pPr>
    <w:rPr>
      <w:szCs w:val="21"/>
    </w:rPr>
  </w:style>
  <w:style w:type="paragraph" w:styleId="935">
    <w:name w:val="toc 2"/>
    <w:basedOn w:val="898"/>
    <w:next w:val="898"/>
    <w:uiPriority w:val="0"/>
    <w:semiHidden/>
    <w:qFormat/>
    <w:pPr>
      <w:ind w:left="210"/>
      <w:jc w:val="left"/>
    </w:pPr>
    <w:rPr>
      <w:smallCaps/>
      <w:szCs w:val="24"/>
    </w:rPr>
  </w:style>
  <w:style w:type="paragraph" w:styleId="936">
    <w:name w:val="toc 9"/>
    <w:basedOn w:val="898"/>
    <w:next w:val="898"/>
    <w:uiPriority w:val="0"/>
    <w:semiHidden/>
    <w:qFormat/>
    <w:pPr>
      <w:ind w:left="1680"/>
      <w:jc w:val="left"/>
    </w:pPr>
    <w:rPr>
      <w:szCs w:val="21"/>
    </w:rPr>
  </w:style>
  <w:style w:type="paragraph" w:styleId="937">
    <w:name w:val="Body Text 2"/>
    <w:basedOn w:val="898"/>
    <w:link w:val="972"/>
    <w:uiPriority w:val="0"/>
    <w:qFormat/>
    <w:pPr>
      <w:jc w:val="center"/>
      <w:widowControl/>
    </w:pPr>
    <w:rPr>
      <w:rFonts w:ascii="楷体_GB2312" w:eastAsia="楷体_GB2312"/>
      <w:sz w:val="28"/>
      <w:szCs w:val="28"/>
    </w:rPr>
  </w:style>
  <w:style w:type="paragraph" w:styleId="938">
    <w:name w:val="Normal (Web)"/>
    <w:basedOn w:val="898"/>
    <w:uiPriority w:val="99"/>
    <w:qFormat/>
    <w:pPr>
      <w:jc w:val="left"/>
      <w:spacing w:before="100" w:beforeAutospacing="1" w:after="100" w:afterAutospacing="1"/>
      <w:widowControl/>
    </w:pPr>
    <w:rPr>
      <w:rFonts w:ascii="宋体" w:hAnsi="宋体" w:cs="宋体"/>
      <w:sz w:val="24"/>
      <w:szCs w:val="24"/>
    </w:rPr>
  </w:style>
  <w:style w:type="paragraph" w:styleId="939">
    <w:name w:val="index 1"/>
    <w:basedOn w:val="898"/>
    <w:next w:val="898"/>
    <w:uiPriority w:val="0"/>
    <w:semiHidden/>
    <w:qFormat/>
    <w:pPr>
      <w:spacing w:line="240" w:lineRule="atLeast"/>
    </w:pPr>
    <w:rPr>
      <w:b/>
      <w:bCs/>
      <w:szCs w:val="21"/>
    </w:rPr>
  </w:style>
  <w:style w:type="paragraph" w:styleId="940">
    <w:name w:val="annotation subject"/>
    <w:basedOn w:val="914"/>
    <w:next w:val="914"/>
    <w:link w:val="973"/>
    <w:uiPriority w:val="0"/>
    <w:semiHidden/>
    <w:qFormat/>
    <w:rPr>
      <w:rFonts w:ascii="Times New Roman" w:hAnsi="Times New Roman"/>
      <w:b/>
      <w:bCs/>
      <w:szCs w:val="21"/>
    </w:rPr>
  </w:style>
  <w:style w:type="paragraph" w:styleId="941">
    <w:name w:val="Body Text First Indent"/>
    <w:basedOn w:val="898"/>
    <w:link w:val="974"/>
    <w:uiPriority w:val="0"/>
    <w:qFormat/>
    <w:pPr>
      <w:ind w:firstLine="200"/>
      <w:spacing w:line="360" w:lineRule="auto"/>
    </w:pPr>
    <w:rPr>
      <w:rFonts w:ascii="仿宋_GB2312" w:eastAsia="仿宋_GB2312"/>
      <w:sz w:val="30"/>
      <w:szCs w:val="30"/>
    </w:rPr>
  </w:style>
  <w:style w:type="paragraph" w:styleId="942">
    <w:name w:val="Body Text First Indent 2"/>
    <w:basedOn w:val="917"/>
    <w:next w:val="898"/>
    <w:link w:val="975"/>
    <w:uiPriority w:val="0"/>
    <w:qFormat/>
    <w:pPr>
      <w:ind w:left="0" w:firstLine="420"/>
      <w:spacing w:after="0" w:line="360" w:lineRule="auto"/>
    </w:pPr>
    <w:rPr>
      <w:rFonts w:ascii="宋体" w:hAnsi="宋体"/>
      <w:szCs w:val="20"/>
    </w:rPr>
  </w:style>
  <w:style w:type="table" w:styleId="943">
    <w:name w:val="Table Grid"/>
    <w:basedOn w:val="9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uiPriority w:val="0"/>
    <w:qFormat/>
    <w:rPr>
      <w:b/>
      <w:bCs/>
    </w:rPr>
  </w:style>
  <w:style w:type="character" w:styleId="945">
    <w:name w:val="page number"/>
    <w:uiPriority w:val="0"/>
    <w:qFormat/>
  </w:style>
  <w:style w:type="character" w:styleId="946">
    <w:name w:val="FollowedHyperlink"/>
    <w:uiPriority w:val="0"/>
    <w:qFormat/>
    <w:rPr>
      <w:color w:val="800080"/>
      <w:u w:val="single"/>
    </w:rPr>
  </w:style>
  <w:style w:type="character" w:styleId="947">
    <w:name w:val="Emphasis"/>
    <w:uiPriority w:val="0"/>
    <w:qFormat/>
    <w:rPr>
      <w:i/>
    </w:rPr>
  </w:style>
  <w:style w:type="character" w:styleId="948">
    <w:name w:val="Hyperlink"/>
    <w:uiPriority w:val="0"/>
    <w:qFormat/>
    <w:rPr>
      <w:color w:val="0000ff"/>
      <w:u w:val="single"/>
    </w:rPr>
  </w:style>
  <w:style w:type="character" w:styleId="949">
    <w:name w:val="annotation reference"/>
    <w:uiPriority w:val="0"/>
    <w:semiHidden/>
    <w:qFormat/>
    <w:rPr>
      <w:sz w:val="21"/>
      <w:szCs w:val="21"/>
    </w:rPr>
  </w:style>
  <w:style w:type="character" w:styleId="950" w:customStyle="1">
    <w:name w:val="标题 1 字符"/>
    <w:link w:val="899"/>
    <w:uiPriority w:val="0"/>
    <w:qFormat/>
    <w:rPr>
      <w:rFonts w:ascii="楷体_GB2312" w:hAnsi="Times New Roman" w:eastAsia="楷体_GB2312" w:cs="Times New Roman"/>
      <w:sz w:val="28"/>
      <w:szCs w:val="28"/>
    </w:rPr>
  </w:style>
  <w:style w:type="character" w:styleId="951" w:customStyle="1">
    <w:name w:val="标题 2 字符"/>
    <w:link w:val="900"/>
    <w:uiPriority w:val="0"/>
    <w:qFormat/>
    <w:rPr>
      <w:rFonts w:ascii="Arial" w:hAnsi="Arial" w:eastAsia="幼圆" w:cs="Arial"/>
      <w:b/>
      <w:bCs/>
      <w:sz w:val="44"/>
      <w:szCs w:val="44"/>
    </w:rPr>
  </w:style>
  <w:style w:type="character" w:styleId="952" w:customStyle="1">
    <w:name w:val="标题 3 字符"/>
    <w:link w:val="901"/>
    <w:uiPriority w:val="0"/>
    <w:qFormat/>
    <w:rPr>
      <w:rFonts w:ascii="Times New Roman" w:hAnsi="Times New Roman" w:eastAsia="宋体" w:cs="Times New Roman"/>
      <w:b/>
      <w:bCs/>
      <w:sz w:val="32"/>
      <w:szCs w:val="32"/>
    </w:rPr>
  </w:style>
  <w:style w:type="character" w:styleId="953" w:customStyle="1">
    <w:name w:val="正文缩进 字符"/>
    <w:link w:val="910"/>
    <w:uiPriority w:val="0"/>
    <w:qFormat/>
    <w:rPr>
      <w:szCs w:val="21"/>
    </w:rPr>
  </w:style>
  <w:style w:type="character" w:styleId="954" w:customStyle="1">
    <w:name w:val="标题 4 字符"/>
    <w:link w:val="902"/>
    <w:uiPriority w:val="0"/>
    <w:qFormat/>
    <w:rPr>
      <w:rFonts w:ascii="Arial" w:hAnsi="Arial" w:eastAsia="黑体" w:cs="Arial"/>
      <w:b/>
      <w:bCs/>
      <w:sz w:val="28"/>
      <w:szCs w:val="28"/>
    </w:rPr>
  </w:style>
  <w:style w:type="character" w:styleId="955" w:customStyle="1">
    <w:name w:val="标题 5 字符"/>
    <w:link w:val="903"/>
    <w:uiPriority w:val="0"/>
    <w:qFormat/>
    <w:rPr>
      <w:rFonts w:ascii="宋体" w:hAnsi="Times New Roman" w:eastAsia="宋体" w:cs="Times New Roman"/>
      <w:color w:val="000000"/>
      <w:sz w:val="28"/>
      <w:szCs w:val="28"/>
    </w:rPr>
  </w:style>
  <w:style w:type="character" w:styleId="956" w:customStyle="1">
    <w:name w:val="标题 6 字符"/>
    <w:link w:val="904"/>
    <w:uiPriority w:val="0"/>
    <w:qFormat/>
    <w:rPr>
      <w:rFonts w:ascii="Arial" w:hAnsi="Arial" w:eastAsia="黑体" w:cs="Times New Roman"/>
      <w:b/>
      <w:bCs/>
      <w:sz w:val="24"/>
      <w:szCs w:val="24"/>
    </w:rPr>
  </w:style>
  <w:style w:type="character" w:styleId="957" w:customStyle="1">
    <w:name w:val="标题 7 字符"/>
    <w:link w:val="905"/>
    <w:uiPriority w:val="0"/>
    <w:qFormat/>
    <w:rPr>
      <w:rFonts w:ascii="Times New Roman" w:hAnsi="Times New Roman" w:eastAsia="宋体" w:cs="Times New Roman"/>
      <w:b/>
      <w:bCs/>
      <w:sz w:val="24"/>
      <w:szCs w:val="24"/>
    </w:rPr>
  </w:style>
  <w:style w:type="character" w:styleId="958" w:customStyle="1">
    <w:name w:val="标题 8 字符"/>
    <w:link w:val="906"/>
    <w:uiPriority w:val="0"/>
    <w:qFormat/>
    <w:rPr>
      <w:rFonts w:ascii="Arial" w:hAnsi="Arial" w:eastAsia="黑体" w:cs="Times New Roman"/>
      <w:sz w:val="24"/>
      <w:szCs w:val="24"/>
    </w:rPr>
  </w:style>
  <w:style w:type="character" w:styleId="959" w:customStyle="1">
    <w:name w:val="标题 9 字符"/>
    <w:link w:val="907"/>
    <w:uiPriority w:val="0"/>
    <w:qFormat/>
    <w:rPr>
      <w:rFonts w:ascii="Arial" w:hAnsi="Arial" w:eastAsia="黑体" w:cs="Times New Roman"/>
      <w:szCs w:val="21"/>
    </w:rPr>
  </w:style>
  <w:style w:type="character" w:styleId="960" w:customStyle="1">
    <w:name w:val="文档结构图 字符"/>
    <w:link w:val="913"/>
    <w:uiPriority w:val="0"/>
    <w:semiHidden/>
    <w:qFormat/>
    <w:rPr>
      <w:rFonts w:ascii="Times New Roman" w:hAnsi="Times New Roman" w:eastAsia="宋体" w:cs="Times New Roman"/>
      <w:szCs w:val="21"/>
      <w:shd w:val="clear" w:color="auto" w:fill="000080"/>
    </w:rPr>
  </w:style>
  <w:style w:type="character" w:styleId="961" w:customStyle="1">
    <w:name w:val="批注文字 Char"/>
    <w:basedOn w:val="908"/>
    <w:uiPriority w:val="99"/>
    <w:semiHidden/>
    <w:qFormat/>
  </w:style>
  <w:style w:type="character" w:styleId="962" w:customStyle="1">
    <w:name w:val="正文文本 3 字符"/>
    <w:link w:val="915"/>
    <w:uiPriority w:val="0"/>
    <w:qFormat/>
    <w:rPr>
      <w:rFonts w:ascii="仿宋_GB2312" w:hAnsi="Arial" w:eastAsia="仿宋_GB2312" w:cs="Times New Roman"/>
      <w:sz w:val="32"/>
      <w:szCs w:val="32"/>
    </w:rPr>
  </w:style>
  <w:style w:type="character" w:styleId="963" w:customStyle="1">
    <w:name w:val="正文文本 字符"/>
    <w:link w:val="916"/>
    <w:uiPriority w:val="0"/>
    <w:qFormat/>
    <w:rPr>
      <w:rFonts w:ascii="楷体_GB2312" w:hAnsi="Arial" w:eastAsia="楷体_GB2312" w:cs="Times New Roman"/>
      <w:sz w:val="28"/>
      <w:szCs w:val="28"/>
    </w:rPr>
  </w:style>
  <w:style w:type="character" w:styleId="964" w:customStyle="1">
    <w:name w:val="正文文本缩进 字符"/>
    <w:basedOn w:val="908"/>
    <w:link w:val="917"/>
    <w:uiPriority w:val="99"/>
    <w:semiHidden/>
    <w:qFormat/>
  </w:style>
  <w:style w:type="character" w:styleId="965" w:customStyle="1">
    <w:name w:val="纯文本 字符"/>
    <w:link w:val="922"/>
    <w:uiPriority w:val="0"/>
    <w:qFormat/>
    <w:rPr>
      <w:rFonts w:ascii="宋体" w:hAnsi="Courier New" w:eastAsia="宋体" w:cs="Courier New"/>
      <w:szCs w:val="21"/>
    </w:rPr>
  </w:style>
  <w:style w:type="character" w:styleId="966" w:customStyle="1">
    <w:name w:val="日期 字符"/>
    <w:link w:val="924"/>
    <w:uiPriority w:val="0"/>
    <w:qFormat/>
    <w:rPr>
      <w:rFonts w:ascii="Times New Roman" w:hAnsi="Times New Roman" w:eastAsia="宋体" w:cs="Times New Roman"/>
      <w:sz w:val="24"/>
      <w:szCs w:val="24"/>
    </w:rPr>
  </w:style>
  <w:style w:type="character" w:styleId="967" w:customStyle="1">
    <w:name w:val="正文文本缩进 2 字符"/>
    <w:link w:val="925"/>
    <w:uiPriority w:val="0"/>
    <w:qFormat/>
    <w:rPr>
      <w:rFonts w:ascii="Arial" w:hAnsi="Arial" w:eastAsia="仿宋_GB2312" w:cs="Arial"/>
      <w:sz w:val="32"/>
      <w:szCs w:val="32"/>
    </w:rPr>
  </w:style>
  <w:style w:type="character" w:styleId="968" w:customStyle="1">
    <w:name w:val="批注框文本 字符"/>
    <w:link w:val="926"/>
    <w:uiPriority w:val="0"/>
    <w:semiHidden/>
    <w:qFormat/>
    <w:rPr>
      <w:rFonts w:ascii="Times New Roman" w:hAnsi="Times New Roman" w:eastAsia="宋体" w:cs="Times New Roman"/>
      <w:sz w:val="18"/>
      <w:szCs w:val="18"/>
    </w:rPr>
  </w:style>
  <w:style w:type="character" w:styleId="969" w:customStyle="1">
    <w:name w:val="页脚 字符"/>
    <w:link w:val="927"/>
    <w:uiPriority w:val="0"/>
    <w:qFormat/>
    <w:rPr>
      <w:rFonts w:ascii="Times New Roman" w:hAnsi="Times New Roman" w:eastAsia="宋体" w:cs="Times New Roman"/>
      <w:sz w:val="18"/>
      <w:szCs w:val="18"/>
    </w:rPr>
  </w:style>
  <w:style w:type="character" w:styleId="970" w:customStyle="1">
    <w:name w:val="页眉 字符"/>
    <w:link w:val="928"/>
    <w:uiPriority w:val="0"/>
    <w:qFormat/>
    <w:rPr>
      <w:rFonts w:ascii="Times New Roman" w:hAnsi="Times New Roman" w:eastAsia="宋体" w:cs="Times New Roman"/>
      <w:sz w:val="18"/>
      <w:szCs w:val="18"/>
    </w:rPr>
  </w:style>
  <w:style w:type="character" w:styleId="971" w:customStyle="1">
    <w:name w:val="正文文本缩进 3 字符"/>
    <w:link w:val="933"/>
    <w:uiPriority w:val="0"/>
    <w:qFormat/>
    <w:rPr>
      <w:rFonts w:ascii="Arial" w:hAnsi="Arial" w:eastAsia="仿宋_GB2312" w:cs="Arial"/>
      <w:color w:val="ffff00"/>
      <w:sz w:val="32"/>
      <w:szCs w:val="32"/>
    </w:rPr>
  </w:style>
  <w:style w:type="character" w:styleId="972" w:customStyle="1">
    <w:name w:val="正文文本 2 字符"/>
    <w:link w:val="937"/>
    <w:uiPriority w:val="0"/>
    <w:qFormat/>
    <w:rPr>
      <w:rFonts w:ascii="楷体_GB2312" w:hAnsi="Times New Roman" w:eastAsia="楷体_GB2312" w:cs="Times New Roman"/>
      <w:sz w:val="28"/>
      <w:szCs w:val="28"/>
    </w:rPr>
  </w:style>
  <w:style w:type="character" w:styleId="973" w:customStyle="1">
    <w:name w:val="批注主题 字符"/>
    <w:link w:val="940"/>
    <w:uiPriority w:val="0"/>
    <w:semiHidden/>
    <w:qFormat/>
    <w:rPr>
      <w:rFonts w:ascii="Times New Roman" w:hAnsi="Times New Roman" w:eastAsia="宋体" w:cs="Times New Roman"/>
      <w:b/>
      <w:bCs/>
      <w:szCs w:val="21"/>
    </w:rPr>
  </w:style>
  <w:style w:type="character" w:styleId="974" w:customStyle="1">
    <w:name w:val="正文文本首行缩进 字符"/>
    <w:link w:val="941"/>
    <w:uiPriority w:val="0"/>
    <w:qFormat/>
    <w:rPr>
      <w:rFonts w:ascii="仿宋_GB2312" w:hAnsi="Times New Roman" w:eastAsia="仿宋_GB2312" w:cs="Times New Roman"/>
      <w:sz w:val="30"/>
      <w:szCs w:val="30"/>
    </w:rPr>
  </w:style>
  <w:style w:type="character" w:styleId="975" w:customStyle="1">
    <w:name w:val="正文文本首行缩进 2 字符"/>
    <w:link w:val="942"/>
    <w:uiPriority w:val="0"/>
    <w:qFormat/>
    <w:rPr>
      <w:rFonts w:ascii="宋体" w:hAnsi="宋体" w:eastAsia="宋体" w:cs="Times New Roman"/>
      <w:szCs w:val="20"/>
    </w:rPr>
  </w:style>
  <w:style w:type="character" w:styleId="976" w:customStyle="1">
    <w:name w:val="批注文字 字符"/>
    <w:basedOn w:val="908"/>
    <w:link w:val="914"/>
    <w:uiPriority w:val="0"/>
    <w:qFormat/>
    <w:rPr>
      <w:rFonts w:hint="default" w:ascii="Calibri" w:hAnsi="Calibri" w:eastAsia="宋体" w:cs="Times New Roman"/>
      <w:sz w:val="21"/>
      <w:szCs w:val="24"/>
    </w:rPr>
  </w:style>
  <w:style w:type="paragraph" w:styleId="977" w:customStyle="1">
    <w:name w:val="无间隔1"/>
    <w:basedOn w:val="898"/>
    <w:uiPriority w:val="0"/>
    <w:qFormat/>
    <w:pPr>
      <w:spacing w:line="400" w:lineRule="exact"/>
    </w:pPr>
    <w:rPr>
      <w:sz w:val="24"/>
    </w:rPr>
  </w:style>
  <w:style w:type="paragraph" w:styleId="978" w:customStyle="1">
    <w:name w:val="索引 41"/>
    <w:basedOn w:val="898"/>
    <w:next w:val="898"/>
    <w:uiPriority w:val="0"/>
    <w:semiHidden/>
    <w:qFormat/>
    <w:pPr>
      <w:ind w:left="1260"/>
    </w:pPr>
    <w:rPr>
      <w:rFonts w:ascii="Calibri" w:hAnsi="Calibri" w:eastAsia="Calibri" w:cs="宋体"/>
      <w:sz w:val="20"/>
      <w:lang w:val="zh-CN"/>
    </w:rPr>
  </w:style>
  <w:style w:type="character" w:styleId="979" w:customStyle="1">
    <w:name w:val="font5 Char"/>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898"/>
    <w:link w:val="98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898"/>
    <w:link w:val="982"/>
    <w:uiPriority w:val="0"/>
    <w:qFormat/>
    <w:pPr>
      <w:contextualSpacing/>
      <w:ind w:left="720"/>
      <w:jc w:val="left"/>
      <w:widowControl/>
    </w:pPr>
    <w:rPr>
      <w:rFonts w:ascii="Calibri" w:hAnsi="Calibri"/>
      <w:sz w:val="24"/>
      <w:szCs w:val="24"/>
      <w:lang w:eastAsia="en-US" w:bidi="en-US"/>
    </w:rPr>
  </w:style>
  <w:style w:type="paragraph" w:styleId="984" w:customStyle="1">
    <w:name w:val="Body Text(ch)"/>
    <w:basedOn w:val="898"/>
    <w:next w:val="916"/>
    <w:uiPriority w:val="0"/>
    <w:qFormat/>
    <w:pPr>
      <w:spacing w:after="120"/>
    </w:pPr>
    <w:rPr>
      <w:rFonts w:ascii="宋体" w:hAnsi="Arial"/>
      <w:bCs/>
      <w:iCs/>
      <w:szCs w:val="24"/>
    </w:rPr>
  </w:style>
  <w:style w:type="paragraph" w:styleId="985" w:customStyle="1">
    <w:name w:val="xl27"/>
    <w:basedOn w:val="8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6" w:customStyle="1">
    <w:name w:val="xl26"/>
    <w:basedOn w:val="8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7" w:customStyle="1">
    <w:name w:val="Char"/>
    <w:basedOn w:val="898"/>
    <w:uiPriority w:val="0"/>
    <w:qFormat/>
    <w:pPr>
      <w:ind w:firstLine="200"/>
      <w:tabs>
        <w:tab w:val="left" w:pos="360" w:leader="none"/>
      </w:tabs>
    </w:pPr>
    <w:rPr>
      <w:sz w:val="28"/>
      <w:szCs w:val="30"/>
    </w:rPr>
  </w:style>
  <w:style w:type="paragraph" w:styleId="988" w:customStyle="1">
    <w:name w:val="Char1"/>
    <w:basedOn w:val="913"/>
    <w:uiPriority w:val="0"/>
    <w:qFormat/>
    <w:rPr>
      <w:rFonts w:ascii="Tahoma" w:hAnsi="Tahoma"/>
      <w:sz w:val="24"/>
      <w:szCs w:val="24"/>
    </w:rPr>
  </w:style>
  <w:style w:type="paragraph" w:styleId="989" w:customStyle="1">
    <w:name w:val="普通正文"/>
    <w:basedOn w:val="898"/>
    <w:uiPriority w:val="0"/>
    <w:qFormat/>
    <w:pPr>
      <w:ind w:firstLine="480"/>
      <w:jc w:val="left"/>
      <w:spacing w:before="120" w:after="120" w:line="360" w:lineRule="auto"/>
    </w:pPr>
    <w:rPr>
      <w:rFonts w:ascii="Arial" w:hAnsi="Arial"/>
      <w:sz w:val="24"/>
      <w:szCs w:val="24"/>
    </w:rPr>
  </w:style>
  <w:style w:type="paragraph" w:styleId="990" w:customStyle="1">
    <w:name w:val="table_lines"/>
    <w:basedOn w:val="898"/>
    <w:uiPriority w:val="0"/>
    <w:qFormat/>
    <w:pPr>
      <w:jc w:val="left"/>
      <w:widowControl/>
    </w:pPr>
    <w:rPr>
      <w:sz w:val="20"/>
      <w:szCs w:val="20"/>
      <w:lang w:val="de-DE" w:eastAsia="de-DE"/>
    </w:rPr>
  </w:style>
  <w:style w:type="paragraph" w:styleId="99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2" w:customStyle="1">
    <w:name w:val="font7"/>
    <w:basedOn w:val="898"/>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Char Char Char Char"/>
    <w:basedOn w:val="913"/>
    <w:uiPriority w:val="0"/>
    <w:qFormat/>
    <w:pPr>
      <w:spacing w:line="360" w:lineRule="auto"/>
    </w:pPr>
    <w:rPr>
      <w:rFonts w:ascii="Tahoma" w:hAnsi="Tahoma"/>
      <w:sz w:val="24"/>
      <w:szCs w:val="24"/>
    </w:rPr>
  </w:style>
  <w:style w:type="paragraph" w:styleId="994">
    <w:name w:val="List Paragraph"/>
    <w:basedOn w:val="898"/>
    <w:uiPriority w:val="0"/>
    <w:qFormat/>
    <w:pPr>
      <w:contextualSpacing/>
      <w:ind w:left="720"/>
      <w:jc w:val="left"/>
      <w:widowControl/>
    </w:pPr>
    <w:rPr>
      <w:rFonts w:ascii="Calibri" w:hAnsi="Calibri"/>
      <w:sz w:val="24"/>
      <w:szCs w:val="24"/>
      <w:lang w:eastAsia="en-US" w:bidi="en-US"/>
    </w:rPr>
  </w:style>
  <w:style w:type="paragraph" w:styleId="995" w:customStyle="1">
    <w:name w:val="4"/>
    <w:basedOn w:val="898"/>
    <w:next w:val="933"/>
    <w:uiPriority w:val="0"/>
    <w:qFormat/>
    <w:pPr>
      <w:ind w:firstLine="420"/>
      <w:spacing w:line="360" w:lineRule="auto"/>
    </w:pPr>
    <w:rPr>
      <w:color w:val="ff0000"/>
      <w:sz w:val="24"/>
      <w:szCs w:val="24"/>
    </w:rPr>
  </w:style>
  <w:style w:type="paragraph" w:styleId="996" w:customStyle="1">
    <w:name w:val="普通 (Web)"/>
    <w:basedOn w:val="898"/>
    <w:uiPriority w:val="0"/>
    <w:qFormat/>
    <w:pPr>
      <w:jc w:val="left"/>
      <w:spacing w:before="100" w:beforeAutospacing="1" w:after="100" w:afterAutospacing="1"/>
      <w:widowControl/>
    </w:pPr>
    <w:rPr>
      <w:rFonts w:ascii="宋体" w:hAnsi="宋体"/>
      <w:sz w:val="24"/>
      <w:szCs w:val="24"/>
    </w:rPr>
  </w:style>
  <w:style w:type="paragraph" w:styleId="997" w:customStyle="1">
    <w:name w:val="Char Char Char Char Char Char Char Char Char Char"/>
    <w:basedOn w:val="898"/>
    <w:uiPriority w:val="0"/>
    <w:qFormat/>
    <w:pPr>
      <w:spacing w:line="360" w:lineRule="auto"/>
    </w:pPr>
    <w:rPr>
      <w:sz w:val="24"/>
      <w:szCs w:val="20"/>
    </w:rPr>
  </w:style>
  <w:style w:type="paragraph" w:styleId="998" w:customStyle="1">
    <w:name w:val="样式1"/>
    <w:basedOn w:val="898"/>
    <w:uiPriority w:val="0"/>
    <w:qFormat/>
    <w:pPr>
      <w:numPr>
        <w:ilvl w:val="0"/>
        <w:numId w:val="3"/>
      </w:numPr>
    </w:pPr>
    <w:rPr>
      <w:rFonts w:ascii="宋体" w:hAnsi="宋体"/>
      <w:szCs w:val="21"/>
    </w:rPr>
  </w:style>
  <w:style w:type="paragraph" w:styleId="999" w:customStyle="1">
    <w:name w:val="font6"/>
    <w:basedOn w:val="898"/>
    <w:uiPriority w:val="0"/>
    <w:qFormat/>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8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898"/>
    <w:next w:val="8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898"/>
    <w:next w:val="898"/>
    <w:uiPriority w:val="0"/>
    <w:qFormat/>
    <w:pPr>
      <w:ind w:firstLine="624"/>
      <w:spacing w:line="590" w:lineRule="atLeast"/>
    </w:pPr>
    <w:rPr>
      <w:rFonts w:ascii="方正黑体_GBK" w:eastAsia="方正黑体_GBK"/>
      <w:sz w:val="32"/>
      <w:szCs w:val="32"/>
    </w:rPr>
  </w:style>
  <w:style w:type="paragraph" w:styleId="1003" w:customStyle="1">
    <w:name w:val="xl24"/>
    <w:basedOn w:val="8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4" w:customStyle="1">
    <w:name w:val="xl29"/>
    <w:basedOn w:val="89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5" w:customStyle="1">
    <w:name w:val="Char Char Char Char Char Char Char Char"/>
    <w:basedOn w:val="898"/>
    <w:uiPriority w:val="0"/>
    <w:qFormat/>
    <w:pPr>
      <w:jc w:val="left"/>
      <w:spacing w:after="160" w:line="240" w:lineRule="exact"/>
      <w:widowControl/>
    </w:pPr>
    <w:rPr>
      <w:rFonts w:ascii="Verdana" w:hAnsi="Verdana"/>
      <w:sz w:val="20"/>
      <w:szCs w:val="20"/>
      <w:lang w:eastAsia="en-US"/>
    </w:rPr>
  </w:style>
  <w:style w:type="paragraph" w:styleId="1006" w:customStyle="1">
    <w:name w:val="xl28"/>
    <w:basedOn w:val="8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7" w:customStyle="1">
    <w:name w:val="Char Char Char Char Char Char Char Char1"/>
    <w:basedOn w:val="898"/>
    <w:uiPriority w:val="0"/>
    <w:qFormat/>
    <w:pPr>
      <w:jc w:val="left"/>
      <w:spacing w:after="160" w:line="240" w:lineRule="exact"/>
      <w:widowControl/>
    </w:pPr>
    <w:rPr>
      <w:rFonts w:ascii="Verdana" w:hAnsi="Verdana"/>
      <w:sz w:val="20"/>
      <w:szCs w:val="20"/>
      <w:lang w:eastAsia="en-US"/>
    </w:rPr>
  </w:style>
  <w:style w:type="paragraph" w:styleId="1008" w:customStyle="1">
    <w:name w:val="xl30"/>
    <w:basedOn w:val="898"/>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1"/>
    <w:basedOn w:val="913"/>
    <w:uiPriority w:val="0"/>
    <w:qFormat/>
    <w:pPr>
      <w:spacing w:line="360" w:lineRule="auto"/>
    </w:pPr>
    <w:rPr>
      <w:rFonts w:ascii="Tahoma" w:hAnsi="Tahoma"/>
      <w:sz w:val="24"/>
      <w:szCs w:val="24"/>
    </w:rPr>
  </w:style>
  <w:style w:type="paragraph" w:styleId="1010" w:customStyle="1">
    <w:name w:val="table_1stline"/>
    <w:basedOn w:val="898"/>
    <w:uiPriority w:val="0"/>
    <w:qFormat/>
    <w:pPr>
      <w:jc w:val="left"/>
      <w:spacing w:before="120"/>
      <w:widowControl/>
    </w:pPr>
    <w:rPr>
      <w:bCs/>
      <w:sz w:val="20"/>
      <w:szCs w:val="20"/>
      <w:lang w:val="de-DE" w:eastAsia="de-DE"/>
    </w:rPr>
  </w:style>
  <w:style w:type="paragraph" w:styleId="1011" w:customStyle="1">
    <w:name w:val="font5"/>
    <w:basedOn w:val="898"/>
    <w:uiPriority w:val="0"/>
    <w:qFormat/>
    <w:pPr>
      <w:jc w:val="left"/>
      <w:spacing w:before="100" w:beforeAutospacing="1" w:after="100" w:afterAutospacing="1"/>
      <w:widowControl/>
    </w:pPr>
    <w:rPr>
      <w:rFonts w:hint="eastAsia" w:ascii="宋体" w:hAnsi="宋体"/>
      <w:sz w:val="28"/>
      <w:szCs w:val="28"/>
    </w:rPr>
  </w:style>
  <w:style w:type="paragraph" w:styleId="1012" w:customStyle="1">
    <w:name w:val="标题1"/>
    <w:basedOn w:val="898"/>
    <w:next w:val="8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_Style 115"/>
    <w:uiPriority w:val="99"/>
    <w:semiHidden/>
    <w:qFormat/>
    <w:rPr>
      <w:rFonts w:ascii="Times New Roman" w:hAnsi="Times New Roman" w:eastAsia="宋体" w:cs="Times New Roman"/>
      <w:sz w:val="21"/>
      <w:szCs w:val="21"/>
      <w:lang w:val="en-US" w:eastAsia="zh-CN" w:bidi="ar-SA"/>
    </w:rPr>
  </w:style>
  <w:style w:type="paragraph" w:styleId="1014">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15" w:customStyle="1">
    <w:name w:val="Table Normal"/>
    <w:uiPriority w:val="0"/>
    <w:qFormat/>
    <w:tblPr>
      <w:tblCellMar>
        <w:left w:w="0" w:type="dxa"/>
        <w:top w:w="0" w:type="dxa"/>
        <w:right w:w="0" w:type="dxa"/>
        <w:bottom w:w="0" w:type="dxa"/>
      </w:tblCellMar>
    </w:tblPr>
  </w:style>
  <w:style w:type="paragraph" w:styleId="1016" w:customStyle="1">
    <w:name w:val="正文文本12"/>
    <w:basedOn w:val="898"/>
    <w:uiPriority w:val="1"/>
    <w:qFormat/>
    <w:pPr>
      <w:ind w:left="120"/>
    </w:pPr>
    <w:rPr>
      <w:rFonts w:ascii="宋体" w:hAnsi="宋体" w:cs="宋体"/>
      <w:szCs w:val="21"/>
      <w:lang w:val="zh-CN" w:bidi="zh-CN"/>
    </w:rPr>
  </w:style>
  <w:style w:type="paragraph" w:styleId="1017" w:customStyle="1">
    <w:name w:val="正文文本 211"/>
    <w:basedOn w:val="898"/>
    <w:uiPriority w:val="99"/>
    <w:qFormat/>
    <w:pPr>
      <w:jc w:val="center"/>
    </w:pPr>
    <w:rPr>
      <w:b/>
      <w:bCs/>
      <w:sz w:val="20"/>
      <w:szCs w:val="20"/>
    </w:rPr>
  </w:style>
  <w:style w:type="paragraph" w:styleId="1018" w:customStyle="1">
    <w:name w:val="正文文本1"/>
    <w:basedOn w:val="898"/>
    <w:next w:val="898"/>
    <w:uiPriority w:val="0"/>
    <w:semiHidden/>
    <w:qFormat/>
    <w:rPr>
      <w:rFonts w:ascii="Arial" w:hAnsi="Arial" w:eastAsia="Arial" w:cs="Arial"/>
      <w:szCs w:val="21"/>
      <w:lang w:eastAsia="en-US"/>
    </w:rPr>
  </w:style>
  <w:style w:type="paragraph" w:styleId="1019" w:customStyle="1">
    <w:name w:val="Table Paragraph"/>
    <w:basedOn w:val="898"/>
    <w:uiPriority w:val="1"/>
    <w:qFormat/>
    <w:pPr>
      <w:jc w:val="left"/>
    </w:pPr>
    <w:rPr>
      <w:rFonts w:ascii="宋体" w:hAnsi="宋体" w:cs="宋体"/>
      <w:sz w:val="22"/>
      <w:lang w:val="zh-CN" w:bidi="zh-CN"/>
    </w:rPr>
  </w:style>
  <w:style w:type="table" w:styleId="1020" w:customStyle="1">
    <w:name w:val="网格型1"/>
    <w:basedOn w:val="1021"/>
    <w:uiPriority w:val="0"/>
    <w:qFormat/>
    <w:pPr>
      <w:jc w:val="both"/>
      <w:widowControl w:val="off"/>
    </w:pPr>
    <w:tblPr>
      <w:tblCellMar>
        <w:left w:w="0" w:type="dxa"/>
        <w:top w:w="0" w:type="dxa"/>
        <w:right w:w="0" w:type="dxa"/>
        <w:bottom w:w="0" w:type="dxa"/>
      </w:tblCellMar>
    </w:tblPr>
  </w:style>
  <w:style w:type="table" w:styleId="1021" w:customStyle="1">
    <w:name w:val="普通表格1"/>
    <w:uiPriority w:val="99"/>
    <w:unhideWhenUsed/>
    <w:qFormat/>
    <w:tblPr>
      <w:tblCellMar>
        <w:left w:w="0" w:type="dxa"/>
        <w:top w:w="0" w:type="dxa"/>
        <w:right w:w="0" w:type="dxa"/>
        <w:bottom w:w="0" w:type="dxa"/>
      </w:tblCellMar>
    </w:tblPr>
  </w:style>
  <w:style w:type="paragraph" w:styleId="1022" w:customStyle="1">
    <w:name w:val="正文文本缩进1"/>
    <w:basedOn w:val="898"/>
    <w:next w:val="1023"/>
    <w:uiPriority w:val="0"/>
    <w:unhideWhenUsed/>
    <w:qFormat/>
    <w:pPr>
      <w:ind w:left="420"/>
      <w:spacing w:after="120"/>
    </w:pPr>
  </w:style>
  <w:style w:type="paragraph" w:styleId="1023" w:customStyle="1">
    <w:name w:val="寄信人地址1"/>
    <w:basedOn w:val="898"/>
    <w:uiPriority w:val="0"/>
    <w:qFormat/>
    <w:rPr>
      <w:rFonts w:ascii="Arial" w:hAnsi="Arial" w:cs="宋体"/>
    </w:rPr>
  </w:style>
  <w:style w:type="paragraph" w:styleId="1024" w:customStyle="1">
    <w:name w:val="正文文本首行缩进 21"/>
    <w:basedOn w:val="1022"/>
    <w:uiPriority w:val="0"/>
    <w:qFormat/>
    <w:pPr>
      <w:ind w:left="0" w:firstLine="420"/>
      <w:spacing w:after="0" w:line="360" w:lineRule="auto"/>
    </w:pPr>
    <w:rPr>
      <w:rFonts w:ascii="宋体" w:hAnsi="宋体"/>
      <w:sz w:val="20"/>
      <w:szCs w:val="20"/>
      <w:lang w:eastAsia="en-US"/>
    </w:rPr>
  </w:style>
  <w:style w:type="table" w:styleId="1025" w:customStyle="1">
    <w:name w:val="Table Normal_0"/>
    <w:uiPriority w:val="0"/>
    <w:qFormat/>
    <w:tblPr>
      <w:tblCellMar>
        <w:left w:w="0" w:type="dxa"/>
        <w:top w:w="0" w:type="dxa"/>
        <w:right w:w="0" w:type="dxa"/>
        <w:bottom w:w="0" w:type="dxa"/>
      </w:tblCellMar>
    </w:tblPr>
  </w:style>
  <w:style w:type="paragraph" w:styleId="1026" w:customStyle="1">
    <w:name w:val="正文首行缩进 211"/>
    <w:basedOn w:val="1027"/>
    <w:next w:val="898"/>
    <w:uiPriority w:val="0"/>
    <w:qFormat/>
    <w:pPr>
      <w:ind w:left="0" w:firstLine="420"/>
      <w:spacing w:after="0" w:line="360" w:lineRule="auto"/>
    </w:pPr>
    <w:rPr>
      <w:rFonts w:ascii="宋体" w:hAnsi="宋体"/>
      <w:szCs w:val="20"/>
    </w:rPr>
  </w:style>
  <w:style w:type="paragraph" w:styleId="1027" w:customStyle="1">
    <w:name w:val="正文文本缩进11"/>
    <w:basedOn w:val="898"/>
    <w:next w:val="1023"/>
    <w:uiPriority w:val="0"/>
    <w:unhideWhenUsed/>
    <w:qFormat/>
    <w:pPr>
      <w:ind w:left="420"/>
      <w:spacing w:after="120"/>
    </w:pPr>
  </w:style>
  <w:style w:type="paragraph" w:styleId="1028" w:customStyle="1">
    <w:name w:val="正文1"/>
    <w:basedOn w:val="898"/>
    <w:uiPriority w:val="0"/>
    <w:qFormat/>
    <w:pPr>
      <w:ind w:left="350"/>
    </w:pPr>
    <w:rPr>
      <w:sz w:val="20"/>
      <w:szCs w:val="24"/>
    </w:rPr>
  </w:style>
  <w:style w:type="paragraph" w:styleId="1029" w:customStyle="1">
    <w:name w:val="Table Text"/>
    <w:basedOn w:val="898"/>
    <w:uiPriority w:val="0"/>
    <w:semiHidden/>
    <w:qFormat/>
    <w:rPr>
      <w:rFonts w:ascii="Arial" w:hAnsi="Arial" w:eastAsia="Arial" w:cs="Arial"/>
      <w:szCs w:val="21"/>
      <w:lang w:eastAsia="en-US"/>
    </w:rPr>
  </w:style>
  <w:style w:type="paragraph" w:styleId="1030" w:customStyle="1">
    <w:name w:val="正文首行缩进 21"/>
    <w:basedOn w:val="1022"/>
    <w:uiPriority w:val="0"/>
    <w:qFormat/>
    <w:pPr>
      <w:ind w:firstLine="420"/>
    </w:pPr>
    <w:rPr>
      <w:rFonts w:ascii="楷体_GB2312" w:hAnsi="等线" w:eastAsia="楷体_GB2312"/>
      <w:sz w:val="32"/>
      <w:szCs w:val="24"/>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张群姗</cp:lastModifiedBy>
  <cp:revision>14</cp:revision>
  <dcterms:created xsi:type="dcterms:W3CDTF">2023-03-18T10:13:00Z</dcterms:created>
  <dcterms:modified xsi:type="dcterms:W3CDTF">2026-08-28T06:32:04Z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C0FE8D065B574BD0829D19C5466370E9_13</vt:lpwstr>
  </property>
  <property fmtid="{D5CDD505-2E9C-101B-9397-08002B2CF9AE}" pid="4" name="KSOTemplateDocerSaveRecord">
    <vt:lpwstr>eyJoZGlkIjoiYzRlMGZlODZlMjY5OTIzMGQ0ZTRiYWFhMWZkODM0ZWEiLCJ1c2VySWQiOiIyMTU1NzE3MjcifQ==</vt:lpwstr>
  </property>
</Properties>
</file>