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6554"/>
      <w:r/>
      <w:bookmarkStart w:id="1" w:name="_Toc6715"/>
      <w:r/>
      <w:bookmarkStart w:id="2" w:name="_Toc2539"/>
      <w:r/>
      <w:bookmarkStart w:id="3" w:name="_Toc3793"/>
      <w:r/>
      <w:bookmarkStart w:id="4" w:name="_Toc10769"/>
      <w:r/>
      <w:bookmarkStart w:id="5" w:name="_Toc5544"/>
      <w:r/>
      <w:r/>
    </w:p>
    <w:p>
      <w:pPr>
        <w:pStyle w:val="107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19011"/>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107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6"/>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6"/>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7" w:name="_Toc17697"/>
      <w:r/>
      <w:bookmarkStart w:id="8" w:name="_Toc2262"/>
      <w:r/>
      <w:bookmarkStart w:id="9" w:name="_Toc14121"/>
      <w:r>
        <w:rPr>
          <w:rFonts w:hint="eastAsia" w:ascii="宋体" w:hAnsi="宋体" w:eastAsia="宋体" w:cs="宋体"/>
          <w:b/>
          <w:bCs/>
          <w:sz w:val="32"/>
          <w:szCs w:val="32"/>
          <w:highlight w:val="none"/>
        </w:rPr>
        <w:t xml:space="preserve">项目名称：</w:t>
      </w:r>
      <w:bookmarkEnd w:id="7"/>
      <w:r/>
      <w:bookmarkEnd w:id="8"/>
      <w:r/>
      <w:bookmarkEnd w:id="9"/>
      <w:r>
        <w:rPr>
          <w:rFonts w:hint="eastAsia" w:ascii="宋体" w:hAnsi="宋体" w:eastAsia="宋体" w:cs="宋体"/>
          <w:b/>
          <w:bCs/>
          <w:sz w:val="32"/>
          <w:szCs w:val="32"/>
          <w:highlight w:val="none"/>
        </w:rPr>
        <w:t xml:space="preserve">2026年国产检验检测设备</w:t>
      </w:r>
      <w:r/>
    </w:p>
    <w:p>
      <w:pPr>
        <w:pStyle w:val="1076"/>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编号：JSZC-320582-BSHC-G2026-0008</w:t>
      </w:r>
      <w:r/>
    </w:p>
    <w:p>
      <w:pPr>
        <w:pStyle w:val="1076"/>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lang w:val="en-US" w:eastAsia="zh-CN"/>
        </w:rPr>
        <w:t xml:space="preserve">货物</w:t>
      </w:r>
      <w:r>
        <w:rPr>
          <w:rFonts w:hint="eastAsia" w:ascii="宋体" w:hAnsi="宋体"/>
          <w:b/>
          <w:bCs/>
          <w:sz w:val="32"/>
          <w:szCs w:val="32"/>
          <w:highlight w:val="none"/>
        </w:rPr>
        <w:t xml:space="preserve">类</w:t>
      </w:r>
      <w:r/>
    </w:p>
    <w:p>
      <w:pPr>
        <w:pStyle w:val="1076"/>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52"/>
        <w:rPr>
          <w:b/>
          <w:bCs/>
          <w:sz w:val="32"/>
          <w:szCs w:val="32"/>
          <w:highlight w:val="none"/>
        </w:rPr>
      </w:pPr>
      <w:r>
        <w:rPr>
          <w:b/>
          <w:bCs/>
          <w:sz w:val="32"/>
          <w:szCs w:val="32"/>
          <w:highlight w:val="none"/>
        </w:rPr>
      </w:r>
      <w:r/>
    </w:p>
    <w:p>
      <w:pPr>
        <w:pStyle w:val="1052"/>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9"/>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10" w:name="_Toc16938516"/>
      <w:r/>
      <w:bookmarkStart w:id="11" w:name="_Toc20823272"/>
      <w:r/>
      <w:bookmarkStart w:id="12" w:name="_Toc523127445"/>
      <w:r/>
      <w:bookmarkStart w:id="13" w:name="_Toc479757206"/>
      <w:r/>
      <w:bookmarkStart w:id="14" w:name="_Toc120614211"/>
      <w:r/>
      <w:bookmarkStart w:id="15" w:name="_Toc513029200"/>
      <w:r>
        <w:rPr>
          <w:rFonts w:hint="eastAsia"/>
          <w:b/>
          <w:bCs/>
          <w:sz w:val="32"/>
          <w:szCs w:val="32"/>
          <w:highlight w:val="none"/>
          <w:lang w:eastAsia="zh-CN"/>
        </w:rPr>
        <w:t xml:space="preserve">张家港保税区汇采招投标代理有限公司</w:t>
      </w:r>
      <w:r/>
    </w:p>
    <w:p>
      <w:pPr>
        <w:pStyle w:val="1076"/>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5"/>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8</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6"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883"/>
        <w:spacing w:line="360" w:lineRule="auto"/>
        <w:tabs>
          <w:tab w:val="right" w:pos="9746" w:leader="dot"/>
        </w:tabs>
        <w:rPr>
          <w:sz w:val="28"/>
          <w:szCs w:val="36"/>
        </w:rPr>
      </w:pPr>
      <w:r>
        <w:rPr>
          <w:rFonts w:hint="eastAsia" w:ascii="宋体" w:hAnsi="宋体" w:eastAsia="宋体" w:cs="宋体"/>
          <w:sz w:val="40"/>
          <w:szCs w:val="48"/>
        </w:rPr>
        <w:fldChar w:fldCharType="begin"/>
      </w:r>
      <w:r>
        <w:rPr>
          <w:rFonts w:hint="eastAsia" w:ascii="宋体" w:hAnsi="宋体" w:eastAsia="宋体" w:cs="宋体"/>
          <w:sz w:val="40"/>
          <w:szCs w:val="48"/>
        </w:rPr>
        <w:instrText xml:space="preserve">TOC \o "1-1" \h \u </w:instrText>
      </w:r>
      <w:r>
        <w:rPr>
          <w:rFonts w:hint="eastAsia" w:ascii="宋体" w:hAnsi="宋体" w:eastAsia="宋体" w:cs="宋体"/>
          <w:sz w:val="40"/>
          <w:szCs w:val="48"/>
        </w:rPr>
        <w:fldChar w:fldCharType="separate"/>
      </w: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_Toc233 </w:instrText>
      </w:r>
      <w:r>
        <w:rPr>
          <w:rFonts w:hint="eastAsia" w:ascii="宋体" w:hAnsi="宋体" w:eastAsia="宋体" w:cs="宋体"/>
          <w:sz w:val="28"/>
          <w:szCs w:val="48"/>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sz w:val="28"/>
          <w:szCs w:val="36"/>
        </w:rPr>
        <w:tab/>
      </w:r>
      <w:r>
        <w:rPr>
          <w:sz w:val="28"/>
          <w:szCs w:val="36"/>
        </w:rPr>
        <w:fldChar w:fldCharType="begin"/>
      </w:r>
      <w:r>
        <w:rPr>
          <w:sz w:val="28"/>
          <w:szCs w:val="36"/>
        </w:rPr>
        <w:instrText xml:space="preserve"> PAGEREF _Toc233 \h </w:instrText>
      </w:r>
      <w:r>
        <w:rPr>
          <w:sz w:val="28"/>
          <w:szCs w:val="36"/>
        </w:rPr>
        <w:fldChar w:fldCharType="separate"/>
      </w:r>
      <w:r>
        <w:rPr>
          <w:sz w:val="28"/>
          <w:szCs w:val="36"/>
        </w:rPr>
        <w:t xml:space="preserve">1</w:t>
      </w:r>
      <w:r>
        <w:rPr>
          <w:sz w:val="28"/>
          <w:szCs w:val="36"/>
        </w:rPr>
        <w:fldChar w:fldCharType="end"/>
      </w:r>
      <w:r>
        <w:rPr>
          <w:rFonts w:hint="eastAsia" w:ascii="宋体" w:hAnsi="宋体" w:eastAsia="宋体" w:cs="宋体"/>
          <w:sz w:val="28"/>
          <w:szCs w:val="48"/>
        </w:rPr>
        <w:fldChar w:fldCharType="end"/>
      </w:r>
      <w:r/>
    </w:p>
    <w:p>
      <w:pPr>
        <w:pStyle w:val="883"/>
        <w:spacing w:line="360" w:lineRule="auto"/>
        <w:tabs>
          <w:tab w:val="right" w:pos="9746" w:leader="dot"/>
        </w:tabs>
        <w:rPr>
          <w:sz w:val="28"/>
          <w:szCs w:val="36"/>
        </w:rPr>
      </w:pP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_Toc11592 </w:instrText>
      </w:r>
      <w:r>
        <w:rPr>
          <w:rFonts w:hint="eastAsia" w:ascii="宋体" w:hAnsi="宋体" w:eastAsia="宋体" w:cs="宋体"/>
          <w:sz w:val="28"/>
          <w:szCs w:val="48"/>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sz w:val="28"/>
          <w:szCs w:val="36"/>
        </w:rPr>
        <w:tab/>
      </w:r>
      <w:r>
        <w:rPr>
          <w:sz w:val="28"/>
          <w:szCs w:val="36"/>
        </w:rPr>
        <w:fldChar w:fldCharType="begin"/>
      </w:r>
      <w:r>
        <w:rPr>
          <w:sz w:val="28"/>
          <w:szCs w:val="36"/>
        </w:rPr>
        <w:instrText xml:space="preserve"> PAGEREF _Toc11592 \h </w:instrText>
      </w:r>
      <w:r>
        <w:rPr>
          <w:sz w:val="28"/>
          <w:szCs w:val="36"/>
        </w:rPr>
        <w:fldChar w:fldCharType="separate"/>
      </w:r>
      <w:r>
        <w:rPr>
          <w:sz w:val="28"/>
          <w:szCs w:val="36"/>
        </w:rPr>
        <w:t xml:space="preserve">5</w:t>
      </w:r>
      <w:r>
        <w:rPr>
          <w:sz w:val="28"/>
          <w:szCs w:val="36"/>
        </w:rPr>
        <w:fldChar w:fldCharType="end"/>
      </w:r>
      <w:r>
        <w:rPr>
          <w:rFonts w:hint="eastAsia" w:ascii="宋体" w:hAnsi="宋体" w:eastAsia="宋体" w:cs="宋体"/>
          <w:sz w:val="28"/>
          <w:szCs w:val="48"/>
        </w:rPr>
        <w:fldChar w:fldCharType="end"/>
      </w:r>
      <w:r/>
    </w:p>
    <w:p>
      <w:pPr>
        <w:pStyle w:val="883"/>
        <w:spacing w:line="360" w:lineRule="auto"/>
        <w:tabs>
          <w:tab w:val="right" w:pos="9746" w:leader="dot"/>
        </w:tabs>
        <w:rPr>
          <w:sz w:val="28"/>
          <w:szCs w:val="36"/>
        </w:rPr>
      </w:pP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_Toc8485 </w:instrText>
      </w:r>
      <w:r>
        <w:rPr>
          <w:rFonts w:hint="eastAsia" w:ascii="宋体" w:hAnsi="宋体" w:eastAsia="宋体" w:cs="宋体"/>
          <w:sz w:val="28"/>
          <w:szCs w:val="48"/>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sz w:val="28"/>
          <w:szCs w:val="36"/>
        </w:rPr>
        <w:tab/>
      </w:r>
      <w:r>
        <w:rPr>
          <w:sz w:val="28"/>
          <w:szCs w:val="36"/>
        </w:rPr>
        <w:fldChar w:fldCharType="begin"/>
      </w:r>
      <w:r>
        <w:rPr>
          <w:sz w:val="28"/>
          <w:szCs w:val="36"/>
        </w:rPr>
        <w:instrText xml:space="preserve"> PAGEREF _Toc8485 \h </w:instrText>
      </w:r>
      <w:r>
        <w:rPr>
          <w:sz w:val="28"/>
          <w:szCs w:val="36"/>
        </w:rPr>
        <w:fldChar w:fldCharType="separate"/>
      </w:r>
      <w:r>
        <w:rPr>
          <w:sz w:val="28"/>
          <w:szCs w:val="36"/>
        </w:rPr>
        <w:t xml:space="preserve">15</w:t>
      </w:r>
      <w:r>
        <w:rPr>
          <w:sz w:val="28"/>
          <w:szCs w:val="36"/>
        </w:rPr>
        <w:fldChar w:fldCharType="end"/>
      </w:r>
      <w:r>
        <w:rPr>
          <w:rFonts w:hint="eastAsia" w:ascii="宋体" w:hAnsi="宋体" w:eastAsia="宋体" w:cs="宋体"/>
          <w:sz w:val="28"/>
          <w:szCs w:val="48"/>
        </w:rPr>
        <w:fldChar w:fldCharType="end"/>
      </w:r>
      <w:r/>
    </w:p>
    <w:p>
      <w:pPr>
        <w:pStyle w:val="883"/>
        <w:spacing w:line="360" w:lineRule="auto"/>
        <w:tabs>
          <w:tab w:val="right" w:pos="9746" w:leader="dot"/>
        </w:tabs>
        <w:rPr>
          <w:sz w:val="28"/>
          <w:szCs w:val="36"/>
        </w:rPr>
      </w:pP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_Toc23760 </w:instrText>
      </w:r>
      <w:r>
        <w:rPr>
          <w:rFonts w:hint="eastAsia" w:ascii="宋体" w:hAnsi="宋体" w:eastAsia="宋体" w:cs="宋体"/>
          <w:sz w:val="28"/>
          <w:szCs w:val="48"/>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sz w:val="28"/>
          <w:szCs w:val="36"/>
        </w:rPr>
        <w:tab/>
      </w:r>
      <w:r>
        <w:rPr>
          <w:sz w:val="28"/>
          <w:szCs w:val="36"/>
        </w:rPr>
        <w:fldChar w:fldCharType="begin"/>
      </w:r>
      <w:r>
        <w:rPr>
          <w:sz w:val="28"/>
          <w:szCs w:val="36"/>
        </w:rPr>
        <w:instrText xml:space="preserve"> PAGEREF _Toc23760 \h </w:instrText>
      </w:r>
      <w:r>
        <w:rPr>
          <w:sz w:val="28"/>
          <w:szCs w:val="36"/>
        </w:rPr>
        <w:fldChar w:fldCharType="separate"/>
      </w:r>
      <w:r>
        <w:rPr>
          <w:sz w:val="28"/>
          <w:szCs w:val="36"/>
        </w:rPr>
        <w:t xml:space="preserve">19</w:t>
      </w:r>
      <w:r>
        <w:rPr>
          <w:sz w:val="28"/>
          <w:szCs w:val="36"/>
        </w:rPr>
        <w:fldChar w:fldCharType="end"/>
      </w:r>
      <w:r>
        <w:rPr>
          <w:rFonts w:hint="eastAsia" w:ascii="宋体" w:hAnsi="宋体" w:eastAsia="宋体" w:cs="宋体"/>
          <w:sz w:val="28"/>
          <w:szCs w:val="48"/>
        </w:rPr>
        <w:fldChar w:fldCharType="end"/>
      </w:r>
      <w:r/>
    </w:p>
    <w:p>
      <w:pPr>
        <w:pStyle w:val="883"/>
        <w:spacing w:line="360" w:lineRule="auto"/>
        <w:tabs>
          <w:tab w:val="right" w:pos="9746" w:leader="dot"/>
        </w:tabs>
        <w:rPr>
          <w:sz w:val="28"/>
          <w:szCs w:val="36"/>
        </w:rPr>
      </w:pP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_Toc7552 </w:instrText>
      </w:r>
      <w:r>
        <w:rPr>
          <w:rFonts w:hint="eastAsia" w:ascii="宋体" w:hAnsi="宋体" w:eastAsia="宋体" w:cs="宋体"/>
          <w:sz w:val="28"/>
          <w:szCs w:val="48"/>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sz w:val="28"/>
          <w:szCs w:val="36"/>
        </w:rPr>
        <w:tab/>
      </w:r>
      <w:r>
        <w:rPr>
          <w:sz w:val="28"/>
          <w:szCs w:val="36"/>
        </w:rPr>
        <w:fldChar w:fldCharType="begin"/>
      </w:r>
      <w:r>
        <w:rPr>
          <w:sz w:val="28"/>
          <w:szCs w:val="36"/>
        </w:rPr>
        <w:instrText xml:space="preserve"> PAGEREF _Toc7552 \h </w:instrText>
      </w:r>
      <w:r>
        <w:rPr>
          <w:sz w:val="28"/>
          <w:szCs w:val="36"/>
        </w:rPr>
        <w:fldChar w:fldCharType="separate"/>
      </w:r>
      <w:r>
        <w:rPr>
          <w:sz w:val="28"/>
          <w:szCs w:val="36"/>
        </w:rPr>
        <w:t xml:space="preserve">28</w:t>
      </w:r>
      <w:r>
        <w:rPr>
          <w:sz w:val="28"/>
          <w:szCs w:val="36"/>
        </w:rPr>
        <w:fldChar w:fldCharType="end"/>
      </w:r>
      <w:r>
        <w:rPr>
          <w:rFonts w:hint="eastAsia" w:ascii="宋体" w:hAnsi="宋体" w:eastAsia="宋体" w:cs="宋体"/>
          <w:sz w:val="28"/>
          <w:szCs w:val="48"/>
        </w:rPr>
        <w:fldChar w:fldCharType="end"/>
      </w:r>
      <w:r/>
    </w:p>
    <w:p>
      <w:pPr>
        <w:pStyle w:val="883"/>
        <w:spacing w:line="360" w:lineRule="auto"/>
        <w:tabs>
          <w:tab w:val="right" w:pos="9746" w:leader="dot"/>
        </w:tabs>
        <w:rPr>
          <w:sz w:val="28"/>
          <w:szCs w:val="36"/>
        </w:rPr>
      </w:pPr>
      <w:r>
        <w:rPr>
          <w:rFonts w:hint="eastAsia" w:ascii="宋体" w:hAnsi="宋体" w:eastAsia="宋体" w:cs="宋体"/>
          <w:sz w:val="28"/>
          <w:szCs w:val="48"/>
        </w:rPr>
        <w:fldChar w:fldCharType="begin"/>
      </w:r>
      <w:r>
        <w:rPr>
          <w:rFonts w:hint="eastAsia" w:ascii="宋体" w:hAnsi="宋体" w:eastAsia="宋体" w:cs="宋体"/>
          <w:sz w:val="28"/>
          <w:szCs w:val="48"/>
        </w:rPr>
        <w:instrText xml:space="preserve"> HYPERLINK \l _Toc5132 </w:instrText>
      </w:r>
      <w:r>
        <w:rPr>
          <w:rFonts w:hint="eastAsia" w:ascii="宋体" w:hAnsi="宋体" w:eastAsia="宋体" w:cs="宋体"/>
          <w:sz w:val="28"/>
          <w:szCs w:val="48"/>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sz w:val="28"/>
          <w:szCs w:val="36"/>
        </w:rPr>
        <w:tab/>
      </w:r>
      <w:r>
        <w:rPr>
          <w:sz w:val="28"/>
          <w:szCs w:val="36"/>
        </w:rPr>
        <w:fldChar w:fldCharType="begin"/>
      </w:r>
      <w:r>
        <w:rPr>
          <w:sz w:val="28"/>
          <w:szCs w:val="36"/>
        </w:rPr>
        <w:instrText xml:space="preserve"> PAGEREF _Toc5132 \h </w:instrText>
      </w:r>
      <w:r>
        <w:rPr>
          <w:sz w:val="28"/>
          <w:szCs w:val="36"/>
        </w:rPr>
        <w:fldChar w:fldCharType="separate"/>
      </w:r>
      <w:r>
        <w:rPr>
          <w:sz w:val="28"/>
          <w:szCs w:val="36"/>
        </w:rPr>
        <w:t xml:space="preserve">31</w:t>
      </w:r>
      <w:r>
        <w:rPr>
          <w:sz w:val="28"/>
          <w:szCs w:val="36"/>
        </w:rPr>
        <w:fldChar w:fldCharType="end"/>
      </w:r>
      <w:r>
        <w:rPr>
          <w:rFonts w:hint="eastAsia" w:ascii="宋体" w:hAnsi="宋体" w:eastAsia="宋体" w:cs="宋体"/>
          <w:sz w:val="28"/>
          <w:szCs w:val="48"/>
        </w:rPr>
        <w:fldChar w:fldCharType="end"/>
      </w:r>
      <w:r/>
    </w:p>
    <w:p>
      <w:pPr>
        <w:ind w:firstLine="0"/>
        <w:keepLines w:val="0"/>
        <w:keepNext w:val="0"/>
        <w:pageBreakBefore w:val="0"/>
        <w:spacing w:line="360" w:lineRule="auto"/>
        <w:widowControl w:val="off"/>
      </w:pPr>
      <w:r>
        <w:rPr>
          <w:rFonts w:hint="eastAsia" w:ascii="宋体" w:hAnsi="宋体" w:eastAsia="宋体" w:cs="宋体"/>
          <w:sz w:val="28"/>
          <w:szCs w:val="48"/>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6"/>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7" w:name="_Toc3895"/>
      <w:r/>
      <w:bookmarkStart w:id="18" w:name="_Toc25300"/>
      <w:r/>
      <w:bookmarkStart w:id="19" w:name="_Toc23092"/>
      <w:r/>
      <w:bookmarkStart w:id="20" w:name="_Toc31221"/>
      <w:r/>
      <w:bookmarkStart w:id="21" w:name="_Toc233"/>
      <w:r/>
      <w:bookmarkStart w:id="22" w:name="_Toc789"/>
      <w:r>
        <w:rPr>
          <w:rFonts w:hint="eastAsia" w:ascii="宋体" w:hAnsi="宋体" w:eastAsia="宋体" w:cs="宋体"/>
          <w:b/>
          <w:bCs/>
          <w:sz w:val="32"/>
          <w:szCs w:val="32"/>
          <w:highlight w:val="none"/>
          <w:lang w:val="en-US" w:eastAsia="zh-CN" w:bidi="ar-SA"/>
        </w:rPr>
        <w:t xml:space="preserve">投标邀请</w:t>
      </w:r>
      <w:bookmarkEnd w:id="17"/>
      <w:r/>
      <w:bookmarkEnd w:id="18"/>
      <w:r/>
      <w:bookmarkEnd w:id="19"/>
      <w:r/>
      <w:bookmarkEnd w:id="20"/>
      <w:r/>
      <w:bookmarkEnd w:id="21"/>
      <w:r/>
      <w:bookmarkEnd w:id="22"/>
      <w:r/>
      <w:r/>
    </w:p>
    <w:p>
      <w:pPr>
        <w:numPr>
          <w:ilvl w:val="0"/>
          <w:numId w:val="0"/>
        </w:numPr>
        <w:ind w:firstLine="480"/>
        <w:spacing w:line="400" w:lineRule="exact"/>
        <w:rPr>
          <w:highlight w:val="none"/>
        </w:rPr>
      </w:pPr>
      <w:r>
        <w:rPr>
          <w:rFonts w:hint="eastAsia" w:ascii="宋体" w:hAnsi="宋体" w:cs="宋体"/>
          <w:b w:val="0"/>
          <w:bCs w:val="0"/>
          <w:color w:val="auto"/>
          <w:sz w:val="24"/>
          <w:szCs w:val="24"/>
          <w:highlight w:val="none"/>
          <w:u w:val="none"/>
          <w:lang w:val="en-US" w:eastAsia="zh-CN"/>
        </w:rPr>
        <w:t xml:space="preserve">2026年国产检验检测设备JSZC-320582-BSHC-G2026-0008</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sz w:val="24"/>
          <w:szCs w:val="24"/>
          <w:highlight w:val="none"/>
          <w:lang w:val="en-US" w:eastAsia="zh-CN" w:bidi="ar"/>
        </w:rPr>
        <w:t xml:space="preserve">招标项目的潜在投标人应在苏采云政府采购一体化平台（网址：http://jszfcg.jsczt.cn/） 获取招标文件，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8</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3" w:name="_Toc19500"/>
      <w:r/>
      <w:bookmarkStart w:id="24" w:name="_Toc1246"/>
      <w:r/>
      <w:bookmarkStart w:id="25" w:name="_Toc22623"/>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3"/>
      <w:r/>
      <w:bookmarkEnd w:id="24"/>
      <w:r/>
      <w:bookmarkEnd w:id="25"/>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b w:val="0"/>
          <w:bCs w:val="0"/>
          <w:sz w:val="24"/>
          <w:highlight w:val="none"/>
        </w:rPr>
        <w:t xml:space="preserve">2026年国产检验检测设备</w:t>
      </w:r>
      <w:r>
        <w:rPr>
          <w:rFonts w:hint="eastAsia" w:ascii="宋体" w:hAnsi="宋体" w:cs="宋体"/>
          <w:sz w:val="24"/>
          <w:highlight w:val="none"/>
        </w:rPr>
        <w:t xml:space="preserve"> </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项目编号：JSZC-320582-BSHC-G2026-0008</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129</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129</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w:t>
      </w:r>
      <w:r>
        <w:rPr>
          <w:rFonts w:ascii="SimSun" w:hAnsi="SimSun" w:eastAsia="SimSun" w:cs="SimSun"/>
          <w:color w:val="000000"/>
          <w:sz w:val="24"/>
        </w:rPr>
        <w:t xml:space="preserve">因检验检测能力提升需求，需采购便携式定量包装商品净含量计量检验系统、多参数监护仪检定装置、医用数字摄影系统（DR）X射线辐射源检定装置、色谱检定用温度计、单三相电能表检定装置、交流充电桩检定装置、便携式防爆动态配气系统、碳氢分析仪、全自动测硫仪、自动量热仪等若干检验检测设备，详见第四章项目需求</w:t>
      </w:r>
      <w:r>
        <w:rPr>
          <w:rFonts w:hint="eastAsia" w:ascii="宋体" w:hAnsi="宋体" w:eastAsia="宋体" w:cs="宋体"/>
          <w:sz w:val="24"/>
        </w:rPr>
      </w:r>
      <w:r>
        <w:rPr>
          <w:rFonts w:hint="eastAsia" w:ascii="宋体" w:hAnsi="宋体" w:eastAsia="宋体" w:cs="宋体"/>
          <w:i w:val="0"/>
          <w:iCs w:val="0"/>
          <w:sz w:val="24"/>
          <w:szCs w:val="24"/>
          <w:highlight w:val="none"/>
          <w:u w:val="none"/>
          <w:lang w:val="en-US" w:eastAsia="zh-CN" w:bidi="ar-SA"/>
        </w:rPr>
        <w:t xml:space="preserve">。</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bookmarkStart w:id="26" w:name="EBb3e49aa6d5cd4deba14c020d9b0cd341"/>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日内完成全部产品的安装、调试完毕并交付正常使用</w:t>
      </w:r>
      <w:r>
        <w:rPr>
          <w:rFonts w:hint="eastAsia" w:cs="宋体"/>
          <w:color w:val="000000"/>
          <w:spacing w:val="8"/>
          <w:sz w:val="24"/>
          <w:highlight w:val="none"/>
        </w:rPr>
        <w:t xml:space="preserve">。</w:t>
      </w:r>
      <w:bookmarkEnd w:id="26"/>
      <w:r/>
      <w:r/>
    </w:p>
    <w:p>
      <w:pPr>
        <w:ind w:firstLine="480"/>
        <w:jc w:val="left"/>
        <w:spacing w:line="400" w:lineRule="exact"/>
        <w:rPr>
          <w:rFonts w:hint="eastAsia" w:ascii="宋体" w:hAnsi="宋体" w:eastAsia="宋体" w:cs="宋体"/>
          <w:sz w:val="24"/>
          <w:highlight w:val="none"/>
        </w:rPr>
      </w:pPr>
      <w:r/>
      <w:bookmarkStart w:id="27" w:name="_Toc3044"/>
      <w:r/>
      <w:bookmarkStart w:id="28" w:name="_Toc7697"/>
      <w:r/>
      <w:bookmarkStart w:id="29" w:name="_Toc23113"/>
      <w:r>
        <w:rPr>
          <w:rFonts w:hint="eastAsia" w:ascii="宋体" w:hAnsi="宋体" w:eastAsia="宋体" w:cs="宋体"/>
          <w:sz w:val="24"/>
          <w:highlight w:val="none"/>
        </w:rPr>
        <w:t xml:space="preserve">本项目（是/否）接受联合体投标：否。</w:t>
      </w:r>
      <w:r/>
    </w:p>
    <w:p>
      <w:pPr>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本项目</w:t>
      </w:r>
      <w:bookmarkStart w:id="30" w:name="EB2a3fbbe4d23a4a20a304091141d77e03"/>
      <w:r>
        <w:rPr>
          <w:rFonts w:hint="eastAsia" w:ascii="宋体" w:hAnsi="宋体" w:eastAsia="宋体" w:cs="宋体"/>
          <w:sz w:val="24"/>
        </w:rPr>
        <w:t xml:space="preserve">不允许</w:t>
      </w:r>
      <w:bookmarkEnd w:id="30"/>
      <w:r>
        <w:rPr>
          <w:rFonts w:hint="eastAsia" w:ascii="宋体" w:hAnsi="宋体" w:eastAsia="宋体" w:cs="宋体"/>
          <w:sz w:val="24"/>
        </w:rPr>
        <w:t xml:space="preserve">进口产品投标。</w:t>
      </w:r>
      <w:r/>
    </w:p>
    <w:p>
      <w:pPr>
        <w:numPr>
          <w:ilvl w:val="0"/>
          <w:numId w:val="3"/>
        </w:numPr>
        <w:ind w:firstLine="0"/>
        <w:spacing w:line="400" w:lineRule="exact"/>
        <w:rPr>
          <w:rFonts w:hint="eastAsia" w:ascii="宋体" w:hAnsi="宋体" w:cs="宋体"/>
          <w:b/>
          <w:bCs/>
          <w:i w:val="0"/>
          <w:iCs w:val="0"/>
          <w:sz w:val="24"/>
          <w:u w:val="none"/>
        </w:rPr>
        <w:outlineLvl w:val="1"/>
      </w:pPr>
      <w:r>
        <w:rPr>
          <w:rFonts w:hint="eastAsia" w:ascii="宋体" w:hAnsi="宋体" w:cs="宋体"/>
          <w:b/>
          <w:bCs/>
          <w:i w:val="0"/>
          <w:iCs w:val="0"/>
          <w:sz w:val="24"/>
          <w:u w:val="none"/>
        </w:rPr>
        <w:t xml:space="preserve">供应商资格要求</w:t>
      </w:r>
      <w:bookmarkEnd w:id="27"/>
      <w:r/>
      <w:bookmarkEnd w:id="28"/>
      <w:r/>
      <w:bookmarkEnd w:id="29"/>
      <w:r/>
      <w:r/>
    </w:p>
    <w:p>
      <w:pPr>
        <w:pStyle w:val="899"/>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99"/>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31"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31"/>
      <w:r>
        <w:rPr>
          <w:rFonts w:hint="eastAsia" w:ascii="宋体" w:hAnsi="宋体" w:eastAsia="宋体" w:cs="宋体"/>
          <w:i w:val="0"/>
          <w:iCs w:val="0"/>
          <w:sz w:val="24"/>
          <w:szCs w:val="24"/>
          <w:highlight w:val="none"/>
          <w:u w:val="none"/>
          <w:lang w:val="en-US" w:eastAsia="zh-CN"/>
        </w:rPr>
        <w:t xml:space="preserve">。</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89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p>
    <w:p>
      <w:pPr>
        <w:pStyle w:val="899"/>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2" w:name="_Toc11655"/>
      <w:r/>
      <w:bookmarkStart w:id="33" w:name="_Toc10458"/>
      <w:r/>
      <w:bookmarkStart w:id="34" w:name="_Toc29811"/>
      <w:r>
        <w:rPr>
          <w:rFonts w:hint="eastAsia" w:ascii="宋体" w:hAnsi="宋体" w:eastAsia="宋体" w:cs="宋体"/>
          <w:b/>
          <w:bCs/>
          <w:sz w:val="24"/>
          <w:szCs w:val="24"/>
          <w:highlight w:val="none"/>
        </w:rPr>
        <w:t xml:space="preserve">获取招标文件</w:t>
      </w:r>
      <w:bookmarkEnd w:id="32"/>
      <w:r/>
      <w:bookmarkEnd w:id="33"/>
      <w:r/>
      <w:bookmarkEnd w:id="34"/>
      <w:r/>
      <w:r/>
    </w:p>
    <w:p>
      <w:pPr>
        <w:pStyle w:val="891"/>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5" w:name="_Toc18899"/>
      <w:r/>
      <w:bookmarkStart w:id="36" w:name="_Toc14544"/>
      <w:r/>
      <w:bookmarkStart w:id="37" w:name="_Toc22145"/>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75"/>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5"/>
      <w:r/>
      <w:bookmarkEnd w:id="36"/>
      <w:r/>
      <w:bookmarkEnd w:id="37"/>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8" w:name="_Toc17677"/>
      <w:r/>
      <w:bookmarkStart w:id="39" w:name="_Toc27695"/>
      <w:r/>
      <w:bookmarkStart w:id="40" w:name="_Toc17599"/>
      <w:r>
        <w:rPr>
          <w:rFonts w:hint="eastAsia" w:ascii="宋体" w:hAnsi="宋体" w:eastAsia="宋体" w:cs="宋体"/>
          <w:b/>
          <w:bCs/>
          <w:sz w:val="24"/>
          <w:szCs w:val="24"/>
          <w:highlight w:val="none"/>
        </w:rPr>
        <w:t xml:space="preserve">公告期限</w:t>
      </w:r>
      <w:bookmarkEnd w:id="38"/>
      <w:r/>
      <w:bookmarkEnd w:id="39"/>
      <w:r/>
      <w:bookmarkEnd w:id="40"/>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1" w:name="_Toc20437"/>
      <w:r/>
      <w:bookmarkStart w:id="42" w:name="_Toc10825"/>
      <w:r/>
      <w:bookmarkStart w:id="43" w:name="_Toc3003"/>
      <w:r>
        <w:rPr>
          <w:rFonts w:hint="eastAsia" w:ascii="宋体" w:hAnsi="宋体" w:eastAsia="宋体" w:cs="宋体"/>
          <w:b/>
          <w:bCs/>
          <w:sz w:val="24"/>
          <w:szCs w:val="24"/>
          <w:highlight w:val="none"/>
        </w:rPr>
        <w:t xml:space="preserve">其他补充事宜</w:t>
      </w:r>
      <w:bookmarkEnd w:id="41"/>
      <w:r/>
      <w:bookmarkEnd w:id="42"/>
      <w:r/>
      <w:bookmarkEnd w:id="43"/>
      <w:r/>
      <w:r/>
    </w:p>
    <w:p>
      <w:pPr>
        <w:ind w:firstLine="384"/>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bookmarkStart w:id="44" w:name="_Toc5578"/>
      <w:r/>
      <w:bookmarkStart w:id="45" w:name="_Toc24685"/>
      <w:r/>
      <w:bookmarkStart w:id="46" w:name="_Toc12262"/>
      <w:r>
        <w:rPr>
          <w:rFonts w:hint="eastAsia" w:ascii="宋体" w:hAnsi="宋体" w:eastAsia="宋体" w:cs="宋体"/>
          <w:i/>
          <w:spacing w:val="8"/>
          <w:sz w:val="24"/>
        </w:rPr>
        <w:t xml:space="preserve">（一）拒绝下述供应商参加本次采购活动：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4"/>
      <w:bookmarkEnd w:id="45"/>
      <w:bookmarkEnd w:id="46"/>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9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7"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7"/>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cs="宋体"/>
          <w:color w:val="000000"/>
          <w:spacing w:val="8"/>
          <w:sz w:val="24"/>
          <w:lang w:eastAsia="zh-CN"/>
        </w:rPr>
        <w:t xml:space="preserve">张家港市检验检测中心(张家港市计量测试所)</w:t>
      </w:r>
      <w:r>
        <w:rPr>
          <w:rFonts w:hint="eastAsia" w:ascii="宋体" w:hAnsi="宋体" w:cs="宋体"/>
          <w:sz w:val="24"/>
          <w:szCs w:val="24"/>
          <w:lang w:val="en-US" w:eastAsia="zh-CN"/>
        </w:rPr>
        <w:t xml:space="preserve">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8" w:name="EBd07eeaef382a48c08fc17717998c3570"/>
      <w:r>
        <w:rPr>
          <w:rFonts w:hint="eastAsia" w:ascii="宋体" w:hAnsi="宋体" w:cs="宋体"/>
          <w:color w:val="000000"/>
          <w:spacing w:val="8"/>
          <w:sz w:val="24"/>
        </w:rPr>
        <w:t xml:space="preserve">张家港市国泰中路</w:t>
      </w:r>
      <w:r>
        <w:rPr>
          <w:rFonts w:ascii="宋体" w:hAnsi="宋体" w:cs="宋体"/>
          <w:color w:val="000000"/>
          <w:spacing w:val="8"/>
          <w:sz w:val="24"/>
        </w:rPr>
        <w:t xml:space="preserve">99</w:t>
      </w:r>
      <w:r>
        <w:rPr>
          <w:rFonts w:hint="eastAsia" w:ascii="宋体" w:hAnsi="宋体" w:cs="宋体"/>
          <w:color w:val="000000"/>
          <w:spacing w:val="8"/>
          <w:sz w:val="24"/>
        </w:rPr>
        <w:t xml:space="preserve">号</w:t>
      </w:r>
      <w:bookmarkEnd w:id="48"/>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ascii="宋体" w:hAnsi="宋体" w:eastAsia="宋体" w:cs="宋体"/>
          <w:sz w:val="24"/>
          <w:szCs w:val="24"/>
        </w:rPr>
        <w:t xml:space="preserve">联系人：</w:t>
      </w:r>
      <w:bookmarkStart w:id="49" w:name="EB51d7919fa5b44d3abdf2fe616bdf8298"/>
      <w:r>
        <w:rPr>
          <w:rFonts w:hint="eastAsia" w:ascii="宋体" w:hAnsi="宋体" w:cs="宋体"/>
          <w:color w:val="000000"/>
          <w:spacing w:val="8"/>
          <w:sz w:val="24"/>
        </w:rPr>
        <w:t xml:space="preserve">沈春琰</w:t>
      </w:r>
      <w:bookmarkEnd w:id="49"/>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联</w:t>
      </w:r>
      <w:r>
        <w:rPr>
          <w:rFonts w:hint="eastAsia" w:ascii="宋体" w:hAnsi="宋体" w:eastAsia="宋体" w:cs="宋体"/>
          <w:sz w:val="24"/>
          <w:szCs w:val="24"/>
          <w:highlight w:val="none"/>
        </w:rPr>
        <w:t xml:space="preserve">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bookmarkStart w:id="50" w:name="EB7befa21e35194f9c80b342eef990eba7"/>
      <w:r>
        <w:rPr>
          <w:rFonts w:ascii="宋体" w:hAnsi="宋体" w:cs="宋体"/>
          <w:color w:val="000000"/>
          <w:spacing w:val="8"/>
          <w:sz w:val="24"/>
        </w:rPr>
        <w:t xml:space="preserve">0512-58171076</w:t>
      </w:r>
      <w:bookmarkEnd w:id="50"/>
      <w:r>
        <w:rPr>
          <w:rFonts w:hint="eastAsia" w:ascii="宋体" w:hAnsi="宋体" w:cs="宋体"/>
          <w:sz w:val="24"/>
          <w:szCs w:val="24"/>
          <w:highlight w:val="none"/>
          <w:lang w:val="en-US" w:eastAsia="zh-CN"/>
        </w:rPr>
        <w:t xml:space="preserve"> </w:t>
      </w:r>
      <w:r/>
    </w:p>
    <w:p>
      <w:pPr>
        <w:pStyle w:val="89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51" w:name="_Toc3823"/>
      <w:r>
        <w:rPr>
          <w:rFonts w:hint="eastAsia" w:ascii="宋体" w:hAnsi="宋体" w:eastAsia="宋体" w:cs="宋体"/>
          <w:sz w:val="24"/>
          <w:szCs w:val="24"/>
        </w:rPr>
        <w:t xml:space="preserve">采购代理机构信息</w:t>
      </w:r>
      <w:bookmarkEnd w:id="51"/>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联系人：王蕾</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w:t>
      </w:r>
      <w:r>
        <w:rPr>
          <w:rFonts w:hint="eastAsia" w:ascii="宋体" w:hAnsi="宋体" w:cs="宋体"/>
          <w:sz w:val="24"/>
          <w:szCs w:val="24"/>
          <w:lang w:val="en-US" w:eastAsia="zh-CN"/>
        </w:rPr>
        <w:t xml:space="preserve">电话</w:t>
      </w:r>
      <w:r>
        <w:rPr>
          <w:rFonts w:hint="eastAsia" w:ascii="宋体" w:hAnsi="宋体" w:eastAsia="宋体" w:cs="宋体"/>
          <w:sz w:val="24"/>
          <w:szCs w:val="24"/>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52" w:name="_Toc35244867"/>
      <w:r/>
      <w:bookmarkStart w:id="53" w:name="_Toc256000001"/>
      <w:r/>
      <w:bookmarkStart w:id="54"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5" w:name="_Toc30374"/>
      <w:r>
        <w:rPr>
          <w:rFonts w:hint="eastAsia" w:ascii="宋体" w:hAnsi="宋体" w:eastAsia="宋体" w:cs="宋体"/>
          <w:sz w:val="24"/>
          <w:szCs w:val="24"/>
          <w:lang w:val="en-US" w:eastAsia="zh-CN"/>
        </w:rPr>
        <w:t xml:space="preserve">3.项目联系方式</w:t>
      </w:r>
      <w:bookmarkEnd w:id="55"/>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8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9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6" w:name="_Toc2894"/>
      <w:r/>
      <w:bookmarkStart w:id="57" w:name="_Toc3236"/>
      <w:r/>
      <w:bookmarkStart w:id="58" w:name="_Toc12702"/>
      <w:r/>
      <w:bookmarkStart w:id="59" w:name="_Toc24105"/>
      <w:r/>
      <w:bookmarkStart w:id="60" w:name="_Toc15478"/>
      <w:r/>
      <w:bookmarkStart w:id="61" w:name="_Toc1159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2"/>
      <w:r/>
      <w:bookmarkEnd w:id="53"/>
      <w:r/>
      <w:bookmarkEnd w:id="54"/>
      <w:r/>
      <w:bookmarkEnd w:id="56"/>
      <w:r/>
      <w:bookmarkEnd w:id="57"/>
      <w:r/>
      <w:bookmarkEnd w:id="58"/>
      <w:r/>
      <w:bookmarkEnd w:id="59"/>
      <w:r/>
      <w:bookmarkEnd w:id="60"/>
      <w:r/>
      <w:bookmarkEnd w:id="61"/>
      <w:r/>
      <w:r/>
    </w:p>
    <w:p>
      <w:pPr>
        <w:numPr>
          <w:ilvl w:val="1"/>
          <w:numId w:val="6"/>
        </w:numPr>
        <w:ind w:left="0" w:firstLine="0"/>
        <w:jc w:val="left"/>
        <w:keepLines w:val="0"/>
        <w:keepNext w:val="0"/>
        <w:pageBreakBefore w:val="0"/>
        <w:spacing w:line="400" w:lineRule="exact"/>
        <w:widowControl w:val="off"/>
        <w:rPr>
          <w:rStyle w:val="1078"/>
          <w:rFonts w:hint="eastAsia" w:ascii="宋体" w:hAnsi="宋体" w:cs="宋体"/>
          <w:b/>
          <w:bCs/>
          <w:sz w:val="24"/>
          <w:szCs w:val="24"/>
        </w:rPr>
        <w:outlineLvl w:val="1"/>
      </w:pPr>
      <w:r/>
      <w:bookmarkStart w:id="62" w:name="_Toc256000002"/>
      <w:r/>
      <w:bookmarkStart w:id="63" w:name="_Toc15644"/>
      <w:r/>
      <w:bookmarkStart w:id="64" w:name="_Toc10713"/>
      <w:r/>
      <w:bookmarkStart w:id="65" w:name="_Toc35244868"/>
      <w:r/>
      <w:bookmarkStart w:id="66" w:name="_Toc21316"/>
      <w:r/>
      <w:bookmarkStart w:id="67" w:name="_Toc54119646"/>
      <w:r>
        <w:rPr>
          <w:rStyle w:val="1078"/>
          <w:rFonts w:hint="eastAsia" w:ascii="宋体" w:hAnsi="宋体" w:cs="宋体"/>
          <w:b/>
          <w:bCs/>
          <w:sz w:val="24"/>
          <w:szCs w:val="24"/>
        </w:rPr>
        <w:t xml:space="preserve">总则</w:t>
      </w:r>
      <w:bookmarkEnd w:id="62"/>
      <w:r/>
      <w:bookmarkEnd w:id="63"/>
      <w:r/>
      <w:bookmarkEnd w:id="64"/>
      <w:r/>
      <w:bookmarkEnd w:id="65"/>
      <w:r/>
      <w:bookmarkEnd w:id="66"/>
      <w:r/>
      <w:bookmarkEnd w:id="67"/>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8" w:name="_Toc14561"/>
      <w:r>
        <w:rPr>
          <w:rFonts w:hint="eastAsia" w:ascii="宋体" w:hAnsi="宋体" w:cs="宋体"/>
          <w:b/>
          <w:bCs/>
          <w:sz w:val="24"/>
        </w:rPr>
        <w:t xml:space="preserve">招标方式</w:t>
      </w:r>
      <w:bookmarkEnd w:id="68"/>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9" w:name="_Toc2878"/>
      <w:r>
        <w:rPr>
          <w:rFonts w:hint="eastAsia" w:ascii="宋体" w:hAnsi="宋体" w:eastAsia="宋体" w:cs="宋体"/>
          <w:b/>
          <w:bCs/>
          <w:sz w:val="24"/>
        </w:rPr>
        <w:t xml:space="preserve">合格的投标人</w:t>
      </w:r>
      <w:bookmarkEnd w:id="69"/>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0" w:name="_Toc6011"/>
      <w:r>
        <w:rPr>
          <w:rFonts w:hint="eastAsia" w:ascii="宋体" w:hAnsi="宋体" w:eastAsia="宋体" w:cs="宋体"/>
          <w:b/>
          <w:bCs/>
          <w:sz w:val="24"/>
        </w:rPr>
        <w:t xml:space="preserve">适用法律</w:t>
      </w:r>
      <w:bookmarkEnd w:id="70"/>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71" w:name="_Toc9150"/>
      <w:r>
        <w:rPr>
          <w:rFonts w:hint="eastAsia" w:ascii="宋体" w:hAnsi="宋体" w:eastAsia="宋体" w:cs="宋体"/>
          <w:b/>
          <w:bCs/>
          <w:sz w:val="24"/>
          <w:highlight w:val="none"/>
        </w:rPr>
        <w:t xml:space="preserve">投标费用</w:t>
      </w:r>
      <w:bookmarkEnd w:id="71"/>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72"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本项目采购代理服务费由 中标（成交）供应商支付;为了</w:t>
      </w:r>
      <w:r>
        <w:rPr>
          <w:rFonts w:hint="eastAsia" w:ascii="宋体" w:hAnsi="宋体" w:cs="宋体"/>
          <w:b w:val="0"/>
          <w:bCs w:val="0"/>
          <w:sz w:val="24"/>
          <w:highlight w:val="none"/>
        </w:rPr>
        <w:t xml:space="preserve">2026年国产检验检测设备</w:t>
      </w:r>
      <w:r>
        <w:rPr>
          <w:rFonts w:hint="eastAsia" w:ascii="宋体" w:hAnsi="宋体" w:cs="宋体"/>
          <w:b w:val="0"/>
          <w:bCs w:val="0"/>
          <w:sz w:val="24"/>
          <w:highlight w:val="none"/>
          <w:lang w:val="en-US" w:eastAsia="zh-CN"/>
        </w:rPr>
        <w:t xml:space="preserve">项目</w:t>
      </w:r>
      <w:r>
        <w:rPr>
          <w:rFonts w:hint="eastAsia" w:ascii="宋体" w:hAnsi="宋体" w:eastAsia="宋体" w:cs="宋体"/>
          <w:sz w:val="24"/>
        </w:rPr>
        <w:t xml:space="preserve">更高效</w:t>
      </w:r>
      <w:r>
        <w:rPr>
          <w:rFonts w:hint="eastAsia" w:ascii="宋体" w:hAnsi="宋体" w:cs="宋体"/>
          <w:sz w:val="24"/>
          <w:lang w:val="en-US" w:eastAsia="zh-CN"/>
        </w:rPr>
        <w:t xml:space="preserve">地</w:t>
      </w:r>
      <w:r>
        <w:rPr>
          <w:rFonts w:hint="eastAsia" w:ascii="宋体" w:hAnsi="宋体" w:eastAsia="宋体" w:cs="宋体"/>
          <w:sz w:val="24"/>
        </w:rPr>
        <w:t xml:space="preserve">开展，代理服务费由各投标单位自行考虑在投标报价内</w:t>
      </w:r>
      <w:r>
        <w:rPr>
          <w:rFonts w:hint="eastAsia" w:ascii="宋体" w:hAnsi="宋体" w:cs="宋体"/>
          <w:sz w:val="24"/>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代理费用收取方式：</w:t>
      </w:r>
      <w:r>
        <w:rPr>
          <w:rFonts w:hint="eastAsia" w:ascii="宋体" w:hAnsi="宋体" w:cs="宋体"/>
          <w:sz w:val="24"/>
          <w:lang w:val="en-US" w:eastAsia="zh-CN"/>
        </w:rPr>
        <w:t xml:space="preserve">转账。</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cs="宋体"/>
          <w:color w:val="000000"/>
          <w:spacing w:val="7"/>
          <w:sz w:val="24"/>
          <w:szCs w:val="24"/>
        </w:rPr>
        <w:t xml:space="preserve">收费标准：</w:t>
      </w:r>
      <w:r>
        <w:rPr>
          <w:rFonts w:hint="eastAsia" w:ascii="宋体" w:hAnsi="宋体" w:cs="宋体"/>
          <w:sz w:val="24"/>
          <w:lang w:eastAsia="zh-CN"/>
        </w:rPr>
        <w:t xml:space="preserve">由中标人按照预算金额的如下比例</w:t>
      </w:r>
      <w:r>
        <w:rPr>
          <w:rFonts w:hint="eastAsia" w:ascii="宋体" w:hAnsi="宋体" w:cs="宋体"/>
          <w:sz w:val="24"/>
          <w:lang w:val="en-US" w:eastAsia="zh-CN"/>
        </w:rPr>
        <w:t xml:space="preserve">进行</w:t>
      </w:r>
      <w:r>
        <w:rPr>
          <w:rFonts w:hint="eastAsia" w:ascii="宋体" w:hAnsi="宋体" w:eastAsia="宋体" w:cs="宋体"/>
          <w:sz w:val="24"/>
        </w:rPr>
        <w:t xml:space="preserve">差额定率累进法计算</w:t>
      </w:r>
      <w:r>
        <w:rPr>
          <w:rFonts w:hint="eastAsia" w:ascii="宋体" w:hAnsi="宋体" w:cs="宋体"/>
          <w:sz w:val="24"/>
          <w:lang w:eastAsia="zh-CN"/>
        </w:rPr>
        <w:t xml:space="preserve">：即100万元内1.5%、100～500万元内1.1%、500～1000万元内0.8%，不足叁仟元以叁仟元计算。即本项目代理费</w:t>
      </w:r>
      <w:r>
        <w:rPr>
          <w:rFonts w:hint="eastAsia" w:ascii="宋体" w:hAnsi="宋体" w:cs="宋体"/>
          <w:sz w:val="24"/>
          <w:lang w:val="en-US" w:eastAsia="zh-CN"/>
        </w:rPr>
        <w:t xml:space="preserve">18190</w:t>
      </w:r>
      <w:r>
        <w:rPr>
          <w:rFonts w:hint="eastAsia" w:ascii="宋体" w:hAnsi="宋体" w:cs="宋体"/>
          <w:sz w:val="24"/>
          <w:lang w:eastAsia="zh-CN"/>
        </w:rPr>
        <w:t xml:space="preserve">元。</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72"/>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73" w:name="_Toc35244869"/>
      <w:r/>
      <w:bookmarkStart w:id="74" w:name="_Toc54119647"/>
      <w:r/>
      <w:bookmarkStart w:id="75" w:name="_Toc256000003"/>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78"/>
          <w:rFonts w:hint="eastAsia" w:ascii="宋体" w:hAnsi="宋体" w:cs="宋体"/>
          <w:b/>
          <w:bCs w:val="0"/>
          <w:sz w:val="24"/>
          <w:szCs w:val="24"/>
        </w:rPr>
        <w:outlineLvl w:val="1"/>
      </w:pPr>
      <w:r/>
      <w:bookmarkStart w:id="76" w:name="_Toc4727"/>
      <w:r/>
      <w:bookmarkStart w:id="77" w:name="_Toc21400"/>
      <w:r/>
      <w:bookmarkStart w:id="78" w:name="_Toc14347"/>
      <w:r>
        <w:rPr>
          <w:rStyle w:val="1078"/>
          <w:rFonts w:hint="eastAsia" w:ascii="宋体" w:hAnsi="宋体" w:cs="宋体"/>
          <w:b/>
          <w:bCs w:val="0"/>
          <w:sz w:val="24"/>
          <w:szCs w:val="24"/>
        </w:rPr>
        <w:t xml:space="preserve">招标文件</w:t>
      </w:r>
      <w:bookmarkEnd w:id="73"/>
      <w:r/>
      <w:bookmarkEnd w:id="74"/>
      <w:r/>
      <w:bookmarkEnd w:id="75"/>
      <w:r/>
      <w:bookmarkEnd w:id="76"/>
      <w:r/>
      <w:bookmarkEnd w:id="77"/>
      <w:r/>
      <w:bookmarkEnd w:id="78"/>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9" w:name="_Toc31846"/>
      <w:r>
        <w:rPr>
          <w:rFonts w:hint="eastAsia" w:ascii="宋体" w:hAnsi="宋体" w:eastAsia="宋体" w:cs="宋体"/>
          <w:b/>
          <w:bCs/>
          <w:sz w:val="24"/>
          <w:szCs w:val="24"/>
        </w:rPr>
        <w:t xml:space="preserve">招标文件构成</w:t>
      </w:r>
      <w:bookmarkEnd w:id="79"/>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0"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80"/>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8"/>
          <w:rFonts w:hint="eastAsia" w:ascii="宋体" w:hAnsi="宋体" w:eastAsia="宋体" w:cs="宋体"/>
          <w:b/>
          <w:bCs w:val="0"/>
          <w:sz w:val="24"/>
          <w:szCs w:val="24"/>
        </w:rPr>
        <w:outlineLvl w:val="1"/>
      </w:pPr>
      <w:r/>
      <w:bookmarkStart w:id="81" w:name="_Toc9095"/>
      <w:r/>
      <w:bookmarkStart w:id="82" w:name="_Toc54119648"/>
      <w:r/>
      <w:bookmarkStart w:id="83" w:name="_Toc35244870"/>
      <w:r/>
      <w:bookmarkStart w:id="84" w:name="_Toc20600"/>
      <w:r/>
      <w:bookmarkStart w:id="85" w:name="_Toc21471"/>
      <w:r/>
      <w:bookmarkStart w:id="86" w:name="_Toc256000004"/>
      <w:r>
        <w:rPr>
          <w:rStyle w:val="1078"/>
          <w:rFonts w:hint="eastAsia" w:ascii="宋体" w:hAnsi="宋体" w:eastAsia="宋体" w:cs="宋体"/>
          <w:b/>
          <w:bCs w:val="0"/>
          <w:sz w:val="24"/>
          <w:szCs w:val="24"/>
        </w:rPr>
        <w:t xml:space="preserve">投标文件的编制</w:t>
      </w:r>
      <w:bookmarkEnd w:id="81"/>
      <w:r/>
      <w:bookmarkEnd w:id="82"/>
      <w:r/>
      <w:bookmarkEnd w:id="83"/>
      <w:r/>
      <w:bookmarkEnd w:id="84"/>
      <w:r/>
      <w:bookmarkEnd w:id="85"/>
      <w:r/>
      <w:bookmarkEnd w:id="86"/>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7" w:name="_Toc4429"/>
      <w:r>
        <w:rPr>
          <w:rFonts w:hint="eastAsia" w:ascii="宋体" w:hAnsi="宋体" w:cs="宋体"/>
          <w:b/>
          <w:bCs/>
          <w:sz w:val="24"/>
        </w:rPr>
        <w:t xml:space="preserve">投标文件的语言及度量衡单位</w:t>
      </w:r>
      <w:bookmarkEnd w:id="87"/>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8" w:name="_Toc28334"/>
      <w:r>
        <w:rPr>
          <w:rFonts w:hint="eastAsia" w:ascii="宋体" w:hAnsi="宋体" w:eastAsia="宋体" w:cs="宋体"/>
          <w:b/>
          <w:bCs/>
          <w:sz w:val="24"/>
          <w:szCs w:val="24"/>
        </w:rPr>
        <w:t xml:space="preserve">投标文件构成</w:t>
      </w:r>
      <w:bookmarkEnd w:id="8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9" w:name="_Toc5753"/>
      <w:r>
        <w:rPr>
          <w:rFonts w:hint="eastAsia" w:ascii="宋体" w:hAnsi="宋体" w:cs="宋体"/>
          <w:b/>
          <w:bCs/>
          <w:sz w:val="24"/>
          <w:highlight w:val="none"/>
        </w:rPr>
        <w:t xml:space="preserve">投标函和开标一览表</w:t>
      </w:r>
      <w:bookmarkEnd w:id="89"/>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0" w:name="_Toc7298"/>
      <w:r>
        <w:rPr>
          <w:rFonts w:hint="eastAsia" w:ascii="宋体" w:hAnsi="宋体" w:cs="宋体"/>
          <w:b/>
          <w:bCs/>
          <w:sz w:val="24"/>
        </w:rPr>
        <w:t xml:space="preserve">投标人资格证明文件</w:t>
      </w:r>
      <w:bookmarkEnd w:id="90"/>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1" w:name="_Toc6816"/>
      <w:r>
        <w:rPr>
          <w:rFonts w:hint="eastAsia" w:ascii="宋体" w:hAnsi="宋体" w:cs="宋体"/>
          <w:b/>
          <w:bCs/>
          <w:sz w:val="24"/>
          <w:highlight w:val="none"/>
        </w:rPr>
        <w:t xml:space="preserve">投标配置与分项报价</w:t>
      </w:r>
      <w:bookmarkStart w:id="92" w:name="_Hlt26670373"/>
      <w:r/>
      <w:bookmarkEnd w:id="92"/>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91"/>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24"/>
          <w:rFonts w:hint="eastAsia" w:ascii="宋体" w:hAnsi="宋体" w:eastAsia="宋体" w:cs="宋体"/>
          <w:b w:val="0"/>
          <w:color w:val="auto"/>
          <w:spacing w:val="7"/>
          <w:sz w:val="24"/>
          <w:szCs w:val="24"/>
          <w:highlight w:val="none"/>
        </w:rPr>
        <w:t xml:space="preserve">项目总价应包括但不限于</w:t>
      </w:r>
      <w:r>
        <w:rPr>
          <w:rFonts w:hint="eastAsia" w:ascii="宋体" w:hAnsi="宋体" w:eastAsia="宋体" w:cs="宋体"/>
          <w:sz w:val="24"/>
          <w:szCs w:val="24"/>
          <w:highlight w:val="none"/>
        </w:rPr>
        <w:t xml:space="preserve">设备、软件以及相应的附件、备件、配件、包装、税费、运杂（到位）、保险、验收、管理、售后服务、维护、人员培训等所产生的费用以及投标人企业利润、税金和政策性文件规定及合同包含的所有风险、责任等各项应有费用</w:t>
      </w:r>
      <w:r>
        <w:rPr>
          <w:rStyle w:val="1124"/>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3" w:name="_Hlt26954842"/>
      <w:r/>
      <w:bookmarkEnd w:id="93"/>
      <w:r/>
      <w:bookmarkStart w:id="94" w:name="_Hlt26954844"/>
      <w:r/>
      <w:bookmarkEnd w:id="94"/>
      <w:r/>
      <w:bookmarkStart w:id="95" w:name="_Hlt26670403"/>
      <w:r/>
      <w:bookmarkEnd w:id="95"/>
      <w:r/>
      <w:bookmarkStart w:id="96" w:name="_Hlt26670425"/>
      <w:r/>
      <w:bookmarkEnd w:id="96"/>
      <w:r/>
      <w:bookmarkStart w:id="97" w:name="_Hlt26668983"/>
      <w:r/>
      <w:bookmarkEnd w:id="97"/>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8" w:name="_Toc5702"/>
      <w:r>
        <w:rPr>
          <w:rFonts w:hint="eastAsia" w:ascii="宋体" w:hAnsi="宋体" w:eastAsia="宋体" w:cs="宋体"/>
          <w:b/>
          <w:bCs/>
          <w:sz w:val="24"/>
          <w:highlight w:val="none"/>
        </w:rPr>
        <w:t xml:space="preserve">技术参数响应及偏离表、商务条款响应及偏离表</w:t>
      </w:r>
      <w:bookmarkEnd w:id="9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9" w:name="_Toc18124"/>
      <w:r>
        <w:rPr>
          <w:rFonts w:hint="eastAsia" w:ascii="宋体" w:hAnsi="宋体" w:eastAsia="宋体" w:cs="宋体"/>
          <w:b/>
          <w:bCs/>
          <w:sz w:val="24"/>
          <w:highlight w:val="none"/>
        </w:rPr>
        <w:t xml:space="preserve">投标人情况介绍</w:t>
      </w:r>
      <w:bookmarkEnd w:id="99"/>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0" w:name="_Toc27190"/>
      <w:r>
        <w:rPr>
          <w:rFonts w:hint="eastAsia" w:ascii="宋体" w:hAnsi="宋体" w:cs="宋体"/>
          <w:b/>
          <w:bCs/>
          <w:sz w:val="24"/>
          <w:highlight w:val="none"/>
        </w:rPr>
        <w:t xml:space="preserve">投标保证金</w:t>
      </w:r>
      <w:bookmarkEnd w:id="100"/>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1" w:name="_Toc19819"/>
      <w:r>
        <w:rPr>
          <w:rFonts w:hint="eastAsia" w:ascii="宋体" w:hAnsi="宋体" w:cs="宋体"/>
          <w:b/>
          <w:bCs/>
          <w:sz w:val="24"/>
        </w:rPr>
        <w:t xml:space="preserve">投标有效期</w:t>
      </w:r>
      <w:bookmarkEnd w:id="101"/>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102" w:name="_Toc16988"/>
      <w:r>
        <w:rPr>
          <w:rFonts w:hint="eastAsia" w:ascii="宋体" w:hAnsi="宋体" w:eastAsia="宋体" w:cs="宋体"/>
          <w:b/>
          <w:bCs/>
          <w:spacing w:val="7"/>
          <w:sz w:val="24"/>
          <w:szCs w:val="32"/>
          <w:highlight w:val="none"/>
        </w:rPr>
        <w:t xml:space="preserve">投标文件签署</w:t>
      </w:r>
      <w:bookmarkEnd w:id="102"/>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8"/>
          <w:rFonts w:hint="eastAsia" w:ascii="宋体" w:hAnsi="宋体" w:eastAsia="宋体" w:cs="宋体"/>
          <w:b/>
          <w:bCs w:val="0"/>
          <w:sz w:val="24"/>
          <w:szCs w:val="24"/>
        </w:rPr>
        <w:outlineLvl w:val="1"/>
      </w:pPr>
      <w:r/>
      <w:bookmarkStart w:id="103" w:name="_Toc256000005"/>
      <w:r/>
      <w:bookmarkStart w:id="104" w:name="_Toc54119649"/>
      <w:r/>
      <w:bookmarkStart w:id="105" w:name="_Toc13063"/>
      <w:r/>
      <w:bookmarkStart w:id="106" w:name="_Toc8407"/>
      <w:r/>
      <w:bookmarkStart w:id="107" w:name="_Toc9093"/>
      <w:r>
        <w:rPr>
          <w:rStyle w:val="1078"/>
          <w:rFonts w:hint="eastAsia" w:ascii="宋体" w:hAnsi="宋体" w:cs="宋体"/>
          <w:b/>
          <w:bCs w:val="0"/>
          <w:sz w:val="24"/>
          <w:szCs w:val="24"/>
        </w:rPr>
        <w:t xml:space="preserve">投标文件的</w:t>
      </w:r>
      <w:bookmarkEnd w:id="103"/>
      <w:r/>
      <w:bookmarkEnd w:id="104"/>
      <w:r>
        <w:rPr>
          <w:rStyle w:val="1078"/>
          <w:rFonts w:hint="eastAsia" w:ascii="宋体" w:hAnsi="宋体" w:cs="宋体"/>
          <w:b/>
          <w:bCs w:val="0"/>
          <w:sz w:val="24"/>
          <w:szCs w:val="24"/>
        </w:rPr>
        <w:t xml:space="preserve">制作、上传、</w:t>
      </w:r>
      <w:r>
        <w:rPr>
          <w:rStyle w:val="1078"/>
          <w:rFonts w:hint="eastAsia" w:ascii="宋体" w:hAnsi="宋体" w:cs="宋体"/>
          <w:b/>
          <w:bCs w:val="0"/>
          <w:sz w:val="24"/>
          <w:szCs w:val="24"/>
          <w:lang w:val="en-US" w:eastAsia="zh-CN"/>
        </w:rPr>
        <w:t xml:space="preserve">提</w:t>
      </w:r>
      <w:r>
        <w:rPr>
          <w:rStyle w:val="1078"/>
          <w:rFonts w:hint="eastAsia" w:ascii="宋体" w:hAnsi="宋体" w:cs="宋体"/>
          <w:b/>
          <w:bCs w:val="0"/>
          <w:sz w:val="24"/>
          <w:szCs w:val="24"/>
        </w:rPr>
        <w:t xml:space="preserve">交</w:t>
      </w:r>
      <w:bookmarkEnd w:id="105"/>
      <w:r/>
      <w:bookmarkEnd w:id="106"/>
      <w:r/>
      <w:bookmarkEnd w:id="107"/>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8"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9" w:name="_Toc19418"/>
      <w:r/>
      <w:bookmarkStart w:id="110" w:name="_Toc6389298"/>
      <w:r/>
      <w:bookmarkStart w:id="111" w:name="_Toc6388850"/>
      <w:r>
        <w:rPr>
          <w:rFonts w:hint="eastAsia" w:ascii="宋体" w:hAnsi="宋体" w:cs="宋体"/>
          <w:b/>
          <w:bCs/>
          <w:sz w:val="24"/>
        </w:rPr>
        <w:t xml:space="preserve">投标截止日期</w:t>
      </w:r>
      <w:bookmarkEnd w:id="109"/>
      <w:r/>
      <w:bookmarkEnd w:id="110"/>
      <w:r/>
      <w:bookmarkEnd w:id="11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2" w:name="_Toc6389299"/>
      <w:r/>
      <w:bookmarkStart w:id="113"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24"/>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12"/>
      <w:bookmarkEnd w:id="113"/>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4" w:name="_Toc28400"/>
      <w:r/>
      <w:bookmarkStart w:id="115" w:name="_Toc6388852"/>
      <w:r/>
      <w:bookmarkStart w:id="116" w:name="_Toc6389300"/>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24"/>
          <w:rFonts w:hint="eastAsia" w:ascii="宋体" w:hAnsi="宋体" w:eastAsia="宋体" w:cs="宋体"/>
          <w:b w:val="0"/>
          <w:color w:val="auto"/>
          <w:spacing w:val="7"/>
          <w:sz w:val="24"/>
          <w:szCs w:val="24"/>
          <w:highlight w:val="none"/>
        </w:rPr>
      </w:pPr>
      <w:r>
        <w:rPr>
          <w:rStyle w:val="1124"/>
          <w:rFonts w:hint="eastAsia" w:ascii="宋体" w:hAnsi="宋体" w:cs="宋体"/>
          <w:b w:val="0"/>
          <w:color w:val="auto"/>
          <w:spacing w:val="7"/>
          <w:sz w:val="24"/>
          <w:szCs w:val="24"/>
          <w:highlight w:val="none"/>
          <w:lang w:eastAsia="zh-CN"/>
        </w:rPr>
        <w:t xml:space="preserve">张家港保税区汇采招投标代理有限公司</w:t>
      </w:r>
      <w:r>
        <w:rPr>
          <w:rStyle w:val="1124"/>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14"/>
      <w:r/>
      <w:bookmarkEnd w:id="115"/>
      <w:r/>
      <w:bookmarkEnd w:id="11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8"/>
          <w:rFonts w:hint="eastAsia" w:ascii="宋体" w:hAnsi="宋体" w:eastAsia="宋体" w:cs="宋体"/>
          <w:b/>
          <w:bCs w:val="0"/>
          <w:sz w:val="24"/>
          <w:szCs w:val="24"/>
        </w:rPr>
        <w:outlineLvl w:val="1"/>
      </w:pPr>
      <w:r/>
      <w:bookmarkStart w:id="117" w:name="_Toc256000006"/>
      <w:r/>
      <w:bookmarkStart w:id="118" w:name="_Toc54119650"/>
      <w:r/>
      <w:bookmarkStart w:id="119" w:name="_Toc5723"/>
      <w:r/>
      <w:bookmarkStart w:id="120" w:name="_Toc22772"/>
      <w:r/>
      <w:bookmarkStart w:id="121" w:name="_Toc35244872"/>
      <w:r/>
      <w:bookmarkStart w:id="122" w:name="_Toc21743"/>
      <w:r>
        <w:rPr>
          <w:rStyle w:val="1078"/>
          <w:rFonts w:hint="eastAsia" w:ascii="宋体" w:hAnsi="宋体" w:eastAsia="宋体" w:cs="宋体"/>
          <w:b/>
          <w:bCs w:val="0"/>
          <w:sz w:val="24"/>
          <w:szCs w:val="24"/>
        </w:rPr>
        <w:t xml:space="preserve">开标与评标</w:t>
      </w:r>
      <w:bookmarkEnd w:id="117"/>
      <w:r/>
      <w:bookmarkEnd w:id="118"/>
      <w:r/>
      <w:bookmarkEnd w:id="119"/>
      <w:r/>
      <w:bookmarkEnd w:id="120"/>
      <w:r/>
      <w:bookmarkEnd w:id="121"/>
      <w:r/>
      <w:bookmarkEnd w:id="122"/>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30366"/>
      <w:r>
        <w:rPr>
          <w:rFonts w:hint="eastAsia" w:ascii="宋体" w:hAnsi="宋体" w:cs="宋体"/>
          <w:b/>
          <w:bCs/>
          <w:sz w:val="24"/>
        </w:rPr>
        <w:t xml:space="preserve">开标</w:t>
      </w:r>
      <w:bookmarkEnd w:id="12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24"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2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5" w:name="_Toc2623"/>
      <w:r>
        <w:rPr>
          <w:rFonts w:hint="eastAsia" w:ascii="宋体" w:hAnsi="宋体" w:cs="宋体"/>
          <w:b/>
          <w:bCs/>
          <w:sz w:val="24"/>
        </w:rPr>
        <w:t xml:space="preserve">评标过程的保密与公正</w:t>
      </w:r>
      <w:bookmarkEnd w:id="125"/>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6" w:name="_Toc6849"/>
      <w:r>
        <w:rPr>
          <w:rFonts w:hint="eastAsia" w:ascii="宋体" w:hAnsi="宋体" w:cs="宋体"/>
          <w:b/>
          <w:bCs/>
          <w:sz w:val="24"/>
        </w:rPr>
        <w:t xml:space="preserve">投标的澄清</w:t>
      </w:r>
      <w:bookmarkEnd w:id="12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7" w:name="_Toc13348"/>
      <w:r>
        <w:rPr>
          <w:rFonts w:hint="eastAsia" w:ascii="宋体" w:hAnsi="宋体" w:cs="宋体"/>
          <w:b/>
          <w:bCs/>
          <w:sz w:val="24"/>
        </w:rPr>
        <w:t xml:space="preserve">对投标文件的初审</w:t>
      </w:r>
      <w:bookmarkEnd w:id="127"/>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1.投标（响应）报价低于全部通过符合性审查供应商投标（响应）报价平均50%的，即投标（响应）报价&lt;全部通过符合性审查供应商投标（响应）报价平均值×50%；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8" w:name="_Toc10736"/>
      <w:r>
        <w:rPr>
          <w:rFonts w:hint="eastAsia" w:ascii="宋体" w:hAnsi="宋体" w:eastAsia="宋体" w:cs="宋体"/>
          <w:b/>
          <w:bCs/>
          <w:sz w:val="24"/>
          <w:szCs w:val="24"/>
        </w:rPr>
        <w:t xml:space="preserve">无效投标条款和废标条款</w:t>
      </w:r>
      <w:bookmarkEnd w:id="128"/>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9" w:name="_Toc256000007"/>
      <w:r/>
      <w:bookmarkStart w:id="130" w:name="_Toc54119651"/>
      <w:r/>
      <w:bookmarkStart w:id="131" w:name="_Toc35244873"/>
      <w:r>
        <w:rPr>
          <w:rFonts w:hint="eastAsia" w:ascii="宋体" w:hAnsi="宋体" w:cs="宋体"/>
          <w:spacing w:val="7"/>
          <w:sz w:val="24"/>
          <w:szCs w:val="32"/>
          <w:highlight w:val="none"/>
          <w:lang w:eastAsia="zh-CN"/>
        </w:rPr>
        <w:t xml:space="preserve">，</w:t>
      </w:r>
      <w:r>
        <w:rPr>
          <w:rStyle w:val="1048"/>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8"/>
          <w:rFonts w:hint="eastAsia" w:ascii="宋体" w:hAnsi="宋体" w:eastAsia="宋体" w:cs="宋体"/>
          <w:b/>
          <w:bCs w:val="0"/>
          <w:sz w:val="24"/>
          <w:szCs w:val="24"/>
        </w:rPr>
        <w:outlineLvl w:val="1"/>
      </w:pPr>
      <w:r/>
      <w:bookmarkStart w:id="132" w:name="_Toc24282"/>
      <w:r/>
      <w:bookmarkStart w:id="133" w:name="_Toc23197"/>
      <w:r/>
      <w:bookmarkStart w:id="134" w:name="_Toc4706"/>
      <w:r>
        <w:rPr>
          <w:rStyle w:val="1078"/>
          <w:rFonts w:hint="eastAsia" w:ascii="宋体" w:hAnsi="宋体" w:eastAsia="宋体" w:cs="宋体"/>
          <w:b/>
          <w:bCs w:val="0"/>
          <w:sz w:val="24"/>
          <w:szCs w:val="24"/>
        </w:rPr>
        <w:t xml:space="preserve">定标</w:t>
      </w:r>
      <w:bookmarkEnd w:id="129"/>
      <w:r/>
      <w:bookmarkEnd w:id="130"/>
      <w:r/>
      <w:bookmarkEnd w:id="131"/>
      <w:r/>
      <w:bookmarkEnd w:id="132"/>
      <w:r/>
      <w:bookmarkEnd w:id="133"/>
      <w:r/>
      <w:bookmarkEnd w:id="134"/>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5" w:name="_Toc19094"/>
      <w:r>
        <w:rPr>
          <w:rFonts w:hint="eastAsia" w:ascii="宋体" w:hAnsi="宋体" w:eastAsia="宋体" w:cs="宋体"/>
          <w:b/>
          <w:bCs/>
          <w:sz w:val="24"/>
          <w:szCs w:val="24"/>
        </w:rPr>
        <w:t xml:space="preserve">确定中标单位</w:t>
      </w:r>
      <w:bookmarkEnd w:id="135"/>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6" w:name="_Toc3103"/>
      <w:r>
        <w:rPr>
          <w:rFonts w:hint="eastAsia" w:ascii="宋体" w:hAnsi="宋体" w:eastAsia="宋体" w:cs="宋体"/>
          <w:b/>
          <w:bCs/>
          <w:sz w:val="24"/>
          <w:szCs w:val="24"/>
          <w:highlight w:val="none"/>
        </w:rPr>
        <w:t xml:space="preserve">质疑</w:t>
      </w:r>
      <w:bookmarkEnd w:id="136"/>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供应商提交的质疑函必须按照《政府采购供应商质疑函范本》要求的格式和内容进行填写，质疑函范本下载网址详见链接：https://czju.suzhou.gov.cn/zfcg/html/content/20180305093615738.shtml。</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7" w:name="_Toc3291"/>
      <w:r>
        <w:rPr>
          <w:rFonts w:hint="eastAsia" w:ascii="宋体" w:hAnsi="宋体" w:eastAsia="宋体" w:cs="宋体"/>
          <w:b/>
          <w:bCs/>
          <w:sz w:val="24"/>
          <w:szCs w:val="24"/>
        </w:rPr>
        <w:t xml:space="preserve">中标通知书</w:t>
      </w:r>
      <w:bookmarkEnd w:id="137"/>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8" w:name="_Toc35244874"/>
      <w:r/>
      <w:bookmarkStart w:id="139" w:name="_Toc54119652"/>
      <w:r/>
      <w:bookmarkStart w:id="140" w:name="_Toc256000008"/>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8"/>
          <w:rFonts w:hint="eastAsia" w:ascii="宋体" w:hAnsi="宋体" w:eastAsia="宋体" w:cs="宋体"/>
          <w:b/>
          <w:bCs w:val="0"/>
          <w:sz w:val="24"/>
          <w:szCs w:val="24"/>
        </w:rPr>
        <w:outlineLvl w:val="1"/>
      </w:pPr>
      <w:r/>
      <w:bookmarkStart w:id="141" w:name="_Toc26742"/>
      <w:r/>
      <w:bookmarkStart w:id="142" w:name="_Toc30218"/>
      <w:r/>
      <w:bookmarkStart w:id="143" w:name="_Toc3470"/>
      <w:r>
        <w:rPr>
          <w:rStyle w:val="1078"/>
          <w:rFonts w:hint="eastAsia" w:ascii="宋体" w:hAnsi="宋体" w:eastAsia="宋体" w:cs="宋体"/>
          <w:b/>
          <w:bCs w:val="0"/>
          <w:sz w:val="24"/>
          <w:szCs w:val="24"/>
        </w:rPr>
        <w:t xml:space="preserve">授予合同</w:t>
      </w:r>
      <w:bookmarkEnd w:id="138"/>
      <w:r/>
      <w:bookmarkEnd w:id="139"/>
      <w:r/>
      <w:bookmarkEnd w:id="140"/>
      <w:r/>
      <w:bookmarkEnd w:id="141"/>
      <w:r/>
      <w:bookmarkEnd w:id="142"/>
      <w:r/>
      <w:bookmarkEnd w:id="14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4" w:name="_Toc18927"/>
      <w:r>
        <w:rPr>
          <w:rFonts w:hint="eastAsia" w:ascii="宋体" w:hAnsi="宋体" w:eastAsia="宋体" w:cs="宋体"/>
          <w:b/>
          <w:bCs/>
          <w:sz w:val="24"/>
          <w:szCs w:val="24"/>
        </w:rPr>
        <w:t xml:space="preserve">签订合同</w:t>
      </w:r>
      <w:bookmarkEnd w:id="14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5" w:name="_Toc17363"/>
      <w:r>
        <w:rPr>
          <w:rFonts w:hint="eastAsia" w:ascii="宋体" w:hAnsi="宋体" w:eastAsia="宋体" w:cs="宋体"/>
          <w:b/>
          <w:bCs/>
          <w:sz w:val="24"/>
          <w:szCs w:val="24"/>
        </w:rPr>
        <w:t xml:space="preserve">货物和服务的追加、减少和添购。</w:t>
      </w:r>
      <w:bookmarkEnd w:id="145"/>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6" w:name="_Toc18878"/>
      <w:r>
        <w:rPr>
          <w:rFonts w:hint="eastAsia" w:ascii="宋体" w:hAnsi="宋体" w:eastAsia="宋体" w:cs="宋体"/>
          <w:b/>
          <w:bCs/>
          <w:sz w:val="24"/>
          <w:szCs w:val="24"/>
          <w:highlight w:val="none"/>
        </w:rPr>
        <w:t xml:space="preserve">履约保证金</w:t>
      </w:r>
      <w:bookmarkEnd w:id="14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7" w:name="_Toc6954"/>
      <w:r>
        <w:rPr>
          <w:rFonts w:hint="eastAsia" w:ascii="宋体" w:hAnsi="宋体" w:eastAsia="宋体" w:cs="宋体"/>
          <w:b/>
          <w:bCs/>
          <w:spacing w:val="7"/>
          <w:sz w:val="24"/>
          <w:szCs w:val="24"/>
          <w:highlight w:val="none"/>
          <w:lang w:val="en-US" w:eastAsia="zh-CN" w:bidi="ar-SA"/>
        </w:rPr>
        <w:t xml:space="preserve">监督</w:t>
      </w:r>
      <w:bookmarkEnd w:id="147"/>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0"/>
      <w:bookmarkEnd w:id="11"/>
      <w:bookmarkEnd w:id="12"/>
      <w:bookmarkEnd w:id="13"/>
      <w:bookmarkEnd w:id="14"/>
      <w:bookmarkEnd w:id="15"/>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8" w:name="_Toc9061"/>
      <w:r/>
      <w:bookmarkStart w:id="149" w:name="_Toc3639"/>
      <w:r/>
      <w:bookmarkStart w:id="150" w:name="_Toc10256"/>
      <w:r/>
      <w:bookmarkStart w:id="151" w:name="_Toc9399"/>
      <w:r/>
      <w:bookmarkStart w:id="152" w:name="_Toc8485"/>
      <w:r/>
      <w:bookmarkStart w:id="153" w:name="_Toc913"/>
      <w:r/>
      <w:bookmarkStart w:id="154" w:name="_Toc16938590"/>
      <w:r/>
      <w:bookmarkStart w:id="155" w:name="_Toc20823346"/>
      <w:r/>
      <w:bookmarkStart w:id="156" w:name="_Hlt16619350"/>
      <w:r/>
      <w:bookmarkStart w:id="157" w:name="_Toc120614244"/>
      <w:r/>
      <w:bookmarkStart w:id="158" w:name="_Hlk65328514"/>
      <w:r/>
      <w:bookmarkStart w:id="159" w:name="_Toc479757211"/>
      <w:r/>
      <w:bookmarkStart w:id="160" w:name="_Toc462564139"/>
      <w:r>
        <w:rPr>
          <w:rFonts w:hint="eastAsia" w:ascii="宋体" w:hAnsi="宋体" w:eastAsia="宋体" w:cs="宋体"/>
          <w:b/>
          <w:bCs/>
          <w:sz w:val="32"/>
          <w:szCs w:val="32"/>
          <w:highlight w:val="none"/>
          <w:lang w:val="en-US" w:eastAsia="zh-CN" w:bidi="ar-SA"/>
        </w:rPr>
        <w:t xml:space="preserve">合同条款及格式</w:t>
      </w:r>
      <w:bookmarkEnd w:id="148"/>
      <w:r/>
      <w:bookmarkEnd w:id="149"/>
      <w:r/>
      <w:bookmarkEnd w:id="150"/>
      <w:r/>
      <w:bookmarkEnd w:id="151"/>
      <w:r/>
      <w:bookmarkEnd w:id="152"/>
      <w:r/>
      <w:bookmarkEnd w:id="153"/>
      <w:r/>
      <w:r/>
    </w:p>
    <w:p>
      <w:pPr>
        <w:pStyle w:val="1088"/>
        <w:ind w:firstLine="480"/>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以下为中标(成交)后签定本项目合同的通用条款，中标(成交)供应商不得提出实质性的修改。</w:t>
      </w:r>
      <w:r/>
    </w:p>
    <w:p>
      <w:pPr>
        <w:pStyle w:val="1080"/>
        <w:ind w:left="0" w:firstLine="0"/>
        <w:jc w:val="center"/>
        <w:rPr>
          <w:rStyle w:val="1048"/>
          <w:rFonts w:hint="eastAsia" w:ascii="宋体" w:hAnsi="宋体" w:eastAsia="宋体" w:cs="宋体"/>
          <w:b/>
          <w:bCs w:val="0"/>
          <w:color w:val="000000"/>
          <w:sz w:val="32"/>
          <w:szCs w:val="32"/>
        </w:rPr>
      </w:pPr>
      <w:r>
        <w:rPr>
          <w:rStyle w:val="1048"/>
          <w:rFonts w:hint="eastAsia" w:ascii="宋体" w:hAnsi="宋体" w:eastAsia="宋体" w:cs="宋体"/>
          <w:b/>
          <w:bCs w:val="0"/>
          <w:color w:val="000000"/>
          <w:sz w:val="32"/>
          <w:szCs w:val="32"/>
        </w:rPr>
        <w:t xml:space="preserve">张家港市政</w:t>
      </w:r>
      <w:r>
        <w:rPr>
          <w:rStyle w:val="1048"/>
          <w:rFonts w:hint="eastAsia" w:ascii="宋体" w:hAnsi="宋体" w:eastAsia="宋体" w:cs="宋体"/>
          <w:b/>
          <w:bCs w:val="0"/>
          <w:color w:val="000000"/>
          <w:sz w:val="32"/>
          <w:szCs w:val="32"/>
          <w:highlight w:val="none"/>
        </w:rPr>
        <w:t xml:space="preserve">府采购合同</w:t>
      </w:r>
      <w:r/>
    </w:p>
    <w:p>
      <w:pPr>
        <w:pStyle w:val="1080"/>
        <w:keepLines w:val="0"/>
        <w:keepNext w:val="0"/>
        <w:pageBreakBefore w:val="0"/>
        <w:spacing w:line="400" w:lineRule="exact"/>
        <w:widowControl w:val="off"/>
        <w:rPr>
          <w:rStyle w:val="1048"/>
          <w:rFonts w:hint="eastAsia" w:ascii="宋体" w:hAnsi="宋体" w:eastAsia="宋体" w:cs="宋体"/>
          <w:bCs/>
          <w:color w:val="000000"/>
          <w:sz w:val="24"/>
          <w:u w:val="single"/>
        </w:rPr>
      </w:pPr>
      <w:r>
        <w:rPr>
          <w:rStyle w:val="1048"/>
          <w:rFonts w:hint="eastAsia" w:ascii="宋体" w:hAnsi="宋体" w:eastAsia="宋体" w:cs="宋体"/>
          <w:bCs/>
          <w:color w:val="000000"/>
          <w:sz w:val="24"/>
        </w:rPr>
        <w:t xml:space="preserve">项目名称：</w:t>
      </w:r>
      <w:r>
        <w:rPr>
          <w:rStyle w:val="1048"/>
          <w:rFonts w:hint="eastAsia" w:ascii="宋体" w:hAnsi="宋体" w:eastAsia="宋体" w:cs="宋体"/>
          <w:bCs/>
          <w:color w:val="000000"/>
          <w:sz w:val="24"/>
          <w:u w:val="single"/>
        </w:rPr>
        <w:t xml:space="preserve">               </w:t>
      </w:r>
      <w:r/>
    </w:p>
    <w:p>
      <w:pPr>
        <w:pStyle w:val="1080"/>
        <w:keepLines w:val="0"/>
        <w:keepNext w:val="0"/>
        <w:pageBreakBefore w:val="0"/>
        <w:spacing w:line="400" w:lineRule="exact"/>
        <w:widowControl w:val="off"/>
        <w:rPr>
          <w:rStyle w:val="1048"/>
          <w:rFonts w:hint="eastAsia" w:ascii="宋体" w:hAnsi="宋体" w:eastAsia="宋体" w:cs="宋体"/>
          <w:bCs/>
          <w:color w:val="000000"/>
          <w:sz w:val="24"/>
          <w:u w:val="single"/>
        </w:rPr>
      </w:pPr>
      <w:r>
        <w:rPr>
          <w:rStyle w:val="1048"/>
          <w:rFonts w:hint="eastAsia" w:ascii="宋体" w:hAnsi="宋体" w:eastAsia="宋体" w:cs="宋体"/>
          <w:bCs/>
          <w:color w:val="000000"/>
          <w:sz w:val="24"/>
        </w:rPr>
        <w:t xml:space="preserve">项目编号：</w:t>
      </w:r>
      <w:r>
        <w:rPr>
          <w:rStyle w:val="1048"/>
          <w:rFonts w:hint="eastAsia" w:ascii="宋体" w:hAnsi="宋体" w:eastAsia="宋体" w:cs="宋体"/>
          <w:bCs/>
          <w:color w:val="000000"/>
          <w:sz w:val="24"/>
          <w:u w:val="single"/>
        </w:rPr>
        <w:t xml:space="preserve">               </w:t>
      </w:r>
      <w:r/>
    </w:p>
    <w:p>
      <w:pPr>
        <w:pStyle w:val="1080"/>
        <w:keepLines w:val="0"/>
        <w:keepNext w:val="0"/>
        <w:pageBreakBefore w:val="0"/>
        <w:spacing w:line="400" w:lineRule="exact"/>
        <w:widowControl w:val="off"/>
        <w:rPr>
          <w:rStyle w:val="1048"/>
          <w:rFonts w:hint="eastAsia" w:ascii="宋体" w:hAnsi="宋体" w:eastAsia="宋体" w:cs="宋体"/>
          <w:bCs/>
          <w:color w:val="000000"/>
          <w:sz w:val="24"/>
          <w:u w:val="single"/>
        </w:rPr>
      </w:pPr>
      <w:r>
        <w:rPr>
          <w:rStyle w:val="1048"/>
          <w:rFonts w:hint="eastAsia" w:ascii="宋体" w:hAnsi="宋体" w:eastAsia="宋体" w:cs="宋体"/>
          <w:bCs/>
          <w:color w:val="000000"/>
          <w:sz w:val="24"/>
        </w:rPr>
        <w:t xml:space="preserve">甲方：（买方）</w:t>
      </w:r>
      <w:r>
        <w:rPr>
          <w:rStyle w:val="1048"/>
          <w:rFonts w:hint="eastAsia" w:ascii="宋体" w:hAnsi="宋体" w:eastAsia="宋体" w:cs="宋体"/>
          <w:bCs/>
          <w:color w:val="000000"/>
          <w:sz w:val="24"/>
          <w:u w:val="single"/>
        </w:rPr>
        <w:t xml:space="preserve">              </w:t>
      </w:r>
      <w:r/>
    </w:p>
    <w:p>
      <w:pPr>
        <w:pStyle w:val="1080"/>
        <w:keepLines w:val="0"/>
        <w:keepNext w:val="0"/>
        <w:pageBreakBefore w:val="0"/>
        <w:spacing w:line="400" w:lineRule="exact"/>
        <w:widowControl w:val="off"/>
        <w:rPr>
          <w:rStyle w:val="1048"/>
          <w:rFonts w:hint="eastAsia" w:ascii="宋体" w:hAnsi="宋体" w:eastAsia="宋体" w:cs="宋体"/>
          <w:bCs/>
          <w:color w:val="000000"/>
          <w:sz w:val="24"/>
          <w:u w:val="single"/>
        </w:rPr>
      </w:pPr>
      <w:r>
        <w:rPr>
          <w:rStyle w:val="1048"/>
          <w:rFonts w:hint="eastAsia" w:ascii="宋体" w:hAnsi="宋体" w:eastAsia="宋体" w:cs="宋体"/>
          <w:bCs/>
          <w:color w:val="000000"/>
          <w:sz w:val="24"/>
        </w:rPr>
        <w:t xml:space="preserve">乙方：（卖方）</w:t>
      </w:r>
      <w:r>
        <w:rPr>
          <w:rStyle w:val="1048"/>
          <w:rFonts w:hint="eastAsia" w:ascii="宋体" w:hAnsi="宋体" w:eastAsia="宋体" w:cs="宋体"/>
          <w:bCs/>
          <w:color w:val="000000"/>
          <w:sz w:val="24"/>
          <w:u w:val="single"/>
        </w:rPr>
        <w:t xml:space="preserve">              </w:t>
      </w:r>
      <w:r/>
    </w:p>
    <w:p>
      <w:pPr>
        <w:pStyle w:val="1080"/>
        <w:keepLines w:val="0"/>
        <w:keepNext w:val="0"/>
        <w:pageBreakBefore w:val="0"/>
        <w:spacing w:line="40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甲、乙双方根据</w:t>
      </w:r>
      <w:r>
        <w:rPr>
          <w:rStyle w:val="1048"/>
          <w:rFonts w:hint="eastAsia" w:cs="宋体"/>
          <w:bCs/>
          <w:color w:val="000000"/>
          <w:sz w:val="24"/>
          <w:lang w:eastAsia="zh-CN"/>
        </w:rPr>
        <w:t xml:space="preserve">张家港保税区汇采招投标代理有限公司</w:t>
      </w:r>
      <w:r>
        <w:rPr>
          <w:rStyle w:val="1048"/>
          <w:rFonts w:hint="eastAsia" w:ascii="宋体" w:hAnsi="宋体" w:eastAsia="宋体" w:cs="宋体"/>
          <w:bCs/>
          <w:i w:val="0"/>
          <w:iCs w:val="0"/>
          <w:color w:val="000000"/>
          <w:sz w:val="24"/>
          <w:u w:val="single"/>
        </w:rPr>
        <w:t xml:space="preserve">      </w:t>
      </w:r>
      <w:r>
        <w:rPr>
          <w:rStyle w:val="1048"/>
          <w:rFonts w:hint="eastAsia" w:ascii="宋体" w:hAnsi="宋体" w:eastAsia="宋体" w:cs="宋体"/>
          <w:bCs/>
          <w:color w:val="000000"/>
          <w:sz w:val="24"/>
        </w:rPr>
        <w:t xml:space="preserve">项目公开招标的结果，签署本合同。</w:t>
      </w:r>
      <w:r/>
    </w:p>
    <w:p>
      <w:pPr>
        <w:pStyle w:val="1088"/>
        <w:ind w:firstLine="482"/>
        <w:rPr>
          <w:rStyle w:val="1048"/>
          <w:rFonts w:ascii="宋体" w:hAnsi="宋体" w:cs="宋体"/>
          <w:b/>
          <w:bCs/>
          <w:sz w:val="24"/>
        </w:rPr>
      </w:pPr>
      <w:r>
        <w:rPr>
          <w:rStyle w:val="1048"/>
          <w:rFonts w:hint="eastAsia" w:ascii="宋体" w:hAnsi="宋体" w:cs="宋体"/>
          <w:b/>
          <w:bCs/>
          <w:color w:val="000000"/>
          <w:sz w:val="24"/>
        </w:rPr>
        <w:t xml:space="preserve">一、</w:t>
      </w:r>
      <w:r>
        <w:rPr>
          <w:rStyle w:val="1048"/>
          <w:rFonts w:hint="eastAsia" w:ascii="宋体" w:hAnsi="宋体" w:eastAsia="宋体" w:cs="宋体"/>
          <w:b/>
          <w:bCs/>
          <w:color w:val="000000"/>
          <w:sz w:val="24"/>
          <w:lang w:val="en-US" w:eastAsia="zh-CN"/>
        </w:rPr>
        <w:t xml:space="preserve">货物</w:t>
      </w:r>
      <w:r>
        <w:rPr>
          <w:rStyle w:val="1048"/>
          <w:rFonts w:hint="eastAsia" w:ascii="宋体" w:hAnsi="宋体" w:cs="宋体"/>
          <w:b/>
          <w:bCs/>
          <w:color w:val="000000"/>
          <w:sz w:val="24"/>
        </w:rPr>
        <w:t xml:space="preserve">内容</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1"/>
        <w:gridCol w:w="3069"/>
        <w:gridCol w:w="3069"/>
      </w:tblGrid>
      <w:tr>
        <w:trPr>
          <w:jc w:val="center"/>
        </w:trPr>
        <w:tc>
          <w:tcPr>
            <w:tcW w:w="2911" w:type="dxa"/>
            <w:textDirection w:val="lrTb"/>
            <w:noWrap w:val="false"/>
          </w:tcPr>
          <w:p>
            <w:pPr>
              <w:jc w:val="center"/>
              <w:spacing w:before="125" w:line="360" w:lineRule="auto"/>
              <w:rPr>
                <w:rFonts w:ascii="宋体"/>
                <w:sz w:val="24"/>
                <w:szCs w:val="24"/>
              </w:rPr>
            </w:pPr>
            <w:r>
              <w:rPr>
                <w:rFonts w:hint="eastAsia" w:ascii="宋体" w:hAnsi="宋体"/>
                <w:sz w:val="24"/>
                <w:szCs w:val="24"/>
              </w:rPr>
              <w:t xml:space="preserve">投标货物名称</w:t>
            </w:r>
            <w:r/>
          </w:p>
        </w:tc>
        <w:tc>
          <w:tcPr>
            <w:tcW w:w="3069" w:type="dxa"/>
            <w:textDirection w:val="lrTb"/>
            <w:noWrap w:val="false"/>
          </w:tcPr>
          <w:p>
            <w:pPr>
              <w:jc w:val="center"/>
              <w:spacing w:before="125" w:line="360" w:lineRule="auto"/>
              <w:rPr>
                <w:rFonts w:ascii="宋体"/>
                <w:sz w:val="24"/>
                <w:szCs w:val="24"/>
              </w:rPr>
            </w:pPr>
            <w:r>
              <w:rPr>
                <w:rFonts w:hint="eastAsia" w:ascii="宋体" w:hAnsi="宋体"/>
                <w:sz w:val="24"/>
                <w:szCs w:val="24"/>
              </w:rPr>
              <w:t xml:space="preserve">总价（元）</w:t>
            </w:r>
            <w:r/>
          </w:p>
        </w:tc>
        <w:tc>
          <w:tcPr>
            <w:tcW w:w="3069" w:type="dxa"/>
            <w:textDirection w:val="lrTb"/>
            <w:noWrap w:val="false"/>
          </w:tcPr>
          <w:p>
            <w:pPr>
              <w:jc w:val="center"/>
              <w:spacing w:before="125" w:line="360" w:lineRule="auto"/>
              <w:rPr>
                <w:rFonts w:ascii="宋体"/>
                <w:sz w:val="24"/>
                <w:szCs w:val="24"/>
              </w:rPr>
            </w:pPr>
            <w:r>
              <w:rPr>
                <w:rFonts w:hint="eastAsia" w:ascii="宋体" w:hAnsi="宋体"/>
                <w:sz w:val="24"/>
                <w:szCs w:val="24"/>
              </w:rPr>
              <w:t xml:space="preserve">备注</w:t>
            </w:r>
            <w:r/>
          </w:p>
        </w:tc>
      </w:tr>
      <w:tr>
        <w:trPr>
          <w:jc w:val="center"/>
          <w:trHeight w:val="804"/>
        </w:trPr>
        <w:tc>
          <w:tcPr>
            <w:tcW w:w="2911" w:type="dxa"/>
            <w:textDirection w:val="lrTb"/>
            <w:noWrap w:val="false"/>
          </w:tcPr>
          <w:p>
            <w:pPr>
              <w:jc w:val="center"/>
              <w:spacing w:before="125" w:line="360" w:lineRule="auto"/>
              <w:rPr>
                <w:rFonts w:ascii="宋体"/>
                <w:sz w:val="24"/>
                <w:szCs w:val="24"/>
              </w:rPr>
            </w:pPr>
            <w:r>
              <w:rPr>
                <w:rFonts w:ascii="宋体"/>
                <w:sz w:val="24"/>
                <w:szCs w:val="24"/>
              </w:rPr>
            </w:r>
            <w:r/>
          </w:p>
        </w:tc>
        <w:tc>
          <w:tcPr>
            <w:tcW w:w="3069" w:type="dxa"/>
            <w:textDirection w:val="lrTb"/>
            <w:noWrap w:val="false"/>
          </w:tcPr>
          <w:p>
            <w:pPr>
              <w:jc w:val="center"/>
              <w:spacing w:before="125" w:line="360" w:lineRule="auto"/>
              <w:rPr>
                <w:rFonts w:ascii="宋体"/>
                <w:sz w:val="24"/>
                <w:szCs w:val="24"/>
              </w:rPr>
            </w:pPr>
            <w:r>
              <w:rPr>
                <w:rFonts w:ascii="宋体"/>
                <w:sz w:val="24"/>
                <w:szCs w:val="24"/>
              </w:rPr>
            </w:r>
            <w:r/>
          </w:p>
        </w:tc>
        <w:tc>
          <w:tcPr>
            <w:tcW w:w="3069" w:type="dxa"/>
            <w:textDirection w:val="lrTb"/>
            <w:noWrap w:val="false"/>
          </w:tcPr>
          <w:p>
            <w:pPr>
              <w:jc w:val="center"/>
              <w:spacing w:before="125" w:line="360" w:lineRule="auto"/>
              <w:rPr>
                <w:rFonts w:ascii="宋体"/>
                <w:sz w:val="24"/>
                <w:szCs w:val="24"/>
              </w:rPr>
            </w:pPr>
            <w:r>
              <w:rPr>
                <w:rFonts w:ascii="宋体"/>
                <w:sz w:val="24"/>
                <w:szCs w:val="24"/>
              </w:rPr>
            </w:r>
            <w:r/>
          </w:p>
        </w:tc>
      </w:tr>
    </w:tbl>
    <w:p>
      <w:pPr>
        <w:ind w:left="0" w:firstLine="422"/>
        <w:keepLines w:val="0"/>
        <w:keepNext w:val="0"/>
        <w:pageBreakBefore w:val="0"/>
        <w:spacing w:line="420" w:lineRule="exact"/>
        <w:rPr>
          <w:rFonts w:hint="eastAsia" w:ascii="宋体" w:hAnsi="宋体" w:eastAsia="宋体" w:cs="宋体"/>
          <w:b/>
          <w:bCs/>
          <w:sz w:val="24"/>
          <w:szCs w:val="24"/>
          <w:lang w:eastAsia="zh-CN"/>
        </w:rPr>
      </w:pP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val="en-US" w:eastAsia="zh-CN"/>
        </w:rPr>
        <w:t xml:space="preserve">合同金额</w:t>
      </w:r>
      <w:r/>
    </w:p>
    <w:p>
      <w:pPr>
        <w:ind w:left="0" w:firstLine="420"/>
        <w:jc w:val="left"/>
        <w:keepLines w:val="0"/>
        <w:keepNext w:val="0"/>
        <w:pageBreakBefore w:val="0"/>
        <w:spacing w:line="4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本合同金额为（大写）：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rPr>
          <w:rFonts w:hint="eastAsia" w:ascii="宋体" w:hAnsi="宋体" w:eastAsia="宋体" w:cs="宋体"/>
          <w:color w:val="000000"/>
          <w:sz w:val="24"/>
          <w:szCs w:val="24"/>
          <w:lang w:eastAsia="zh-CN"/>
        </w:rPr>
        <w:t xml:space="preserve">。</w:t>
      </w:r>
      <w:r/>
    </w:p>
    <w:p>
      <w:pPr>
        <w:ind w:left="0" w:firstLine="420"/>
        <w:jc w:val="left"/>
        <w:keepLines w:val="0"/>
        <w:keepNext w:val="0"/>
        <w:pageBreakBefore w:val="0"/>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总价包括但不限于含设备、软件以及相应的附件、备件、配件、包装、税费、运杂（到位）、保险、验收、管理、售后服务、维护、人员培训等所产生的费用以及投标人企业利润、税金和政策性文件规定及合同包含的所有风险、责任等各项应有费用</w:t>
      </w:r>
      <w:r>
        <w:rPr>
          <w:rFonts w:hint="eastAsia" w:ascii="宋体" w:hAnsi="宋体" w:eastAsia="宋体" w:cs="宋体"/>
          <w:color w:val="000000"/>
          <w:sz w:val="24"/>
          <w:szCs w:val="24"/>
          <w:highlight w:val="none"/>
          <w:lang w:eastAsia="zh-CN"/>
        </w:rPr>
        <w:t xml:space="preserve">。</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left="0" w:firstLine="420"/>
        <w:keepLines w:val="0"/>
        <w:keepNext w:val="0"/>
        <w:pageBreakBefore w:val="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3.1乙方应按招标文件规定的时间向甲方提供使用货物的有关技术资料。</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3.2没有甲方事先书面同意，乙方不得将由甲方提供的有关合同或任何合同条文、规格</w:t>
      </w:r>
      <w:r>
        <w:rPr>
          <w:rFonts w:hint="eastAsia" w:ascii="宋体" w:hAnsi="宋体" w:eastAsia="宋体" w:cs="宋体"/>
          <w:sz w:val="24"/>
          <w:szCs w:val="24"/>
        </w:rPr>
        <w:t xml:space="preserve">、计划、图纸、样品或资料提供给与履行本合同无关的任何其他人。即使向履行本合同有关的人员提供，也应注意保密并限于履行合同的必需范围。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pStyle w:val="875"/>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乙方保证所交付的货物的所有权完全属于乙方且无任何抵押、查封等产权瑕疵。</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left="0" w:right="0"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6.1合同签订前，乙方向甲方交纳人民币</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元作为本合同的履约保证金。</w:t>
      </w:r>
      <w:r/>
    </w:p>
    <w:p>
      <w:pPr>
        <w:ind w:left="0" w:right="0" w:firstLine="420"/>
        <w:jc w:val="both"/>
        <w:keepLines w:val="0"/>
        <w:keepNext w:val="0"/>
        <w:pageBreakBefore w:val="0"/>
        <w:spacing w:before="0" w:beforeAutospacing="0" w:after="0" w:afterAutospacing="0" w:line="420" w:lineRule="exact"/>
        <w:widowControl w:val="off"/>
        <w:rPr>
          <w:rFonts w:hint="eastAsia" w:ascii="宋体" w:hAnsi="宋体" w:eastAsia="宋体" w:cs="宋体"/>
          <w:b w:val="0"/>
          <w:bCs w:val="0"/>
          <w:color w:val="000000"/>
          <w:sz w:val="24"/>
          <w:szCs w:val="24"/>
          <w:highlight w:val="none"/>
          <w:lang w:val="en-US" w:eastAsia="en-US" w:bidi="ar-SA"/>
        </w:rPr>
        <w:suppressLineNumbers w:val="0"/>
      </w:pPr>
      <w:r>
        <w:rPr>
          <w:rFonts w:hint="eastAsia" w:ascii="宋体" w:hAnsi="宋体" w:eastAsia="宋体" w:cs="宋体"/>
          <w:color w:val="000000"/>
          <w:sz w:val="24"/>
          <w:szCs w:val="24"/>
          <w:highlight w:val="none"/>
          <w:lang w:val="en-US" w:eastAsia="zh-CN" w:bidi="ar"/>
        </w:rPr>
        <w:t xml:space="preserve">6.2</w:t>
      </w:r>
      <w:r>
        <w:rPr>
          <w:rFonts w:hint="eastAsia" w:ascii="宋体" w:hAnsi="宋体" w:eastAsia="宋体" w:cs="宋体"/>
          <w:color w:val="000000"/>
          <w:sz w:val="24"/>
          <w:szCs w:val="24"/>
          <w:highlight w:val="none"/>
          <w:lang w:val="en-US" w:eastAsia="en-US" w:bidi="ar"/>
        </w:rPr>
        <w:t xml:space="preserve">合同履行完毕退还履约保证金。逾期退还的，应当支付逾期利息，且逾期利息的利率</w:t>
      </w:r>
      <w:r>
        <w:rPr>
          <w:rFonts w:hint="eastAsia" w:ascii="宋体" w:hAnsi="宋体" w:eastAsia="宋体" w:cs="宋体"/>
          <w:b w:val="0"/>
          <w:bCs w:val="0"/>
          <w:color w:val="000000"/>
          <w:sz w:val="24"/>
          <w:szCs w:val="24"/>
          <w:highlight w:val="none"/>
          <w:lang w:val="en-US" w:eastAsia="en-US" w:bidi="ar-SA"/>
        </w:rPr>
        <w:t xml:space="preserve">不得低于合同订立时1年期贷款市场报价利率。</w:t>
      </w:r>
      <w:r/>
    </w:p>
    <w:p>
      <w:pPr>
        <w:ind w:left="0" w:right="0"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en-US" w:bidi="ar-SA"/>
        </w:rPr>
        <w:t xml:space="preserve">.3乙方不履行与甲方订立的合同的，履约保证金不予退还</w:t>
      </w:r>
      <w:r>
        <w:rPr>
          <w:rFonts w:hint="eastAsia" w:ascii="宋体" w:hAnsi="宋体" w:eastAsia="宋体" w:cs="宋体"/>
          <w:color w:val="000000"/>
          <w:sz w:val="24"/>
          <w:szCs w:val="24"/>
          <w:highlight w:val="none"/>
          <w:lang w:val="en-US" w:eastAsia="zh-CN" w:bidi="ar"/>
        </w:rPr>
        <w:t xml:space="preserve">。</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七、转包或分包</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7.1 本合同范围的货物，应由乙方直接供应，不得转让他人供应；</w:t>
      </w:r>
      <w:r/>
    </w:p>
    <w:p>
      <w:pPr>
        <w:ind w:left="0" w:firstLine="42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7.2 如有转包和分包行为，甲方有权给予终止合同</w:t>
      </w:r>
      <w:r>
        <w:rPr>
          <w:rFonts w:hint="eastAsia" w:ascii="宋体" w:hAnsi="宋体" w:eastAsia="宋体" w:cs="宋体"/>
          <w:sz w:val="24"/>
          <w:szCs w:val="24"/>
          <w:lang w:val="en-US" w:eastAsia="zh-CN"/>
        </w:rPr>
        <w:t xml:space="preserve">。</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八、交货期、交货方式及交货地点</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8.1 交货期：</w:t>
      </w:r>
      <w:r>
        <w:rPr>
          <w:rFonts w:hint="eastAsia" w:ascii="宋体" w:hAnsi="宋体" w:eastAsia="宋体" w:cs="宋体"/>
          <w:sz w:val="24"/>
          <w:szCs w:val="24"/>
          <w:u w:val="single"/>
          <w:lang w:val="en-US" w:eastAsia="zh-CN"/>
        </w:rPr>
        <w:t xml:space="preserve">                           </w:t>
      </w:r>
      <w:r/>
    </w:p>
    <w:p>
      <w:pPr>
        <w:ind w:left="0" w:firstLine="420"/>
        <w:keepLines w:val="0"/>
        <w:keepNext w:val="0"/>
        <w:pageBreakBefore w:val="0"/>
        <w:spacing w:line="420" w:lineRule="exact"/>
        <w:rPr>
          <w:rFonts w:hint="eastAsia" w:ascii="宋体" w:hAnsi="宋体" w:eastAsia="宋体" w:cs="宋体"/>
          <w:sz w:val="24"/>
          <w:szCs w:val="24"/>
          <w:u w:val="single"/>
        </w:rPr>
      </w:pPr>
      <w:r>
        <w:rPr>
          <w:rFonts w:hint="eastAsia" w:ascii="宋体" w:hAnsi="宋体" w:eastAsia="宋体" w:cs="宋体"/>
          <w:sz w:val="24"/>
          <w:szCs w:val="24"/>
        </w:rPr>
        <w:t xml:space="preserve">8.2 交货方式：</w:t>
      </w:r>
      <w:r>
        <w:rPr>
          <w:rFonts w:hint="eastAsia" w:ascii="宋体" w:hAnsi="宋体" w:eastAsia="宋体" w:cs="宋体"/>
          <w:sz w:val="24"/>
          <w:szCs w:val="24"/>
          <w:u w:val="single"/>
          <w:lang w:val="en-US" w:eastAsia="zh-CN"/>
        </w:rPr>
        <w:t xml:space="preserve">                        </w:t>
      </w:r>
      <w:r/>
    </w:p>
    <w:p>
      <w:pPr>
        <w:ind w:left="0" w:firstLine="420"/>
        <w:keepLines w:val="0"/>
        <w:keepNext w:val="0"/>
        <w:pageBreakBefore w:val="0"/>
        <w:spacing w:line="420" w:lineRule="exact"/>
        <w:rPr>
          <w:rFonts w:hint="default" w:ascii="宋体" w:hAnsi="宋体" w:eastAsia="宋体" w:cs="宋体"/>
          <w:sz w:val="24"/>
          <w:szCs w:val="24"/>
          <w:u w:val="single"/>
          <w:lang w:val="en-US"/>
        </w:rPr>
      </w:pPr>
      <w:r>
        <w:rPr>
          <w:rFonts w:hint="eastAsia" w:ascii="宋体" w:hAnsi="宋体" w:eastAsia="宋体" w:cs="宋体"/>
          <w:sz w:val="24"/>
          <w:szCs w:val="24"/>
        </w:rPr>
        <w:t xml:space="preserve">8.3交货地点：</w:t>
      </w:r>
      <w:r>
        <w:rPr>
          <w:rFonts w:hint="eastAsia" w:ascii="宋体" w:hAnsi="宋体" w:eastAsia="宋体" w:cs="宋体"/>
          <w:sz w:val="24"/>
          <w:szCs w:val="24"/>
          <w:u w:val="single"/>
          <w:lang w:val="en-US" w:eastAsia="zh-CN"/>
        </w:rPr>
        <w:t xml:space="preserve">                        </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九、货款支付</w:t>
      </w:r>
      <w:r/>
    </w:p>
    <w:p>
      <w:pPr>
        <w:pStyle w:val="1080"/>
        <w:ind w:left="0" w:firstLine="420"/>
        <w:keepLines w:val="0"/>
        <w:keepNext w:val="0"/>
        <w:pageBreakBefore w:val="0"/>
        <w:spacing w:line="4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 结付程序：</w:t>
      </w:r>
      <w:r/>
    </w:p>
    <w:p>
      <w:pPr>
        <w:pStyle w:val="1079"/>
        <w:ind w:left="0" w:firstLine="420"/>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080"/>
        <w:ind w:left="0" w:firstLine="420"/>
        <w:keepLines w:val="0"/>
        <w:keepNext w:val="0"/>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.2 结付期限：</w:t>
      </w:r>
      <w:r/>
    </w:p>
    <w:p>
      <w:pPr>
        <w:pStyle w:val="1080"/>
        <w:ind w:left="0" w:firstLine="420"/>
        <w:keepLines w:val="0"/>
        <w:keepNext w:val="0"/>
        <w:pageBreakBefore w:val="0"/>
        <w:spacing w:line="420" w:lineRule="exact"/>
        <w:rPr>
          <w:rFonts w:hint="eastAsia" w:ascii="宋体" w:hAnsi="宋体" w:eastAsia="宋体" w:cs="宋体"/>
          <w:color w:val="000000"/>
          <w:sz w:val="24"/>
          <w:szCs w:val="24"/>
        </w:rPr>
      </w:pP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w:t>
      </w:r>
      <w:r/>
    </w:p>
    <w:p>
      <w:pPr>
        <w:pStyle w:val="1080"/>
        <w:ind w:left="0" w:firstLine="420"/>
        <w:keepLines w:val="0"/>
        <w:keepNext w:val="0"/>
        <w:pageBreakBefore w:val="0"/>
        <w:spacing w:line="4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.3 乙方收款账户：</w:t>
      </w:r>
      <w:r>
        <w:rPr>
          <w:rFonts w:hint="eastAsia" w:ascii="宋体" w:hAnsi="宋体" w:eastAsia="宋体" w:cs="宋体"/>
          <w:color w:val="000000"/>
          <w:sz w:val="24"/>
          <w:szCs w:val="24"/>
          <w:u w:val="single"/>
        </w:rPr>
        <w:t xml:space="preserve">                                       </w:t>
      </w:r>
      <w:r/>
    </w:p>
    <w:p>
      <w:pPr>
        <w:pStyle w:val="1080"/>
        <w:ind w:left="0" w:firstLine="420"/>
        <w:keepLines w:val="0"/>
        <w:keepNext w:val="0"/>
        <w:pageBreakBefore w:val="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.4 甲方合同款支付方式：</w:t>
      </w:r>
      <w:r>
        <w:rPr>
          <w:rFonts w:hint="eastAsia" w:ascii="宋体" w:hAnsi="宋体" w:eastAsia="宋体" w:cs="宋体"/>
          <w:color w:val="000000"/>
          <w:sz w:val="24"/>
          <w:szCs w:val="24"/>
          <w:u w:val="single"/>
        </w:rPr>
        <w:t xml:space="preserve"> </w:t>
      </w:r>
      <w:r>
        <w:rPr>
          <w:rStyle w:val="1137"/>
          <w:rFonts w:hint="eastAsia"/>
          <w:color w:val="000000"/>
          <w:highlight w:val="none"/>
          <w:u w:val="single"/>
        </w:rPr>
        <w:t xml:space="preserve"> </w:t>
      </w:r>
      <w:bookmarkStart w:id="161" w:name="hetongzhifutype"/>
      <w:r>
        <w:rPr>
          <w:rStyle w:val="1137"/>
          <w:rFonts w:hint="eastAsia"/>
          <w:color w:val="000000"/>
          <w:highlight w:val="none"/>
          <w:u w:val="single"/>
        </w:rPr>
        <w:t xml:space="preserve">                   </w:t>
      </w:r>
      <w:bookmarkEnd w:id="161"/>
      <w:r>
        <w:rPr>
          <w:rStyle w:val="1137"/>
          <w:rFonts w:hint="eastAsia"/>
          <w:color w:val="000000"/>
          <w:highlight w:val="none"/>
          <w:u w:val="single"/>
        </w:rPr>
        <w:t xml:space="preserve"> </w:t>
      </w:r>
      <w:r>
        <w:rPr>
          <w:rStyle w:val="1137"/>
          <w:rFonts w:hint="eastAsia"/>
          <w:color w:val="000000"/>
          <w:highlight w:val="none"/>
        </w:rPr>
        <w:t xml:space="preserve">（若乙方为中小企业，不得强制其接受非现金支付方式）</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十、税</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10.1 本合同执行中相关的一切税费均由乙方负担。</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十一、质量保证及售后服务</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11.1 乙方应按招标文件规定的货物性能、技术要求、质量标准向甲方提供未经使用的全新产品。</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11.2 乙方提供的货物在免费质保期内因货物本身的质量问题发生故障，乙方应负责免费更换。对达不到技术要求者，根据实际情况，经双方协商，可按以下办法处理：</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响应时间：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11.4 在免费质保期内，乙方应对货物出现的质量及安全问题负责处理解决并承担一切费用。</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上述的货物免费质保期为：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left="0" w:firstLine="420"/>
        <w:keepLines w:val="0"/>
        <w:keepNext w:val="0"/>
        <w:pageBreakBefore w:val="0"/>
        <w:spacing w:line="420" w:lineRule="exact"/>
        <w:rPr>
          <w:rFonts w:hint="eastAsia"/>
        </w:rPr>
      </w:pPr>
      <w:r>
        <w:rPr>
          <w:rFonts w:hint="eastAsia" w:ascii="宋体" w:hAnsi="宋体" w:eastAsia="宋体" w:cs="宋体"/>
          <w:sz w:val="24"/>
          <w:szCs w:val="24"/>
        </w:rPr>
        <w:t xml:space="preserve">11.6 乙方配备的相关服务人员与甲方无任何劳动人事关系，用工事宜由乙方负责。乙方工作人员若在服务期间内出现的工伤及其他意外事故，均由乙方自行负责，甲方不承担任何责任。</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十二、调试和验收</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个工作日内验收。</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p>
    <w:p>
      <w:pPr>
        <w:pStyle w:val="1130"/>
        <w:contextualSpacing/>
        <w:ind w:firstLine="480"/>
        <w:spacing w:line="440" w:lineRule="exact"/>
        <w:rPr>
          <w:rStyle w:val="1137"/>
          <w:rFonts w:hint="eastAsia" w:ascii="宋体" w:hAnsi="宋体" w:cs="Courier New"/>
          <w:color w:val="000000"/>
          <w:highlight w:val="none"/>
        </w:rPr>
      </w:pPr>
      <w:r>
        <w:rPr>
          <w:rStyle w:val="1137"/>
          <w:rFonts w:hint="eastAsia" w:ascii="宋体" w:hAnsi="宋体" w:cs="Courier New"/>
          <w:color w:val="000000"/>
          <w:highlight w:val="none"/>
        </w:rPr>
        <w:t xml:space="preserve">12.3甲方对乙方提供的货物在使用前进行调试时，乙方需负责安装并培训甲方的使用操作人员，并协助甲方一起调试，直到符合技术要求，甲方才做最终验收。</w:t>
      </w:r>
      <w:r/>
    </w:p>
    <w:p>
      <w:pPr>
        <w:pStyle w:val="1130"/>
        <w:contextualSpacing/>
        <w:ind w:firstLine="480"/>
        <w:spacing w:line="440" w:lineRule="exact"/>
        <w:rPr>
          <w:rStyle w:val="1137"/>
          <w:rFonts w:hint="eastAsia" w:ascii="宋体" w:hAnsi="宋体" w:cs="Courier New"/>
          <w:color w:val="000000"/>
          <w:highlight w:val="none"/>
        </w:rPr>
      </w:pPr>
      <w:r>
        <w:rPr>
          <w:rStyle w:val="1137"/>
          <w:rFonts w:hint="eastAsia" w:ascii="宋体" w:hAnsi="宋体" w:cs="Courier New"/>
          <w:color w:val="000000"/>
          <w:highlight w:val="none"/>
        </w:rPr>
        <w:t xml:space="preserve">12.4甲方有权请国家认可的专业检测机构参与初步验收及最终验收，并由其出具质量检测报告。</w:t>
      </w:r>
      <w:r/>
    </w:p>
    <w:p>
      <w:pPr>
        <w:pStyle w:val="1130"/>
        <w:contextualSpacing/>
        <w:ind w:firstLine="480"/>
        <w:spacing w:line="440" w:lineRule="exact"/>
        <w:rPr>
          <w:rStyle w:val="1137"/>
          <w:rFonts w:hint="eastAsia" w:ascii="宋体" w:hAnsi="宋体" w:cs="Courier New"/>
          <w:color w:val="000000"/>
          <w:highlight w:val="none"/>
        </w:rPr>
      </w:pPr>
      <w:r>
        <w:rPr>
          <w:rStyle w:val="1137"/>
          <w:rFonts w:hint="eastAsia" w:ascii="宋体" w:hAnsi="宋体" w:cs="Courier New"/>
          <w:color w:val="000000"/>
          <w:highlight w:val="none"/>
        </w:rPr>
        <w:t xml:space="preserve">12.5验收时乙方必须在现场，验收完毕后作出验收结果报告；</w:t>
      </w:r>
      <w:r>
        <w:rPr>
          <w:rFonts w:hint="eastAsia" w:ascii="宋体" w:hAnsi="宋体" w:cs="Courier New"/>
          <w:color w:val="000000"/>
          <w:sz w:val="24"/>
          <w:szCs w:val="24"/>
          <w:highlight w:val="none"/>
        </w:rPr>
        <w:t xml:space="preserve">验收费用由乙方</w:t>
      </w:r>
      <w:r>
        <w:rPr>
          <w:rFonts w:hint="eastAsia" w:ascii="宋体" w:hAnsi="宋体" w:cs="Courier New"/>
          <w:color w:val="000000"/>
          <w:sz w:val="24"/>
          <w:szCs w:val="24"/>
          <w:highlight w:val="none"/>
          <w:lang w:val="en-US" w:eastAsia="zh-CN"/>
        </w:rPr>
        <w:t xml:space="preserve">负责</w:t>
      </w:r>
      <w:r>
        <w:rPr>
          <w:rStyle w:val="1137"/>
          <w:rFonts w:hint="eastAsia" w:ascii="宋体" w:hAnsi="宋体" w:cs="Courier New"/>
          <w:color w:val="000000"/>
          <w:highlight w:val="none"/>
        </w:rPr>
        <w:t xml:space="preserve">。</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十三、货物包装、发运及运输</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13.1 乙方应在货物发运前对其进行满足运输距离、防潮、防震、防锈和防破损装卸等要求包装，以保证货物安全运达甲方指定地点。</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13.2 使用说明书、质量检验证明书、随配附件和工具以及清单一并附于货物内。</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13.3 乙方在货物发运手续办理完毕后24小时内或货到甲方48小时前通知甲方，以准备接货。</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13.4 货物在交付甲方前发生的风险均由乙方负责。</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13.5 货物在规定的交付期限内由乙方送达甲方指定的地点视为交付，乙方同时需通知甲方货物已送达。</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甲方无正当理由拒收货物的，甲方向乙方偿付拒收货款总值的百分之五违约金。</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14.2 甲方逾期办理货款支付的,应当支付逾期利息，且逾期利息的利率不得低于合同订立时1年期贷款市场报价利率。</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十五、不可抗力事件处理</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left="0" w:firstLine="422"/>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十六、诉讼</w:t>
      </w:r>
      <w:r/>
    </w:p>
    <w:p>
      <w:pPr>
        <w:ind w:left="0" w:firstLine="42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双方在执行合同中所发生的一切争议，应通过协商解决。如协商不成，可向合同签订地法院起诉，合同签订地在此约定为张家港市。</w:t>
      </w:r>
      <w:r/>
    </w:p>
    <w:p>
      <w:pPr>
        <w:pStyle w:val="1080"/>
        <w:ind w:firstLine="482"/>
        <w:keepLines w:val="0"/>
        <w:keepNext w:val="0"/>
        <w:pageBreakBefore w:val="0"/>
        <w:spacing w:line="420" w:lineRule="exact"/>
        <w:widowControl w:val="off"/>
        <w:rPr>
          <w:rStyle w:val="1048"/>
          <w:rFonts w:hint="eastAsia" w:ascii="宋体" w:hAnsi="宋体" w:eastAsia="宋体" w:cs="宋体"/>
          <w:b/>
          <w:bCs w:val="0"/>
          <w:color w:val="000000"/>
          <w:sz w:val="24"/>
        </w:rPr>
      </w:pPr>
      <w:r>
        <w:rPr>
          <w:rStyle w:val="1048"/>
          <w:rFonts w:hint="eastAsia" w:ascii="宋体" w:hAnsi="宋体" w:eastAsia="宋体" w:cs="宋体"/>
          <w:b/>
          <w:bCs w:val="0"/>
          <w:color w:val="000000"/>
          <w:sz w:val="24"/>
        </w:rPr>
        <w:t xml:space="preserve">十</w:t>
      </w:r>
      <w:r>
        <w:rPr>
          <w:rStyle w:val="1048"/>
          <w:rFonts w:hint="eastAsia" w:cs="宋体"/>
          <w:b/>
          <w:bCs w:val="0"/>
          <w:color w:val="000000"/>
          <w:sz w:val="24"/>
          <w:lang w:val="en-US" w:eastAsia="zh-CN"/>
        </w:rPr>
        <w:t xml:space="preserve">七</w:t>
      </w:r>
      <w:r>
        <w:rPr>
          <w:rStyle w:val="1048"/>
          <w:rFonts w:hint="eastAsia" w:ascii="宋体" w:hAnsi="宋体" w:eastAsia="宋体" w:cs="宋体"/>
          <w:b/>
          <w:bCs w:val="0"/>
          <w:color w:val="000000"/>
          <w:sz w:val="24"/>
        </w:rPr>
        <w:t xml:space="preserve">、合同其他文件</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1</w:t>
      </w:r>
      <w:r>
        <w:rPr>
          <w:rStyle w:val="1048"/>
          <w:rFonts w:hint="eastAsia" w:cs="宋体"/>
          <w:bCs/>
          <w:color w:val="000000"/>
          <w:sz w:val="24"/>
          <w:lang w:val="en-US" w:eastAsia="zh-CN"/>
        </w:rPr>
        <w:t xml:space="preserve">7</w:t>
      </w:r>
      <w:r>
        <w:rPr>
          <w:rStyle w:val="1048"/>
          <w:rFonts w:hint="eastAsia" w:ascii="宋体" w:hAnsi="宋体" w:eastAsia="宋体" w:cs="宋体"/>
          <w:bCs/>
          <w:color w:val="000000"/>
          <w:sz w:val="24"/>
        </w:rPr>
        <w:t xml:space="preserve">.1下列文件为本合同不可分割部</w:t>
      </w:r>
      <w:r>
        <w:rPr>
          <w:rStyle w:val="1048"/>
          <w:rFonts w:hint="eastAsia" w:cs="宋体"/>
          <w:bCs/>
          <w:color w:val="000000"/>
          <w:sz w:val="24"/>
          <w:lang w:val="en-US" w:eastAsia="zh-CN"/>
        </w:rPr>
        <w:t xml:space="preserve">分</w:t>
      </w:r>
      <w:r>
        <w:rPr>
          <w:rStyle w:val="1048"/>
          <w:rFonts w:hint="eastAsia" w:ascii="宋体" w:hAnsi="宋体" w:eastAsia="宋体" w:cs="宋体"/>
          <w:bCs/>
          <w:color w:val="000000"/>
          <w:sz w:val="24"/>
        </w:rPr>
        <w:t xml:space="preserve">，与本合同具有同等效力。</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(1)中标通知书；</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(2)</w:t>
      </w:r>
      <w:r>
        <w:rPr>
          <w:rStyle w:val="1048"/>
          <w:rFonts w:hint="eastAsia" w:cs="宋体"/>
          <w:bCs/>
          <w:color w:val="000000"/>
          <w:sz w:val="24"/>
          <w:lang w:val="en-US" w:eastAsia="zh-CN"/>
        </w:rPr>
        <w:t xml:space="preserve">乙</w:t>
      </w:r>
      <w:r>
        <w:rPr>
          <w:rStyle w:val="1048"/>
          <w:rFonts w:hint="eastAsia" w:ascii="宋体" w:hAnsi="宋体" w:eastAsia="宋体" w:cs="宋体"/>
          <w:bCs/>
          <w:color w:val="000000"/>
          <w:sz w:val="24"/>
        </w:rPr>
        <w:t xml:space="preserve">方中标的投标书；</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(3)招标文件；</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(4)</w:t>
      </w:r>
      <w:r>
        <w:rPr>
          <w:rStyle w:val="1048"/>
          <w:rFonts w:hint="eastAsia" w:cs="宋体"/>
          <w:bCs/>
          <w:color w:val="000000"/>
          <w:sz w:val="24"/>
          <w:lang w:val="en-US" w:eastAsia="zh-CN"/>
        </w:rPr>
        <w:t xml:space="preserve">乙</w:t>
      </w:r>
      <w:r>
        <w:rPr>
          <w:rStyle w:val="1048"/>
          <w:rFonts w:hint="eastAsia" w:ascii="宋体" w:hAnsi="宋体" w:eastAsia="宋体" w:cs="宋体"/>
          <w:bCs/>
          <w:color w:val="000000"/>
          <w:sz w:val="24"/>
        </w:rPr>
        <w:t xml:space="preserve">方在招投标过程中所作的其他承诺、声明、书面澄清等。</w:t>
      </w:r>
      <w:r/>
    </w:p>
    <w:p>
      <w:pPr>
        <w:pStyle w:val="1080"/>
        <w:ind w:firstLine="482"/>
        <w:keepLines w:val="0"/>
        <w:keepNext w:val="0"/>
        <w:pageBreakBefore w:val="0"/>
        <w:spacing w:line="420" w:lineRule="exact"/>
        <w:widowControl w:val="off"/>
        <w:rPr>
          <w:rStyle w:val="1048"/>
          <w:rFonts w:hint="eastAsia" w:ascii="宋体" w:hAnsi="宋体" w:eastAsia="宋体" w:cs="宋体"/>
          <w:b/>
          <w:bCs w:val="0"/>
          <w:color w:val="000000"/>
          <w:sz w:val="24"/>
        </w:rPr>
      </w:pPr>
      <w:r>
        <w:rPr>
          <w:rStyle w:val="1048"/>
          <w:rFonts w:hint="eastAsia" w:ascii="宋体" w:hAnsi="宋体" w:eastAsia="宋体" w:cs="宋体"/>
          <w:b/>
          <w:bCs w:val="0"/>
          <w:color w:val="000000"/>
          <w:sz w:val="24"/>
        </w:rPr>
        <w:t xml:space="preserve">十</w:t>
      </w:r>
      <w:r>
        <w:rPr>
          <w:rStyle w:val="1048"/>
          <w:rFonts w:hint="eastAsia" w:cs="宋体"/>
          <w:b/>
          <w:bCs w:val="0"/>
          <w:color w:val="000000"/>
          <w:sz w:val="24"/>
          <w:lang w:val="en-US" w:eastAsia="zh-CN"/>
        </w:rPr>
        <w:t xml:space="preserve">八</w:t>
      </w:r>
      <w:r>
        <w:rPr>
          <w:rStyle w:val="1048"/>
          <w:rFonts w:hint="eastAsia" w:ascii="宋体" w:hAnsi="宋体" w:eastAsia="宋体" w:cs="宋体"/>
          <w:b/>
          <w:bCs w:val="0"/>
          <w:color w:val="000000"/>
          <w:sz w:val="24"/>
        </w:rPr>
        <w:t xml:space="preserve">、合同生效及其它</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1</w:t>
      </w:r>
      <w:r>
        <w:rPr>
          <w:rStyle w:val="1048"/>
          <w:rFonts w:hint="eastAsia" w:cs="宋体"/>
          <w:bCs/>
          <w:color w:val="000000"/>
          <w:sz w:val="24"/>
          <w:lang w:val="en-US" w:eastAsia="zh-CN"/>
        </w:rPr>
        <w:t xml:space="preserve">8</w:t>
      </w:r>
      <w:r>
        <w:rPr>
          <w:rStyle w:val="1048"/>
          <w:rFonts w:hint="eastAsia" w:ascii="宋体" w:hAnsi="宋体" w:eastAsia="宋体" w:cs="宋体"/>
          <w:bCs/>
          <w:color w:val="000000"/>
          <w:sz w:val="24"/>
        </w:rPr>
        <w:t xml:space="preserve">.1合同经双方法定代表人（或负责人）或授权委托代表人签字并加盖单位公章后生效,生效后至张家港市政府采购管理中心备案。</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1</w:t>
      </w:r>
      <w:r>
        <w:rPr>
          <w:rStyle w:val="1048"/>
          <w:rFonts w:hint="eastAsia" w:cs="宋体"/>
          <w:bCs/>
          <w:color w:val="000000"/>
          <w:sz w:val="24"/>
          <w:lang w:val="en-US" w:eastAsia="zh-CN"/>
        </w:rPr>
        <w:t xml:space="preserve">8</w:t>
      </w:r>
      <w:r>
        <w:rPr>
          <w:rStyle w:val="1048"/>
          <w:rFonts w:hint="eastAsia" w:ascii="宋体" w:hAnsi="宋体" w:eastAsia="宋体" w:cs="宋体"/>
          <w:bCs/>
          <w:color w:val="000000"/>
          <w:sz w:val="24"/>
        </w:rPr>
        <w:t xml:space="preserve">.2 本合同未尽事宜，遵照《民法典》合同编经甲乙双方协商一致可签订补充协议。</w:t>
      </w:r>
      <w:r/>
    </w:p>
    <w:p>
      <w:pPr>
        <w:pStyle w:val="1080"/>
        <w:ind w:firstLine="482"/>
        <w:keepLines w:val="0"/>
        <w:keepNext w:val="0"/>
        <w:pageBreakBefore w:val="0"/>
        <w:spacing w:line="420" w:lineRule="exact"/>
        <w:widowControl w:val="off"/>
        <w:rPr>
          <w:rStyle w:val="1048"/>
          <w:rFonts w:hint="eastAsia" w:ascii="宋体" w:hAnsi="宋体" w:eastAsia="宋体" w:cs="宋体"/>
          <w:bCs/>
          <w:color w:val="000000"/>
          <w:sz w:val="24"/>
        </w:rPr>
      </w:pPr>
      <w:r>
        <w:rPr>
          <w:rStyle w:val="1048"/>
          <w:rFonts w:hint="eastAsia" w:ascii="宋体" w:hAnsi="宋体" w:eastAsia="宋体" w:cs="宋体"/>
          <w:bCs/>
          <w:color w:val="000000"/>
          <w:sz w:val="24"/>
        </w:rPr>
        <w:t xml:space="preserve">1</w:t>
      </w:r>
      <w:r>
        <w:rPr>
          <w:rStyle w:val="1048"/>
          <w:rFonts w:hint="eastAsia" w:cs="宋体"/>
          <w:bCs/>
          <w:color w:val="000000"/>
          <w:sz w:val="24"/>
          <w:lang w:val="en-US" w:eastAsia="zh-CN"/>
        </w:rPr>
        <w:t xml:space="preserve">8</w:t>
      </w:r>
      <w:r>
        <w:rPr>
          <w:rStyle w:val="1048"/>
          <w:rFonts w:hint="eastAsia" w:ascii="宋体" w:hAnsi="宋体" w:eastAsia="宋体" w:cs="宋体"/>
          <w:bCs/>
          <w:color w:val="000000"/>
          <w:sz w:val="24"/>
        </w:rPr>
        <w:t xml:space="preserve">.3本合同正本一式</w:t>
      </w:r>
      <w:r>
        <w:rPr>
          <w:rStyle w:val="1048"/>
          <w:rFonts w:hint="eastAsia" w:ascii="宋体" w:hAnsi="宋体" w:eastAsia="宋体" w:cs="宋体"/>
          <w:bCs/>
          <w:color w:val="000000"/>
          <w:sz w:val="24"/>
          <w:lang w:val="en-US" w:eastAsia="zh-CN"/>
        </w:rPr>
        <w:t xml:space="preserve">六</w:t>
      </w:r>
      <w:r>
        <w:rPr>
          <w:rStyle w:val="1048"/>
          <w:rFonts w:hint="eastAsia" w:ascii="宋体" w:hAnsi="宋体" w:eastAsia="宋体" w:cs="宋体"/>
          <w:bCs/>
          <w:color w:val="000000"/>
          <w:sz w:val="24"/>
        </w:rPr>
        <w:t xml:space="preserve">份，具有同等法律效力，甲</w:t>
      </w:r>
      <w:r>
        <w:rPr>
          <w:rStyle w:val="1048"/>
          <w:rFonts w:hint="eastAsia" w:ascii="宋体" w:hAnsi="宋体" w:eastAsia="宋体" w:cs="宋体"/>
          <w:bCs/>
          <w:color w:val="000000"/>
          <w:sz w:val="24"/>
          <w:lang w:val="en-US" w:eastAsia="zh-CN"/>
        </w:rPr>
        <w:t xml:space="preserve">方</w:t>
      </w:r>
      <w:r>
        <w:rPr>
          <w:rStyle w:val="1048"/>
          <w:rFonts w:hint="eastAsia" w:ascii="宋体" w:hAnsi="宋体" w:eastAsia="宋体" w:cs="宋体"/>
          <w:bCs/>
          <w:color w:val="000000"/>
          <w:sz w:val="24"/>
        </w:rPr>
        <w:t xml:space="preserve">三份，乙方、采购代理机构</w:t>
      </w:r>
      <w:r>
        <w:rPr>
          <w:rStyle w:val="1048"/>
          <w:rFonts w:hint="eastAsia" w:ascii="宋体" w:hAnsi="宋体" w:eastAsia="宋体" w:cs="宋体"/>
          <w:bCs/>
          <w:color w:val="000000"/>
          <w:sz w:val="24"/>
          <w:lang w:eastAsia="zh-CN"/>
        </w:rPr>
        <w:t xml:space="preserve">、</w:t>
      </w:r>
      <w:r>
        <w:rPr>
          <w:rStyle w:val="1048"/>
          <w:rFonts w:hint="eastAsia" w:ascii="宋体" w:hAnsi="宋体" w:eastAsia="宋体" w:cs="宋体"/>
          <w:bCs/>
          <w:color w:val="000000"/>
          <w:sz w:val="24"/>
          <w:lang w:val="en-US" w:eastAsia="zh-CN"/>
        </w:rPr>
        <w:t xml:space="preserve">张家港市政府采购管理中心</w:t>
      </w:r>
      <w:r>
        <w:rPr>
          <w:rStyle w:val="1048"/>
          <w:rFonts w:hint="eastAsia" w:ascii="宋体" w:hAnsi="宋体" w:eastAsia="宋体" w:cs="宋体"/>
          <w:bCs/>
          <w:color w:val="000000"/>
          <w:sz w:val="24"/>
        </w:rPr>
        <w:t xml:space="preserve">各执一份。</w:t>
      </w:r>
      <w:r/>
    </w:p>
    <w:p>
      <w:pPr>
        <w:pStyle w:val="1080"/>
        <w:rPr>
          <w:rStyle w:val="1048"/>
          <w:rFonts w:hint="eastAsia" w:ascii="宋体" w:hAnsi="宋体" w:eastAsia="宋体" w:cs="宋体"/>
          <w:bCs/>
          <w:color w:val="000000"/>
          <w:sz w:val="24"/>
        </w:rPr>
      </w:pPr>
      <w:r>
        <w:rPr>
          <w:rFonts w:hint="eastAsia" w:ascii="宋体" w:hAnsi="宋体" w:eastAsia="宋体" w:cs="宋体"/>
          <w:bCs/>
          <w:color w:val="000000"/>
          <w:sz w:val="24"/>
        </w:rPr>
      </w:r>
      <w:r/>
    </w:p>
    <w:tbl>
      <w:tblPr>
        <w:tblStyle w:val="869"/>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8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8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8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8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89"/>
              <w:jc w:val="right"/>
              <w:keepLines w:val="0"/>
              <w:keepNext w:val="0"/>
              <w:pageBreakBefore w:val="0"/>
              <w:spacing w:line="400" w:lineRule="exact"/>
              <w:widowControl w:val="off"/>
              <w:rPr>
                <w:rStyle w:val="1048"/>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52"/>
              <w:ind w:left="0" w:right="0" w:firstLine="0"/>
              <w:jc w:val="left"/>
              <w:keepLines w:val="0"/>
              <w:keepNext w:val="0"/>
              <w:pageBreakBefore w:val="0"/>
              <w:spacing w:after="0" w:line="400" w:lineRule="exact"/>
              <w:widowControl w:val="off"/>
              <w:rPr>
                <w:rFonts w:hint="default" w:ascii="宋体" w:hAnsi="宋体" w:eastAsia="宋体" w:cs="宋体"/>
                <w:b w:val="0"/>
                <w:sz w:val="24"/>
                <w:szCs w:val="24"/>
                <w:lang w:val="en-US" w:eastAsia="zh-CN" w:bidi="ar-SA"/>
              </w:rPr>
              <w:outlineLvl w:val="9"/>
            </w:pPr>
            <w:r>
              <w:rPr>
                <w:rStyle w:val="1048"/>
                <w:rFonts w:hint="eastAsia" w:ascii="宋体" w:hAnsi="宋体" w:cs="宋体"/>
                <w:b w:val="0"/>
                <w:sz w:val="22"/>
                <w:szCs w:val="22"/>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89"/>
              <w:jc w:val="center"/>
              <w:keepLines w:val="0"/>
              <w:keepNext w:val="0"/>
              <w:pageBreakBefore w:val="0"/>
              <w:spacing w:line="400" w:lineRule="exact"/>
              <w:widowControl w:val="off"/>
              <w:rPr>
                <w:rFonts w:hint="default" w:ascii="宋体" w:hAnsi="宋体" w:eastAsia="宋体" w:cs="宋体"/>
                <w:b w:val="0"/>
                <w:sz w:val="24"/>
                <w:szCs w:val="24"/>
                <w:lang w:val="en-US" w:eastAsia="zh-CN" w:bidi="ar-SA"/>
              </w:rPr>
              <w:outlineLvl w:val="9"/>
            </w:pPr>
            <w:r>
              <w:rPr>
                <w:rStyle w:val="1048"/>
                <w:rFonts w:hint="eastAsia" w:ascii="宋体" w:hAnsi="宋体" w:cs="宋体"/>
                <w:color w:val="000000"/>
                <w:sz w:val="24"/>
              </w:rPr>
              <w:t xml:space="preserve">张家港市政府釆购管理中心</w:t>
            </w:r>
            <w:r>
              <w:rPr>
                <w:rStyle w:val="1048"/>
                <w:rFonts w:hint="eastAsia" w:ascii="宋体" w:hAnsi="宋体" w:cs="宋体"/>
                <w:color w:val="000000"/>
                <w:sz w:val="24"/>
                <w:lang w:eastAsia="zh-CN"/>
              </w:rPr>
              <w:t xml:space="preserve">（</w:t>
            </w:r>
            <w:r>
              <w:rPr>
                <w:rStyle w:val="1048"/>
                <w:rFonts w:hint="eastAsia" w:ascii="宋体" w:hAnsi="宋体" w:cs="宋体"/>
                <w:color w:val="000000"/>
                <w:sz w:val="24"/>
                <w:lang w:val="en-US" w:eastAsia="zh-CN"/>
              </w:rPr>
              <w:t xml:space="preserve">备案章</w:t>
            </w:r>
            <w:r>
              <w:rPr>
                <w:rStyle w:val="1048"/>
                <w:rFonts w:hint="eastAsia" w:ascii="宋体" w:hAnsi="宋体" w:cs="宋体"/>
                <w:color w:val="000000"/>
                <w:sz w:val="24"/>
                <w:lang w:eastAsia="zh-CN"/>
              </w:rPr>
              <w:t xml:space="preserve">）</w:t>
            </w:r>
            <w:r/>
          </w:p>
        </w:tc>
      </w:tr>
    </w:tbl>
    <w:p>
      <w:r/>
      <w:bookmarkEnd w:id="154"/>
      <w:bookmarkEnd w:id="155"/>
      <w:bookmarkEnd w:id="156"/>
      <w:bookmarkEnd w:id="157"/>
      <w:bookmarkEnd w:id="158"/>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2" w:name="_Toc3329"/>
      <w:r/>
      <w:bookmarkStart w:id="163" w:name="_Toc2284"/>
      <w:r/>
      <w:bookmarkStart w:id="164" w:name="_Toc25031"/>
      <w:r/>
      <w:bookmarkStart w:id="165" w:name="_Toc23760"/>
      <w:r/>
      <w:bookmarkStart w:id="166" w:name="_Toc13251"/>
      <w:r/>
      <w:bookmarkStart w:id="167" w:name="_Toc7502"/>
      <w:r/>
      <w:bookmarkStart w:id="168" w:name="_Toc26554093"/>
      <w:r/>
      <w:bookmarkStart w:id="169" w:name="_Toc120614281"/>
      <w:r/>
      <w:bookmarkStart w:id="170" w:name="_Toc49090575"/>
      <w:r>
        <w:rPr>
          <w:rFonts w:hint="eastAsia" w:ascii="宋体" w:hAnsi="宋体" w:eastAsia="宋体" w:cs="宋体"/>
          <w:b/>
          <w:bCs/>
          <w:sz w:val="32"/>
          <w:szCs w:val="32"/>
          <w:highlight w:val="none"/>
          <w:lang w:val="en-US" w:eastAsia="zh-CN" w:bidi="ar-SA"/>
        </w:rPr>
        <w:t xml:space="preserve">项目需求</w:t>
      </w:r>
      <w:bookmarkEnd w:id="162"/>
      <w:r/>
      <w:bookmarkEnd w:id="163"/>
      <w:r/>
      <w:bookmarkEnd w:id="164"/>
      <w:r/>
      <w:bookmarkEnd w:id="165"/>
      <w:r/>
      <w:bookmarkEnd w:id="166"/>
      <w:r/>
      <w:bookmarkEnd w:id="167"/>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71" w:name="_Toc6092"/>
      <w:r/>
      <w:bookmarkStart w:id="172" w:name="_Toc9671"/>
      <w:r/>
      <w:bookmarkStart w:id="173" w:name="_Toc14486"/>
      <w:r>
        <w:rPr>
          <w:rFonts w:hint="eastAsia" w:ascii="宋体" w:hAnsi="宋体" w:cs="宋体"/>
          <w:b/>
          <w:color w:val="000000"/>
          <w:sz w:val="28"/>
          <w:szCs w:val="28"/>
          <w:highlight w:val="none"/>
        </w:rPr>
        <w:t xml:space="preserve">清单</w:t>
      </w:r>
      <w:bookmarkEnd w:id="171"/>
      <w:r/>
      <w:bookmarkEnd w:id="172"/>
      <w:r/>
      <w:bookmarkEnd w:id="173"/>
      <w:r/>
      <w:r/>
    </w:p>
    <w:p>
      <w:pPr>
        <w:pStyle w:val="1094"/>
        <w:numPr>
          <w:ilvl w:val="0"/>
          <w:numId w:val="0"/>
        </w:numPr>
        <w:ind w:left="0" w:firstLine="508"/>
        <w:keepLines w:val="0"/>
        <w:keepNext w:val="0"/>
        <w:pageBreakBefore w:val="0"/>
        <w:spacing w:line="440" w:lineRule="exact"/>
        <w:widowControl/>
        <w:rPr>
          <w:rStyle w:val="1048"/>
          <w:rFonts w:ascii="宋体" w:hAnsi="宋体" w:eastAsia="宋体" w:cs="宋体"/>
          <w:b w:val="0"/>
          <w:spacing w:val="7"/>
          <w:sz w:val="24"/>
          <w:highlight w:val="none"/>
        </w:rPr>
        <w:outlineLvl w:val="2"/>
      </w:pPr>
      <w:r/>
      <w:bookmarkStart w:id="174"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1048"/>
          <w:rFonts w:ascii="宋体" w:hAnsi="宋体" w:eastAsia="宋体" w:cs="宋体"/>
          <w:b w:val="0"/>
          <w:color w:val="000000"/>
          <w:spacing w:val="7"/>
          <w:sz w:val="24"/>
          <w:highlight w:val="none"/>
        </w:rPr>
        <w:t xml:space="preserve">清单</w:t>
      </w:r>
      <w:bookmarkEnd w:id="174"/>
      <w:r/>
      <w:r/>
    </w:p>
    <w:tbl>
      <w:tblPr>
        <w:tblStyle w:val="869"/>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2506"/>
        <w:gridCol w:w="900"/>
        <w:gridCol w:w="736"/>
        <w:gridCol w:w="3402"/>
        <w:gridCol w:w="725"/>
        <w:gridCol w:w="819"/>
      </w:tblGrid>
      <w:tr>
        <w:trPr>
          <w:jc w:val="center"/>
          <w:trHeight w:val="275"/>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rPr>
              <w:outlineLvl w:val="9"/>
            </w:pPr>
            <w:r>
              <w:rPr>
                <w:rStyle w:val="1048"/>
                <w:rFonts w:ascii="宋体" w:hAnsi="宋体" w:eastAsia="宋体" w:cs="宋体"/>
                <w:b w:val="0"/>
                <w:color w:val="000000"/>
                <w:sz w:val="24"/>
                <w:szCs w:val="24"/>
              </w:rPr>
              <w:t xml:space="preserve">序号</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rPr>
              <w:outlineLvl w:val="9"/>
            </w:pPr>
            <w:r>
              <w:rPr>
                <w:rStyle w:val="1048"/>
                <w:rFonts w:ascii="宋体" w:hAnsi="宋体" w:eastAsia="宋体" w:cs="宋体"/>
                <w:b w:val="0"/>
                <w:color w:val="000000"/>
                <w:sz w:val="24"/>
                <w:szCs w:val="24"/>
              </w:rPr>
              <w:t xml:space="preserve">名称</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rPr>
              <w:outlineLvl w:val="9"/>
            </w:pPr>
            <w:r>
              <w:rPr>
                <w:rStyle w:val="1048"/>
                <w:rFonts w:ascii="宋体" w:hAnsi="宋体" w:eastAsia="宋体" w:cs="宋体"/>
                <w:b w:val="0"/>
                <w:color w:val="000000"/>
                <w:sz w:val="24"/>
                <w:szCs w:val="24"/>
              </w:rPr>
              <w:t xml:space="preserve">数量</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rPr>
              <w:outlineLvl w:val="9"/>
            </w:pPr>
            <w:r>
              <w:rPr>
                <w:rStyle w:val="1048"/>
                <w:rFonts w:ascii="宋体" w:hAnsi="宋体" w:eastAsia="宋体" w:cs="宋体"/>
                <w:b w:val="0"/>
                <w:color w:val="000000"/>
                <w:sz w:val="24"/>
                <w:szCs w:val="24"/>
              </w:rPr>
              <w:t xml:space="preserve">单位</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rPr>
              <w:outlineLvl w:val="9"/>
            </w:pPr>
            <w:r>
              <w:rPr>
                <w:rStyle w:val="1048"/>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color w:val="000000"/>
                <w:sz w:val="24"/>
                <w:szCs w:val="24"/>
              </w:rPr>
              <w:outlineLvl w:val="9"/>
            </w:pPr>
            <w:r>
              <w:rPr>
                <w:rStyle w:val="1048"/>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color w:val="000000"/>
                <w:sz w:val="24"/>
                <w:szCs w:val="24"/>
              </w:rPr>
              <w:outlineLvl w:val="9"/>
            </w:pPr>
            <w:r>
              <w:rPr>
                <w:rStyle w:val="1048"/>
                <w:rFonts w:ascii="宋体" w:hAnsi="宋体" w:eastAsia="宋体" w:cs="宋体"/>
                <w:b w:val="0"/>
                <w:color w:val="000000"/>
                <w:sz w:val="24"/>
                <w:szCs w:val="24"/>
              </w:rPr>
              <w:t xml:space="preserve">标的属性</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1</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便携式定量包装商品净含量计量检验系统</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2</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多参数监护仪检定装置</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3</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医用数字摄影系统（DR）X射线辐射源检定装置</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4</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色谱检定用温度计</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台</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5</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单三相电能表检定装置</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6</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交流充电桩检定装置</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default" w:ascii="宋体" w:hAnsi="宋体" w:eastAsia="宋体" w:cs="宋体"/>
                <w:b w:val="0"/>
                <w:sz w:val="24"/>
                <w:szCs w:val="24"/>
                <w:highlight w:val="none"/>
                <w:lang w:val="en-US" w:eastAsia="zh-CN"/>
              </w:rPr>
              <w:t xml:space="preserve">7</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便携式防爆动态配气系统</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台</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8</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碳氢分析仪</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9</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全自动测硫仪</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r>
        <w:trPr>
          <w:jc w:val="center"/>
        </w:trPr>
        <w:tc>
          <w:tcPr>
            <w:tcMar>
              <w:top w:w="100" w:type="dxa"/>
              <w:bottom w:w="100" w:type="dxa"/>
            </w:tcMar>
            <w:tcW w:w="73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10</w:t>
            </w:r>
            <w:r/>
          </w:p>
        </w:tc>
        <w:tc>
          <w:tcPr>
            <w:tcMar>
              <w:top w:w="100" w:type="dxa"/>
              <w:bottom w:w="100" w:type="dxa"/>
            </w:tcMar>
            <w:tcW w:w="2506"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自动量热仪</w:t>
            </w:r>
            <w:r/>
          </w:p>
        </w:tc>
        <w:tc>
          <w:tcPr>
            <w:tcMar>
              <w:top w:w="100" w:type="dxa"/>
              <w:bottom w:w="100" w:type="dxa"/>
            </w:tcMar>
            <w:tcW w:w="900" w:type="dxa"/>
            <w:vAlign w:val="center"/>
            <w:textDirection w:val="lrTb"/>
            <w:noWrap w:val="false"/>
          </w:tcPr>
          <w:p>
            <w:pPr>
              <w:pStyle w:val="1089"/>
              <w:jc w:val="center"/>
              <w:keepLines w:val="0"/>
              <w:keepNext w:val="0"/>
              <w:pageBreakBefore w:val="0"/>
              <w:widowControl w:val="off"/>
              <w:rPr>
                <w:rStyle w:val="1048"/>
                <w:rFonts w:hint="default"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1</w:t>
            </w:r>
            <w:r/>
          </w:p>
        </w:tc>
        <w:tc>
          <w:tcPr>
            <w:tcMar>
              <w:top w:w="100" w:type="dxa"/>
              <w:bottom w:w="100" w:type="dxa"/>
            </w:tcMar>
            <w:tcW w:w="736"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4"/>
                <w:szCs w:val="24"/>
                <w:highlight w:val="none"/>
                <w:lang w:val="en-US" w:eastAsia="zh-CN"/>
              </w:rPr>
              <w:outlineLvl w:val="9"/>
            </w:pPr>
            <w:r>
              <w:rPr>
                <w:rStyle w:val="1048"/>
                <w:rFonts w:hint="eastAsia" w:ascii="宋体" w:hAnsi="宋体" w:eastAsia="宋体" w:cs="宋体"/>
                <w:b w:val="0"/>
                <w:sz w:val="24"/>
                <w:szCs w:val="24"/>
                <w:highlight w:val="none"/>
                <w:lang w:val="en-US" w:eastAsia="zh-CN"/>
              </w:rPr>
              <w:t xml:space="preserve">套</w:t>
            </w:r>
            <w:r/>
          </w:p>
        </w:tc>
        <w:tc>
          <w:tcPr>
            <w:tcMar>
              <w:top w:w="100" w:type="dxa"/>
              <w:bottom w:w="100" w:type="dxa"/>
            </w:tcMar>
            <w:tcW w:w="3402" w:type="dxa"/>
            <w:vAlign w:val="center"/>
            <w:textDirection w:val="lrTb"/>
            <w:noWrap w:val="false"/>
          </w:tcPr>
          <w:p>
            <w:pPr>
              <w:pStyle w:val="1089"/>
              <w:jc w:val="center"/>
              <w:keepLines w:val="0"/>
              <w:keepNext w:val="0"/>
              <w:pageBreakBefore w:val="0"/>
              <w:widowControl w:val="off"/>
              <w:rPr>
                <w:rStyle w:val="1048"/>
                <w:rFonts w:ascii="宋体" w:hAnsi="宋体" w:eastAsia="宋体" w:cs="宋体"/>
                <w:b w:val="0"/>
                <w:sz w:val="28"/>
                <w:szCs w:val="28"/>
                <w:lang w:val="en-US" w:eastAsia="zh-CN"/>
              </w:rPr>
              <w:outlineLvl w:val="9"/>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tcMar>
              <w:top w:w="100" w:type="dxa"/>
              <w:bottom w:w="100" w:type="dxa"/>
            </w:tcMar>
            <w:tcW w:w="725"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9"/>
              <w:jc w:val="center"/>
              <w:keepLines w:val="0"/>
              <w:keepNext w:val="0"/>
              <w:pageBreakBefore w:val="0"/>
              <w:widowControl w:val="off"/>
              <w:rPr>
                <w:rStyle w:val="1048"/>
                <w:rFonts w:hint="eastAsia" w:ascii="宋体" w:hAnsi="宋体" w:eastAsia="宋体" w:cs="宋体"/>
                <w:b w:val="0"/>
                <w:sz w:val="24"/>
                <w:szCs w:val="24"/>
                <w:lang w:val="en-US" w:eastAsia="zh-CN"/>
              </w:rPr>
              <w:outlineLvl w:val="9"/>
            </w:pPr>
            <w:r>
              <w:rPr>
                <w:rStyle w:val="1048"/>
                <w:rFonts w:hint="eastAsia" w:ascii="宋体" w:hAnsi="宋体" w:eastAsia="宋体" w:cs="宋体"/>
                <w:b w:val="0"/>
                <w:sz w:val="24"/>
                <w:szCs w:val="24"/>
                <w:lang w:val="en-US" w:eastAsia="zh-CN"/>
              </w:rPr>
              <w:t xml:space="preserve">货物类</w:t>
            </w:r>
            <w:r/>
          </w:p>
        </w:tc>
      </w:tr>
    </w:tbl>
    <w:p>
      <w:pPr>
        <w:pStyle w:val="1095"/>
        <w:ind w:firstLine="500"/>
        <w:spacing w:line="440" w:lineRule="exact"/>
        <w:rPr>
          <w:rStyle w:val="1048"/>
          <w:rFonts w:hint="eastAsia" w:ascii="宋体" w:hAnsi="宋体" w:eastAsia="宋体" w:cs="宋体"/>
          <w:b w:val="0"/>
          <w:color w:val="000000"/>
          <w:spacing w:val="7"/>
          <w:sz w:val="24"/>
        </w:rPr>
        <w:outlineLvl w:val="9"/>
      </w:pPr>
      <w:r>
        <w:rPr>
          <w:rStyle w:val="1048"/>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11"/>
        <w:ind w:firstLine="508"/>
        <w:spacing w:line="440" w:lineRule="exact"/>
        <w:rPr>
          <w:rStyle w:val="1048"/>
          <w:rFonts w:ascii="宋体" w:hAnsi="宋体" w:eastAsia="宋体" w:cs="宋体"/>
          <w:b w:val="0"/>
          <w:spacing w:val="7"/>
          <w:sz w:val="24"/>
          <w:highlight w:val="none"/>
        </w:rPr>
        <w:outlineLvl w:val="2"/>
      </w:pPr>
      <w:r/>
      <w:bookmarkStart w:id="175" w:name="_Toc24467"/>
      <w:r>
        <w:rPr>
          <w:rStyle w:val="1048"/>
          <w:rFonts w:ascii="宋体" w:hAnsi="宋体" w:eastAsia="宋体" w:cs="宋体"/>
          <w:b w:val="0"/>
          <w:color w:val="000000"/>
          <w:spacing w:val="7"/>
          <w:sz w:val="24"/>
          <w:highlight w:val="none"/>
        </w:rPr>
        <w:t xml:space="preserve">2</w:t>
      </w:r>
      <w:r>
        <w:rPr>
          <w:rStyle w:val="1048"/>
          <w:rFonts w:hint="eastAsia" w:ascii="宋体" w:hAnsi="宋体" w:eastAsia="宋体" w:cs="宋体"/>
          <w:b w:val="0"/>
          <w:color w:val="000000"/>
          <w:spacing w:val="7"/>
          <w:sz w:val="24"/>
          <w:highlight w:val="none"/>
          <w:lang w:eastAsia="zh-CN"/>
        </w:rPr>
        <w:t xml:space="preserve">、</w:t>
      </w:r>
      <w:r>
        <w:rPr>
          <w:rStyle w:val="1048"/>
          <w:rFonts w:ascii="宋体" w:hAnsi="宋体" w:eastAsia="宋体" w:cs="宋体"/>
          <w:b w:val="0"/>
          <w:color w:val="000000"/>
          <w:spacing w:val="7"/>
          <w:sz w:val="24"/>
          <w:highlight w:val="none"/>
        </w:rPr>
        <w:t xml:space="preserve">核心产品清单</w:t>
      </w:r>
      <w:bookmarkEnd w:id="175"/>
      <w:r/>
      <w:r/>
    </w:p>
    <w:tbl>
      <w:tblPr>
        <w:tblStyle w:val="86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20"/>
        <w:gridCol w:w="8242"/>
      </w:tblGrid>
      <w:tr>
        <w:trPr/>
        <w:tc>
          <w:tcPr>
            <w:tcMar>
              <w:top w:w="100" w:type="dxa"/>
              <w:bottom w:w="100" w:type="dxa"/>
            </w:tcMar>
            <w:tcW w:w="1720" w:type="dxa"/>
            <w:vAlign w:val="center"/>
            <w:textDirection w:val="lrTb"/>
            <w:noWrap w:val="false"/>
          </w:tcPr>
          <w:p>
            <w:pPr>
              <w:pStyle w:val="1096"/>
              <w:jc w:val="center"/>
              <w:rPr>
                <w:rStyle w:val="1048"/>
                <w:rFonts w:ascii="宋体" w:hAnsi="宋体" w:eastAsia="宋体" w:cs="宋体"/>
                <w:b w:val="0"/>
                <w:sz w:val="24"/>
                <w:szCs w:val="24"/>
              </w:rPr>
            </w:pPr>
            <w:r>
              <w:rPr>
                <w:rStyle w:val="1048"/>
                <w:rFonts w:ascii="宋体" w:hAnsi="宋体" w:eastAsia="宋体" w:cs="宋体"/>
                <w:b w:val="0"/>
                <w:color w:val="000000"/>
                <w:sz w:val="24"/>
                <w:szCs w:val="24"/>
              </w:rPr>
              <w:t xml:space="preserve">序号</w:t>
            </w:r>
            <w:r/>
          </w:p>
        </w:tc>
        <w:tc>
          <w:tcPr>
            <w:tcMar>
              <w:top w:w="100" w:type="dxa"/>
              <w:bottom w:w="100" w:type="dxa"/>
            </w:tcMar>
            <w:tcW w:w="8242" w:type="dxa"/>
            <w:vAlign w:val="center"/>
            <w:textDirection w:val="lrTb"/>
            <w:noWrap w:val="false"/>
          </w:tcPr>
          <w:p>
            <w:pPr>
              <w:pStyle w:val="1096"/>
              <w:jc w:val="center"/>
              <w:rPr>
                <w:rStyle w:val="1048"/>
                <w:rFonts w:ascii="宋体" w:hAnsi="宋体" w:eastAsia="宋体" w:cs="宋体"/>
                <w:b w:val="0"/>
                <w:sz w:val="24"/>
                <w:szCs w:val="24"/>
              </w:rPr>
            </w:pPr>
            <w:r>
              <w:rPr>
                <w:rStyle w:val="1048"/>
                <w:rFonts w:ascii="宋体" w:hAnsi="宋体" w:eastAsia="宋体" w:cs="宋体"/>
                <w:b w:val="0"/>
                <w:color w:val="000000"/>
                <w:sz w:val="24"/>
                <w:szCs w:val="24"/>
              </w:rPr>
              <w:t xml:space="preserve">名称</w:t>
            </w:r>
            <w:r/>
          </w:p>
        </w:tc>
      </w:tr>
      <w:tr>
        <w:trPr/>
        <w:tc>
          <w:tcPr>
            <w:tcMar>
              <w:top w:w="100" w:type="dxa"/>
              <w:bottom w:w="100" w:type="dxa"/>
            </w:tcMar>
            <w:tcW w:w="1720" w:type="dxa"/>
            <w:vAlign w:val="center"/>
            <w:textDirection w:val="lrTb"/>
            <w:noWrap w:val="false"/>
          </w:tcPr>
          <w:p>
            <w:pPr>
              <w:pStyle w:val="1096"/>
              <w:jc w:val="center"/>
              <w:rPr>
                <w:rStyle w:val="1048"/>
                <w:rFonts w:ascii="宋体" w:hAnsi="宋体" w:eastAsia="宋体" w:cs="宋体"/>
                <w:b w:val="0"/>
                <w:sz w:val="24"/>
                <w:szCs w:val="24"/>
              </w:rPr>
            </w:pPr>
            <w:r>
              <w:rPr>
                <w:rStyle w:val="1048"/>
                <w:rFonts w:ascii="宋体" w:hAnsi="宋体" w:eastAsia="宋体" w:cs="宋体"/>
                <w:b w:val="0"/>
                <w:color w:val="000000"/>
                <w:sz w:val="24"/>
                <w:szCs w:val="24"/>
              </w:rPr>
              <w:t xml:space="preserve">1</w:t>
            </w:r>
            <w:r/>
          </w:p>
        </w:tc>
        <w:tc>
          <w:tcPr>
            <w:tcMar>
              <w:top w:w="100" w:type="dxa"/>
              <w:bottom w:w="100" w:type="dxa"/>
            </w:tcMar>
            <w:tcW w:w="8242" w:type="dxa"/>
            <w:vAlign w:val="center"/>
            <w:textDirection w:val="lrTb"/>
            <w:noWrap w:val="false"/>
          </w:tcPr>
          <w:p>
            <w:pPr>
              <w:pStyle w:val="1096"/>
              <w:jc w:val="center"/>
              <w:rPr>
                <w:rStyle w:val="1048"/>
                <w:rFonts w:ascii="宋体" w:hAnsi="宋体" w:eastAsia="宋体" w:cs="宋体"/>
                <w:b w:val="0"/>
                <w:sz w:val="24"/>
                <w:szCs w:val="24"/>
              </w:rPr>
            </w:pPr>
            <w:r>
              <w:rPr>
                <w:rStyle w:val="1048"/>
                <w:rFonts w:hint="eastAsia" w:ascii="宋体" w:hAnsi="宋体" w:eastAsia="宋体" w:cs="宋体"/>
                <w:b w:val="0"/>
                <w:sz w:val="24"/>
                <w:szCs w:val="24"/>
                <w:highlight w:val="none"/>
                <w:lang w:val="en-US" w:eastAsia="zh-CN"/>
              </w:rPr>
              <w:t xml:space="preserve">多参数监护仪检定装置</w:t>
            </w:r>
            <w:r/>
          </w:p>
        </w:tc>
      </w:tr>
      <w:tr>
        <w:trPr/>
        <w:tc>
          <w:tcPr>
            <w:tcMar>
              <w:top w:w="100" w:type="dxa"/>
              <w:bottom w:w="100" w:type="dxa"/>
            </w:tcMar>
            <w:tcW w:w="1720" w:type="dxa"/>
            <w:vAlign w:val="center"/>
            <w:textDirection w:val="lrTb"/>
            <w:noWrap w:val="false"/>
          </w:tcPr>
          <w:p>
            <w:pPr>
              <w:pStyle w:val="1096"/>
              <w:jc w:val="center"/>
              <w:rPr>
                <w:rStyle w:val="1048"/>
                <w:rFonts w:hint="eastAsia" w:ascii="宋体" w:hAnsi="宋体" w:eastAsia="宋体" w:cs="宋体"/>
                <w:b w:val="0"/>
                <w:color w:val="000000"/>
                <w:sz w:val="24"/>
                <w:szCs w:val="24"/>
                <w:lang w:val="en-US" w:eastAsia="zh-CN"/>
              </w:rPr>
            </w:pPr>
            <w:r>
              <w:rPr>
                <w:rStyle w:val="1048"/>
                <w:rFonts w:hint="eastAsia" w:ascii="宋体" w:hAnsi="宋体" w:eastAsia="宋体" w:cs="宋体"/>
                <w:b w:val="0"/>
                <w:color w:val="000000"/>
                <w:sz w:val="24"/>
                <w:szCs w:val="24"/>
                <w:lang w:val="en-US" w:eastAsia="zh-CN"/>
              </w:rPr>
              <w:t xml:space="preserve">2</w:t>
            </w:r>
            <w:r/>
          </w:p>
        </w:tc>
        <w:tc>
          <w:tcPr>
            <w:tcMar>
              <w:top w:w="100" w:type="dxa"/>
              <w:bottom w:w="100" w:type="dxa"/>
            </w:tcMar>
            <w:tcW w:w="8242" w:type="dxa"/>
            <w:vAlign w:val="center"/>
            <w:textDirection w:val="lrTb"/>
            <w:noWrap w:val="false"/>
          </w:tcPr>
          <w:p>
            <w:pPr>
              <w:pStyle w:val="1096"/>
              <w:jc w:val="center"/>
              <w:rPr>
                <w:rStyle w:val="1048"/>
                <w:rFonts w:ascii="宋体" w:hAnsi="宋体" w:eastAsia="宋体" w:cs="宋体"/>
                <w:b w:val="0"/>
                <w:sz w:val="24"/>
                <w:szCs w:val="24"/>
              </w:rPr>
            </w:pPr>
            <w:r>
              <w:rPr>
                <w:rStyle w:val="1048"/>
                <w:rFonts w:hint="eastAsia" w:ascii="宋体" w:hAnsi="宋体" w:eastAsia="宋体" w:cs="宋体"/>
                <w:b w:val="0"/>
                <w:sz w:val="24"/>
                <w:szCs w:val="24"/>
                <w:highlight w:val="none"/>
                <w:lang w:val="en-US" w:eastAsia="zh-CN"/>
              </w:rPr>
              <w:t xml:space="preserve">单三相电能表检定装置</w:t>
            </w:r>
            <w:r/>
          </w:p>
        </w:tc>
      </w:tr>
    </w:tbl>
    <w:p>
      <w:pPr>
        <w:pStyle w:val="1112"/>
        <w:ind w:firstLine="508"/>
        <w:spacing w:line="440" w:lineRule="exact"/>
        <w:rPr>
          <w:rStyle w:val="1048"/>
          <w:rFonts w:hint="eastAsia" w:ascii="宋体" w:hAnsi="宋体" w:eastAsia="宋体" w:cs="宋体"/>
          <w:b w:val="0"/>
          <w:color w:val="000000"/>
          <w:spacing w:val="7"/>
          <w:sz w:val="24"/>
        </w:rPr>
        <w:outlineLvl w:val="9"/>
      </w:pPr>
      <w:r>
        <w:rPr>
          <w:rStyle w:val="1048"/>
          <w:rFonts w:hint="eastAsia" w:ascii="宋体" w:hAnsi="宋体" w:eastAsia="宋体" w:cs="宋体"/>
          <w:b w:val="0"/>
          <w:color w:val="000000"/>
          <w:spacing w:val="7"/>
          <w:sz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12"/>
        <w:ind w:firstLine="508"/>
        <w:spacing w:line="440" w:lineRule="exact"/>
        <w:rPr>
          <w:rStyle w:val="1048"/>
          <w:rFonts w:ascii="宋体" w:hAnsi="宋体" w:eastAsia="宋体" w:cs="宋体"/>
          <w:b w:val="0"/>
          <w:color w:val="000000"/>
          <w:spacing w:val="7"/>
          <w:sz w:val="24"/>
        </w:rPr>
        <w:outlineLvl w:val="9"/>
      </w:pPr>
      <w:r>
        <w:rPr>
          <w:rStyle w:val="1048"/>
          <w:rFonts w:hint="eastAsia" w:ascii="宋体" w:hAnsi="宋体" w:eastAsia="宋体" w:cs="宋体"/>
          <w:b w:val="0"/>
          <w:color w:val="000000"/>
          <w:spacing w:val="7"/>
          <w:sz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12"/>
        <w:ind w:firstLine="508"/>
        <w:spacing w:line="440" w:lineRule="exact"/>
        <w:rPr>
          <w:rStyle w:val="1048"/>
          <w:rFonts w:ascii="宋体" w:hAnsi="宋体" w:eastAsia="宋体" w:cs="宋体"/>
          <w:b w:val="0"/>
          <w:spacing w:val="7"/>
          <w:sz w:val="24"/>
        </w:rPr>
        <w:outlineLvl w:val="9"/>
      </w:pPr>
      <w:r>
        <w:rPr>
          <w:rStyle w:val="1048"/>
          <w:rFonts w:ascii="宋体" w:hAnsi="宋体" w:eastAsia="宋体" w:cs="宋体"/>
          <w:b w:val="0"/>
          <w:color w:val="000000"/>
          <w:spacing w:val="7"/>
          <w:sz w:val="24"/>
        </w:rPr>
        <w:t xml:space="preserve">3</w:t>
      </w:r>
      <w:r>
        <w:rPr>
          <w:rStyle w:val="1048"/>
          <w:rFonts w:hint="eastAsia" w:ascii="宋体" w:hAnsi="宋体" w:eastAsia="宋体" w:cs="宋体"/>
          <w:b w:val="0"/>
          <w:color w:val="000000"/>
          <w:spacing w:val="7"/>
          <w:sz w:val="24"/>
          <w:lang w:eastAsia="zh-CN"/>
        </w:rPr>
        <w:t xml:space="preserve">、</w:t>
      </w:r>
      <w:r>
        <w:rPr>
          <w:rStyle w:val="1048"/>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112"/>
        <w:ind w:firstLine="508"/>
        <w:spacing w:line="440" w:lineRule="exact"/>
        <w:rPr>
          <w:rStyle w:val="1048"/>
          <w:rFonts w:ascii="宋体" w:hAnsi="宋体" w:eastAsia="宋体" w:cs="宋体"/>
          <w:b w:val="0"/>
          <w:color w:val="000000"/>
          <w:spacing w:val="7"/>
          <w:sz w:val="24"/>
        </w:rPr>
        <w:outlineLvl w:val="9"/>
      </w:pPr>
      <w:r>
        <w:rPr>
          <w:rStyle w:val="1048"/>
          <w:rFonts w:ascii="宋体" w:hAnsi="宋体" w:eastAsia="宋体" w:cs="宋体"/>
          <w:b w:val="0"/>
          <w:color w:val="000000"/>
          <w:spacing w:val="7"/>
          <w:sz w:val="24"/>
        </w:rPr>
        <w:t xml:space="preserve">节能产品政府采购品目清单： </w:t>
      </w:r>
      <w:r/>
    </w:p>
    <w:p>
      <w:pPr>
        <w:pStyle w:val="1112"/>
        <w:ind w:firstLine="508"/>
        <w:spacing w:line="440" w:lineRule="exact"/>
        <w:rPr>
          <w:rStyle w:val="1048"/>
          <w:rFonts w:ascii="宋体" w:hAnsi="宋体" w:eastAsia="宋体" w:cs="宋体"/>
          <w:b w:val="0"/>
          <w:spacing w:val="7"/>
          <w:sz w:val="24"/>
        </w:rPr>
        <w:outlineLvl w:val="9"/>
      </w:pPr>
      <w:r>
        <w:rPr>
          <w:rStyle w:val="1048"/>
          <w:rFonts w:ascii="宋体" w:hAnsi="宋体" w:eastAsia="宋体" w:cs="宋体"/>
          <w:b w:val="0"/>
          <w:color w:val="000000"/>
          <w:spacing w:val="7"/>
          <w:sz w:val="24"/>
        </w:rPr>
        <w:t xml:space="preserve">无 </w:t>
      </w:r>
      <w:r/>
    </w:p>
    <w:p>
      <w:pPr>
        <w:pStyle w:val="1113"/>
        <w:ind w:firstLine="508"/>
        <w:spacing w:line="440" w:lineRule="exact"/>
        <w:rPr>
          <w:rStyle w:val="1048"/>
          <w:rFonts w:hint="eastAsia" w:ascii="宋体" w:hAnsi="宋体" w:eastAsia="宋体" w:cs="宋体"/>
          <w:b w:val="0"/>
          <w:color w:val="000000"/>
          <w:spacing w:val="7"/>
          <w:sz w:val="24"/>
          <w:lang w:eastAsia="zh-CN"/>
        </w:rPr>
        <w:outlineLvl w:val="9"/>
      </w:pPr>
      <w:r>
        <w:rPr>
          <w:rStyle w:val="1048"/>
          <w:rFonts w:ascii="宋体" w:hAnsi="宋体" w:eastAsia="宋体" w:cs="宋体"/>
          <w:b w:val="0"/>
          <w:color w:val="000000"/>
          <w:spacing w:val="7"/>
          <w:sz w:val="24"/>
        </w:rPr>
        <w:t xml:space="preserve">环境标志产品政府采购品目清单</w:t>
      </w:r>
      <w:r>
        <w:rPr>
          <w:rStyle w:val="1048"/>
          <w:rFonts w:hint="eastAsia" w:ascii="宋体" w:hAnsi="宋体" w:eastAsia="宋体" w:cs="宋体"/>
          <w:b w:val="0"/>
          <w:color w:val="000000"/>
          <w:spacing w:val="7"/>
          <w:sz w:val="24"/>
          <w:lang w:eastAsia="zh-CN"/>
        </w:rPr>
        <w:t xml:space="preserve">：</w:t>
      </w:r>
      <w:r/>
    </w:p>
    <w:p>
      <w:pPr>
        <w:pStyle w:val="1113"/>
        <w:ind w:firstLine="508"/>
        <w:spacing w:line="440" w:lineRule="exact"/>
        <w:rPr>
          <w:rStyle w:val="1048"/>
          <w:rFonts w:ascii="宋体" w:hAnsi="宋体" w:eastAsia="宋体" w:cs="宋体"/>
          <w:b w:val="0"/>
          <w:color w:val="000000"/>
          <w:spacing w:val="7"/>
          <w:sz w:val="24"/>
        </w:rPr>
        <w:outlineLvl w:val="9"/>
      </w:pPr>
      <w:r>
        <w:rPr>
          <w:rStyle w:val="1048"/>
          <w:rFonts w:ascii="宋体" w:hAnsi="宋体" w:eastAsia="宋体" w:cs="宋体"/>
          <w:b w:val="0"/>
          <w:color w:val="000000"/>
          <w:spacing w:val="7"/>
          <w:sz w:val="24"/>
        </w:rPr>
        <w:t xml:space="preserve">无</w:t>
      </w:r>
      <w:r/>
    </w:p>
    <w:p>
      <w:pPr>
        <w:pStyle w:val="1095"/>
        <w:ind w:firstLine="508"/>
        <w:keepLines w:val="0"/>
        <w:keepNext w:val="0"/>
        <w:pageBreakBefore w:val="0"/>
        <w:spacing w:line="440" w:lineRule="exact"/>
        <w:rPr>
          <w:rStyle w:val="1124"/>
          <w:rFonts w:hint="eastAsia" w:ascii="宋体" w:hAnsi="宋体" w:eastAsia="宋体" w:cs="宋体"/>
          <w:b w:val="0"/>
          <w:color w:val="auto"/>
          <w:spacing w:val="7"/>
          <w:sz w:val="24"/>
          <w:szCs w:val="24"/>
        </w:rPr>
        <w:outlineLvl w:val="9"/>
      </w:pPr>
      <w:r>
        <w:rPr>
          <w:rStyle w:val="1124"/>
          <w:rFonts w:hint="eastAsia" w:ascii="宋体" w:hAnsi="宋体" w:eastAsia="宋体" w:cs="宋体"/>
          <w:b w:val="0"/>
          <w:color w:val="auto"/>
          <w:spacing w:val="7"/>
          <w:sz w:val="24"/>
          <w:szCs w:val="24"/>
        </w:rPr>
        <w:t xml:space="preserve">4、绿色采购其他政策： </w:t>
      </w:r>
      <w:r>
        <w:rPr>
          <w:rStyle w:val="1124"/>
          <w:rFonts w:hint="eastAsia" w:ascii="宋体" w:hAnsi="宋体" w:eastAsia="宋体" w:cs="宋体"/>
          <w:b w:val="0"/>
          <w:color w:val="auto"/>
          <w:spacing w:val="7"/>
          <w:sz w:val="24"/>
          <w:szCs w:val="24"/>
        </w:rPr>
        <w:br/>
      </w:r>
      <w:r>
        <w:rPr>
          <w:rStyle w:val="1124"/>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124"/>
          <w:rFonts w:hint="eastAsia" w:ascii="宋体" w:hAnsi="宋体" w:eastAsia="宋体" w:cs="宋体"/>
          <w:b w:val="0"/>
          <w:color w:val="auto"/>
          <w:spacing w:val="7"/>
          <w:sz w:val="24"/>
          <w:szCs w:val="24"/>
        </w:rPr>
        <w:br/>
      </w:r>
      <w:r>
        <w:rPr>
          <w:rStyle w:val="1124"/>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13"/>
        <w:ind w:left="0" w:firstLine="419"/>
        <w:spacing w:line="440" w:lineRule="exact"/>
        <w:rPr>
          <w:rStyle w:val="1048"/>
          <w:rFonts w:hint="eastAsia" w:ascii="宋体" w:hAnsi="宋体" w:eastAsia="宋体" w:cs="宋体"/>
          <w:b w:val="0"/>
          <w:color w:val="000000"/>
          <w:spacing w:val="7"/>
          <w:sz w:val="24"/>
          <w:highlight w:val="none"/>
        </w:rPr>
        <w:outlineLvl w:val="9"/>
      </w:pPr>
      <w:r>
        <w:rPr>
          <w:rStyle w:val="1048"/>
          <w:rFonts w:hint="eastAsia" w:ascii="宋体" w:hAnsi="宋体" w:eastAsia="宋体" w:cs="宋体"/>
          <w:b w:val="0"/>
          <w:color w:val="000000"/>
          <w:spacing w:val="7"/>
          <w:sz w:val="24"/>
          <w:highlight w:val="none"/>
        </w:rPr>
        <w:t xml:space="preserve">5、政府采购中实施本国产品标准及相关政策</w:t>
      </w:r>
      <w:r/>
    </w:p>
    <w:p>
      <w:pPr>
        <w:pStyle w:val="1113"/>
        <w:ind w:left="0" w:firstLine="419"/>
        <w:spacing w:line="440" w:lineRule="exact"/>
        <w:rPr>
          <w:rStyle w:val="1048"/>
          <w:rFonts w:hint="eastAsia" w:ascii="宋体" w:hAnsi="宋体" w:eastAsia="宋体" w:cs="宋体"/>
          <w:b w:val="0"/>
          <w:color w:val="000000"/>
          <w:spacing w:val="7"/>
          <w:sz w:val="24"/>
          <w:highlight w:val="none"/>
        </w:rPr>
        <w:outlineLvl w:val="9"/>
      </w:pPr>
      <w:r>
        <w:rPr>
          <w:rStyle w:val="1048"/>
          <w:rFonts w:hint="eastAsia" w:ascii="宋体" w:hAnsi="宋体" w:eastAsia="宋体" w:cs="宋体"/>
          <w:b w:val="0"/>
          <w:color w:val="000000"/>
          <w:spacing w:val="7"/>
          <w:sz w:val="24"/>
          <w:highlight w:val="none"/>
        </w:rPr>
        <w:t xml:space="preserve">（1）本项目对采购本国产品给予政策支持，具体内容见招标文件“第五章 评标方法与评分标准”。</w:t>
      </w:r>
      <w:r/>
    </w:p>
    <w:p>
      <w:pPr>
        <w:pStyle w:val="1113"/>
        <w:ind w:left="0" w:firstLine="419"/>
        <w:spacing w:line="440" w:lineRule="exact"/>
        <w:rPr>
          <w:rStyle w:val="1048"/>
          <w:rFonts w:hint="eastAsia" w:ascii="宋体" w:hAnsi="宋体" w:eastAsia="宋体" w:cs="宋体"/>
          <w:b w:val="0"/>
          <w:color w:val="000000"/>
          <w:spacing w:val="7"/>
          <w:sz w:val="24"/>
          <w:highlight w:val="none"/>
        </w:rPr>
        <w:outlineLvl w:val="9"/>
      </w:pPr>
      <w:r>
        <w:rPr>
          <w:rStyle w:val="1048"/>
          <w:rFonts w:hint="eastAsia" w:ascii="宋体" w:hAnsi="宋体" w:eastAsia="宋体" w:cs="宋体"/>
          <w:b w:val="0"/>
          <w:color w:val="000000"/>
          <w:spacing w:val="7"/>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13"/>
        <w:ind w:left="0" w:firstLine="419"/>
        <w:spacing w:line="440" w:lineRule="exact"/>
        <w:rPr>
          <w:rStyle w:val="1048"/>
          <w:rFonts w:hint="eastAsia" w:ascii="宋体" w:hAnsi="宋体" w:eastAsia="宋体" w:cs="宋体"/>
          <w:b w:val="0"/>
          <w:color w:val="000000"/>
          <w:spacing w:val="7"/>
          <w:sz w:val="24"/>
          <w:highlight w:val="none"/>
        </w:rPr>
        <w:outlineLvl w:val="9"/>
      </w:pPr>
      <w:r>
        <w:rPr>
          <w:rStyle w:val="1048"/>
          <w:rFonts w:hint="eastAsia" w:ascii="宋体" w:hAnsi="宋体" w:eastAsia="宋体" w:cs="宋体"/>
          <w:b w:val="0"/>
          <w:color w:val="000000"/>
          <w:spacing w:val="7"/>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6" w:name="_Toc24848"/>
      <w:r/>
      <w:bookmarkStart w:id="177" w:name="_Toc5508"/>
      <w:r/>
      <w:bookmarkStart w:id="178" w:name="_Toc25985"/>
      <w:r>
        <w:rPr>
          <w:rFonts w:hint="eastAsia" w:ascii="宋体" w:hAnsi="宋体" w:cs="宋体"/>
          <w:b/>
          <w:color w:val="000000"/>
          <w:sz w:val="28"/>
          <w:szCs w:val="28"/>
          <w:highlight w:val="none"/>
        </w:rPr>
        <w:t xml:space="preserve">技术要求</w:t>
      </w:r>
      <w:bookmarkEnd w:id="176"/>
      <w:r/>
      <w:bookmarkEnd w:id="177"/>
      <w:r/>
      <w:bookmarkEnd w:id="178"/>
      <w:r/>
      <w:r/>
    </w:p>
    <w:tbl>
      <w:tblPr>
        <w:tblStyle w:val="869"/>
        <w:tblW w:w="982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6"/>
        <w:gridCol w:w="1656"/>
        <w:gridCol w:w="7433"/>
      </w:tblGrid>
      <w:tr>
        <w:trPr>
          <w:trHeight w:val="76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W w:w="7433"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技术参数要求</w:t>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便携式定量包装商品净含量计量检验系统</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Style w:val="1138"/>
                <w:rFonts w:hint="eastAsia" w:ascii="宋体" w:hAnsi="宋体" w:eastAsia="宋体" w:cs="宋体"/>
                <w:sz w:val="22"/>
                <w:szCs w:val="22"/>
                <w:lang w:val="en-US" w:eastAsia="zh-CN" w:bidi="ar"/>
              </w:rPr>
              <w:t xml:space="preserve">1</w:t>
            </w:r>
            <w:r>
              <w:rPr>
                <w:rStyle w:val="1139"/>
                <w:rFonts w:hint="eastAsia" w:ascii="宋体" w:hAnsi="宋体" w:eastAsia="宋体" w:cs="宋体"/>
                <w:sz w:val="22"/>
                <w:szCs w:val="22"/>
                <w:lang w:val="en-US" w:eastAsia="zh-CN" w:bidi="ar"/>
              </w:rPr>
              <w:t xml:space="preserve">、硬件部分：</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1）称重部分：</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最大秤量：≥6kg；可读性：≤0.1g；典型重复性：≤1g；典型偏载性能：≤1g；稳定时间：≤1s；适用温度范围：-10℃～40℃；称重数据可直接存入系统软件；</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称重设备：尺寸不大于60mm×240mm×220mm，净重：不大于1kg。配置便携式箱体，箱体质量不大于1kg。</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2) 随系统配输入设备、条码枪、打印机等，可于现场完成抽样信息录入及输出。</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2、软件部分：</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抽样时可完成抽样单自动录入，抽样批次数无限制（可实现一家抽样单位一张抽样单）；可通过识别条形码获取被抽检的商品相关信息并自动输入记录表单；能够根据检验批量自动计算抽样数量、自动进行皮重判断处理、通过称重数据自动输出判断结论；</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支持一键摄像功能，实时记录整个检测过程，数据可追溯；受检单位一键导入功能（被监督抽查企业如果有excel表格清单，可以一键导入所有企业信息）；统计报表一键生成；</w:t>
            </w:r>
            <w:r>
              <w:rPr>
                <w:rStyle w:val="1139"/>
                <w:rFonts w:hint="eastAsia" w:ascii="宋体" w:hAnsi="宋体" w:eastAsia="宋体" w:cs="宋体"/>
                <w:sz w:val="22"/>
                <w:szCs w:val="22"/>
                <w:lang w:val="en-US" w:eastAsia="zh-CN" w:bidi="ar"/>
              </w:rPr>
              <w:br/>
            </w:r>
            <w:r>
              <w:rPr>
                <w:rStyle w:val="1139"/>
                <w:rFonts w:hint="eastAsia" w:ascii="宋体" w:hAnsi="宋体" w:eastAsia="宋体" w:cs="宋体"/>
                <w:sz w:val="22"/>
                <w:szCs w:val="22"/>
                <w:lang w:val="en-US" w:eastAsia="zh-CN" w:bidi="ar"/>
              </w:rPr>
              <w:t xml:space="preserve">整个操作系统应适用于以质量单位、体积单位、长度单位、面积单位、计数单位等五种单位标注净含量商品计量检验方法的操作，自动生成原始记录表单、抽样单、检验报告、结果通知单、未抽到样情况说明表单及统计报表等，且上述表单可自定义内容。</w:t>
            </w:r>
            <w:r>
              <w:rPr>
                <w:rStyle w:val="1139"/>
                <w:rFonts w:hint="eastAsia" w:ascii="宋体" w:hAnsi="宋体" w:eastAsia="宋体" w:cs="宋体"/>
                <w:sz w:val="22"/>
                <w:szCs w:val="22"/>
                <w:lang w:val="en-US" w:eastAsia="zh-CN" w:bidi="ar"/>
              </w:rPr>
              <w:br/>
            </w:r>
            <w:r>
              <w:rPr>
                <w:rStyle w:val="1139"/>
                <w:rFonts w:hint="eastAsia" w:ascii="宋体" w:hAnsi="宋体" w:eastAsia="宋体" w:cs="宋体"/>
                <w:i/>
                <w:iCs/>
                <w:sz w:val="22"/>
                <w:szCs w:val="22"/>
                <w:u w:val="single"/>
                <w:lang w:val="en-US" w:eastAsia="zh-CN" w:bidi="ar"/>
              </w:rPr>
              <w:t xml:space="preserve">3、</w:t>
            </w:r>
            <w:r>
              <w:rPr>
                <w:rStyle w:val="1140"/>
                <w:rFonts w:hint="eastAsia" w:ascii="宋体" w:hAnsi="宋体" w:eastAsia="宋体" w:cs="宋体"/>
                <w:sz w:val="22"/>
                <w:szCs w:val="22"/>
                <w:lang w:val="en-US" w:eastAsia="zh-CN" w:bidi="ar"/>
              </w:rPr>
              <w:t xml:space="preserve">根据JJF 1070-2023相关技术要求进行验收</w:t>
            </w:r>
            <w:r>
              <w:rPr>
                <w:rStyle w:val="1138"/>
                <w:rFonts w:hint="eastAsia" w:ascii="宋体" w:hAnsi="宋体" w:eastAsia="宋体" w:cs="宋体"/>
                <w:sz w:val="22"/>
                <w:szCs w:val="22"/>
                <w:lang w:val="en-US" w:eastAsia="zh-CN" w:bidi="ar"/>
              </w:rPr>
              <w:t xml:space="preserve">。</w:t>
            </w:r>
            <w:r>
              <w:rPr>
                <w:rStyle w:val="1139"/>
                <w:rFonts w:hint="eastAsia" w:ascii="宋体" w:hAnsi="宋体" w:eastAsia="宋体" w:cs="宋体"/>
                <w:sz w:val="22"/>
                <w:szCs w:val="22"/>
                <w:lang w:val="en-US" w:eastAsia="zh-CN" w:bidi="ar"/>
              </w:rPr>
              <w:br/>
            </w:r>
            <w:r>
              <w:rPr>
                <w:rStyle w:val="1139"/>
                <w:rFonts w:hint="eastAsia" w:ascii="宋体" w:hAnsi="宋体" w:eastAsia="宋体" w:cs="宋体"/>
                <w:i/>
                <w:iCs/>
                <w:sz w:val="22"/>
                <w:szCs w:val="22"/>
                <w:u w:val="single"/>
                <w:lang w:val="en-US" w:eastAsia="zh-CN" w:bidi="ar"/>
              </w:rPr>
              <w:t xml:space="preserve">4、</w:t>
            </w:r>
            <w:r>
              <w:rPr>
                <w:rStyle w:val="1139"/>
                <w:rFonts w:hint="eastAsia" w:ascii="宋体" w:hAnsi="宋体" w:cs="宋体"/>
                <w:i/>
                <w:iCs/>
                <w:sz w:val="22"/>
                <w:szCs w:val="22"/>
                <w:u w:val="single"/>
                <w:lang w:val="en-US" w:eastAsia="zh-CN" w:bidi="ar"/>
              </w:rPr>
              <w:t xml:space="preserve">中标后</w:t>
            </w:r>
            <w:r>
              <w:rPr>
                <w:rStyle w:val="1139"/>
                <w:rFonts w:hint="eastAsia" w:ascii="宋体" w:hAnsi="宋体" w:eastAsia="宋体" w:cs="宋体"/>
                <w:i/>
                <w:iCs/>
                <w:sz w:val="22"/>
                <w:szCs w:val="22"/>
                <w:u w:val="single"/>
                <w:lang w:val="en-US" w:eastAsia="zh-CN" w:bidi="ar"/>
              </w:rPr>
              <w:t xml:space="preserve">称重设备提供法定机构</w:t>
            </w:r>
            <w:r>
              <w:rPr>
                <w:rStyle w:val="1139"/>
                <w:rFonts w:hint="eastAsia" w:ascii="宋体" w:hAnsi="宋体" w:cs="宋体"/>
                <w:i/>
                <w:iCs/>
                <w:sz w:val="22"/>
                <w:szCs w:val="22"/>
                <w:u w:val="single"/>
                <w:lang w:val="en-US" w:eastAsia="zh-CN" w:bidi="ar"/>
              </w:rPr>
              <w:t xml:space="preserve">的</w:t>
            </w:r>
            <w:r>
              <w:rPr>
                <w:rStyle w:val="1139"/>
                <w:rFonts w:hint="eastAsia" w:ascii="宋体" w:hAnsi="宋体" w:eastAsia="宋体" w:cs="宋体"/>
                <w:i/>
                <w:iCs/>
                <w:sz w:val="22"/>
                <w:szCs w:val="22"/>
                <w:u w:val="single"/>
                <w:lang w:val="en-US" w:eastAsia="zh-CN" w:bidi="ar"/>
              </w:rPr>
              <w:t xml:space="preserve">检定证书。</w:t>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多参数监护仪检定装置</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1.性能要求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（1）符合JJG1163-2019《多参数监护仪检定规程》中7.2条款中后续检定所需计量器具的各项要求。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（2）多参数监护质量检测量仪应满足以下功能：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①大于5寸的彩色触摸屏控制，交直流两用，具有可拆卸的蓄电功能；中文操作界面；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②整机一体化设计，内置可调节的检定规程操作流程；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③具备心电、无创血压、脉搏血氧饱和度三个模块同步检定功能，三个模块互不干涉。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④心电部分：12导联ECG信号输出，支持AHA和IEC双标，采用按扣式和夹钳式ECG导联，窦性心律支持自定义心率预设值。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⑤无创血压部分：静态压力部分支持降压检定；可进行全自动连续升压或降压测量，血压模拟部分支持用户自定义模拟值。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⑥脉搏血氧饱和度部分：血氧探头具有光信号对位功能，软件显示信号强度。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⑦设备具有后期拓展功能，包括但不限于有创血压、温度、心排量、PPG等可选功能。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2.参数要求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（1）心电模拟部分：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①方波信号发生器：频率(0.2～2.5)Hz，MPE：±1%，电压峰峰值(0.5～2.0)mV，MPE：±2%；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②正弦波信号发生器：频率(0.1～100)Hz，MPE：±1%，电压峰峰值(0.5～2.0)mV，MPE：±2%；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③窦性心律信号发生器：心率范围：(30～300)次/分，MPE：±(示值的1%+1)次/分，电压峰峰值包括0.5 mV、1.0 mV、1.5 mV、2.0 mV，MPE：±2%。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（2）无创血压模拟部分：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①静态压力测量范围(0～40)kPa或(0～300)mmHg，MPE：±0.1kPa(±0.8 mmHg)；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②模拟血压测量模式应满足血压示值重复性不大于0.13kPa(1 mmHg)。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（3）脉搏血氧饱和度模拟部分：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①脉搏血氧饱和度测量范围35%～100%，重复性不大于1%，MPE：±3%(35%～74%范围内)和±2%(75%～100%范围内)；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②脉率测量范围(30～250)次/分，MPE：±(示值的1%+1)次/分。                                 </w:t>
            </w:r>
            <w:r>
              <w:rPr>
                <w:rFonts w:hint="eastAsia" w:ascii="宋体" w:hAnsi="宋体" w:eastAsia="宋体" w:cs="宋体"/>
                <w:i/>
                <w:iCs/>
                <w:color w:val="000000"/>
                <w:sz w:val="22"/>
                <w:szCs w:val="22"/>
                <w:highlight w:val="none"/>
                <w:u w:val="single"/>
                <w:lang w:val="en-US" w:eastAsia="zh-CN" w:bidi="ar"/>
              </w:rPr>
              <w:t xml:space="preserve">3、</w:t>
            </w:r>
            <w:r>
              <w:rPr>
                <w:rFonts w:hint="eastAsia" w:ascii="宋体" w:hAnsi="宋体" w:cs="宋体"/>
                <w:i/>
                <w:iCs/>
                <w:color w:val="000000"/>
                <w:sz w:val="22"/>
                <w:szCs w:val="22"/>
                <w:highlight w:val="none"/>
                <w:u w:val="single"/>
                <w:lang w:val="en-US" w:eastAsia="zh-CN" w:bidi="ar"/>
              </w:rPr>
              <w:t xml:space="preserve">中标后</w:t>
            </w:r>
            <w:r>
              <w:rPr>
                <w:rFonts w:hint="eastAsia" w:ascii="宋体" w:hAnsi="宋体" w:eastAsia="宋体" w:cs="宋体"/>
                <w:i/>
                <w:iCs/>
                <w:color w:val="000000"/>
                <w:sz w:val="22"/>
                <w:szCs w:val="22"/>
                <w:highlight w:val="none"/>
                <w:u w:val="single"/>
                <w:lang w:val="en-US" w:eastAsia="zh-CN" w:bidi="ar"/>
              </w:rPr>
              <w:t xml:space="preserve">提供法定机构</w:t>
            </w:r>
            <w:r>
              <w:rPr>
                <w:rFonts w:hint="eastAsia" w:ascii="宋体" w:hAnsi="宋体" w:cs="宋体"/>
                <w:i/>
                <w:iCs/>
                <w:color w:val="000000"/>
                <w:sz w:val="22"/>
                <w:szCs w:val="22"/>
                <w:highlight w:val="none"/>
                <w:u w:val="single"/>
                <w:lang w:val="en-US" w:eastAsia="zh-CN" w:bidi="ar"/>
              </w:rPr>
              <w:t xml:space="preserve">的</w:t>
            </w:r>
            <w:r>
              <w:rPr>
                <w:rFonts w:hint="eastAsia" w:ascii="宋体" w:hAnsi="宋体" w:eastAsia="宋体" w:cs="宋体"/>
                <w:i/>
                <w:iCs/>
                <w:color w:val="000000"/>
                <w:sz w:val="22"/>
                <w:szCs w:val="22"/>
                <w:highlight w:val="none"/>
                <w:u w:val="single"/>
                <w:lang w:val="en-US" w:eastAsia="zh-CN" w:bidi="ar"/>
              </w:rPr>
              <w:t xml:space="preserve">溯源证书</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医用数字摄影系统（DR）X射线辐射源检定装置</w:t>
            </w:r>
            <w:r/>
          </w:p>
        </w:tc>
        <w:tc>
          <w:tcPr>
            <w:shd w:val="clear" w:color="auto" w:fill="auto"/>
            <w:tcW w:w="7433" w:type="dxa"/>
            <w:vAlign w:val="center"/>
            <w:textDirection w:val="lrTb"/>
            <w:noWrap w:val="false"/>
          </w:tcPr>
          <w:p>
            <w:pPr>
              <w:numPr>
                <w:ilvl w:val="0"/>
                <w:numId w:val="13"/>
              </w:numPr>
              <w:ind w:firstLine="0"/>
              <w:jc w:val="both"/>
              <w:keepLines w:val="0"/>
              <w:keepNext w:val="0"/>
              <w:pageBreakBefore w:val="0"/>
              <w:spacing w:line="320" w:lineRule="exact"/>
              <w:widowControl/>
              <w:rPr>
                <w:rStyle w:val="1139"/>
                <w:rFonts w:hint="eastAsia" w:ascii="宋体" w:hAnsi="宋体" w:eastAsia="宋体" w:cs="宋体"/>
                <w:color w:val="auto"/>
                <w:sz w:val="22"/>
                <w:szCs w:val="22"/>
                <w:highlight w:val="none"/>
                <w:lang w:val="en-US" w:eastAsia="zh-CN" w:bidi="ar"/>
              </w:rPr>
              <w:suppressLineNumbers w:val="0"/>
            </w:pPr>
            <w:r>
              <w:rPr>
                <w:rStyle w:val="1139"/>
                <w:rFonts w:hint="eastAsia" w:ascii="宋体" w:hAnsi="宋体" w:eastAsia="宋体" w:cs="宋体"/>
                <w:color w:val="auto"/>
                <w:sz w:val="22"/>
                <w:szCs w:val="22"/>
                <w:highlight w:val="none"/>
                <w:lang w:val="en-US" w:eastAsia="zh-CN" w:bidi="ar"/>
              </w:rPr>
              <w:t xml:space="preserve">多功能剂量仪:</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（1）单次曝光可显示多个参数，包括平均kVp、峰值kV、曝光时间、总剂量、剂量率、HVL等参数；</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（2）可通过WIFI、蓝牙或其他无线方式连接平板电脑，可将测量数据传至手机或者平板电脑；</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（3）数据采集以及记录均可生成表格，可记录以Excel 形式输出；</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2、诊断水平剂量计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半导体型的剂量计，其校准因子扩展不确定度不大于5.0％（</w:t>
            </w:r>
            <w:r>
              <w:rPr>
                <w:rStyle w:val="1141"/>
                <w:rFonts w:hint="eastAsia" w:ascii="宋体" w:hAnsi="宋体" w:eastAsia="宋体" w:cs="宋体"/>
                <w:color w:val="auto"/>
                <w:sz w:val="22"/>
                <w:szCs w:val="22"/>
                <w:highlight w:val="none"/>
                <w:lang w:val="en-US" w:eastAsia="zh-CN" w:bidi="ar"/>
              </w:rPr>
              <w:t xml:space="preserve">k</w:t>
            </w:r>
            <w:r>
              <w:rPr>
                <w:rStyle w:val="1139"/>
                <w:rFonts w:hint="eastAsia" w:ascii="宋体" w:hAnsi="宋体" w:eastAsia="宋体" w:cs="宋体"/>
                <w:color w:val="auto"/>
                <w:sz w:val="22"/>
                <w:szCs w:val="22"/>
                <w:highlight w:val="none"/>
                <w:lang w:val="en-US" w:eastAsia="zh-CN" w:bidi="ar"/>
              </w:rPr>
              <w:t xml:space="preserve"> =2），</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a) 在X射线管电压（50～150）kV范围内，能量响应变化不超过±5.0％；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b) 重复性应不大于1.0%；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c) 年稳定性不超过±2％。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3、剂量面积乘积仪，其校准因子扩展不确定度不大于10％（</w:t>
            </w:r>
            <w:r>
              <w:rPr>
                <w:rStyle w:val="1141"/>
                <w:rFonts w:hint="eastAsia" w:ascii="宋体" w:hAnsi="宋体" w:eastAsia="宋体" w:cs="宋体"/>
                <w:color w:val="auto"/>
                <w:sz w:val="22"/>
                <w:szCs w:val="22"/>
                <w:highlight w:val="none"/>
                <w:lang w:val="en-US" w:eastAsia="zh-CN" w:bidi="ar"/>
              </w:rPr>
              <w:t xml:space="preserve">k</w:t>
            </w:r>
            <w:r>
              <w:rPr>
                <w:rStyle w:val="1139"/>
                <w:rFonts w:hint="eastAsia" w:ascii="宋体" w:hAnsi="宋体" w:eastAsia="宋体" w:cs="宋体"/>
                <w:color w:val="auto"/>
                <w:sz w:val="22"/>
                <w:szCs w:val="22"/>
                <w:highlight w:val="none"/>
                <w:lang w:val="en-US" w:eastAsia="zh-CN" w:bidi="ar"/>
              </w:rPr>
              <w:t xml:space="preserve"> =2），重复性不大于1%。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4、半值层（HVL）测量仪，其相对误差不超过±10%。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5、检定用的模体：</w:t>
            </w:r>
            <w:r/>
          </w:p>
          <w:p>
            <w:pPr>
              <w:numPr>
                <w:ilvl w:val="0"/>
                <w:numId w:val="0"/>
              </w:numPr>
              <w:jc w:val="both"/>
              <w:keepLines w:val="0"/>
              <w:keepNext w:val="0"/>
              <w:pageBreakBefore w:val="0"/>
              <w:spacing w:line="320" w:lineRule="exact"/>
              <w:widowControl/>
              <w:rPr>
                <w:rStyle w:val="1139"/>
                <w:rFonts w:hint="eastAsia" w:ascii="宋体" w:hAnsi="宋体" w:eastAsia="宋体" w:cs="宋体"/>
                <w:color w:val="auto"/>
                <w:sz w:val="22"/>
                <w:szCs w:val="22"/>
                <w:highlight w:val="none"/>
                <w:lang w:val="en-US" w:eastAsia="zh-CN" w:bidi="ar"/>
              </w:rPr>
              <w:suppressLineNumbers w:val="0"/>
            </w:pPr>
            <w:r>
              <w:rPr>
                <w:rStyle w:val="1139"/>
                <w:rFonts w:hint="eastAsia" w:ascii="宋体" w:hAnsi="宋体" w:eastAsia="宋体" w:cs="宋体"/>
                <w:color w:val="auto"/>
                <w:sz w:val="22"/>
                <w:szCs w:val="22"/>
                <w:highlight w:val="none"/>
                <w:lang w:val="en-US" w:eastAsia="zh-CN" w:bidi="ar"/>
              </w:rPr>
              <w:t xml:space="preserve">a）低对比度分辨力模体：由铝（纯度≥99%）制成，厚度 20mm±0.05mm，模体上圆孔直径1.0cm，孔深的偏差不超过±0.02mm；</w:t>
            </w:r>
            <w:r/>
          </w:p>
          <w:p>
            <w:pPr>
              <w:numPr>
                <w:ilvl w:val="0"/>
                <w:numId w:val="0"/>
              </w:numPr>
              <w:jc w:val="both"/>
              <w:keepLines w:val="0"/>
              <w:keepNext w:val="0"/>
              <w:pageBreakBefore w:val="0"/>
              <w:spacing w:line="320" w:lineRule="exact"/>
              <w:widowControl/>
              <w:rPr>
                <w:rStyle w:val="1139"/>
                <w:rFonts w:hint="eastAsia" w:ascii="宋体" w:hAnsi="宋体" w:eastAsia="宋体" w:cs="宋体"/>
                <w:color w:val="auto"/>
                <w:sz w:val="22"/>
                <w:szCs w:val="22"/>
                <w:highlight w:val="none"/>
                <w:lang w:val="en-US" w:eastAsia="zh-CN" w:bidi="ar"/>
              </w:rPr>
              <w:suppressLineNumbers w:val="0"/>
            </w:pPr>
            <w:r>
              <w:rPr>
                <w:rStyle w:val="1139"/>
                <w:rFonts w:hint="eastAsia" w:ascii="宋体" w:hAnsi="宋体" w:eastAsia="宋体" w:cs="宋体"/>
                <w:color w:val="auto"/>
                <w:sz w:val="22"/>
                <w:szCs w:val="22"/>
                <w:highlight w:val="none"/>
                <w:lang w:val="en-US" w:eastAsia="zh-CN" w:bidi="ar"/>
              </w:rPr>
              <w:t xml:space="preserve">b）数字影像综合测试卡：测试卡标尺分度值不大于2 mm，具有边界及中心影像均匀性测试点，测试卡尺寸应不小于(300 × 300) mm</w:t>
            </w:r>
            <w:r>
              <w:rPr>
                <w:rStyle w:val="1142"/>
                <w:rFonts w:hint="eastAsia" w:ascii="宋体" w:hAnsi="宋体" w:eastAsia="宋体" w:cs="宋体"/>
                <w:color w:val="auto"/>
                <w:sz w:val="22"/>
                <w:szCs w:val="22"/>
                <w:highlight w:val="none"/>
                <w:lang w:val="en-US" w:eastAsia="zh-CN" w:bidi="ar"/>
              </w:rPr>
              <w:t xml:space="preserve">2</w:t>
            </w:r>
            <w:r>
              <w:rPr>
                <w:rStyle w:val="1139"/>
                <w:rFonts w:hint="eastAsia" w:ascii="宋体" w:hAnsi="宋体" w:eastAsia="宋体" w:cs="宋体"/>
                <w:color w:val="auto"/>
                <w:sz w:val="22"/>
                <w:szCs w:val="22"/>
                <w:highlight w:val="none"/>
                <w:lang w:val="en-US" w:eastAsia="zh-CN" w:bidi="ar"/>
              </w:rPr>
              <w:t xml:space="preserve">；</w:t>
            </w:r>
            <w:r/>
          </w:p>
          <w:p>
            <w:pPr>
              <w:numPr>
                <w:ilvl w:val="0"/>
                <w:numId w:val="0"/>
              </w:numPr>
              <w:jc w:val="both"/>
              <w:keepLines w:val="0"/>
              <w:keepNext w:val="0"/>
              <w:pageBreakBefore w:val="0"/>
              <w:spacing w:line="320" w:lineRule="exact"/>
              <w:widowControl/>
              <w:rPr>
                <w:rStyle w:val="1143"/>
                <w:rFonts w:hint="eastAsia" w:ascii="宋体" w:hAnsi="宋体" w:eastAsia="宋体" w:cs="宋体"/>
                <w:color w:val="auto"/>
                <w:sz w:val="22"/>
                <w:szCs w:val="22"/>
                <w:highlight w:val="none"/>
                <w:lang w:val="en-US" w:eastAsia="zh-CN" w:bidi="ar"/>
              </w:rPr>
              <w:suppressLineNumbers w:val="0"/>
            </w:pPr>
            <w:r>
              <w:rPr>
                <w:rStyle w:val="1139"/>
                <w:rFonts w:hint="eastAsia" w:ascii="宋体" w:hAnsi="宋体" w:eastAsia="宋体" w:cs="宋体"/>
                <w:color w:val="auto"/>
                <w:sz w:val="22"/>
                <w:szCs w:val="22"/>
                <w:highlight w:val="none"/>
                <w:lang w:val="en-US" w:eastAsia="zh-CN" w:bidi="ar"/>
              </w:rPr>
              <w:t xml:space="preserve">c）衰减模体：模体材料为铝（纯度≥99%），厚度为20 mm ± 0.1 mm。</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6、分辨力测试卡，其栅条铅当量应不小于0.1 mmPb；栅条长度至少为最大宽度的20倍，高低吸收材料之间的占空比为1 ：1；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7、非介入kV表，测量范围为</w:t>
            </w:r>
            <w:r>
              <w:rPr>
                <w:rStyle w:val="1143"/>
                <w:rFonts w:hint="eastAsia" w:ascii="宋体" w:hAnsi="宋体" w:eastAsia="宋体" w:cs="宋体"/>
                <w:color w:val="auto"/>
                <w:sz w:val="22"/>
                <w:szCs w:val="22"/>
                <w:highlight w:val="none"/>
                <w:lang w:val="en-US" w:eastAsia="zh-CN" w:bidi="ar"/>
              </w:rPr>
              <w:t xml:space="preserve">（50～150）</w:t>
            </w:r>
            <w:r>
              <w:rPr>
                <w:rStyle w:val="1139"/>
                <w:rFonts w:hint="eastAsia" w:ascii="宋体" w:hAnsi="宋体" w:eastAsia="宋体" w:cs="宋体"/>
                <w:color w:val="auto"/>
                <w:sz w:val="22"/>
                <w:szCs w:val="22"/>
                <w:highlight w:val="none"/>
                <w:lang w:val="en-US" w:eastAsia="zh-CN" w:bidi="ar"/>
              </w:rPr>
              <w:t xml:space="preserve">kV，其相对误差不超过±2％；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8、黑白密度计，测量范围为0.10～4.0，其示值误差不超过±0.05；                                   9、按规程要求提供钢卷尺、温度计及气压计；                           </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10、</w:t>
            </w:r>
            <w:r>
              <w:rPr>
                <w:rStyle w:val="1143"/>
                <w:rFonts w:hint="eastAsia" w:ascii="宋体" w:hAnsi="宋体" w:eastAsia="宋体" w:cs="宋体"/>
                <w:color w:val="auto"/>
                <w:sz w:val="22"/>
                <w:szCs w:val="22"/>
                <w:highlight w:val="none"/>
                <w:lang w:val="en-US" w:eastAsia="zh-CN" w:bidi="ar"/>
              </w:rPr>
              <w:t xml:space="preserve">按照检定规程对采购人的人员进行培训，保障采购人具备不少于2名持有正规检定员资格证书的工作人员。</w:t>
            </w:r>
            <w:r/>
          </w:p>
          <w:p>
            <w:pPr>
              <w:numPr>
                <w:ilvl w:val="0"/>
                <w:numId w:val="0"/>
              </w:numPr>
              <w:jc w:val="both"/>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bidi="ar"/>
              </w:rPr>
              <w:t xml:space="preserve">11、</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提供法定机构</w:t>
            </w:r>
            <w:r>
              <w:rPr>
                <w:rFonts w:hint="eastAsia" w:ascii="宋体" w:hAnsi="宋体" w:cs="宋体"/>
                <w:i/>
                <w:iCs/>
                <w:color w:val="auto"/>
                <w:sz w:val="22"/>
                <w:szCs w:val="22"/>
                <w:highlight w:val="none"/>
                <w:u w:val="single"/>
                <w:lang w:val="en-US" w:eastAsia="zh-CN" w:bidi="ar"/>
              </w:rPr>
              <w:t xml:space="preserve">的</w:t>
            </w:r>
            <w:r>
              <w:rPr>
                <w:rFonts w:hint="eastAsia" w:ascii="宋体" w:hAnsi="宋体" w:eastAsia="宋体" w:cs="宋体"/>
                <w:i/>
                <w:iCs/>
                <w:color w:val="auto"/>
                <w:sz w:val="22"/>
                <w:szCs w:val="22"/>
                <w:highlight w:val="none"/>
                <w:u w:val="single"/>
                <w:lang w:val="en-US" w:eastAsia="zh-CN" w:bidi="ar"/>
              </w:rPr>
              <w:t xml:space="preserve">溯源证书。</w:t>
            </w:r>
            <w:r/>
          </w:p>
        </w:tc>
      </w:tr>
      <w:tr>
        <w:trPr>
          <w:trHeight w:val="312"/>
        </w:trPr>
        <w:tc>
          <w:tcPr>
            <w:shd w:val="clear" w:color="auto" w:fill="auto"/>
            <w:tcW w:w="736"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656"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色谱检定用温度计</w:t>
            </w:r>
            <w:r/>
          </w:p>
        </w:tc>
        <w:tc>
          <w:tcPr>
            <w:shd w:val="clear" w:color="auto" w:fill="auto"/>
            <w:tcW w:w="7433" w:type="dxa"/>
            <w:vAlign w:val="center"/>
            <w:vMerge w:val="restart"/>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1、色谱仪检定模式：测量范围:-50°C～+300°C，测量误差:±0.2°C，分辨力:0.1°C；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2、温度测量模式：测量范围:-50°C~+300°C，测量误差:±0.2°C，分辨力:0.01°C；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3、可直接显示色谱仪温度稳定性与色谱仪程序升温重复性。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4、</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提供法定机构</w:t>
            </w:r>
            <w:r>
              <w:rPr>
                <w:rFonts w:hint="eastAsia" w:ascii="宋体" w:hAnsi="宋体" w:cs="宋体"/>
                <w:i/>
                <w:iCs/>
                <w:color w:val="auto"/>
                <w:sz w:val="22"/>
                <w:szCs w:val="22"/>
                <w:highlight w:val="none"/>
                <w:u w:val="single"/>
                <w:lang w:val="en-US" w:eastAsia="zh-CN" w:bidi="ar"/>
              </w:rPr>
              <w:t xml:space="preserve">的</w:t>
            </w:r>
            <w:r>
              <w:rPr>
                <w:rFonts w:hint="eastAsia" w:ascii="宋体" w:hAnsi="宋体" w:eastAsia="宋体" w:cs="宋体"/>
                <w:i/>
                <w:iCs/>
                <w:color w:val="auto"/>
                <w:sz w:val="22"/>
                <w:szCs w:val="22"/>
                <w:highlight w:val="none"/>
                <w:u w:val="single"/>
                <w:lang w:val="en-US" w:eastAsia="zh-CN" w:bidi="ar"/>
              </w:rPr>
              <w:t xml:space="preserve">溯源证书。</w:t>
            </w:r>
            <w:r/>
          </w:p>
        </w:tc>
      </w:tr>
      <w:tr>
        <w:trPr>
          <w:trHeight w:val="312"/>
        </w:trPr>
        <w:tc>
          <w:tcPr>
            <w:shd w:val="clear" w:color="auto" w:fill="auto"/>
            <w:tcW w:w="736"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56"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433" w:type="dxa"/>
            <w:vAlign w:val="center"/>
            <w:vMerge w:val="continue"/>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单三相电能表检定装置</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Style w:val="1138"/>
                <w:rFonts w:hint="eastAsia" w:ascii="宋体" w:hAnsi="宋体" w:eastAsia="宋体" w:cs="宋体"/>
                <w:color w:val="auto"/>
                <w:sz w:val="22"/>
                <w:szCs w:val="22"/>
                <w:highlight w:val="none"/>
                <w:lang w:val="en-US" w:eastAsia="zh-CN" w:bidi="ar"/>
              </w:rPr>
              <w:t xml:space="preserve">1、单三相电能表检定装置应满足JJG596-2026《安装式电能表检定规程》的建标要求。</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2、电能表标准表：交流电压：3×(57.7V～380V), 交流电流：3×(0.3mA～120A),准确度等级：≤0.02级，应满足JJG 1085-2013《标准电能表检定规程》首次检定的要求。</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3、电能表检定装置：交流电压：3×(57.7V～380V), 交流电流：3×(0.3mA～120A),准确度等级：≤0.05级，至少具备12个表位（10个单相测试表位，2个三相测试表位），应满足JJG 597-2025《交流电能表检定规程》首次检定的要求。</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4、精密时钟源：应能分别显示时钟频率值和日计时误差值。标准时钟频率：1Hz、500kHz（TTL电平）；稳定度：2×10</w:t>
            </w:r>
            <w:r>
              <w:rPr>
                <w:rStyle w:val="1144"/>
                <w:rFonts w:hint="eastAsia" w:ascii="宋体" w:hAnsi="宋体" w:eastAsia="宋体" w:cs="宋体"/>
                <w:color w:val="auto"/>
                <w:sz w:val="22"/>
                <w:szCs w:val="22"/>
                <w:highlight w:val="none"/>
                <w:lang w:val="en-US" w:eastAsia="zh-CN" w:bidi="ar"/>
              </w:rPr>
              <w:t xml:space="preserve">-8</w:t>
            </w:r>
            <w:r>
              <w:rPr>
                <w:rStyle w:val="1138"/>
                <w:rFonts w:hint="eastAsia" w:ascii="宋体" w:hAnsi="宋体" w:eastAsia="宋体" w:cs="宋体"/>
                <w:color w:val="auto"/>
                <w:sz w:val="22"/>
                <w:szCs w:val="22"/>
                <w:highlight w:val="none"/>
                <w:lang w:val="en-US" w:eastAsia="zh-CN" w:bidi="ar"/>
              </w:rPr>
              <w:t xml:space="preserve">/日；准确度：2×10</w:t>
            </w:r>
            <w:r>
              <w:rPr>
                <w:rStyle w:val="1144"/>
                <w:rFonts w:hint="eastAsia" w:ascii="宋体" w:hAnsi="宋体" w:eastAsia="宋体" w:cs="宋体"/>
                <w:color w:val="auto"/>
                <w:sz w:val="22"/>
                <w:szCs w:val="22"/>
                <w:highlight w:val="none"/>
                <w:lang w:val="en-US" w:eastAsia="zh-CN" w:bidi="ar"/>
              </w:rPr>
              <w:t xml:space="preserve">-7</w:t>
            </w:r>
            <w:r>
              <w:rPr>
                <w:rStyle w:val="1138"/>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5、交流电压试验仪：交流电压：(0.1～5)kV，试验仪输出的电压值其误差≤±3%;设备容量≥ 500 VA。</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6、电压、电流波形失真度≤1%，输出功率稳定度：优于0.05%/2min，相位调节范围：0°～360°。</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7、具备起动、潜动、固有误差等基础检定功能，支持全自动、手动校验模式。</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8、配备独立串口与485通讯，预留蓝牙通讯接口，可完成日计时、需量等多功能误差测试。</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9、具备短路开路自动保护、声光报警功能，支持台体本地及电脑联机双操作。</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10、控制工作站：检定结果能保存到数据库中，实现数据的统计、分类、查询、管理。可根据用户实际检定数据格式制作检定证书模板，可打印清单、原始记录；配置具有条码解析功能的扫码枪，可扫描录入表号。</w:t>
            </w:r>
            <w:r>
              <w:rPr>
                <w:rStyle w:val="1138"/>
                <w:rFonts w:hint="eastAsia" w:ascii="宋体" w:hAnsi="宋体" w:eastAsia="宋体" w:cs="宋体"/>
                <w:color w:val="auto"/>
                <w:sz w:val="22"/>
                <w:szCs w:val="22"/>
                <w:highlight w:val="none"/>
                <w:lang w:val="en-US" w:eastAsia="zh-CN" w:bidi="ar"/>
              </w:rPr>
              <w:br/>
            </w:r>
            <w:r>
              <w:rPr>
                <w:rStyle w:val="1138"/>
                <w:rFonts w:hint="eastAsia" w:ascii="宋体" w:hAnsi="宋体" w:eastAsia="宋体" w:cs="宋体"/>
                <w:color w:val="auto"/>
                <w:sz w:val="22"/>
                <w:szCs w:val="22"/>
                <w:highlight w:val="none"/>
                <w:lang w:val="en-US" w:eastAsia="zh-CN" w:bidi="ar"/>
              </w:rPr>
              <w:t xml:space="preserve">11、需提供电能表检定的操作与管理软件，且软件须能和中心现有计量业务软件连接，自动导入数据，按照要求自动生成原始记录和证书。</w:t>
            </w:r>
            <w:r>
              <w:rPr>
                <w:rStyle w:val="1138"/>
                <w:rFonts w:hint="eastAsia" w:ascii="宋体" w:hAnsi="宋体" w:eastAsia="宋体" w:cs="宋体"/>
                <w:color w:val="auto"/>
                <w:sz w:val="22"/>
                <w:szCs w:val="22"/>
                <w:highlight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12、</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w:t>
            </w:r>
            <w:r>
              <w:rPr>
                <w:rFonts w:hint="eastAsia" w:ascii="宋体" w:hAnsi="宋体" w:cs="宋体"/>
                <w:i/>
                <w:iCs/>
                <w:color w:val="auto"/>
                <w:sz w:val="22"/>
                <w:szCs w:val="22"/>
                <w:highlight w:val="none"/>
                <w:u w:val="single"/>
                <w:lang w:val="en-US" w:eastAsia="zh-CN" w:bidi="ar"/>
              </w:rPr>
              <w:t xml:space="preserve">机</w:t>
            </w:r>
            <w:r>
              <w:rPr>
                <w:rFonts w:hint="eastAsia" w:ascii="宋体" w:hAnsi="宋体" w:eastAsia="宋体" w:cs="宋体"/>
                <w:i/>
                <w:iCs/>
                <w:color w:val="auto"/>
                <w:sz w:val="22"/>
                <w:szCs w:val="22"/>
                <w:highlight w:val="none"/>
                <w:u w:val="single"/>
                <w:lang w:val="en-US" w:eastAsia="zh-CN" w:bidi="ar"/>
              </w:rPr>
              <w:t xml:space="preserve">构的检定/校准证书。</w:t>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交流充电桩检定装置</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Style w:val="1139"/>
                <w:rFonts w:hint="eastAsia" w:ascii="宋体" w:hAnsi="宋体" w:eastAsia="宋体" w:cs="宋体"/>
                <w:color w:val="auto"/>
                <w:sz w:val="22"/>
                <w:szCs w:val="22"/>
                <w:highlight w:val="none"/>
                <w:lang w:val="en-US" w:eastAsia="zh-CN" w:bidi="ar"/>
              </w:rPr>
              <w:t xml:space="preserve">1、单相电压范围：220V±20%；单相电流范围：0.1A～36A；单相功率和电能测量不确定度(</w:t>
            </w:r>
            <w:r>
              <w:rPr>
                <w:rStyle w:val="1141"/>
                <w:rFonts w:hint="eastAsia" w:ascii="宋体" w:hAnsi="宋体" w:eastAsia="宋体" w:cs="宋体"/>
                <w:color w:val="auto"/>
                <w:sz w:val="22"/>
                <w:szCs w:val="22"/>
                <w:highlight w:val="none"/>
                <w:lang w:val="en-US" w:eastAsia="zh-CN" w:bidi="ar"/>
              </w:rPr>
              <w:t xml:space="preserve">k</w:t>
            </w:r>
            <w:r>
              <w:rPr>
                <w:rStyle w:val="1139"/>
                <w:rFonts w:hint="eastAsia" w:ascii="宋体" w:hAnsi="宋体" w:eastAsia="宋体" w:cs="宋体"/>
                <w:color w:val="auto"/>
                <w:sz w:val="22"/>
                <w:szCs w:val="22"/>
                <w:highlight w:val="none"/>
                <w:lang w:val="en-US" w:eastAsia="zh-CN" w:bidi="ar"/>
              </w:rPr>
              <w:t xml:space="preserve">=2)：0.05%FS；时钟测量不确定度(</w:t>
            </w:r>
            <w:r>
              <w:rPr>
                <w:rStyle w:val="1141"/>
                <w:rFonts w:hint="eastAsia" w:ascii="宋体" w:hAnsi="宋体" w:eastAsia="宋体" w:cs="宋体"/>
                <w:color w:val="auto"/>
                <w:sz w:val="22"/>
                <w:szCs w:val="22"/>
                <w:highlight w:val="none"/>
                <w:lang w:val="en-US" w:eastAsia="zh-CN" w:bidi="ar"/>
              </w:rPr>
              <w:t xml:space="preserve">k</w:t>
            </w:r>
            <w:r>
              <w:rPr>
                <w:rStyle w:val="1139"/>
                <w:rFonts w:hint="eastAsia" w:ascii="宋体" w:hAnsi="宋体" w:eastAsia="宋体" w:cs="宋体"/>
                <w:color w:val="auto"/>
                <w:sz w:val="22"/>
                <w:szCs w:val="22"/>
                <w:highlight w:val="none"/>
                <w:lang w:val="en-US" w:eastAsia="zh-CN" w:bidi="ar"/>
              </w:rPr>
              <w:t xml:space="preserve">=2)：≤1s；温度测量范围：-30℃～60℃，测量不确定度(</w:t>
            </w:r>
            <w:r>
              <w:rPr>
                <w:rStyle w:val="1141"/>
                <w:rFonts w:hint="eastAsia" w:ascii="宋体" w:hAnsi="宋体" w:eastAsia="宋体" w:cs="宋体"/>
                <w:color w:val="auto"/>
                <w:sz w:val="22"/>
                <w:szCs w:val="22"/>
                <w:highlight w:val="none"/>
                <w:lang w:val="en-US" w:eastAsia="zh-CN" w:bidi="ar"/>
              </w:rPr>
              <w:t xml:space="preserve">k</w:t>
            </w:r>
            <w:r>
              <w:rPr>
                <w:rStyle w:val="1139"/>
                <w:rFonts w:hint="eastAsia" w:ascii="宋体" w:hAnsi="宋体" w:eastAsia="宋体" w:cs="宋体"/>
                <w:color w:val="auto"/>
                <w:sz w:val="22"/>
                <w:szCs w:val="22"/>
                <w:highlight w:val="none"/>
                <w:lang w:val="en-US" w:eastAsia="zh-CN" w:bidi="ar"/>
              </w:rPr>
              <w:t xml:space="preserve">=2)：0.5℃；</w:t>
            </w:r>
            <w:r>
              <w:rPr>
                <w:rStyle w:val="1139"/>
                <w:rFonts w:hint="eastAsia" w:ascii="宋体" w:hAnsi="宋体" w:eastAsia="宋体" w:cs="宋体"/>
                <w:color w:val="auto"/>
                <w:sz w:val="22"/>
                <w:szCs w:val="22"/>
                <w:highlight w:val="none"/>
                <w:lang w:val="en-US" w:eastAsia="zh-CN" w:bidi="ar"/>
              </w:rPr>
              <w:br/>
            </w:r>
            <w:r>
              <w:rPr>
                <w:rStyle w:val="1139"/>
                <w:rFonts w:hint="eastAsia" w:ascii="宋体" w:hAnsi="宋体" w:eastAsia="宋体" w:cs="宋体"/>
                <w:color w:val="auto"/>
                <w:sz w:val="22"/>
                <w:szCs w:val="22"/>
                <w:highlight w:val="none"/>
                <w:lang w:val="en-US" w:eastAsia="zh-CN" w:bidi="ar"/>
              </w:rPr>
              <w:t xml:space="preserve">2、内置不小于7 kW单相交流负载，单台设备即可开展单相充电桩的检定；装置自带显示屏，可在下位机显示屏上直接完成工作误差测试；无线设备操作，可通过拍照保存现场信息，完成自动测试；具备过压、过流、风速异常保护，配有急停开关；装置配专用可伸缩拉杆和滚轮，设备重量：≤20kg，尺寸：≤350×350×500 mm；支持市电输入、枪头取电、内置锂电池三种供电模式；配备交流充电桩测试软件和交互设备，可实现自动检定。</w:t>
            </w:r>
            <w:r>
              <w:rPr>
                <w:rStyle w:val="1139"/>
                <w:rFonts w:hint="eastAsia" w:ascii="宋体" w:hAnsi="宋体" w:eastAsia="宋体" w:cs="宋体"/>
                <w:color w:val="auto"/>
                <w:sz w:val="22"/>
                <w:szCs w:val="22"/>
                <w:highlight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3、</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提供法定机构</w:t>
            </w:r>
            <w:r>
              <w:rPr>
                <w:rFonts w:hint="eastAsia" w:ascii="宋体" w:hAnsi="宋体" w:cs="宋体"/>
                <w:i/>
                <w:iCs/>
                <w:color w:val="auto"/>
                <w:sz w:val="22"/>
                <w:szCs w:val="22"/>
                <w:highlight w:val="none"/>
                <w:u w:val="single"/>
                <w:lang w:val="en-US" w:eastAsia="zh-CN" w:bidi="ar"/>
              </w:rPr>
              <w:t xml:space="preserve">的</w:t>
            </w:r>
            <w:r>
              <w:rPr>
                <w:rFonts w:hint="eastAsia" w:ascii="宋体" w:hAnsi="宋体" w:eastAsia="宋体" w:cs="宋体"/>
                <w:i/>
                <w:iCs/>
                <w:color w:val="auto"/>
                <w:sz w:val="22"/>
                <w:szCs w:val="22"/>
                <w:highlight w:val="none"/>
                <w:u w:val="single"/>
                <w:lang w:val="en-US" w:eastAsia="zh-CN" w:bidi="ar"/>
              </w:rPr>
              <w:t xml:space="preserve">溯源证书。</w:t>
            </w:r>
            <w:r/>
          </w:p>
        </w:tc>
      </w:tr>
      <w:tr>
        <w:trPr>
          <w:trHeight w:val="0"/>
        </w:trPr>
        <w:tc>
          <w:tcPr>
            <w:shd w:val="clear" w:color="auto" w:fill="auto"/>
            <w:tcW w:w="73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65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便携式防爆动态配气系统</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1、流量范围：稀释气流量（60～3000）ml/min，样品气体流量（20～1000）ml/min ；                                            </w:t>
            </w:r>
            <w:r/>
          </w:p>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2、最大稀释倍数：150：1(</w:t>
            </w:r>
            <w:r>
              <w:rPr>
                <w:rFonts w:hint="eastAsia" w:ascii="宋体" w:hAnsi="宋体" w:eastAsia="宋体" w:cs="宋体"/>
                <w:i w:val="0"/>
                <w:iCs w:val="0"/>
                <w:color w:val="auto"/>
                <w:sz w:val="22"/>
                <w:szCs w:val="22"/>
                <w:highlight w:val="none"/>
                <w:u w:val="none"/>
                <w:lang w:val="en-US" w:eastAsia="zh-CN" w:bidi="ar"/>
              </w:rPr>
              <w:t xml:space="preserve">根据用户需求可扩大或缩小)；                                      3、输出流量范围：（80～4000）ml/min                                                                    4、稀释误差：不超过±1.0% ；                                                                    5、流量重复性：≤0.2% ；            </w:t>
            </w:r>
            <w:r>
              <w:rPr>
                <w:rFonts w:hint="eastAsia" w:ascii="宋体" w:hAnsi="宋体" w:eastAsia="宋体" w:cs="宋体"/>
                <w:i w:val="0"/>
                <w:iCs w:val="0"/>
                <w:color w:val="auto"/>
                <w:sz w:val="22"/>
                <w:szCs w:val="22"/>
                <w:highlight w:val="none"/>
                <w:u w:val="none"/>
                <w:lang w:val="en-US" w:eastAsia="zh-CN" w:bidi="ar"/>
              </w:rPr>
              <w:t xml:space="preserve">                                                                                                                6、内置气体数据库，可定制添加气体类型；                                                   7、支持流量模式和浓度模式及浓度程序模式的配气方式；                                               </w:t>
            </w:r>
            <w:r>
              <w:rPr>
                <w:rFonts w:hint="eastAsia" w:ascii="宋体" w:hAnsi="宋体" w:eastAsia="宋体" w:cs="宋体"/>
                <w:i w:val="0"/>
                <w:iCs w:val="0"/>
                <w:color w:val="auto"/>
                <w:sz w:val="22"/>
                <w:szCs w:val="22"/>
                <w:highlight w:val="none"/>
                <w:u w:val="none"/>
                <w:lang w:val="en-US" w:eastAsia="zh-CN" w:bidi="ar"/>
              </w:rPr>
              <w:t xml:space="preserve">                                                               8、系统配备的防爆配电装置需满足防爆等级：Ex db eb IIC T6 Gb；                                                            9、自带锂离子充电电池，满电连续运行时间8小时以上；                                        10、主机尺寸：不大于（410*410*300）mm；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11、主机重量：不大于25kg。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12、符合JJG693-2011、JJG 1105-2015、JJF 1433-2013、JF 1674-2017、JJG695-2019、JJF1888-2020等规程规范要求；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13、</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提供法定计量检定机构的校准证书。</w:t>
            </w:r>
            <w:r/>
          </w:p>
        </w:tc>
      </w:tr>
      <w:tr>
        <w:trPr>
          <w:trHeight w:val="0"/>
        </w:trPr>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碳氢分析仪</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Style w:val="1145"/>
                <w:rFonts w:hint="eastAsia" w:ascii="宋体" w:hAnsi="宋体" w:eastAsia="宋体" w:cs="宋体"/>
                <w:color w:val="auto"/>
                <w:sz w:val="22"/>
                <w:szCs w:val="22"/>
                <w:highlight w:val="none"/>
                <w:lang w:val="en-US" w:eastAsia="zh-CN" w:bidi="ar"/>
              </w:rPr>
              <w:t xml:space="preserve">1</w:t>
            </w:r>
            <w:r>
              <w:rPr>
                <w:rStyle w:val="1138"/>
                <w:rFonts w:hint="eastAsia" w:ascii="宋体" w:hAnsi="宋体" w:eastAsia="宋体" w:cs="宋体"/>
                <w:color w:val="auto"/>
                <w:sz w:val="22"/>
                <w:szCs w:val="22"/>
                <w:highlight w:val="none"/>
                <w:lang w:val="en-US" w:eastAsia="zh-CN" w:bidi="ar"/>
              </w:rPr>
              <w:t xml:space="preserve">、符合</w:t>
            </w:r>
            <w:r>
              <w:rPr>
                <w:rStyle w:val="1145"/>
                <w:rFonts w:hint="eastAsia" w:ascii="宋体" w:hAnsi="宋体" w:eastAsia="宋体" w:cs="宋体"/>
                <w:color w:val="auto"/>
                <w:sz w:val="22"/>
                <w:szCs w:val="22"/>
                <w:highlight w:val="none"/>
                <w:lang w:val="en-US" w:eastAsia="zh-CN" w:bidi="ar"/>
              </w:rPr>
              <w:t xml:space="preserve">GB/T476-2008</w:t>
            </w:r>
            <w:r>
              <w:rPr>
                <w:rStyle w:val="1138"/>
                <w:rFonts w:hint="eastAsia" w:ascii="宋体" w:hAnsi="宋体" w:eastAsia="宋体" w:cs="宋体"/>
                <w:color w:val="auto"/>
                <w:sz w:val="22"/>
                <w:szCs w:val="22"/>
                <w:highlight w:val="none"/>
                <w:lang w:val="en-US" w:eastAsia="zh-CN" w:bidi="ar"/>
              </w:rPr>
              <w:t xml:space="preserve">电量</w:t>
            </w:r>
            <w:r>
              <w:rPr>
                <w:rStyle w:val="1145"/>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t xml:space="preserve">重量法的设备配置及精密度要求；</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2</w:t>
            </w:r>
            <w:r>
              <w:rPr>
                <w:rStyle w:val="1138"/>
                <w:rFonts w:hint="eastAsia" w:ascii="宋体" w:hAnsi="宋体" w:eastAsia="宋体" w:cs="宋体"/>
                <w:color w:val="auto"/>
                <w:sz w:val="22"/>
                <w:szCs w:val="22"/>
                <w:highlight w:val="none"/>
                <w:lang w:val="en-US" w:eastAsia="zh-CN" w:bidi="ar"/>
              </w:rPr>
              <w:t xml:space="preserve">、测量范围：碳</w:t>
            </w:r>
            <w:r>
              <w:rPr>
                <w:rStyle w:val="1145"/>
                <w:rFonts w:hint="eastAsia" w:ascii="宋体" w:hAnsi="宋体" w:eastAsia="宋体" w:cs="宋体"/>
                <w:color w:val="auto"/>
                <w:sz w:val="22"/>
                <w:szCs w:val="22"/>
                <w:highlight w:val="none"/>
                <w:lang w:val="en-US" w:eastAsia="zh-CN" w:bidi="ar"/>
              </w:rPr>
              <w:t xml:space="preserve">1~99%</w:t>
            </w:r>
            <w:r>
              <w:rPr>
                <w:rStyle w:val="1138"/>
                <w:rFonts w:hint="eastAsia" w:ascii="宋体" w:hAnsi="宋体" w:eastAsia="宋体" w:cs="宋体"/>
                <w:color w:val="auto"/>
                <w:sz w:val="22"/>
                <w:szCs w:val="22"/>
                <w:highlight w:val="none"/>
                <w:lang w:val="en-US" w:eastAsia="zh-CN" w:bidi="ar"/>
              </w:rPr>
              <w:t xml:space="preserve">、氢</w:t>
            </w:r>
            <w:r>
              <w:rPr>
                <w:rStyle w:val="1145"/>
                <w:rFonts w:hint="eastAsia" w:ascii="宋体" w:hAnsi="宋体" w:eastAsia="宋体" w:cs="宋体"/>
                <w:color w:val="auto"/>
                <w:sz w:val="22"/>
                <w:szCs w:val="22"/>
                <w:highlight w:val="none"/>
                <w:lang w:val="en-US" w:eastAsia="zh-CN" w:bidi="ar"/>
              </w:rPr>
              <w:t xml:space="preserve">0.01~99.9%</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3</w:t>
            </w:r>
            <w:r>
              <w:rPr>
                <w:rStyle w:val="1138"/>
                <w:rFonts w:hint="eastAsia" w:ascii="宋体" w:hAnsi="宋体" w:eastAsia="宋体" w:cs="宋体"/>
                <w:color w:val="auto"/>
                <w:sz w:val="22"/>
                <w:szCs w:val="22"/>
                <w:highlight w:val="none"/>
                <w:lang w:val="en-US" w:eastAsia="zh-CN" w:bidi="ar"/>
              </w:rPr>
              <w:t xml:space="preserve">、重复性误差：碳≤</w:t>
            </w:r>
            <w:r>
              <w:rPr>
                <w:rStyle w:val="1145"/>
                <w:rFonts w:hint="eastAsia" w:ascii="宋体" w:hAnsi="宋体" w:eastAsia="宋体" w:cs="宋体"/>
                <w:color w:val="auto"/>
                <w:sz w:val="22"/>
                <w:szCs w:val="22"/>
                <w:highlight w:val="none"/>
                <w:lang w:val="en-US" w:eastAsia="zh-CN" w:bidi="ar"/>
              </w:rPr>
              <w:t xml:space="preserve">0.50%</w:t>
            </w:r>
            <w:r>
              <w:rPr>
                <w:rStyle w:val="1138"/>
                <w:rFonts w:hint="eastAsia" w:ascii="宋体" w:hAnsi="宋体" w:eastAsia="宋体" w:cs="宋体"/>
                <w:color w:val="auto"/>
                <w:sz w:val="22"/>
                <w:szCs w:val="22"/>
                <w:highlight w:val="none"/>
                <w:lang w:val="en-US" w:eastAsia="zh-CN" w:bidi="ar"/>
              </w:rPr>
              <w:t xml:space="preserve">、氢≤</w:t>
            </w:r>
            <w:r>
              <w:rPr>
                <w:rStyle w:val="1145"/>
                <w:rFonts w:hint="eastAsia" w:ascii="宋体" w:hAnsi="宋体" w:eastAsia="宋体" w:cs="宋体"/>
                <w:color w:val="auto"/>
                <w:sz w:val="22"/>
                <w:szCs w:val="22"/>
                <w:highlight w:val="none"/>
                <w:lang w:val="en-US" w:eastAsia="zh-CN" w:bidi="ar"/>
              </w:rPr>
              <w:t xml:space="preserve">0.15%</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4</w:t>
            </w:r>
            <w:r>
              <w:rPr>
                <w:rStyle w:val="1138"/>
                <w:rFonts w:hint="eastAsia" w:ascii="宋体" w:hAnsi="宋体" w:eastAsia="宋体" w:cs="宋体"/>
                <w:color w:val="auto"/>
                <w:sz w:val="22"/>
                <w:szCs w:val="22"/>
                <w:highlight w:val="none"/>
                <w:lang w:val="en-US" w:eastAsia="zh-CN" w:bidi="ar"/>
              </w:rPr>
              <w:t xml:space="preserve">、氧气净化系统：净化炉长约</w:t>
            </w:r>
            <w:r>
              <w:rPr>
                <w:rStyle w:val="1145"/>
                <w:rFonts w:hint="eastAsia" w:ascii="宋体" w:hAnsi="宋体" w:eastAsia="宋体" w:cs="宋体"/>
                <w:color w:val="auto"/>
                <w:sz w:val="22"/>
                <w:szCs w:val="22"/>
                <w:highlight w:val="none"/>
                <w:lang w:val="en-US" w:eastAsia="zh-CN" w:bidi="ar"/>
              </w:rPr>
              <w:t xml:space="preserve">300mm</w:t>
            </w:r>
            <w:r>
              <w:rPr>
                <w:rStyle w:val="1138"/>
                <w:rFonts w:hint="eastAsia" w:ascii="宋体" w:hAnsi="宋体" w:eastAsia="宋体" w:cs="宋体"/>
                <w:color w:val="auto"/>
                <w:sz w:val="22"/>
                <w:szCs w:val="22"/>
                <w:highlight w:val="none"/>
                <w:lang w:val="en-US" w:eastAsia="zh-CN" w:bidi="ar"/>
              </w:rPr>
              <w:t xml:space="preserve">，炉外径约</w:t>
            </w:r>
            <w:r>
              <w:rPr>
                <w:rStyle w:val="1145"/>
                <w:rFonts w:hint="eastAsia" w:ascii="宋体" w:hAnsi="宋体" w:eastAsia="宋体" w:cs="宋体"/>
                <w:color w:val="auto"/>
                <w:sz w:val="22"/>
                <w:szCs w:val="22"/>
                <w:highlight w:val="none"/>
                <w:lang w:val="en-US" w:eastAsia="zh-CN" w:bidi="ar"/>
              </w:rPr>
              <w:t xml:space="preserve">100mm</w:t>
            </w:r>
            <w:r>
              <w:rPr>
                <w:rStyle w:val="1138"/>
                <w:rFonts w:hint="eastAsia" w:ascii="宋体" w:hAnsi="宋体" w:eastAsia="宋体" w:cs="宋体"/>
                <w:color w:val="auto"/>
                <w:sz w:val="22"/>
                <w:szCs w:val="22"/>
                <w:highlight w:val="none"/>
                <w:lang w:val="en-US" w:eastAsia="zh-CN" w:bidi="ar"/>
              </w:rPr>
              <w:t xml:space="preserve">，炉膛直径约</w:t>
            </w:r>
            <w:r>
              <w:rPr>
                <w:rStyle w:val="1145"/>
                <w:rFonts w:hint="eastAsia" w:ascii="宋体" w:hAnsi="宋体" w:eastAsia="宋体" w:cs="宋体"/>
                <w:color w:val="auto"/>
                <w:sz w:val="22"/>
                <w:szCs w:val="22"/>
                <w:highlight w:val="none"/>
                <w:lang w:val="en-US" w:eastAsia="zh-CN" w:bidi="ar"/>
              </w:rPr>
              <w:t xml:space="preserve">25mm</w:t>
            </w:r>
            <w:r>
              <w:rPr>
                <w:rStyle w:val="1138"/>
                <w:rFonts w:hint="eastAsia" w:ascii="宋体" w:hAnsi="宋体" w:eastAsia="宋体" w:cs="宋体"/>
                <w:color w:val="auto"/>
                <w:sz w:val="22"/>
                <w:szCs w:val="22"/>
                <w:highlight w:val="none"/>
                <w:lang w:val="en-US" w:eastAsia="zh-CN" w:bidi="ar"/>
              </w:rPr>
              <w:t xml:space="preserve">的管式电炉，可控温在</w:t>
            </w:r>
            <w:r>
              <w:rPr>
                <w:rStyle w:val="1145"/>
                <w:rFonts w:hint="eastAsia" w:ascii="宋体" w:hAnsi="宋体" w:eastAsia="宋体" w:cs="宋体"/>
                <w:color w:val="auto"/>
                <w:sz w:val="22"/>
                <w:szCs w:val="22"/>
                <w:highlight w:val="none"/>
                <w:lang w:val="en-US" w:eastAsia="zh-CN" w:bidi="ar"/>
              </w:rPr>
              <w:t xml:space="preserve">(800</w:t>
            </w:r>
            <w:r>
              <w:rPr>
                <w:rStyle w:val="1138"/>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10)</w:t>
            </w:r>
            <w:r>
              <w:rPr>
                <w:rStyle w:val="1138"/>
                <w:rFonts w:hint="eastAsia" w:ascii="宋体" w:hAnsi="宋体" w:eastAsia="宋体" w:cs="宋体"/>
                <w:color w:val="auto"/>
                <w:sz w:val="22"/>
                <w:szCs w:val="22"/>
                <w:highlight w:val="none"/>
                <w:lang w:val="en-US" w:eastAsia="zh-CN" w:bidi="ar"/>
              </w:rPr>
              <w:t xml:space="preserve">℃；净化管长约</w:t>
            </w:r>
            <w:r>
              <w:rPr>
                <w:rStyle w:val="1145"/>
                <w:rFonts w:hint="eastAsia" w:ascii="宋体" w:hAnsi="宋体" w:eastAsia="宋体" w:cs="宋体"/>
                <w:color w:val="auto"/>
                <w:sz w:val="22"/>
                <w:szCs w:val="22"/>
                <w:highlight w:val="none"/>
                <w:lang w:val="en-US" w:eastAsia="zh-CN" w:bidi="ar"/>
              </w:rPr>
              <w:t xml:space="preserve">500mm</w:t>
            </w:r>
            <w:r>
              <w:rPr>
                <w:rStyle w:val="1138"/>
                <w:rFonts w:hint="eastAsia" w:ascii="宋体" w:hAnsi="宋体" w:eastAsia="宋体" w:cs="宋体"/>
                <w:color w:val="auto"/>
                <w:sz w:val="22"/>
                <w:szCs w:val="22"/>
                <w:highlight w:val="none"/>
                <w:lang w:val="en-US" w:eastAsia="zh-CN" w:bidi="ar"/>
              </w:rPr>
              <w:t xml:space="preserve">外径约</w:t>
            </w:r>
            <w:r>
              <w:rPr>
                <w:rStyle w:val="1145"/>
                <w:rFonts w:hint="eastAsia" w:ascii="宋体" w:hAnsi="宋体" w:eastAsia="宋体" w:cs="宋体"/>
                <w:color w:val="auto"/>
                <w:sz w:val="22"/>
                <w:szCs w:val="22"/>
                <w:highlight w:val="none"/>
                <w:lang w:val="en-US" w:eastAsia="zh-CN" w:bidi="ar"/>
              </w:rPr>
              <w:t xml:space="preserve">22mm</w:t>
            </w:r>
            <w:r>
              <w:rPr>
                <w:rStyle w:val="1138"/>
                <w:rFonts w:hint="eastAsia" w:ascii="宋体" w:hAnsi="宋体" w:eastAsia="宋体" w:cs="宋体"/>
                <w:color w:val="auto"/>
                <w:sz w:val="22"/>
                <w:szCs w:val="22"/>
                <w:highlight w:val="none"/>
                <w:lang w:val="en-US" w:eastAsia="zh-CN" w:bidi="ar"/>
              </w:rPr>
              <w:t xml:space="preserve">的石英管或素瓷管；氧气流量计测量范围</w:t>
            </w:r>
            <w:r>
              <w:rPr>
                <w:rStyle w:val="1145"/>
                <w:rFonts w:hint="eastAsia" w:ascii="宋体" w:hAnsi="宋体" w:eastAsia="宋体" w:cs="宋体"/>
                <w:color w:val="auto"/>
                <w:sz w:val="22"/>
                <w:szCs w:val="22"/>
                <w:highlight w:val="none"/>
                <w:lang w:val="en-US" w:eastAsia="zh-CN" w:bidi="ar"/>
              </w:rPr>
              <w:t xml:space="preserve">(0~150)mL/min</w:t>
            </w:r>
            <w:r>
              <w:rPr>
                <w:rStyle w:val="1138"/>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5</w:t>
            </w:r>
            <w:r>
              <w:rPr>
                <w:rStyle w:val="1138"/>
                <w:rFonts w:hint="eastAsia" w:ascii="宋体" w:hAnsi="宋体" w:eastAsia="宋体" w:cs="宋体"/>
                <w:color w:val="auto"/>
                <w:sz w:val="22"/>
                <w:szCs w:val="22"/>
                <w:highlight w:val="none"/>
                <w:lang w:val="en-US" w:eastAsia="zh-CN" w:bidi="ar"/>
              </w:rPr>
              <w:t xml:space="preserve">、燃烧装置采用一体化陶瓷纤维电炉，燃烧炉：室温</w:t>
            </w:r>
            <w:r>
              <w:rPr>
                <w:rStyle w:val="1145"/>
                <w:rFonts w:hint="eastAsia" w:ascii="宋体" w:hAnsi="宋体" w:eastAsia="宋体" w:cs="宋体"/>
                <w:color w:val="auto"/>
                <w:sz w:val="22"/>
                <w:szCs w:val="22"/>
                <w:highlight w:val="none"/>
                <w:lang w:val="en-US" w:eastAsia="zh-CN" w:bidi="ar"/>
              </w:rPr>
              <w:t xml:space="preserve">~1000</w:t>
            </w:r>
            <w:r>
              <w:rPr>
                <w:rStyle w:val="1138"/>
                <w:rFonts w:hint="eastAsia" w:ascii="宋体" w:hAnsi="宋体" w:eastAsia="宋体" w:cs="宋体"/>
                <w:color w:val="auto"/>
                <w:sz w:val="22"/>
                <w:szCs w:val="22"/>
                <w:highlight w:val="none"/>
                <w:lang w:val="en-US" w:eastAsia="zh-CN" w:bidi="ar"/>
              </w:rPr>
              <w:t xml:space="preserve">℃、转化炉：室温</w:t>
            </w:r>
            <w:r>
              <w:rPr>
                <w:rStyle w:val="1145"/>
                <w:rFonts w:hint="eastAsia" w:ascii="宋体" w:hAnsi="宋体" w:eastAsia="宋体" w:cs="宋体"/>
                <w:color w:val="auto"/>
                <w:sz w:val="22"/>
                <w:szCs w:val="22"/>
                <w:highlight w:val="none"/>
                <w:lang w:val="en-US" w:eastAsia="zh-CN" w:bidi="ar"/>
              </w:rPr>
              <w:t xml:space="preserve">~500</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 </w:t>
            </w:r>
            <w:r>
              <w:rPr>
                <w:rStyle w:val="1138"/>
                <w:rFonts w:hint="eastAsia" w:ascii="宋体" w:hAnsi="宋体" w:eastAsia="宋体" w:cs="宋体"/>
                <w:color w:val="auto"/>
                <w:sz w:val="22"/>
                <w:szCs w:val="22"/>
                <w:highlight w:val="none"/>
                <w:lang w:val="en-US" w:eastAsia="zh-CN" w:bidi="ar"/>
              </w:rPr>
              <w:t xml:space="preserve">控温精度：</w:t>
            </w:r>
            <w:r>
              <w:rPr>
                <w:rStyle w:val="1145"/>
                <w:rFonts w:hint="eastAsia" w:ascii="宋体" w:hAnsi="宋体" w:eastAsia="宋体" w:cs="宋体"/>
                <w:color w:val="auto"/>
                <w:sz w:val="22"/>
                <w:szCs w:val="22"/>
                <w:highlight w:val="none"/>
                <w:lang w:val="en-US" w:eastAsia="zh-CN" w:bidi="ar"/>
              </w:rPr>
              <w:t xml:space="preserve">±5</w:t>
            </w:r>
            <w:r>
              <w:rPr>
                <w:rStyle w:val="1138"/>
                <w:rFonts w:hint="eastAsia" w:ascii="宋体" w:hAnsi="宋体" w:eastAsia="宋体" w:cs="宋体"/>
                <w:color w:val="auto"/>
                <w:sz w:val="22"/>
                <w:szCs w:val="22"/>
                <w:highlight w:val="none"/>
                <w:lang w:val="en-US" w:eastAsia="zh-CN" w:bidi="ar"/>
              </w:rPr>
              <w:t xml:space="preserve">℃；自动控温、计时；反应温度可根据需要自由设定；</w:t>
            </w:r>
            <w:r>
              <w:rPr>
                <w:rStyle w:val="1145"/>
                <w:rFonts w:hint="eastAsia" w:ascii="宋体" w:hAnsi="宋体" w:eastAsia="宋体" w:cs="宋体"/>
                <w:color w:val="auto"/>
                <w:sz w:val="22"/>
                <w:szCs w:val="22"/>
                <w:highlight w:val="none"/>
                <w:lang w:val="en-US" w:eastAsia="zh-CN" w:bidi="ar"/>
              </w:rPr>
              <w:t xml:space="preserve">        </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6</w:t>
            </w:r>
            <w:r>
              <w:rPr>
                <w:rStyle w:val="1138"/>
                <w:rFonts w:hint="eastAsia" w:ascii="宋体" w:hAnsi="宋体" w:eastAsia="宋体" w:cs="宋体"/>
                <w:color w:val="auto"/>
                <w:sz w:val="22"/>
                <w:szCs w:val="22"/>
                <w:highlight w:val="none"/>
                <w:lang w:val="en-US" w:eastAsia="zh-CN" w:bidi="ar"/>
              </w:rPr>
              <w:t xml:space="preserve">、双层石英燃烧管；</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7</w:t>
            </w:r>
            <w:r>
              <w:rPr>
                <w:rStyle w:val="1138"/>
                <w:rFonts w:hint="eastAsia" w:ascii="宋体" w:hAnsi="宋体" w:eastAsia="宋体" w:cs="宋体"/>
                <w:color w:val="auto"/>
                <w:sz w:val="22"/>
                <w:szCs w:val="22"/>
                <w:highlight w:val="none"/>
                <w:lang w:val="en-US" w:eastAsia="zh-CN" w:bidi="ar"/>
              </w:rPr>
              <w:t xml:space="preserve">、超温报警，温度补偿；</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8</w:t>
            </w:r>
            <w:r>
              <w:rPr>
                <w:rStyle w:val="1138"/>
                <w:rFonts w:hint="eastAsia" w:ascii="宋体" w:hAnsi="宋体" w:eastAsia="宋体" w:cs="宋体"/>
                <w:color w:val="auto"/>
                <w:sz w:val="22"/>
                <w:szCs w:val="22"/>
                <w:highlight w:val="none"/>
                <w:lang w:val="en-US" w:eastAsia="zh-CN" w:bidi="ar"/>
              </w:rPr>
              <w:t xml:space="preserve">、自备电解池冷却装置，可长久使用，无需定期清洗；</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9</w:t>
            </w:r>
            <w:r>
              <w:rPr>
                <w:rStyle w:val="1138"/>
                <w:rFonts w:hint="eastAsia" w:ascii="宋体" w:hAnsi="宋体" w:eastAsia="宋体" w:cs="宋体"/>
                <w:color w:val="auto"/>
                <w:sz w:val="22"/>
                <w:szCs w:val="22"/>
                <w:highlight w:val="none"/>
                <w:lang w:val="en-US" w:eastAsia="zh-CN" w:bidi="ar"/>
              </w:rPr>
              <w:t xml:space="preserve">、带自动进样功能；</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10</w:t>
            </w:r>
            <w:r>
              <w:rPr>
                <w:rStyle w:val="1138"/>
                <w:rFonts w:hint="eastAsia" w:ascii="宋体" w:hAnsi="宋体" w:eastAsia="宋体" w:cs="宋体"/>
                <w:color w:val="auto"/>
                <w:sz w:val="22"/>
                <w:szCs w:val="22"/>
                <w:highlight w:val="none"/>
                <w:lang w:val="en-US" w:eastAsia="zh-CN" w:bidi="ar"/>
              </w:rPr>
              <w:t xml:space="preserve">、配备控制工作站及输出设备一套，可自动数据处理和报表处理，可打印；</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11、</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提供法定计量检定机构的校准证书。  </w:t>
            </w:r>
            <w:r>
              <w:rPr>
                <w:rStyle w:val="1145"/>
                <w:rFonts w:hint="eastAsia" w:ascii="宋体" w:hAnsi="宋体" w:eastAsia="宋体" w:cs="宋体"/>
                <w:color w:val="auto"/>
                <w:sz w:val="22"/>
                <w:szCs w:val="22"/>
                <w:highlight w:val="none"/>
                <w:lang w:val="en-US" w:eastAsia="zh-CN" w:bidi="ar"/>
              </w:rPr>
              <w:t xml:space="preserve">                                                                             </w:t>
            </w:r>
            <w:r/>
          </w:p>
        </w:tc>
      </w:tr>
      <w:tr>
        <w:trPr>
          <w:trHeight w:val="0"/>
        </w:trPr>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全自动测硫仪</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Style w:val="1145"/>
                <w:rFonts w:hint="eastAsia" w:ascii="宋体" w:hAnsi="宋体" w:eastAsia="宋体" w:cs="宋体"/>
                <w:color w:val="auto"/>
                <w:sz w:val="22"/>
                <w:szCs w:val="22"/>
                <w:highlight w:val="none"/>
                <w:lang w:val="en-US" w:eastAsia="zh-CN" w:bidi="ar"/>
              </w:rPr>
              <w:t xml:space="preserve">1</w:t>
            </w:r>
            <w:r>
              <w:rPr>
                <w:rStyle w:val="1138"/>
                <w:rFonts w:hint="eastAsia" w:ascii="宋体" w:hAnsi="宋体" w:eastAsia="宋体" w:cs="宋体"/>
                <w:color w:val="auto"/>
                <w:sz w:val="22"/>
                <w:szCs w:val="22"/>
                <w:highlight w:val="none"/>
                <w:lang w:val="en-US" w:eastAsia="zh-CN" w:bidi="ar"/>
              </w:rPr>
              <w:t xml:space="preserve">、符合</w:t>
            </w:r>
            <w:r>
              <w:rPr>
                <w:rStyle w:val="1145"/>
                <w:rFonts w:hint="eastAsia" w:ascii="宋体" w:hAnsi="宋体" w:eastAsia="宋体" w:cs="宋体"/>
                <w:color w:val="auto"/>
                <w:sz w:val="22"/>
                <w:szCs w:val="22"/>
                <w:highlight w:val="none"/>
                <w:lang w:val="en-US" w:eastAsia="zh-CN" w:bidi="ar"/>
              </w:rPr>
              <w:t xml:space="preserve">GB/T214-2007</w:t>
            </w:r>
            <w:r>
              <w:rPr>
                <w:rStyle w:val="1138"/>
                <w:rFonts w:hint="eastAsia" w:ascii="宋体" w:hAnsi="宋体" w:eastAsia="宋体" w:cs="宋体"/>
                <w:color w:val="auto"/>
                <w:sz w:val="22"/>
                <w:szCs w:val="22"/>
                <w:highlight w:val="none"/>
                <w:lang w:val="en-US" w:eastAsia="zh-CN" w:bidi="ar"/>
              </w:rPr>
              <w:t xml:space="preserve">库仑滴定法的设备配置及精密度要求；</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2</w:t>
            </w:r>
            <w:r>
              <w:rPr>
                <w:rStyle w:val="1138"/>
                <w:rFonts w:hint="eastAsia" w:ascii="宋体" w:hAnsi="宋体" w:eastAsia="宋体" w:cs="宋体"/>
                <w:color w:val="auto"/>
                <w:sz w:val="22"/>
                <w:szCs w:val="22"/>
                <w:highlight w:val="none"/>
                <w:lang w:val="en-US" w:eastAsia="zh-CN" w:bidi="ar"/>
              </w:rPr>
              <w:t xml:space="preserve">、管式高温炉能加热到</w:t>
            </w:r>
            <w:r>
              <w:rPr>
                <w:rStyle w:val="1145"/>
                <w:rFonts w:hint="eastAsia" w:ascii="宋体" w:hAnsi="宋体" w:eastAsia="宋体" w:cs="宋体"/>
                <w:color w:val="auto"/>
                <w:sz w:val="22"/>
                <w:szCs w:val="22"/>
                <w:highlight w:val="none"/>
                <w:lang w:val="en-US" w:eastAsia="zh-CN" w:bidi="ar"/>
              </w:rPr>
              <w:t xml:space="preserve">1200</w:t>
            </w:r>
            <w:r>
              <w:rPr>
                <w:rStyle w:val="1138"/>
                <w:rFonts w:hint="eastAsia" w:ascii="宋体" w:hAnsi="宋体" w:eastAsia="宋体" w:cs="宋体"/>
                <w:color w:val="auto"/>
                <w:sz w:val="22"/>
                <w:szCs w:val="22"/>
                <w:highlight w:val="none"/>
                <w:lang w:val="en-US" w:eastAsia="zh-CN" w:bidi="ar"/>
              </w:rPr>
              <w:t xml:space="preserve">℃以上，并有至少</w:t>
            </w:r>
            <w:r>
              <w:rPr>
                <w:rStyle w:val="1145"/>
                <w:rFonts w:hint="eastAsia" w:ascii="宋体" w:hAnsi="宋体" w:eastAsia="宋体" w:cs="宋体"/>
                <w:color w:val="auto"/>
                <w:sz w:val="22"/>
                <w:szCs w:val="22"/>
                <w:highlight w:val="none"/>
                <w:lang w:val="en-US" w:eastAsia="zh-CN" w:bidi="ar"/>
              </w:rPr>
              <w:t xml:space="preserve">70 mm</w:t>
            </w:r>
            <w:r>
              <w:rPr>
                <w:rStyle w:val="1138"/>
                <w:rFonts w:hint="eastAsia" w:ascii="宋体" w:hAnsi="宋体" w:eastAsia="宋体" w:cs="宋体"/>
                <w:color w:val="auto"/>
                <w:sz w:val="22"/>
                <w:szCs w:val="22"/>
                <w:highlight w:val="none"/>
                <w:lang w:val="en-US" w:eastAsia="zh-CN" w:bidi="ar"/>
              </w:rPr>
              <w:t xml:space="preserve">长的</w:t>
            </w:r>
            <w:r>
              <w:rPr>
                <w:rStyle w:val="1145"/>
                <w:rFonts w:hint="eastAsia" w:ascii="宋体" w:hAnsi="宋体" w:eastAsia="宋体" w:cs="宋体"/>
                <w:color w:val="auto"/>
                <w:sz w:val="22"/>
                <w:szCs w:val="22"/>
                <w:highlight w:val="none"/>
                <w:lang w:val="en-US" w:eastAsia="zh-CN" w:bidi="ar"/>
              </w:rPr>
              <w:t xml:space="preserve">(1150</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10)</w:t>
            </w:r>
            <w:r>
              <w:rPr>
                <w:rStyle w:val="1138"/>
                <w:rFonts w:hint="eastAsia" w:ascii="宋体" w:hAnsi="宋体" w:eastAsia="宋体" w:cs="宋体"/>
                <w:color w:val="auto"/>
                <w:sz w:val="22"/>
                <w:szCs w:val="22"/>
                <w:highlight w:val="none"/>
                <w:lang w:val="en-US" w:eastAsia="zh-CN" w:bidi="ar"/>
              </w:rPr>
              <w:t xml:space="preserve">℃高温恒温带，带有铂铑</w:t>
            </w:r>
            <w:r>
              <w:rPr>
                <w:rStyle w:val="1145"/>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t xml:space="preserve">铂热电偶测温及控温装置，炉内装有耐温</w:t>
            </w:r>
            <w:r>
              <w:rPr>
                <w:rStyle w:val="1145"/>
                <w:rFonts w:hint="eastAsia" w:ascii="宋体" w:hAnsi="宋体" w:eastAsia="宋体" w:cs="宋体"/>
                <w:color w:val="auto"/>
                <w:sz w:val="22"/>
                <w:szCs w:val="22"/>
                <w:highlight w:val="none"/>
                <w:lang w:val="en-US" w:eastAsia="zh-CN" w:bidi="ar"/>
              </w:rPr>
              <w:t xml:space="preserve">1300</w:t>
            </w:r>
            <w:r>
              <w:rPr>
                <w:rStyle w:val="1138"/>
                <w:rFonts w:hint="eastAsia" w:ascii="宋体" w:hAnsi="宋体" w:eastAsia="宋体" w:cs="宋体"/>
                <w:color w:val="auto"/>
                <w:sz w:val="22"/>
                <w:szCs w:val="22"/>
                <w:highlight w:val="none"/>
                <w:lang w:val="en-US" w:eastAsia="zh-CN" w:bidi="ar"/>
              </w:rPr>
              <w:t xml:space="preserve">℃以上的双层燃烧管；</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3</w:t>
            </w:r>
            <w:r>
              <w:rPr>
                <w:rStyle w:val="1138"/>
                <w:rFonts w:hint="eastAsia" w:ascii="宋体" w:hAnsi="宋体" w:eastAsia="宋体" w:cs="宋体"/>
                <w:color w:val="auto"/>
                <w:sz w:val="22"/>
                <w:szCs w:val="22"/>
                <w:highlight w:val="none"/>
                <w:lang w:val="en-US" w:eastAsia="zh-CN" w:bidi="ar"/>
              </w:rPr>
              <w:t xml:space="preserve">、电解池高</w:t>
            </w:r>
            <w:r>
              <w:rPr>
                <w:rStyle w:val="1145"/>
                <w:rFonts w:hint="eastAsia" w:ascii="宋体" w:hAnsi="宋体" w:eastAsia="宋体" w:cs="宋体"/>
                <w:color w:val="auto"/>
                <w:sz w:val="22"/>
                <w:szCs w:val="22"/>
                <w:highlight w:val="none"/>
                <w:lang w:val="en-US" w:eastAsia="zh-CN" w:bidi="ar"/>
              </w:rPr>
              <w:t xml:space="preserve">(120~180)mm</w:t>
            </w:r>
            <w:r>
              <w:rPr>
                <w:rStyle w:val="1138"/>
                <w:rFonts w:hint="eastAsia" w:ascii="宋体" w:hAnsi="宋体" w:eastAsia="宋体" w:cs="宋体"/>
                <w:color w:val="auto"/>
                <w:sz w:val="22"/>
                <w:szCs w:val="22"/>
                <w:highlight w:val="none"/>
                <w:lang w:val="en-US" w:eastAsia="zh-CN" w:bidi="ar"/>
              </w:rPr>
              <w:t xml:space="preserve">，容量不少于</w:t>
            </w:r>
            <w:r>
              <w:rPr>
                <w:rStyle w:val="1145"/>
                <w:rFonts w:hint="eastAsia" w:ascii="宋体" w:hAnsi="宋体" w:eastAsia="宋体" w:cs="宋体"/>
                <w:color w:val="auto"/>
                <w:sz w:val="22"/>
                <w:szCs w:val="22"/>
                <w:highlight w:val="none"/>
                <w:lang w:val="en-US" w:eastAsia="zh-CN" w:bidi="ar"/>
              </w:rPr>
              <w:t xml:space="preserve">400mL</w:t>
            </w:r>
            <w:r>
              <w:rPr>
                <w:rStyle w:val="1138"/>
                <w:rFonts w:hint="eastAsia" w:ascii="宋体" w:hAnsi="宋体" w:eastAsia="宋体" w:cs="宋体"/>
                <w:color w:val="auto"/>
                <w:sz w:val="22"/>
                <w:szCs w:val="22"/>
                <w:highlight w:val="none"/>
                <w:lang w:val="en-US" w:eastAsia="zh-CN" w:bidi="ar"/>
              </w:rPr>
              <w:t xml:space="preserve">，内有面积约</w:t>
            </w:r>
            <w:r>
              <w:rPr>
                <w:rStyle w:val="1145"/>
                <w:rFonts w:hint="eastAsia" w:ascii="宋体" w:hAnsi="宋体" w:eastAsia="宋体" w:cs="宋体"/>
                <w:color w:val="auto"/>
                <w:sz w:val="22"/>
                <w:szCs w:val="22"/>
                <w:highlight w:val="none"/>
                <w:lang w:val="en-US" w:eastAsia="zh-CN" w:bidi="ar"/>
              </w:rPr>
              <w:t xml:space="preserve">150mm</w:t>
            </w:r>
            <w:r>
              <w:rPr>
                <w:rStyle w:val="1146"/>
                <w:rFonts w:hint="eastAsia" w:ascii="宋体" w:hAnsi="宋体" w:eastAsia="宋体" w:cs="宋体"/>
                <w:color w:val="auto"/>
                <w:sz w:val="22"/>
                <w:szCs w:val="22"/>
                <w:highlight w:val="none"/>
                <w:lang w:val="en-US" w:eastAsia="zh-CN" w:bidi="ar"/>
              </w:rPr>
              <w:t xml:space="preserve">2</w:t>
            </w:r>
            <w:r>
              <w:rPr>
                <w:rStyle w:val="1138"/>
                <w:rFonts w:hint="eastAsia" w:ascii="宋体" w:hAnsi="宋体" w:eastAsia="宋体" w:cs="宋体"/>
                <w:color w:val="auto"/>
                <w:sz w:val="22"/>
                <w:szCs w:val="22"/>
                <w:highlight w:val="none"/>
                <w:lang w:val="en-US" w:eastAsia="zh-CN" w:bidi="ar"/>
              </w:rPr>
              <w:t xml:space="preserve">的铂电解电极对和面积约</w:t>
            </w:r>
            <w:r>
              <w:rPr>
                <w:rStyle w:val="1145"/>
                <w:rFonts w:hint="eastAsia" w:ascii="宋体" w:hAnsi="宋体" w:eastAsia="宋体" w:cs="宋体"/>
                <w:color w:val="auto"/>
                <w:sz w:val="22"/>
                <w:szCs w:val="22"/>
                <w:highlight w:val="none"/>
                <w:lang w:val="en-US" w:eastAsia="zh-CN" w:bidi="ar"/>
              </w:rPr>
              <w:t xml:space="preserve">15 mm</w:t>
            </w:r>
            <w:r>
              <w:rPr>
                <w:rStyle w:val="1146"/>
                <w:rFonts w:hint="eastAsia" w:ascii="宋体" w:hAnsi="宋体" w:eastAsia="宋体" w:cs="宋体"/>
                <w:color w:val="auto"/>
                <w:sz w:val="22"/>
                <w:szCs w:val="22"/>
                <w:highlight w:val="none"/>
                <w:lang w:val="en-US" w:eastAsia="zh-CN" w:bidi="ar"/>
              </w:rPr>
              <w:t xml:space="preserve">2 </w:t>
            </w:r>
            <w:r>
              <w:rPr>
                <w:rStyle w:val="1138"/>
                <w:rFonts w:hint="eastAsia" w:ascii="宋体" w:hAnsi="宋体" w:eastAsia="宋体" w:cs="宋体"/>
                <w:color w:val="auto"/>
                <w:sz w:val="22"/>
                <w:szCs w:val="22"/>
                <w:highlight w:val="none"/>
                <w:lang w:val="en-US" w:eastAsia="zh-CN" w:bidi="ar"/>
              </w:rPr>
              <w:t xml:space="preserve">的铂指示电极对。指示电极响应时间应小于</w:t>
            </w:r>
            <w:r>
              <w:rPr>
                <w:rStyle w:val="1145"/>
                <w:rFonts w:hint="eastAsia" w:ascii="宋体" w:hAnsi="宋体" w:eastAsia="宋体" w:cs="宋体"/>
                <w:color w:val="auto"/>
                <w:sz w:val="22"/>
                <w:szCs w:val="22"/>
                <w:highlight w:val="none"/>
                <w:lang w:val="en-US" w:eastAsia="zh-CN" w:bidi="ar"/>
              </w:rPr>
              <w:t xml:space="preserve">1s</w:t>
            </w:r>
            <w:r>
              <w:rPr>
                <w:rStyle w:val="1138"/>
                <w:rFonts w:hint="eastAsia" w:ascii="宋体" w:hAnsi="宋体" w:eastAsia="宋体" w:cs="宋体"/>
                <w:color w:val="auto"/>
                <w:sz w:val="22"/>
                <w:szCs w:val="22"/>
                <w:highlight w:val="none"/>
                <w:lang w:val="en-US" w:eastAsia="zh-CN" w:bidi="ar"/>
              </w:rPr>
              <w:t xml:space="preserve">，电磁搅拌器转速约</w:t>
            </w:r>
            <w:r>
              <w:rPr>
                <w:rStyle w:val="1145"/>
                <w:rFonts w:hint="eastAsia" w:ascii="宋体" w:hAnsi="宋体" w:eastAsia="宋体" w:cs="宋体"/>
                <w:color w:val="auto"/>
                <w:sz w:val="22"/>
                <w:szCs w:val="22"/>
                <w:highlight w:val="none"/>
                <w:lang w:val="en-US" w:eastAsia="zh-CN" w:bidi="ar"/>
              </w:rPr>
              <w:t xml:space="preserve"> 500 r/min </w:t>
            </w:r>
            <w:r>
              <w:rPr>
                <w:rStyle w:val="1138"/>
                <w:rFonts w:hint="eastAsia" w:ascii="宋体" w:hAnsi="宋体" w:eastAsia="宋体" w:cs="宋体"/>
                <w:color w:val="auto"/>
                <w:sz w:val="22"/>
                <w:szCs w:val="22"/>
                <w:highlight w:val="none"/>
                <w:lang w:val="en-US" w:eastAsia="zh-CN" w:bidi="ar"/>
              </w:rPr>
              <w:t xml:space="preserve">且连续可调；</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4</w:t>
            </w:r>
            <w:r>
              <w:rPr>
                <w:rStyle w:val="1138"/>
                <w:rFonts w:hint="eastAsia" w:ascii="宋体" w:hAnsi="宋体" w:eastAsia="宋体" w:cs="宋体"/>
                <w:color w:val="auto"/>
                <w:sz w:val="22"/>
                <w:szCs w:val="22"/>
                <w:highlight w:val="none"/>
                <w:lang w:val="en-US" w:eastAsia="zh-CN" w:bidi="ar"/>
              </w:rPr>
              <w:t xml:space="preserve">、电解电流</w:t>
            </w:r>
            <w:r>
              <w:rPr>
                <w:rStyle w:val="1145"/>
                <w:rFonts w:hint="eastAsia" w:ascii="宋体" w:hAnsi="宋体" w:eastAsia="宋体" w:cs="宋体"/>
                <w:color w:val="auto"/>
                <w:sz w:val="22"/>
                <w:szCs w:val="22"/>
                <w:highlight w:val="none"/>
                <w:lang w:val="en-US" w:eastAsia="zh-CN" w:bidi="ar"/>
              </w:rPr>
              <w:t xml:space="preserve">(0~350)mA</w:t>
            </w:r>
            <w:r>
              <w:rPr>
                <w:rStyle w:val="1138"/>
                <w:rFonts w:hint="eastAsia" w:ascii="宋体" w:hAnsi="宋体" w:eastAsia="宋体" w:cs="宋体"/>
                <w:color w:val="auto"/>
                <w:sz w:val="22"/>
                <w:szCs w:val="22"/>
                <w:highlight w:val="none"/>
                <w:lang w:val="en-US" w:eastAsia="zh-CN" w:bidi="ar"/>
              </w:rPr>
              <w:t xml:space="preserve">范围内积分线性误差应小于</w:t>
            </w:r>
            <w:r>
              <w:rPr>
                <w:rStyle w:val="1145"/>
                <w:rFonts w:hint="eastAsia" w:ascii="宋体" w:hAnsi="宋体" w:eastAsia="宋体" w:cs="宋体"/>
                <w:color w:val="auto"/>
                <w:sz w:val="22"/>
                <w:szCs w:val="22"/>
                <w:highlight w:val="none"/>
                <w:lang w:val="en-US" w:eastAsia="zh-CN" w:bidi="ar"/>
              </w:rPr>
              <w:t xml:space="preserve">0.1%</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5</w:t>
            </w:r>
            <w:r>
              <w:rPr>
                <w:rStyle w:val="1138"/>
                <w:rFonts w:hint="eastAsia" w:ascii="宋体" w:hAnsi="宋体" w:eastAsia="宋体" w:cs="宋体"/>
                <w:color w:val="auto"/>
                <w:sz w:val="22"/>
                <w:szCs w:val="22"/>
                <w:highlight w:val="none"/>
                <w:lang w:val="en-US" w:eastAsia="zh-CN" w:bidi="ar"/>
              </w:rPr>
              <w:t xml:space="preserve">、空气供应及净化装置由活塞气泵和净化管组成，供气量约</w:t>
            </w:r>
            <w:r>
              <w:rPr>
                <w:rStyle w:val="1145"/>
                <w:rFonts w:hint="eastAsia" w:ascii="宋体" w:hAnsi="宋体" w:eastAsia="宋体" w:cs="宋体"/>
                <w:color w:val="auto"/>
                <w:sz w:val="22"/>
                <w:szCs w:val="22"/>
                <w:highlight w:val="none"/>
                <w:lang w:val="en-US" w:eastAsia="zh-CN" w:bidi="ar"/>
              </w:rPr>
              <w:t xml:space="preserve">1500mL/min</w:t>
            </w:r>
            <w:r>
              <w:rPr>
                <w:rStyle w:val="1138"/>
                <w:rFonts w:hint="eastAsia" w:ascii="宋体" w:hAnsi="宋体" w:eastAsia="宋体" w:cs="宋体"/>
                <w:color w:val="auto"/>
                <w:sz w:val="22"/>
                <w:szCs w:val="22"/>
                <w:highlight w:val="none"/>
                <w:lang w:val="en-US" w:eastAsia="zh-CN" w:bidi="ar"/>
              </w:rPr>
              <w:t xml:space="preserve">，抽气量约</w:t>
            </w:r>
            <w:r>
              <w:rPr>
                <w:rStyle w:val="1145"/>
                <w:rFonts w:hint="eastAsia" w:ascii="宋体" w:hAnsi="宋体" w:eastAsia="宋体" w:cs="宋体"/>
                <w:color w:val="auto"/>
                <w:sz w:val="22"/>
                <w:szCs w:val="22"/>
                <w:highlight w:val="none"/>
                <w:lang w:val="en-US" w:eastAsia="zh-CN" w:bidi="ar"/>
              </w:rPr>
              <w:t xml:space="preserve">1000 mL/min</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6</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PID</w:t>
            </w:r>
            <w:r>
              <w:rPr>
                <w:rStyle w:val="1138"/>
                <w:rFonts w:hint="eastAsia" w:ascii="宋体" w:hAnsi="宋体" w:eastAsia="宋体" w:cs="宋体"/>
                <w:color w:val="auto"/>
                <w:sz w:val="22"/>
                <w:szCs w:val="22"/>
                <w:highlight w:val="none"/>
                <w:lang w:val="en-US" w:eastAsia="zh-CN" w:bidi="ar"/>
              </w:rPr>
              <w:t xml:space="preserve">控制算法，控温准确，升温速度快；</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7</w:t>
            </w:r>
            <w:r>
              <w:rPr>
                <w:rStyle w:val="1138"/>
                <w:rFonts w:hint="eastAsia" w:ascii="宋体" w:hAnsi="宋体" w:eastAsia="宋体" w:cs="宋体"/>
                <w:color w:val="auto"/>
                <w:sz w:val="22"/>
                <w:szCs w:val="22"/>
                <w:highlight w:val="none"/>
                <w:lang w:val="en-US" w:eastAsia="zh-CN" w:bidi="ar"/>
              </w:rPr>
              <w:t xml:space="preserve">、连续自动送样，一次可放入不少于</w:t>
            </w:r>
            <w:r>
              <w:rPr>
                <w:rStyle w:val="1145"/>
                <w:rFonts w:hint="eastAsia" w:ascii="宋体" w:hAnsi="宋体" w:eastAsia="宋体" w:cs="宋体"/>
                <w:color w:val="auto"/>
                <w:sz w:val="22"/>
                <w:szCs w:val="22"/>
                <w:highlight w:val="none"/>
                <w:lang w:val="en-US" w:eastAsia="zh-CN" w:bidi="ar"/>
              </w:rPr>
              <w:t xml:space="preserve">24</w:t>
            </w:r>
            <w:r>
              <w:rPr>
                <w:rStyle w:val="1138"/>
                <w:rFonts w:hint="eastAsia" w:ascii="宋体" w:hAnsi="宋体" w:eastAsia="宋体" w:cs="宋体"/>
                <w:color w:val="auto"/>
                <w:sz w:val="22"/>
                <w:szCs w:val="22"/>
                <w:highlight w:val="none"/>
                <w:lang w:val="en-US" w:eastAsia="zh-CN" w:bidi="ar"/>
              </w:rPr>
              <w:t xml:space="preserve">个样品，试验过程中可随时插入或添加样品；</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8</w:t>
            </w:r>
            <w:r>
              <w:rPr>
                <w:rStyle w:val="1138"/>
                <w:rFonts w:hint="eastAsia" w:ascii="宋体" w:hAnsi="宋体" w:eastAsia="宋体" w:cs="宋体"/>
                <w:color w:val="auto"/>
                <w:sz w:val="22"/>
                <w:szCs w:val="22"/>
                <w:highlight w:val="none"/>
                <w:lang w:val="en-US" w:eastAsia="zh-CN" w:bidi="ar"/>
              </w:rPr>
              <w:t xml:space="preserve">、测硫范围：</w:t>
            </w:r>
            <w:r>
              <w:rPr>
                <w:rStyle w:val="1145"/>
                <w:rFonts w:hint="eastAsia" w:ascii="宋体" w:hAnsi="宋体" w:eastAsia="宋体" w:cs="宋体"/>
                <w:color w:val="auto"/>
                <w:sz w:val="22"/>
                <w:szCs w:val="22"/>
                <w:highlight w:val="none"/>
                <w:lang w:val="en-US" w:eastAsia="zh-CN" w:bidi="ar"/>
              </w:rPr>
              <w:t xml:space="preserve">0.001%~20%</w:t>
            </w:r>
            <w:r>
              <w:rPr>
                <w:rStyle w:val="1138"/>
                <w:rFonts w:hint="eastAsia" w:ascii="宋体" w:hAnsi="宋体" w:eastAsia="宋体" w:cs="宋体"/>
                <w:color w:val="auto"/>
                <w:sz w:val="22"/>
                <w:szCs w:val="22"/>
                <w:highlight w:val="none"/>
                <w:lang w:val="en-US" w:eastAsia="zh-CN" w:bidi="ar"/>
              </w:rPr>
              <w:t xml:space="preserve">，测硫分辨率</w:t>
            </w:r>
            <w:r>
              <w:rPr>
                <w:rStyle w:val="1145"/>
                <w:rFonts w:hint="eastAsia" w:ascii="宋体" w:hAnsi="宋体" w:eastAsia="宋体" w:cs="宋体"/>
                <w:color w:val="auto"/>
                <w:sz w:val="22"/>
                <w:szCs w:val="22"/>
                <w:highlight w:val="none"/>
                <w:lang w:val="en-US" w:eastAsia="zh-CN" w:bidi="ar"/>
              </w:rPr>
              <w:t xml:space="preserve">0.001%</w:t>
            </w:r>
            <w:r>
              <w:rPr>
                <w:rStyle w:val="1138"/>
                <w:rFonts w:hint="eastAsia" w:ascii="宋体" w:hAnsi="宋体" w:eastAsia="宋体" w:cs="宋体"/>
                <w:color w:val="auto"/>
                <w:sz w:val="22"/>
                <w:szCs w:val="22"/>
                <w:highlight w:val="none"/>
                <w:lang w:val="en-US" w:eastAsia="zh-CN" w:bidi="ar"/>
              </w:rPr>
              <w:t xml:space="preserve">；</w:t>
            </w:r>
            <w:r>
              <w:rPr>
                <w:rStyle w:val="1138"/>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9</w:t>
            </w:r>
            <w:r>
              <w:rPr>
                <w:rStyle w:val="1138"/>
                <w:rFonts w:hint="eastAsia" w:ascii="宋体" w:hAnsi="宋体" w:eastAsia="宋体" w:cs="宋体"/>
                <w:color w:val="auto"/>
                <w:sz w:val="22"/>
                <w:szCs w:val="22"/>
                <w:highlight w:val="none"/>
                <w:lang w:val="en-US" w:eastAsia="zh-CN" w:bidi="ar"/>
              </w:rPr>
              <w:t xml:space="preserve">、控温精度：±</w:t>
            </w:r>
            <w:r>
              <w:rPr>
                <w:rStyle w:val="1145"/>
                <w:rFonts w:hint="eastAsia" w:ascii="宋体" w:hAnsi="宋体" w:eastAsia="宋体" w:cs="宋体"/>
                <w:color w:val="auto"/>
                <w:sz w:val="22"/>
                <w:szCs w:val="22"/>
                <w:highlight w:val="none"/>
                <w:lang w:val="en-US" w:eastAsia="zh-CN" w:bidi="ar"/>
              </w:rPr>
              <w:t xml:space="preserve">1</w:t>
            </w:r>
            <w:r>
              <w:rPr>
                <w:rStyle w:val="1138"/>
                <w:rFonts w:hint="eastAsia" w:ascii="宋体" w:hAnsi="宋体" w:eastAsia="宋体" w:cs="宋体"/>
                <w:color w:val="auto"/>
                <w:sz w:val="22"/>
                <w:szCs w:val="22"/>
                <w:highlight w:val="none"/>
                <w:lang w:val="en-US" w:eastAsia="zh-CN" w:bidi="ar"/>
              </w:rPr>
              <w:t xml:space="preserve">℃；测煤工作炉温</w:t>
            </w:r>
            <w:r>
              <w:rPr>
                <w:rStyle w:val="1145"/>
                <w:rFonts w:hint="eastAsia" w:ascii="宋体" w:hAnsi="宋体" w:eastAsia="宋体" w:cs="宋体"/>
                <w:color w:val="auto"/>
                <w:sz w:val="22"/>
                <w:szCs w:val="22"/>
                <w:highlight w:val="none"/>
                <w:lang w:val="en-US" w:eastAsia="zh-CN" w:bidi="ar"/>
              </w:rPr>
              <w:t xml:space="preserve">1150</w:t>
            </w:r>
            <w:r>
              <w:rPr>
                <w:rStyle w:val="1138"/>
                <w:rFonts w:hint="eastAsia" w:ascii="宋体" w:hAnsi="宋体" w:eastAsia="宋体" w:cs="宋体"/>
                <w:color w:val="auto"/>
                <w:sz w:val="22"/>
                <w:szCs w:val="22"/>
                <w:highlight w:val="none"/>
                <w:lang w:val="en-US" w:eastAsia="zh-CN" w:bidi="ar"/>
              </w:rPr>
              <w:t xml:space="preserve">℃；</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Style w:val="1145"/>
                <w:rFonts w:hint="eastAsia" w:ascii="宋体" w:hAnsi="宋体" w:eastAsia="宋体" w:cs="宋体"/>
                <w:color w:val="auto"/>
                <w:sz w:val="22"/>
                <w:szCs w:val="22"/>
                <w:highlight w:val="none"/>
                <w:lang w:val="en-US" w:eastAsia="zh-CN" w:bidi="ar"/>
              </w:rPr>
              <w:t xml:space="preserve">10</w:t>
            </w:r>
            <w:r>
              <w:rPr>
                <w:rStyle w:val="1138"/>
                <w:rFonts w:hint="eastAsia" w:ascii="宋体" w:hAnsi="宋体" w:eastAsia="宋体" w:cs="宋体"/>
                <w:color w:val="auto"/>
                <w:sz w:val="22"/>
                <w:szCs w:val="22"/>
                <w:highlight w:val="none"/>
                <w:lang w:val="en-US" w:eastAsia="zh-CN" w:bidi="ar"/>
              </w:rPr>
              <w:t xml:space="preserve">、配备控制工作站及输出设备一套，可自动数据处理和报表处理，可打印；</w:t>
            </w:r>
            <w:r>
              <w:rPr>
                <w:rStyle w:val="1145"/>
                <w:rFonts w:hint="eastAsia" w:ascii="宋体" w:hAnsi="宋体" w:eastAsia="宋体" w:cs="宋体"/>
                <w:color w:val="auto"/>
                <w:sz w:val="22"/>
                <w:szCs w:val="22"/>
                <w:highlight w:val="none"/>
                <w:lang w:val="en-US" w:eastAsia="zh-CN" w:bidi="ar"/>
              </w:rPr>
              <w:t xml:space="preserve">                                                    </w:t>
            </w:r>
            <w:r>
              <w:rPr>
                <w:rStyle w:val="1145"/>
                <w:rFonts w:hint="eastAsia" w:ascii="宋体" w:hAnsi="宋体" w:eastAsia="宋体" w:cs="宋体"/>
                <w:color w:val="auto"/>
                <w:sz w:val="22"/>
                <w:szCs w:val="22"/>
                <w:highlight w:val="none"/>
                <w:lang w:val="en-US" w:eastAsia="zh-CN" w:bidi="ar"/>
              </w:rPr>
              <w:br/>
            </w:r>
            <w:r>
              <w:rPr>
                <w:rFonts w:hint="eastAsia" w:ascii="宋体" w:hAnsi="宋体" w:eastAsia="宋体" w:cs="宋体"/>
                <w:i/>
                <w:iCs/>
                <w:color w:val="auto"/>
                <w:sz w:val="22"/>
                <w:szCs w:val="22"/>
                <w:highlight w:val="none"/>
                <w:u w:val="single"/>
                <w:lang w:val="en-US" w:eastAsia="zh-CN" w:bidi="ar"/>
              </w:rPr>
              <w:t xml:space="preserve">11、</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提供法定计量检定机构的校准证书。 </w:t>
            </w:r>
            <w:r>
              <w:rPr>
                <w:rStyle w:val="1145"/>
                <w:rFonts w:hint="eastAsia" w:ascii="宋体" w:hAnsi="宋体" w:eastAsia="宋体" w:cs="宋体"/>
                <w:color w:val="auto"/>
                <w:sz w:val="22"/>
                <w:szCs w:val="22"/>
                <w:highlight w:val="none"/>
                <w:lang w:val="en-US" w:eastAsia="zh-CN" w:bidi="ar"/>
              </w:rPr>
              <w:t xml:space="preserve">                                                                               </w:t>
            </w:r>
            <w:r/>
          </w:p>
        </w:tc>
      </w:tr>
      <w:tr>
        <w:trPr>
          <w:trHeight w:val="0"/>
        </w:trPr>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0" w:type="auto"/>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自动量热仪</w:t>
            </w:r>
            <w:r/>
          </w:p>
        </w:tc>
        <w:tc>
          <w:tcPr>
            <w:shd w:val="clear" w:color="auto" w:fill="auto"/>
            <w:tcW w:w="7433" w:type="dxa"/>
            <w:vAlign w:val="center"/>
            <w:textDirection w:val="lrTb"/>
            <w:noWrap w:val="false"/>
          </w:tcPr>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1、符合GB/T213-2008规定的设备配置及精密度要求；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2、控温传感器PT300，多路传感器精密测温；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3、内部构造采用优质304不锈钢，无需频繁换水；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4、高导热材料制作压力燃烧装置，低热值物质的准确性和重复性优于国标要求；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5、有水定量装置，配合自动水循环系统，能准确自动定量内桶水量；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6、测温范围：0~40℃，温度分辨力0.1℃；                                              </w:t>
            </w:r>
            <w:r/>
          </w:p>
          <w:p>
            <w:pPr>
              <w:ind w:firstLine="0"/>
              <w:jc w:val="left"/>
              <w:keepLines w:val="0"/>
              <w:keepNext w:val="0"/>
              <w:pageBreakBefore w:val="0"/>
              <w:spacing w:line="320" w:lineRule="exact"/>
              <w:widowControl/>
              <w:rPr>
                <w:rStyle w:val="1147"/>
                <w:rFonts w:hint="eastAsia" w:ascii="宋体" w:hAnsi="宋体" w:eastAsia="宋体" w:cs="宋体"/>
                <w:color w:val="auto"/>
                <w:sz w:val="22"/>
                <w:szCs w:val="22"/>
                <w:highlight w:val="none"/>
                <w:lang w:val="en-US" w:eastAsia="zh-CN" w:bidi="ar"/>
              </w:rPr>
              <w:suppressLineNumbers w:val="0"/>
            </w:pPr>
            <w:r>
              <w:rPr>
                <w:rStyle w:val="1147"/>
                <w:rFonts w:hint="eastAsia" w:ascii="宋体" w:hAnsi="宋体" w:eastAsia="宋体" w:cs="宋体"/>
                <w:color w:val="auto"/>
                <w:sz w:val="22"/>
                <w:szCs w:val="22"/>
                <w:highlight w:val="none"/>
                <w:lang w:val="en-US" w:eastAsia="zh-CN" w:bidi="ar"/>
              </w:rPr>
              <w:t xml:space="preserve">7、精密度≤0.1%；                                                                         </w:t>
            </w:r>
            <w:r/>
          </w:p>
          <w:p>
            <w:pPr>
              <w:ind w:firstLine="0"/>
              <w:jc w:val="left"/>
              <w:keepLines w:val="0"/>
              <w:keepNext w:val="0"/>
              <w:pageBreakBefore w:val="0"/>
              <w:spacing w:line="320" w:lineRule="exact"/>
              <w:widowControl/>
              <w:rPr>
                <w:rFonts w:hint="eastAsia" w:ascii="宋体" w:hAnsi="宋体" w:eastAsia="宋体" w:cs="宋体"/>
                <w:i w:val="0"/>
                <w:iCs w:val="0"/>
                <w:color w:val="auto"/>
                <w:sz w:val="22"/>
                <w:szCs w:val="22"/>
                <w:highlight w:val="none"/>
                <w:u w:val="none"/>
              </w:rPr>
              <w:suppressLineNumbers w:val="0"/>
            </w:pPr>
            <w:r>
              <w:rPr>
                <w:rStyle w:val="1147"/>
                <w:rFonts w:hint="eastAsia" w:ascii="宋体" w:hAnsi="宋体" w:eastAsia="宋体" w:cs="宋体"/>
                <w:color w:val="auto"/>
                <w:sz w:val="22"/>
                <w:szCs w:val="22"/>
                <w:highlight w:val="none"/>
                <w:lang w:val="en-US" w:eastAsia="zh-CN" w:bidi="ar"/>
              </w:rPr>
              <w:t xml:space="preserve">8、配备控制工作站及输出设备一套，可自动数据处理和报表处理，可打印；    </w:t>
            </w:r>
            <w:r>
              <w:rPr>
                <w:rStyle w:val="1147"/>
                <w:rFonts w:hint="eastAsia" w:ascii="宋体" w:hAnsi="宋体" w:eastAsia="宋体" w:cs="宋体"/>
                <w:color w:val="auto"/>
                <w:sz w:val="22"/>
                <w:szCs w:val="22"/>
                <w:highlight w:val="none"/>
                <w:lang w:val="en-US" w:eastAsia="zh-CN" w:bidi="ar"/>
              </w:rPr>
              <w:br/>
            </w:r>
            <w:r>
              <w:rPr>
                <w:rFonts w:hint="eastAsia" w:ascii="宋体" w:hAnsi="宋体" w:cs="宋体"/>
                <w:i/>
                <w:iCs/>
                <w:color w:val="auto"/>
                <w:sz w:val="22"/>
                <w:szCs w:val="22"/>
                <w:highlight w:val="none"/>
                <w:u w:val="single"/>
                <w:lang w:val="en-US" w:eastAsia="zh-CN" w:bidi="ar"/>
              </w:rPr>
              <w:t xml:space="preserve">9</w:t>
            </w:r>
            <w:r>
              <w:rPr>
                <w:rFonts w:hint="eastAsia" w:ascii="宋体" w:hAnsi="宋体" w:eastAsia="宋体" w:cs="宋体"/>
                <w:i/>
                <w:iCs/>
                <w:color w:val="auto"/>
                <w:sz w:val="22"/>
                <w:szCs w:val="22"/>
                <w:highlight w:val="none"/>
                <w:u w:val="single"/>
                <w:lang w:val="en-US" w:eastAsia="zh-CN" w:bidi="ar"/>
              </w:rPr>
              <w:t xml:space="preserve">、</w:t>
            </w:r>
            <w:r>
              <w:rPr>
                <w:rFonts w:hint="eastAsia" w:ascii="宋体" w:hAnsi="宋体" w:cs="宋体"/>
                <w:i/>
                <w:iCs/>
                <w:color w:val="auto"/>
                <w:sz w:val="22"/>
                <w:szCs w:val="22"/>
                <w:highlight w:val="none"/>
                <w:u w:val="single"/>
                <w:lang w:val="en-US" w:eastAsia="zh-CN" w:bidi="ar"/>
              </w:rPr>
              <w:t xml:space="preserve">中标后</w:t>
            </w:r>
            <w:r>
              <w:rPr>
                <w:rFonts w:hint="eastAsia" w:ascii="宋体" w:hAnsi="宋体" w:eastAsia="宋体" w:cs="宋体"/>
                <w:i/>
                <w:iCs/>
                <w:color w:val="auto"/>
                <w:sz w:val="22"/>
                <w:szCs w:val="22"/>
                <w:highlight w:val="none"/>
                <w:u w:val="single"/>
                <w:lang w:val="en-US" w:eastAsia="zh-CN" w:bidi="ar"/>
              </w:rPr>
              <w:t xml:space="preserve">提供法定计量检定机构的校准证书。</w:t>
            </w:r>
            <w:r/>
          </w:p>
        </w:tc>
      </w:tr>
    </w:tbl>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79" w:name="_Toc6370"/>
      <w:r/>
      <w:bookmarkStart w:id="180" w:name="_Toc19243"/>
      <w:r/>
      <w:bookmarkStart w:id="181" w:name="_Toc8533"/>
      <w:r>
        <w:rPr>
          <w:rFonts w:hint="eastAsia" w:ascii="宋体" w:hAnsi="宋体" w:cs="宋体"/>
          <w:b/>
          <w:color w:val="000000"/>
          <w:sz w:val="28"/>
          <w:szCs w:val="28"/>
          <w:highlight w:val="none"/>
        </w:rPr>
        <w:t xml:space="preserve">商务条款</w:t>
      </w:r>
      <w:bookmarkEnd w:id="179"/>
      <w:r/>
      <w:bookmarkEnd w:id="180"/>
      <w:r/>
      <w:bookmarkEnd w:id="181"/>
      <w:r/>
      <w:r/>
    </w:p>
    <w:p>
      <w:pPr>
        <w:pStyle w:val="1097"/>
        <w:ind w:firstLine="500"/>
        <w:spacing w:line="440" w:lineRule="exact"/>
        <w:rPr>
          <w:rStyle w:val="1124"/>
          <w:rFonts w:hint="eastAsia" w:ascii="宋体" w:hAnsi="宋体" w:eastAsia="宋体" w:cs="宋体"/>
          <w:b/>
          <w:color w:val="auto"/>
          <w:spacing w:val="7"/>
          <w:sz w:val="24"/>
          <w:szCs w:val="24"/>
        </w:rPr>
      </w:pPr>
      <w:r>
        <w:rPr>
          <w:rStyle w:val="1124"/>
          <w:rFonts w:ascii="宋体" w:hAnsi="宋体" w:eastAsia="宋体" w:cs="宋体"/>
          <w:b/>
          <w:color w:val="auto"/>
          <w:spacing w:val="7"/>
          <w:sz w:val="24"/>
          <w:szCs w:val="24"/>
        </w:rPr>
        <w:t xml:space="preserve">1 质保期</w:t>
      </w:r>
      <w:r/>
    </w:p>
    <w:p>
      <w:pPr>
        <w:pStyle w:val="1097"/>
        <w:ind w:firstLine="500"/>
        <w:spacing w:line="440" w:lineRule="exact"/>
        <w:rPr>
          <w:rFonts w:hint="eastAsia" w:ascii="宋体" w:hAnsi="宋体" w:eastAsia="宋体" w:cs="宋体"/>
          <w:i/>
          <w:color w:val="000000"/>
          <w:spacing w:val="7"/>
          <w:highlight w:val="none"/>
          <w:u w:val="single"/>
        </w:rPr>
      </w:pPr>
      <w:r>
        <w:rPr>
          <w:rFonts w:hint="eastAsia" w:ascii="宋体" w:hAnsi="宋体" w:cs="宋体"/>
          <w:i/>
          <w:spacing w:val="7"/>
          <w:highlight w:val="none"/>
          <w:u w:val="single"/>
        </w:rPr>
        <w:t xml:space="preserve">设备质保期为自产品验收合格之日起两年。</w:t>
      </w:r>
      <w:r>
        <w:rPr>
          <w:rFonts w:hint="eastAsia" w:ascii="宋体" w:hAnsi="宋体" w:cs="宋体"/>
          <w:i/>
          <w:color w:val="000000"/>
          <w:spacing w:val="7"/>
          <w:highlight w:val="none"/>
          <w:u w:val="single"/>
        </w:rPr>
        <w:t xml:space="preserve">设备终身维修、设备操控软件终身免费</w:t>
      </w:r>
      <w:r>
        <w:rPr>
          <w:rFonts w:hint="eastAsia" w:ascii="宋体" w:hAnsi="宋体" w:cs="宋体"/>
          <w:i/>
          <w:color w:val="000000"/>
          <w:spacing w:val="7"/>
          <w:u w:val="single"/>
        </w:rPr>
        <w:t xml:space="preserve">升级，保修期外中标单位提供维修服务只收零部件成本费，其工作人员一切费用由中标单位负责。因人为因素出现的故障不在免费质保范围内。（以双方在验收报告签订日期为准）</w:t>
      </w:r>
      <w:r/>
    </w:p>
    <w:p>
      <w:pPr>
        <w:pStyle w:val="1097"/>
        <w:ind w:firstLine="500"/>
        <w:spacing w:line="440" w:lineRule="exact"/>
        <w:rPr>
          <w:rStyle w:val="1124"/>
          <w:rFonts w:hint="eastAsia" w:ascii="宋体" w:hAnsi="宋体" w:eastAsia="宋体" w:cs="宋体"/>
          <w:b/>
          <w:color w:val="auto"/>
          <w:spacing w:val="7"/>
          <w:sz w:val="24"/>
          <w:szCs w:val="24"/>
        </w:rPr>
      </w:pPr>
      <w:r>
        <w:rPr>
          <w:rStyle w:val="1124"/>
          <w:rFonts w:ascii="宋体" w:hAnsi="宋体" w:eastAsia="宋体" w:cs="宋体"/>
          <w:b/>
          <w:color w:val="auto"/>
          <w:spacing w:val="7"/>
          <w:sz w:val="24"/>
          <w:szCs w:val="24"/>
        </w:rPr>
        <w:t xml:space="preserve">2 售后技术服务要求</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2.1、售后技术要求服务</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hint="eastAsia" w:ascii="宋体" w:hAnsi="宋体" w:eastAsia="宋体" w:cs="宋体"/>
          <w:i/>
          <w:color w:val="auto"/>
          <w:spacing w:val="7"/>
          <w:sz w:val="24"/>
          <w:szCs w:val="24"/>
          <w:u w:val="single"/>
        </w:rPr>
        <w:t xml:space="preserve">设备出现故障后，中标人在接到招标人维修函电后，必须在2小时内对招标人所提出的维修要求作出响应，24小时内到达维修现场并提出解决维修方案，否则由于故障造成的全部损失由中标人承担。</w:t>
      </w:r>
      <w:r/>
    </w:p>
    <w:p>
      <w:pPr>
        <w:pStyle w:val="1129"/>
        <w:ind w:firstLine="499"/>
        <w:spacing w:line="440" w:lineRule="exact"/>
        <w:widowControl w:val="off"/>
        <w:rPr>
          <w:rFonts w:ascii="宋体" w:cs="宋体"/>
          <w:spacing w:val="7"/>
        </w:rPr>
      </w:pPr>
      <w:r>
        <w:rPr>
          <w:rFonts w:ascii="宋体" w:hAnsi="宋体" w:cs="宋体"/>
          <w:color w:val="000000"/>
          <w:spacing w:val="7"/>
        </w:rPr>
        <w:t xml:space="preserve">2.2</w:t>
      </w:r>
      <w:r>
        <w:rPr>
          <w:rFonts w:hint="eastAsia" w:ascii="宋体" w:hAnsi="宋体" w:cs="宋体"/>
          <w:color w:val="000000"/>
          <w:spacing w:val="7"/>
        </w:rPr>
        <w:t xml:space="preserve">、服务培训方案</w:t>
      </w:r>
      <w:r/>
    </w:p>
    <w:p>
      <w:pPr>
        <w:pStyle w:val="1097"/>
        <w:ind w:firstLine="500"/>
        <w:spacing w:line="440" w:lineRule="exact"/>
        <w:rPr>
          <w:rStyle w:val="1124"/>
          <w:rFonts w:hint="eastAsia" w:ascii="宋体" w:hAnsi="宋体" w:eastAsia="宋体" w:cs="宋体"/>
          <w:i/>
          <w:color w:val="auto"/>
          <w:spacing w:val="7"/>
          <w:sz w:val="24"/>
          <w:szCs w:val="24"/>
          <w:u w:val="single"/>
        </w:rPr>
      </w:pPr>
      <w:r>
        <w:rPr>
          <w:rFonts w:hint="eastAsia" w:ascii="宋体" w:hAnsi="宋体" w:cs="宋体"/>
          <w:color w:val="000000"/>
          <w:spacing w:val="7"/>
        </w:rPr>
        <w:t xml:space="preserve">投标人提供服务培训方案（服务及培训内容、常见故障解决方案、专业技术人员保障及服务电话等），不少于</w:t>
      </w:r>
      <w:r>
        <w:rPr>
          <w:rFonts w:ascii="宋体" w:hAnsi="宋体" w:cs="宋体"/>
          <w:color w:val="000000"/>
          <w:spacing w:val="7"/>
        </w:rPr>
        <w:t xml:space="preserve">1</w:t>
      </w:r>
      <w:r>
        <w:rPr>
          <w:rFonts w:hint="eastAsia" w:ascii="宋体" w:hAnsi="宋体" w:cs="宋体"/>
          <w:color w:val="000000"/>
          <w:spacing w:val="7"/>
        </w:rPr>
        <w:t xml:space="preserve">天现场培训（根据设备培训内容确定），保证</w:t>
      </w:r>
      <w:r>
        <w:rPr>
          <w:rFonts w:hint="eastAsia" w:ascii="宋体" w:hAnsi="宋体" w:eastAsia="宋体" w:cs="宋体"/>
          <w:color w:val="000000"/>
          <w:spacing w:val="7"/>
          <w:lang w:val="en-US" w:eastAsia="zh-CN"/>
        </w:rPr>
        <w:t xml:space="preserve">采购</w:t>
      </w:r>
      <w:r>
        <w:rPr>
          <w:rFonts w:hint="eastAsia" w:ascii="宋体" w:hAnsi="宋体" w:cs="宋体"/>
          <w:color w:val="000000"/>
          <w:spacing w:val="7"/>
        </w:rPr>
        <w:t xml:space="preserve">人的工作人员能够独立操作设备，双方对培训结果签字确认。</w:t>
      </w:r>
      <w:r/>
    </w:p>
    <w:p>
      <w:pPr>
        <w:pStyle w:val="1097"/>
        <w:ind w:firstLine="500"/>
        <w:spacing w:line="440" w:lineRule="exact"/>
        <w:rPr>
          <w:rStyle w:val="1124"/>
          <w:rFonts w:hint="eastAsia" w:ascii="宋体" w:hAnsi="宋体" w:eastAsia="宋体" w:cs="宋体"/>
          <w:b/>
          <w:color w:val="auto"/>
          <w:spacing w:val="7"/>
          <w:sz w:val="24"/>
          <w:szCs w:val="24"/>
        </w:rPr>
      </w:pPr>
      <w:r>
        <w:rPr>
          <w:rStyle w:val="1124"/>
          <w:rFonts w:ascii="宋体" w:hAnsi="宋体" w:eastAsia="宋体" w:cs="宋体"/>
          <w:b/>
          <w:color w:val="auto"/>
          <w:spacing w:val="7"/>
          <w:sz w:val="24"/>
          <w:szCs w:val="24"/>
        </w:rPr>
        <w:t xml:space="preserve">3 </w:t>
      </w:r>
      <w:bookmarkStart w:id="182" w:name="OLE_LINK10"/>
      <w:r>
        <w:rPr>
          <w:rStyle w:val="1124"/>
          <w:rFonts w:ascii="宋体" w:hAnsi="宋体" w:eastAsia="宋体" w:cs="宋体"/>
          <w:b/>
          <w:color w:val="auto"/>
          <w:spacing w:val="7"/>
          <w:sz w:val="24"/>
          <w:szCs w:val="24"/>
        </w:rPr>
        <w:t xml:space="preserve">交货期、交货方式及交货地点</w:t>
      </w:r>
      <w:bookmarkEnd w:id="182"/>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3.1、交货期</w:t>
      </w:r>
      <w:r/>
    </w:p>
    <w:p>
      <w:pPr>
        <w:pStyle w:val="1097"/>
        <w:ind w:firstLine="500"/>
        <w:spacing w:line="440" w:lineRule="exact"/>
        <w:rPr>
          <w:rStyle w:val="1124"/>
          <w:rFonts w:hint="eastAsia" w:ascii="宋体" w:hAnsi="宋体" w:eastAsia="宋体" w:cs="宋体"/>
          <w:i/>
          <w:color w:val="auto"/>
          <w:spacing w:val="7"/>
          <w:sz w:val="24"/>
          <w:szCs w:val="24"/>
          <w:highlight w:val="yellow"/>
          <w:u w:val="single"/>
        </w:rPr>
      </w:pPr>
      <w:r>
        <w:rPr>
          <w:rStyle w:val="1124"/>
          <w:rFonts w:hint="eastAsia" w:ascii="宋体" w:hAnsi="宋体" w:eastAsia="宋体" w:cs="宋体"/>
          <w:i/>
          <w:color w:val="auto"/>
          <w:spacing w:val="7"/>
          <w:sz w:val="24"/>
          <w:szCs w:val="24"/>
          <w:highlight w:val="none"/>
          <w:u w:val="single"/>
        </w:rPr>
        <w:t xml:space="preserve">合同签订后60日内完成全部产品的安装、调试完毕并交付正常使用。遇不可抗力</w:t>
      </w:r>
      <w:r>
        <w:rPr>
          <w:rStyle w:val="1124"/>
          <w:rFonts w:hint="eastAsia" w:ascii="宋体" w:hAnsi="宋体" w:eastAsia="宋体" w:cs="宋体"/>
          <w:i/>
          <w:color w:val="auto"/>
          <w:spacing w:val="7"/>
          <w:sz w:val="24"/>
          <w:szCs w:val="24"/>
          <w:u w:val="single"/>
        </w:rPr>
        <w:t xml:space="preserve">原因需迟延交货的，经采购人同意后可适当延期</w:t>
      </w:r>
      <w:r>
        <w:rPr>
          <w:rStyle w:val="1124"/>
          <w:rFonts w:ascii="宋体" w:hAnsi="宋体" w:eastAsia="宋体" w:cs="宋体"/>
          <w:i/>
          <w:color w:val="auto"/>
          <w:spacing w:val="7"/>
          <w:sz w:val="24"/>
          <w:szCs w:val="24"/>
          <w:u w:val="single"/>
        </w:rPr>
        <w:t xml:space="preserve">。</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3.2、交货方式</w:t>
      </w:r>
      <w:r/>
    </w:p>
    <w:p>
      <w:pPr>
        <w:pStyle w:val="1097"/>
        <w:ind w:firstLine="500"/>
        <w:spacing w:line="440" w:lineRule="exact"/>
        <w:rPr>
          <w:rStyle w:val="1124"/>
          <w:rFonts w:hint="eastAsia" w:ascii="宋体" w:hAnsi="宋体" w:eastAsia="宋体" w:cs="宋体"/>
          <w:i/>
          <w:color w:val="auto"/>
          <w:spacing w:val="7"/>
          <w:sz w:val="24"/>
          <w:szCs w:val="24"/>
          <w:u w:val="single"/>
        </w:rPr>
      </w:pPr>
      <w:r>
        <w:rPr>
          <w:rFonts w:hint="eastAsia" w:ascii="宋体" w:hAnsi="宋体" w:cs="宋体"/>
          <w:i/>
          <w:color w:val="000000"/>
          <w:spacing w:val="7"/>
          <w:u w:val="single"/>
        </w:rPr>
        <w:t xml:space="preserve">原厂包装免费送至</w:t>
      </w:r>
      <w:r>
        <w:rPr>
          <w:rFonts w:hint="eastAsia" w:ascii="宋体" w:hAnsi="宋体" w:eastAsia="宋体" w:cs="宋体"/>
          <w:i/>
          <w:color w:val="000000"/>
          <w:spacing w:val="7"/>
          <w:u w:val="single"/>
          <w:lang w:val="en-US" w:eastAsia="zh-CN"/>
        </w:rPr>
        <w:t xml:space="preserve">采购</w:t>
      </w:r>
      <w:r>
        <w:rPr>
          <w:rFonts w:hint="eastAsia" w:ascii="宋体" w:hAnsi="宋体" w:cs="宋体"/>
          <w:i/>
          <w:color w:val="000000"/>
          <w:spacing w:val="7"/>
          <w:u w:val="single"/>
        </w:rPr>
        <w:t xml:space="preserve">人指定地点。</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3.3、交货地点</w:t>
      </w:r>
      <w:r/>
    </w:p>
    <w:p>
      <w:pPr>
        <w:pStyle w:val="1097"/>
        <w:ind w:firstLine="500"/>
        <w:spacing w:line="440" w:lineRule="exact"/>
        <w:rPr>
          <w:rStyle w:val="1124"/>
          <w:rFonts w:hint="eastAsia" w:ascii="宋体" w:hAnsi="宋体" w:eastAsia="宋体" w:cs="宋体"/>
          <w:i/>
          <w:color w:val="auto"/>
          <w:spacing w:val="7"/>
          <w:sz w:val="24"/>
          <w:szCs w:val="24"/>
          <w:u w:val="single"/>
          <w:lang w:eastAsia="zh-CN"/>
        </w:rPr>
      </w:pPr>
      <w:r>
        <w:rPr>
          <w:rStyle w:val="1137"/>
          <w:rFonts w:hint="eastAsia" w:ascii="宋体" w:hAnsi="宋体" w:eastAsia="宋体" w:cs="宋体"/>
          <w:b w:val="0"/>
          <w:i/>
          <w:iCs w:val="0"/>
          <w:color w:val="000000"/>
          <w:spacing w:val="7"/>
          <w:sz w:val="24"/>
          <w:szCs w:val="24"/>
          <w:u w:val="single"/>
        </w:rPr>
        <w:t xml:space="preserve">送至采购</w:t>
      </w:r>
      <w:r>
        <w:rPr>
          <w:rStyle w:val="1137"/>
          <w:rFonts w:hint="eastAsia" w:ascii="宋体" w:hAnsi="宋体" w:eastAsia="宋体" w:cs="宋体"/>
          <w:b w:val="0"/>
          <w:i/>
          <w:iCs w:val="0"/>
          <w:color w:val="000000"/>
          <w:spacing w:val="7"/>
          <w:sz w:val="24"/>
          <w:szCs w:val="24"/>
          <w:u w:val="single"/>
          <w:lang w:eastAsia="zh-CN"/>
        </w:rPr>
        <w:t xml:space="preserve">人</w:t>
      </w:r>
      <w:r>
        <w:rPr>
          <w:rStyle w:val="1137"/>
          <w:rFonts w:hint="eastAsia" w:ascii="宋体" w:hAnsi="宋体" w:eastAsia="宋体" w:cs="宋体"/>
          <w:b w:val="0"/>
          <w:i/>
          <w:iCs w:val="0"/>
          <w:color w:val="000000"/>
          <w:spacing w:val="7"/>
          <w:sz w:val="24"/>
          <w:szCs w:val="24"/>
          <w:u w:val="single"/>
        </w:rPr>
        <w:t xml:space="preserve">指定地点</w:t>
      </w:r>
      <w:r>
        <w:rPr>
          <w:rStyle w:val="1137"/>
          <w:rFonts w:hint="eastAsia" w:ascii="宋体" w:hAnsi="宋体" w:eastAsia="宋体" w:cs="宋体"/>
          <w:b w:val="0"/>
          <w:i/>
          <w:iCs w:val="0"/>
          <w:color w:val="000000"/>
          <w:spacing w:val="7"/>
          <w:sz w:val="24"/>
          <w:szCs w:val="24"/>
          <w:u w:val="single"/>
          <w:lang w:eastAsia="zh-CN"/>
        </w:rPr>
        <w:t xml:space="preserve">。</w:t>
      </w:r>
      <w:r/>
    </w:p>
    <w:p>
      <w:pPr>
        <w:pStyle w:val="1097"/>
        <w:ind w:firstLine="500"/>
        <w:spacing w:line="440" w:lineRule="exact"/>
        <w:rPr>
          <w:rStyle w:val="1124"/>
          <w:rFonts w:hint="eastAsia" w:ascii="宋体" w:hAnsi="宋体" w:eastAsia="宋体" w:cs="宋体"/>
          <w:b/>
          <w:color w:val="auto"/>
          <w:spacing w:val="7"/>
          <w:sz w:val="24"/>
          <w:szCs w:val="24"/>
        </w:rPr>
      </w:pPr>
      <w:r>
        <w:rPr>
          <w:rStyle w:val="1124"/>
          <w:rFonts w:ascii="宋体" w:hAnsi="宋体" w:eastAsia="宋体" w:cs="宋体"/>
          <w:b/>
          <w:color w:val="auto"/>
          <w:spacing w:val="7"/>
          <w:sz w:val="24"/>
          <w:szCs w:val="24"/>
        </w:rPr>
        <w:t xml:space="preserve">4 货款支付</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4.1、结付程序</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供方按合同内容合格地履行供货义务后，凭验收报告、</w:t>
      </w:r>
      <w:r>
        <w:rPr>
          <w:rStyle w:val="1124"/>
          <w:rFonts w:hint="eastAsia" w:ascii="宋体" w:hAnsi="宋体" w:eastAsia="宋体" w:cs="宋体"/>
          <w:i/>
          <w:color w:val="auto"/>
          <w:spacing w:val="7"/>
          <w:sz w:val="24"/>
          <w:szCs w:val="24"/>
          <w:u w:val="single"/>
        </w:rPr>
        <w:t xml:space="preserve">法定机构</w:t>
      </w:r>
      <w:r>
        <w:rPr>
          <w:rStyle w:val="1124"/>
          <w:rFonts w:hint="eastAsia" w:ascii="宋体" w:hAnsi="宋体" w:eastAsia="宋体" w:cs="宋体"/>
          <w:i/>
          <w:color w:val="auto"/>
          <w:spacing w:val="7"/>
          <w:sz w:val="24"/>
          <w:szCs w:val="24"/>
          <w:u w:val="single"/>
          <w:lang w:val="en-US" w:eastAsia="zh-CN"/>
        </w:rPr>
        <w:t xml:space="preserve">出具的检定/校准等</w:t>
      </w:r>
      <w:r>
        <w:rPr>
          <w:rStyle w:val="1124"/>
          <w:rFonts w:hint="eastAsia" w:ascii="宋体" w:hAnsi="宋体" w:eastAsia="宋体" w:cs="宋体"/>
          <w:i/>
          <w:color w:val="auto"/>
          <w:spacing w:val="7"/>
          <w:sz w:val="24"/>
          <w:szCs w:val="24"/>
          <w:u w:val="single"/>
        </w:rPr>
        <w:t xml:space="preserve">证书（法定机构由采购人指定）</w:t>
      </w:r>
      <w:r>
        <w:rPr>
          <w:rStyle w:val="1124"/>
          <w:rFonts w:hint="eastAsia" w:ascii="宋体" w:hAnsi="宋体" w:eastAsia="宋体" w:cs="宋体"/>
          <w:i/>
          <w:color w:val="auto"/>
          <w:spacing w:val="7"/>
          <w:sz w:val="24"/>
          <w:szCs w:val="24"/>
          <w:u w:val="single"/>
          <w:lang w:eastAsia="zh-CN"/>
        </w:rPr>
        <w:t xml:space="preserve">、</w:t>
      </w:r>
      <w:r>
        <w:rPr>
          <w:rStyle w:val="1124"/>
          <w:rFonts w:ascii="宋体" w:hAnsi="宋体" w:eastAsia="宋体" w:cs="宋体"/>
          <w:i/>
          <w:color w:val="auto"/>
          <w:spacing w:val="7"/>
          <w:sz w:val="24"/>
          <w:szCs w:val="24"/>
          <w:u w:val="single"/>
        </w:rPr>
        <w:t xml:space="preserve">销售发票到采购单位办理货款结算手续。</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4.2、结付期限</w:t>
      </w:r>
      <w:bookmarkStart w:id="212" w:name="_GoBack"/>
      <w:r/>
      <w:bookmarkEnd w:id="212"/>
      <w:r/>
      <w:r/>
    </w:p>
    <w:p>
      <w:pPr>
        <w:pStyle w:val="1097"/>
        <w:ind w:firstLine="500"/>
        <w:spacing w:line="440" w:lineRule="exact"/>
        <w:rPr>
          <w:rStyle w:val="1124"/>
          <w:rFonts w:hint="eastAsia" w:ascii="宋体" w:hAnsi="宋体" w:eastAsia="宋体" w:cs="宋体"/>
          <w:i/>
          <w:color w:val="auto"/>
          <w:spacing w:val="7"/>
          <w:sz w:val="24"/>
          <w:szCs w:val="24"/>
          <w:highlight w:val="none"/>
          <w:u w:val="single"/>
        </w:rPr>
      </w:pPr>
      <w:r>
        <w:rPr>
          <w:rFonts w:hint="eastAsia" w:ascii="宋体" w:hAnsi="宋体" w:cs="宋体"/>
          <w:i/>
          <w:color w:val="000000"/>
          <w:spacing w:val="7"/>
          <w:highlight w:val="none"/>
          <w:u w:val="single"/>
        </w:rPr>
        <w:t xml:space="preserve">合同签订生效后</w:t>
      </w:r>
      <w:r>
        <w:rPr>
          <w:rFonts w:ascii="宋体" w:hAnsi="宋体" w:cs="宋体"/>
          <w:i/>
          <w:color w:val="000000"/>
          <w:spacing w:val="7"/>
          <w:highlight w:val="none"/>
          <w:u w:val="single"/>
        </w:rPr>
        <w:t xml:space="preserve">7</w:t>
      </w:r>
      <w:r>
        <w:rPr>
          <w:rFonts w:hint="eastAsia" w:ascii="宋体" w:hAnsi="宋体" w:cs="宋体"/>
          <w:i/>
          <w:color w:val="000000"/>
          <w:spacing w:val="7"/>
          <w:highlight w:val="none"/>
          <w:u w:val="single"/>
        </w:rPr>
        <w:t xml:space="preserve">个工作日内，</w:t>
      </w:r>
      <w:r>
        <w:rPr>
          <w:rFonts w:hint="eastAsia" w:ascii="宋体" w:hAnsi="宋体" w:eastAsia="宋体" w:cs="宋体"/>
          <w:i/>
          <w:color w:val="000000"/>
          <w:spacing w:val="7"/>
          <w:highlight w:val="none"/>
          <w:u w:val="single"/>
          <w:lang w:val="en-US" w:eastAsia="zh-CN"/>
        </w:rPr>
        <w:t xml:space="preserve">采购</w:t>
      </w:r>
      <w:r>
        <w:rPr>
          <w:rFonts w:hint="eastAsia" w:ascii="宋体" w:hAnsi="宋体" w:cs="宋体"/>
          <w:i/>
          <w:color w:val="000000"/>
          <w:spacing w:val="7"/>
          <w:highlight w:val="none"/>
          <w:u w:val="single"/>
        </w:rPr>
        <w:t xml:space="preserve">人支付合同金额的</w:t>
      </w:r>
      <w:r>
        <w:rPr>
          <w:rFonts w:ascii="宋体" w:hAnsi="宋体" w:cs="宋体"/>
          <w:i/>
          <w:color w:val="000000"/>
          <w:spacing w:val="7"/>
          <w:highlight w:val="none"/>
          <w:u w:val="single"/>
        </w:rPr>
        <w:t xml:space="preserve">30%</w:t>
      </w:r>
      <w:r>
        <w:rPr>
          <w:rFonts w:hint="eastAsia" w:ascii="宋体" w:hAnsi="宋体" w:cs="宋体"/>
          <w:i/>
          <w:color w:val="000000"/>
          <w:spacing w:val="7"/>
          <w:highlight w:val="none"/>
          <w:u w:val="single"/>
        </w:rPr>
        <w:t xml:space="preserve">作为预付款；中标人所有货物交货安装调试完毕，经验收合格，</w:t>
      </w:r>
      <w:r>
        <w:rPr>
          <w:rFonts w:hint="eastAsia" w:ascii="宋体" w:hAnsi="宋体" w:eastAsia="宋体" w:cs="宋体"/>
          <w:i/>
          <w:color w:val="000000"/>
          <w:spacing w:val="7"/>
          <w:highlight w:val="none"/>
          <w:u w:val="single"/>
          <w:lang w:val="en-US" w:eastAsia="zh-CN"/>
        </w:rPr>
        <w:t xml:space="preserve">采购</w:t>
      </w:r>
      <w:r>
        <w:rPr>
          <w:rFonts w:hint="eastAsia" w:ascii="宋体" w:hAnsi="宋体" w:cs="宋体"/>
          <w:i/>
          <w:color w:val="000000"/>
          <w:spacing w:val="7"/>
          <w:highlight w:val="none"/>
          <w:u w:val="single"/>
        </w:rPr>
        <w:t xml:space="preserve">人收到发票后</w:t>
      </w:r>
      <w:r>
        <w:rPr>
          <w:rFonts w:ascii="宋体" w:hAnsi="宋体" w:cs="宋体"/>
          <w:i/>
          <w:color w:val="000000"/>
          <w:spacing w:val="7"/>
          <w:highlight w:val="none"/>
          <w:u w:val="single"/>
        </w:rPr>
        <w:t xml:space="preserve">15</w:t>
      </w:r>
      <w:r>
        <w:rPr>
          <w:rFonts w:hint="eastAsia" w:ascii="宋体" w:hAnsi="宋体" w:cs="宋体"/>
          <w:i/>
          <w:color w:val="000000"/>
          <w:spacing w:val="7"/>
          <w:highlight w:val="none"/>
          <w:u w:val="single"/>
        </w:rPr>
        <w:t xml:space="preserve">日内，支付</w:t>
      </w:r>
      <w:r>
        <w:rPr>
          <w:rFonts w:hint="eastAsia" w:ascii="宋体" w:hAnsi="宋体" w:eastAsia="宋体" w:cs="宋体"/>
          <w:i/>
          <w:color w:val="000000"/>
          <w:spacing w:val="7"/>
          <w:highlight w:val="none"/>
          <w:u w:val="single"/>
          <w:lang w:val="en-US" w:eastAsia="zh-CN"/>
        </w:rPr>
        <w:t xml:space="preserve">尾款并退还履约保证金</w:t>
      </w:r>
      <w:r>
        <w:rPr>
          <w:rFonts w:hint="eastAsia" w:ascii="宋体" w:hAnsi="宋体" w:cs="宋体"/>
          <w:i/>
          <w:color w:val="000000"/>
          <w:spacing w:val="7"/>
          <w:highlight w:val="none"/>
          <w:u w:val="single"/>
        </w:rPr>
        <w:t xml:space="preserve">。</w:t>
      </w:r>
      <w:r/>
    </w:p>
    <w:p>
      <w:pPr>
        <w:pStyle w:val="1097"/>
        <w:ind w:firstLine="500"/>
        <w:spacing w:line="440" w:lineRule="exact"/>
        <w:rPr>
          <w:rStyle w:val="1124"/>
          <w:rFonts w:hint="eastAsia" w:ascii="宋体" w:hAnsi="宋体" w:eastAsia="宋体" w:cs="宋体"/>
          <w:b/>
          <w:color w:val="auto"/>
          <w:spacing w:val="7"/>
          <w:sz w:val="24"/>
          <w:szCs w:val="24"/>
        </w:rPr>
      </w:pPr>
      <w:r>
        <w:rPr>
          <w:rStyle w:val="1124"/>
          <w:rFonts w:ascii="宋体" w:hAnsi="宋体" w:eastAsia="宋体" w:cs="宋体"/>
          <w:b/>
          <w:color w:val="auto"/>
          <w:spacing w:val="7"/>
          <w:sz w:val="24"/>
          <w:szCs w:val="24"/>
        </w:rPr>
        <w:t xml:space="preserve">5 投标货币</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5.1、投标货币</w:t>
      </w:r>
      <w:r/>
    </w:p>
    <w:p>
      <w:pPr>
        <w:pStyle w:val="1097"/>
        <w:ind w:firstLine="500"/>
        <w:spacing w:line="440" w:lineRule="exact"/>
        <w:rPr>
          <w:rStyle w:val="1124"/>
          <w:rFonts w:hint="eastAsia" w:ascii="宋体" w:hAnsi="宋体" w:eastAsia="宋体" w:cs="宋体"/>
          <w:i/>
          <w:color w:val="auto"/>
          <w:spacing w:val="7"/>
          <w:sz w:val="24"/>
          <w:szCs w:val="24"/>
          <w:u w:val="single"/>
        </w:rPr>
      </w:pPr>
      <w:r>
        <w:rPr>
          <w:rStyle w:val="1124"/>
          <w:rFonts w:ascii="宋体" w:hAnsi="宋体" w:eastAsia="宋体" w:cs="宋体"/>
          <w:i/>
          <w:color w:val="auto"/>
          <w:spacing w:val="7"/>
          <w:sz w:val="24"/>
          <w:szCs w:val="24"/>
          <w:u w:val="single"/>
        </w:rPr>
        <w:t xml:space="preserve">人民币</w:t>
      </w:r>
      <w:r/>
    </w:p>
    <w:p>
      <w:pPr>
        <w:pStyle w:val="1129"/>
        <w:ind w:firstLine="499"/>
        <w:spacing w:line="440" w:lineRule="exact"/>
        <w:widowControl w:val="off"/>
        <w:rPr>
          <w:rFonts w:ascii="宋体" w:cs="宋体"/>
          <w:b/>
          <w:spacing w:val="7"/>
        </w:rPr>
      </w:pPr>
      <w:r>
        <w:rPr>
          <w:rFonts w:ascii="宋体" w:hAnsi="宋体" w:cs="宋体"/>
          <w:b/>
          <w:color w:val="000000"/>
          <w:spacing w:val="7"/>
        </w:rPr>
        <w:t xml:space="preserve">6 </w:t>
      </w:r>
      <w:r>
        <w:rPr>
          <w:rFonts w:hint="eastAsia" w:ascii="宋体" w:hAnsi="宋体" w:cs="宋体"/>
          <w:b/>
          <w:color w:val="000000"/>
          <w:spacing w:val="7"/>
        </w:rPr>
        <w:t xml:space="preserve">备品备件及耗材等要求</w:t>
      </w:r>
      <w:r/>
    </w:p>
    <w:p>
      <w:pPr>
        <w:pStyle w:val="1129"/>
        <w:ind w:firstLine="499"/>
        <w:spacing w:line="440" w:lineRule="exact"/>
        <w:widowControl w:val="off"/>
        <w:rPr>
          <w:rFonts w:ascii="宋体" w:cs="宋体"/>
          <w:i/>
          <w:spacing w:val="7"/>
          <w:u w:val="single"/>
        </w:rPr>
      </w:pPr>
      <w:r>
        <w:rPr>
          <w:rFonts w:ascii="宋体" w:hAnsi="宋体" w:cs="宋体"/>
          <w:i/>
          <w:color w:val="000000"/>
          <w:spacing w:val="7"/>
          <w:u w:val="single"/>
        </w:rPr>
        <w:t xml:space="preserve">6.1</w:t>
      </w:r>
      <w:r>
        <w:rPr>
          <w:rFonts w:hint="eastAsia" w:ascii="宋体" w:hAnsi="宋体" w:cs="宋体"/>
          <w:i/>
          <w:color w:val="000000"/>
          <w:spacing w:val="7"/>
          <w:u w:val="single"/>
        </w:rPr>
        <w:t xml:space="preserve">、备品备件及耗材等要求</w:t>
      </w:r>
      <w:r/>
    </w:p>
    <w:p>
      <w:pPr>
        <w:pStyle w:val="1129"/>
        <w:ind w:firstLine="499"/>
        <w:spacing w:line="440" w:lineRule="exact"/>
        <w:widowControl w:val="off"/>
        <w:rPr>
          <w:rFonts w:ascii="宋体" w:cs="宋体"/>
          <w:i/>
          <w:spacing w:val="7"/>
          <w:u w:val="single"/>
        </w:rPr>
      </w:pPr>
      <w:r>
        <w:rPr>
          <w:rFonts w:hint="eastAsia" w:ascii="宋体" w:hAnsi="宋体" w:cs="宋体"/>
          <w:i/>
          <w:color w:val="000000"/>
          <w:spacing w:val="7"/>
          <w:u w:val="single"/>
        </w:rPr>
        <w:t xml:space="preserve">投标人应当尽可能提供优惠的备品备件及耗材。</w:t>
      </w:r>
      <w:bookmarkStart w:id="183" w:name="EBeba33935409e4c76a800f8c7f49348de"/>
      <w:r/>
      <w:bookmarkEnd w:id="183"/>
      <w:r/>
      <w:r/>
    </w:p>
    <w:p>
      <w:pPr>
        <w:pStyle w:val="1097"/>
        <w:ind w:firstLine="500"/>
        <w:keepLines w:val="0"/>
        <w:keepNext w:val="0"/>
        <w:pageBreakBefore w:val="0"/>
        <w:spacing w:line="440" w:lineRule="exact"/>
        <w:widowControl/>
        <w:rPr>
          <w:rStyle w:val="1048"/>
          <w:rFonts w:ascii="宋体" w:hAnsi="宋体" w:eastAsia="宋体" w:cs="宋体"/>
          <w:b w:val="0"/>
          <w:i/>
          <w:color w:val="000000"/>
          <w:spacing w:val="7"/>
          <w:sz w:val="24"/>
          <w:u w:val="single"/>
          <w:lang w:val="en-US" w:eastAsia="zh-CN"/>
        </w:rPr>
        <w:outlineLvl w:val="9"/>
      </w:pPr>
      <w:r>
        <w:rPr>
          <w:rFonts w:ascii="宋体" w:hAnsi="宋体" w:eastAsia="宋体" w:cs="宋体"/>
          <w:b w:val="0"/>
          <w:i/>
          <w:color w:val="000000"/>
          <w:spacing w:val="7"/>
          <w:sz w:val="24"/>
          <w:u w:val="single"/>
          <w:lang w:val="en-US" w:eastAsia="zh-CN"/>
        </w:rPr>
      </w:r>
      <w:r/>
    </w:p>
    <w:p>
      <w:pPr>
        <w:numPr>
          <w:ilvl w:val="0"/>
          <w:numId w:val="12"/>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84" w:name="_Toc816"/>
      <w:r/>
      <w:bookmarkStart w:id="185" w:name="_Toc2343"/>
      <w:r/>
      <w:bookmarkStart w:id="186" w:name="_Toc4954"/>
      <w:r>
        <w:rPr>
          <w:rFonts w:hint="eastAsia" w:ascii="宋体" w:hAnsi="宋体" w:eastAsia="宋体" w:cs="宋体"/>
          <w:b/>
          <w:color w:val="000000"/>
          <w:sz w:val="28"/>
          <w:szCs w:val="28"/>
          <w:highlight w:val="none"/>
          <w:lang w:val="en-US" w:eastAsia="zh-CN"/>
        </w:rPr>
        <w:t xml:space="preserve">其他部分</w:t>
      </w:r>
      <w:bookmarkEnd w:id="184"/>
      <w:r/>
      <w:bookmarkEnd w:id="185"/>
      <w:r/>
      <w:bookmarkEnd w:id="186"/>
      <w:r/>
      <w:r/>
    </w:p>
    <w:p>
      <w:pPr>
        <w:pStyle w:val="899"/>
        <w:rPr>
          <w:rFonts w:hint="default" w:ascii="宋体" w:hAnsi="宋体" w:eastAsia="宋体" w:cs="宋体"/>
          <w:sz w:val="24"/>
          <w:szCs w:val="24"/>
          <w:lang w:val="en-US" w:eastAsia="zh-CN"/>
        </w:rPr>
      </w:pPr>
      <w:r>
        <w:rPr>
          <w:rFonts w:hint="eastAsia" w:cs="宋体"/>
          <w:sz w:val="24"/>
          <w:szCs w:val="24"/>
          <w:lang w:val="en-US" w:eastAsia="zh-CN"/>
        </w:rPr>
        <w:t xml:space="preserve">1</w:t>
      </w:r>
      <w:r>
        <w:rPr>
          <w:rFonts w:hint="eastAsia" w:ascii="宋体" w:hAnsi="宋体" w:eastAsia="宋体" w:cs="宋体"/>
          <w:sz w:val="24"/>
          <w:szCs w:val="24"/>
          <w:lang w:val="en-US" w:eastAsia="zh-CN"/>
        </w:rPr>
        <w:t xml:space="preserve">、投标方案要求</w:t>
      </w:r>
      <w:r/>
    </w:p>
    <w:p>
      <w:pPr>
        <w:pStyle w:val="899"/>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）投标人需提供针对本项目制定的产品后期维护需求分析方案，方案内容包含产品后期维护需求费用分析、产品运行效果进行分析、后期备品备件及耗材分析等。</w:t>
      </w:r>
      <w:r/>
    </w:p>
    <w:p>
      <w:pPr>
        <w:pStyle w:val="899"/>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）投标人需提供针对本项目制定的供货安装调试方案，方案内容包含设备供货计划、安装调试计划、安装调试人员投配备、质量保证措施、进度保证措施、安全措施等方面内容。</w:t>
      </w:r>
      <w:r/>
    </w:p>
    <w:p>
      <w:pPr>
        <w:pStyle w:val="899"/>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rPr>
        <w:t xml:space="preserve">投标人需提供针对本项目制定的</w:t>
      </w:r>
      <w:r>
        <w:rPr>
          <w:rFonts w:hint="eastAsia" w:ascii="宋体" w:hAnsi="宋体" w:eastAsia="宋体" w:cs="宋体"/>
          <w:sz w:val="24"/>
          <w:szCs w:val="24"/>
        </w:rPr>
        <w:t xml:space="preserve">验收方案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方案内容包含</w:t>
      </w:r>
      <w:r>
        <w:rPr>
          <w:rFonts w:hint="eastAsia" w:ascii="宋体" w:hAnsi="宋体" w:eastAsia="宋体" w:cs="宋体"/>
          <w:sz w:val="24"/>
          <w:szCs w:val="24"/>
        </w:rPr>
        <w:t xml:space="preserve">货物的验收标准、验收手册、使用说明、产品合格证、溯源（检测）证书等方面。</w:t>
      </w:r>
      <w:r/>
    </w:p>
    <w:p>
      <w:pPr>
        <w:pStyle w:val="899"/>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rPr>
        <w:t xml:space="preserve">投标人需提供针对本项目制定的</w:t>
      </w:r>
      <w:r>
        <w:rPr>
          <w:rFonts w:hint="eastAsia" w:ascii="宋体" w:hAnsi="宋体" w:eastAsia="宋体" w:cs="宋体"/>
          <w:sz w:val="24"/>
          <w:szCs w:val="24"/>
        </w:rPr>
        <w:t xml:space="preserve">售后服务方案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方案内容包含</w:t>
      </w:r>
      <w:r>
        <w:rPr>
          <w:rFonts w:hint="eastAsia" w:ascii="宋体" w:hAnsi="宋体" w:eastAsia="宋体" w:cs="宋体"/>
          <w:sz w:val="24"/>
          <w:szCs w:val="24"/>
        </w:rPr>
        <w:t xml:space="preserve">售后服务计划、人员安排、服务方式（包含保修期内、保修期外的服务）、免费质保期内的维修、维护内容及服务方式和范围、响应方式及响应时间、故障修复时间等服务承诺。</w:t>
      </w:r>
      <w:r/>
    </w:p>
    <w:p>
      <w:pPr>
        <w:pStyle w:val="899"/>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rPr>
        <w:t xml:space="preserve">投标人需提供针对本项目制定的</w:t>
      </w:r>
      <w:r>
        <w:rPr>
          <w:rFonts w:hint="eastAsia" w:ascii="宋体" w:hAnsi="宋体" w:eastAsia="宋体" w:cs="宋体"/>
          <w:sz w:val="24"/>
          <w:szCs w:val="24"/>
        </w:rPr>
        <w:t xml:space="preserve">培训方案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方案内容包含</w:t>
      </w:r>
      <w:r>
        <w:rPr>
          <w:rFonts w:hint="eastAsia" w:ascii="宋体" w:hAnsi="宋体" w:eastAsia="宋体" w:cs="宋体"/>
          <w:sz w:val="24"/>
          <w:szCs w:val="24"/>
        </w:rPr>
        <w:t xml:space="preserve">设备的设计原理、操作、维护、事故的处理和解决等方面。</w:t>
      </w:r>
      <w:r/>
    </w:p>
    <w:p>
      <w:pPr>
        <w:pStyle w:val="899"/>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default" w:ascii="宋体" w:hAnsi="宋体" w:eastAsia="宋体" w:cs="宋体"/>
          <w:sz w:val="24"/>
          <w:szCs w:val="24"/>
          <w:lang w:val="en-US" w:eastAsia="zh-CN"/>
        </w:rPr>
        <w:t xml:space="preserve">投标人2023年1月1日以来（以合同签订日期为准）</w:t>
      </w:r>
      <w:r>
        <w:rPr>
          <w:rFonts w:hint="eastAsia" w:ascii="宋体" w:hAnsi="宋体" w:eastAsia="宋体" w:cs="宋体"/>
          <w:sz w:val="24"/>
          <w:szCs w:val="24"/>
          <w:lang w:val="en-US" w:eastAsia="zh-CN"/>
        </w:rPr>
        <w:t xml:space="preserve">具有</w:t>
      </w:r>
      <w:r>
        <w:rPr>
          <w:rFonts w:hint="default" w:ascii="宋体" w:hAnsi="宋体" w:eastAsia="宋体" w:cs="宋体"/>
          <w:sz w:val="24"/>
          <w:szCs w:val="24"/>
          <w:lang w:val="en-US" w:eastAsia="zh-CN"/>
        </w:rPr>
        <w:t xml:space="preserve">类似</w:t>
      </w:r>
      <w:r>
        <w:rPr>
          <w:rFonts w:hint="eastAsia" w:ascii="宋体" w:hAnsi="宋体" w:eastAsia="宋体" w:cs="宋体"/>
          <w:sz w:val="24"/>
          <w:szCs w:val="24"/>
          <w:lang w:val="en-US" w:eastAsia="zh-CN"/>
        </w:rPr>
        <w:t xml:space="preserve">项目</w:t>
      </w:r>
      <w:r>
        <w:rPr>
          <w:rFonts w:hint="default" w:ascii="宋体" w:hAnsi="宋体" w:eastAsia="宋体" w:cs="宋体"/>
          <w:sz w:val="24"/>
          <w:szCs w:val="24"/>
          <w:lang w:val="en-US" w:eastAsia="zh-CN"/>
        </w:rPr>
        <w:t xml:space="preserve">业绩</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97"/>
        <w:ind w:firstLine="500"/>
        <w:keepLines w:val="0"/>
        <w:keepNext w:val="0"/>
        <w:pageBreakBefore w:val="0"/>
        <w:spacing w:line="440" w:lineRule="exact"/>
        <w:widowControl/>
        <w:rPr>
          <w:rStyle w:val="1048"/>
          <w:rFonts w:hint="default" w:ascii="宋体" w:hAnsi="宋体" w:eastAsia="宋体" w:cs="宋体"/>
          <w:b w:val="0"/>
          <w:i w:val="0"/>
          <w:iCs/>
          <w:color w:val="000000"/>
          <w:spacing w:val="7"/>
          <w:sz w:val="24"/>
          <w:u w:val="none"/>
          <w:lang w:val="en-US" w:eastAsia="zh-CN"/>
        </w:rPr>
        <w:outlineLvl w:val="9"/>
      </w:pPr>
      <w:r>
        <w:rPr>
          <w:rFonts w:hint="default" w:ascii="宋体" w:hAnsi="宋体" w:eastAsia="宋体" w:cs="宋体"/>
          <w:b w:val="0"/>
          <w:i w:val="0"/>
          <w:iCs/>
          <w:color w:val="000000"/>
          <w:spacing w:val="7"/>
          <w:sz w:val="24"/>
          <w:u w:val="none"/>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7" w:name="_Toc10684"/>
      <w:r/>
      <w:bookmarkStart w:id="188" w:name="_Toc5716"/>
      <w:r/>
      <w:bookmarkStart w:id="189" w:name="_Toc20749"/>
      <w:r/>
      <w:bookmarkStart w:id="190" w:name="_Toc7552"/>
      <w:r/>
      <w:bookmarkStart w:id="191" w:name="_Toc28789"/>
      <w:r/>
      <w:bookmarkStart w:id="192" w:name="_Toc19739"/>
      <w:r/>
      <w:bookmarkStart w:id="193" w:name="_Toc256000013"/>
      <w:r>
        <w:rPr>
          <w:rFonts w:hint="eastAsia" w:ascii="宋体" w:hAnsi="宋体" w:eastAsia="宋体" w:cs="宋体"/>
          <w:b/>
          <w:bCs/>
          <w:sz w:val="32"/>
          <w:szCs w:val="32"/>
          <w:highlight w:val="none"/>
          <w:lang w:val="en-US" w:eastAsia="zh-CN" w:bidi="ar-SA"/>
        </w:rPr>
        <w:t xml:space="preserve">评标方法与评标标准</w:t>
      </w:r>
      <w:bookmarkEnd w:id="187"/>
      <w:r/>
      <w:bookmarkEnd w:id="188"/>
      <w:r/>
      <w:bookmarkEnd w:id="189"/>
      <w:r/>
      <w:bookmarkEnd w:id="190"/>
      <w:r/>
      <w:bookmarkEnd w:id="191"/>
      <w:r/>
      <w:bookmarkEnd w:id="192"/>
      <w:r/>
      <w:r/>
    </w:p>
    <w:p>
      <w:pPr>
        <w:numPr>
          <w:ilvl w:val="0"/>
          <w:numId w:val="14"/>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4" w:name="_Toc13020"/>
      <w:r/>
      <w:bookmarkStart w:id="195" w:name="_Toc27727"/>
      <w:r/>
      <w:bookmarkStart w:id="196" w:name="_Toc2578"/>
      <w:r>
        <w:rPr>
          <w:rFonts w:hint="eastAsia" w:ascii="宋体" w:hAnsi="宋体" w:eastAsia="宋体" w:cs="宋体"/>
          <w:b/>
          <w:bCs/>
          <w:sz w:val="24"/>
          <w:szCs w:val="24"/>
          <w:lang w:bidi="ar"/>
        </w:rPr>
        <w:t xml:space="preserve">评标方法与定标原则</w:t>
      </w:r>
      <w:bookmarkEnd w:id="194"/>
      <w:r/>
      <w:bookmarkEnd w:id="195"/>
      <w:r/>
      <w:bookmarkEnd w:id="196"/>
      <w:r>
        <w:rPr>
          <w:rFonts w:hint="eastAsia" w:ascii="宋体" w:hAnsi="宋体" w:eastAsia="宋体" w:cs="宋体"/>
          <w:b/>
          <w:bCs/>
          <w:sz w:val="24"/>
          <w:szCs w:val="24"/>
          <w:lang w:bidi="ar"/>
        </w:rPr>
        <w:t xml:space="preserve"> </w:t>
      </w:r>
      <w:r/>
    </w:p>
    <w:p>
      <w:pPr>
        <w:numPr>
          <w:ilvl w:val="0"/>
          <w:numId w:val="15"/>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85"/>
        <w:ind w:firstLine="51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、采购本国产品的支持政策 </w:t>
      </w:r>
      <w:r/>
    </w:p>
    <w:p>
      <w:pPr>
        <w:pStyle w:val="1085"/>
        <w:ind w:firstLine="508"/>
        <w:spacing w:line="440" w:lineRule="exact"/>
        <w:rPr>
          <w:rFonts w:eastAsia="宋体"/>
          <w:color w:val="auto"/>
          <w:spacing w:val="7"/>
          <w:highlight w:val="none"/>
        </w:rPr>
      </w:pPr>
      <w:r>
        <w:rPr>
          <w:rFonts w:hint="eastAsia" w:eastAsia="宋体"/>
          <w:color w:val="auto"/>
          <w:spacing w:val="7"/>
          <w:highlight w:val="none"/>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1085"/>
        <w:ind w:firstLine="508"/>
        <w:spacing w:line="440" w:lineRule="exact"/>
        <w:rPr>
          <w:rFonts w:eastAsia="宋体"/>
          <w:color w:val="auto"/>
          <w:spacing w:val="7"/>
          <w:highlight w:val="none"/>
        </w:rPr>
      </w:pPr>
      <w:r>
        <w:rPr>
          <w:rFonts w:hint="eastAsia" w:eastAsia="宋体"/>
          <w:color w:val="auto"/>
          <w:spacing w:val="7"/>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85"/>
        <w:ind w:firstLine="508"/>
        <w:spacing w:line="440" w:lineRule="exact"/>
        <w:rPr>
          <w:rFonts w:eastAsia="宋体"/>
          <w:color w:val="auto"/>
          <w:spacing w:val="7"/>
          <w:highlight w:val="none"/>
        </w:rPr>
      </w:pPr>
      <w:r>
        <w:rPr>
          <w:rFonts w:hint="eastAsia" w:eastAsia="宋体"/>
          <w:color w:val="auto"/>
          <w:spacing w:val="7"/>
          <w:highlight w:val="none"/>
        </w:rPr>
        <w:t xml:space="preserve">（3）供应商需按照招标文件的要求提供《关于符合本国产品标准的声明函》（以下简称《声明函》），如不提供将不享受本国产品价格评审优惠。</w:t>
      </w:r>
      <w:r/>
    </w:p>
    <w:p>
      <w:pPr>
        <w:pStyle w:val="1085"/>
        <w:ind w:firstLine="508"/>
        <w:spacing w:line="440" w:lineRule="exact"/>
        <w:rPr>
          <w:rFonts w:eastAsia="宋体"/>
          <w:color w:val="auto"/>
          <w:spacing w:val="7"/>
          <w:highlight w:val="none"/>
        </w:rPr>
      </w:pPr>
      <w:r>
        <w:rPr>
          <w:rFonts w:hint="eastAsia" w:eastAsia="宋体"/>
          <w:color w:val="auto"/>
          <w:spacing w:val="7"/>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5"/>
        <w:ind w:firstLine="508"/>
        <w:spacing w:line="440" w:lineRule="exact"/>
        <w:rPr>
          <w:rFonts w:eastAsia="宋体"/>
          <w:color w:val="auto"/>
          <w:spacing w:val="7"/>
          <w:highlight w:val="none"/>
        </w:rPr>
      </w:pPr>
      <w:r>
        <w:rPr>
          <w:rFonts w:hint="eastAsia" w:eastAsia="宋体"/>
          <w:color w:val="auto"/>
          <w:spacing w:val="7"/>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rPr>
      </w:pPr>
      <w:r>
        <w:rPr>
          <w:rFonts w:hint="eastAsia"/>
        </w:rPr>
      </w:r>
      <w:r/>
    </w:p>
    <w:p>
      <w:pPr>
        <w:numPr>
          <w:ilvl w:val="0"/>
          <w:numId w:val="16"/>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7" w:name="_Toc28093"/>
      <w:r/>
      <w:bookmarkStart w:id="198" w:name="_Toc31274"/>
      <w:r/>
      <w:bookmarkStart w:id="199" w:name="_Toc7152"/>
      <w:r>
        <w:rPr>
          <w:rFonts w:hint="eastAsia" w:ascii="宋体" w:hAnsi="宋体" w:eastAsia="宋体" w:cs="宋体"/>
          <w:b/>
          <w:bCs/>
          <w:sz w:val="24"/>
          <w:szCs w:val="24"/>
          <w:lang w:bidi="ar"/>
        </w:rPr>
        <w:t xml:space="preserve">评标标准</w:t>
      </w:r>
      <w:bookmarkEnd w:id="197"/>
      <w:r/>
      <w:bookmarkEnd w:id="198"/>
      <w:r/>
      <w:bookmarkEnd w:id="199"/>
      <w:r>
        <w:rPr>
          <w:rFonts w:hint="eastAsia" w:ascii="宋体" w:hAnsi="宋体" w:eastAsia="宋体" w:cs="宋体"/>
          <w:b/>
          <w:bCs/>
          <w:sz w:val="24"/>
          <w:szCs w:val="24"/>
          <w:lang w:bidi="ar"/>
        </w:rPr>
        <w:t xml:space="preserve"> </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200" w:name="_Toc2526"/>
      <w:r>
        <w:rPr>
          <w:rFonts w:hint="eastAsia" w:ascii="宋体" w:hAnsi="宋体" w:eastAsia="宋体" w:cs="宋体"/>
          <w:b/>
          <w:bCs/>
          <w:sz w:val="24"/>
          <w:szCs w:val="24"/>
          <w:lang w:val="en-US" w:eastAsia="zh-CN"/>
        </w:rPr>
        <w:t xml:space="preserve">1．价格分35分</w:t>
      </w:r>
      <w:bookmarkEnd w:id="200"/>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%*100（保留二位小数）。</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2．产品技术规格及性能 </w:t>
      </w:r>
      <w:r>
        <w:rPr>
          <w:rFonts w:hint="eastAsia" w:ascii="宋体" w:hAnsi="宋体" w:cs="宋体"/>
          <w:b/>
          <w:bCs/>
          <w:sz w:val="24"/>
          <w:szCs w:val="24"/>
          <w:lang w:val="en-US" w:eastAsia="zh-CN"/>
        </w:rPr>
        <w:t xml:space="preserve">28</w:t>
      </w:r>
      <w:r>
        <w:rPr>
          <w:rFonts w:hint="eastAsia" w:ascii="宋体" w:hAnsi="宋体" w:eastAsia="宋体" w:cs="宋体"/>
          <w:b/>
          <w:bCs/>
          <w:sz w:val="24"/>
          <w:szCs w:val="24"/>
          <w:lang w:val="en-US" w:eastAsia="zh-CN"/>
        </w:rPr>
        <w:t xml:space="preserve">.0 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根据投标单位提供的产品性能质量、技术指标和功能要求进行评定。全部满足采购技术要求</w:t>
      </w:r>
      <w:r>
        <w:rPr>
          <w:rFonts w:hint="eastAsia" w:ascii="宋体" w:hAnsi="宋体" w:eastAsia="宋体" w:cs="宋体"/>
          <w:color w:val="auto"/>
          <w:sz w:val="24"/>
          <w:szCs w:val="24"/>
          <w:highlight w:val="none"/>
          <w:lang w:val="en-US" w:eastAsia="zh-CN" w:bidi="ar-SA"/>
        </w:rPr>
        <w:t xml:space="preserve">(共70条)</w:t>
      </w:r>
      <w:r>
        <w:rPr>
          <w:rFonts w:hint="eastAsia" w:ascii="宋体" w:hAnsi="宋体" w:eastAsia="宋体" w:cs="宋体"/>
          <w:sz w:val="24"/>
          <w:szCs w:val="24"/>
        </w:rPr>
        <w:t xml:space="preserve">的得</w:t>
      </w:r>
      <w:r>
        <w:rPr>
          <w:rFonts w:hint="eastAsia" w:ascii="宋体" w:hAnsi="宋体" w:cs="宋体"/>
          <w:sz w:val="24"/>
          <w:szCs w:val="24"/>
          <w:lang w:val="en-US" w:eastAsia="zh-CN"/>
        </w:rPr>
        <w:t xml:space="preserve">28</w:t>
      </w:r>
      <w:r>
        <w:rPr>
          <w:rFonts w:hint="eastAsia" w:ascii="宋体" w:hAnsi="宋体" w:eastAsia="宋体" w:cs="宋体"/>
          <w:sz w:val="24"/>
          <w:szCs w:val="24"/>
        </w:rPr>
        <w:t xml:space="preserve">分,若有负偏离的，每项减</w:t>
      </w:r>
      <w:r>
        <w:rPr>
          <w:rFonts w:hint="eastAsia" w:ascii="宋体" w:hAnsi="宋体" w:eastAsia="宋体" w:cs="宋体"/>
          <w:sz w:val="24"/>
          <w:szCs w:val="24"/>
          <w:lang w:val="en-US" w:eastAsia="zh-CN"/>
        </w:rPr>
        <w:t xml:space="preserve">0.4</w:t>
      </w:r>
      <w:r>
        <w:rPr>
          <w:rFonts w:hint="eastAsia" w:ascii="宋体" w:hAnsi="宋体" w:eastAsia="宋体" w:cs="宋体"/>
          <w:sz w:val="24"/>
          <w:szCs w:val="24"/>
        </w:rPr>
        <w:t xml:space="preserve">分,减完为止。实质性要求的参数不得出现负偏离。【0-</w:t>
      </w:r>
      <w:r>
        <w:rPr>
          <w:rFonts w:hint="eastAsia" w:ascii="宋体" w:hAnsi="宋体" w:cs="宋体"/>
          <w:sz w:val="24"/>
          <w:szCs w:val="24"/>
          <w:lang w:val="en-US" w:eastAsia="zh-CN"/>
        </w:rPr>
        <w:t xml:space="preserve">28</w:t>
      </w:r>
      <w:r>
        <w:rPr>
          <w:rFonts w:hint="eastAsia" w:ascii="宋体" w:hAnsi="宋体" w:eastAsia="宋体" w:cs="宋体"/>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3．技术服务方案 2</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.0 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3.1.产品后期维护需求分析方案3分</w:t>
      </w:r>
      <w:r/>
    </w:p>
    <w:p>
      <w:pPr>
        <w:ind w:firstLine="508"/>
        <w:keepLines w:val="0"/>
        <w:keepNext w:val="0"/>
        <w:pageBreakBefore w:val="0"/>
        <w:spacing w:line="440" w:lineRule="exact"/>
        <w:widowControl w:val="off"/>
        <w:rPr>
          <w:rFonts w:hint="eastAsia" w:ascii="宋体" w:hAnsi="宋体" w:eastAsia="宋体" w:cs="宋体"/>
          <w:sz w:val="24"/>
          <w:szCs w:val="24"/>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ascii="宋体" w:hAnsi="宋体" w:eastAsia="宋体" w:cs="宋体"/>
          <w:sz w:val="24"/>
          <w:szCs w:val="24"/>
        </w:rPr>
        <w:t xml:space="preserve">产品后期维护需求分析方案进行</w:t>
      </w:r>
      <w:r>
        <w:rPr>
          <w:rFonts w:hint="eastAsia" w:ascii="宋体" w:hAnsi="宋体" w:eastAsia="宋体" w:cs="宋体"/>
          <w:sz w:val="24"/>
          <w:szCs w:val="24"/>
          <w:lang w:val="en-US" w:eastAsia="zh-CN"/>
        </w:rPr>
        <w:t xml:space="preserve">综合评定</w:t>
      </w:r>
      <w:r>
        <w:rPr>
          <w:rFonts w:hint="eastAsia" w:ascii="宋体" w:hAnsi="宋体" w:eastAsia="宋体" w:cs="宋体"/>
          <w:sz w:val="24"/>
          <w:szCs w:val="24"/>
        </w:rPr>
        <w:t xml:space="preserve">，方案内容包含产品后期维护需求费用分析、产品运行效果进行分析、后期备品备件及耗材分析等。</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eastAsia="宋体" w:cs="宋体"/>
          <w:sz w:val="24"/>
          <w:szCs w:val="24"/>
        </w:rPr>
        <w:t xml:space="preserve">得3分；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1</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z w:val="24"/>
          <w:szCs w:val="24"/>
        </w:rPr>
        <w:t xml:space="preserve">【0/1/2/3】</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3.2.供货安装调试方案7分</w:t>
      </w:r>
      <w:r/>
    </w:p>
    <w:p>
      <w:pPr>
        <w:ind w:firstLine="508"/>
        <w:keepLines w:val="0"/>
        <w:keepNext w:val="0"/>
        <w:pageBreakBefore w:val="0"/>
        <w:spacing w:line="440" w:lineRule="exact"/>
        <w:widowControl w:val="off"/>
        <w:rPr>
          <w:rFonts w:hint="eastAsia" w:ascii="宋体" w:hAnsi="宋体" w:eastAsia="宋体" w:cs="宋体"/>
          <w:sz w:val="24"/>
          <w:szCs w:val="24"/>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ascii="宋体" w:hAnsi="宋体" w:eastAsia="宋体" w:cs="宋体"/>
          <w:sz w:val="24"/>
          <w:szCs w:val="24"/>
        </w:rPr>
        <w:t xml:space="preserve">供货安装调试方案进行</w:t>
      </w:r>
      <w:r>
        <w:rPr>
          <w:rFonts w:hint="eastAsia" w:ascii="宋体" w:hAnsi="宋体" w:eastAsia="宋体" w:cs="宋体"/>
          <w:sz w:val="24"/>
          <w:szCs w:val="24"/>
          <w:lang w:val="en-US" w:eastAsia="zh-CN"/>
        </w:rPr>
        <w:t xml:space="preserve">综合评定</w:t>
      </w:r>
      <w:r>
        <w:rPr>
          <w:rFonts w:hint="eastAsia" w:ascii="宋体" w:hAnsi="宋体" w:eastAsia="宋体" w:cs="宋体"/>
          <w:sz w:val="24"/>
          <w:szCs w:val="24"/>
        </w:rPr>
        <w:t xml:space="preserve">，方案内容包含但不限于设备供货计划、安装调试计划、安装调试人员投配备、质量保证措施、进度保证措施、安全措施等方面内容。</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/4/7】</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3.3.验收方案7分</w:t>
      </w:r>
      <w:r/>
    </w:p>
    <w:p>
      <w:pPr>
        <w:ind w:firstLine="508"/>
        <w:keepLines w:val="0"/>
        <w:keepNext w:val="0"/>
        <w:pageBreakBefore w:val="0"/>
        <w:spacing w:line="440" w:lineRule="exact"/>
        <w:widowControl w:val="off"/>
        <w:rPr>
          <w:rFonts w:hint="eastAsia" w:ascii="宋体" w:hAnsi="宋体" w:eastAsia="宋体" w:cs="宋体"/>
          <w:sz w:val="24"/>
          <w:szCs w:val="24"/>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ascii="宋体" w:hAnsi="宋体" w:eastAsia="宋体" w:cs="宋体"/>
          <w:sz w:val="24"/>
          <w:szCs w:val="24"/>
        </w:rPr>
        <w:t xml:space="preserve">验收方案进行</w:t>
      </w:r>
      <w:r>
        <w:rPr>
          <w:rFonts w:hint="eastAsia" w:ascii="宋体" w:hAnsi="宋体" w:eastAsia="宋体" w:cs="宋体"/>
          <w:sz w:val="24"/>
          <w:szCs w:val="24"/>
          <w:lang w:val="en-US" w:eastAsia="zh-CN"/>
        </w:rPr>
        <w:t xml:space="preserve">综合评定</w:t>
      </w:r>
      <w:r>
        <w:rPr>
          <w:rFonts w:hint="eastAsia" w:ascii="宋体" w:hAnsi="宋体" w:eastAsia="宋体" w:cs="宋体"/>
          <w:sz w:val="24"/>
          <w:szCs w:val="24"/>
        </w:rPr>
        <w:t xml:space="preserve">，内容包括但不限于货物的验收标准、验收手册、使用说明、产品合格证、溯源（检测）证书等方面。</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/4/7】</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3.4.售后服务方案</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p>
    <w:p>
      <w:pPr>
        <w:ind w:firstLine="508"/>
        <w:keepLines w:val="0"/>
        <w:keepNext w:val="0"/>
        <w:pageBreakBefore w:val="0"/>
        <w:spacing w:line="440" w:lineRule="exact"/>
        <w:widowControl w:val="off"/>
        <w:rPr>
          <w:rFonts w:hint="eastAsia" w:ascii="宋体" w:hAnsi="宋体" w:eastAsia="宋体" w:cs="宋体"/>
          <w:sz w:val="24"/>
          <w:szCs w:val="24"/>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ascii="宋体" w:hAnsi="宋体" w:eastAsia="宋体" w:cs="宋体"/>
          <w:sz w:val="24"/>
          <w:szCs w:val="24"/>
        </w:rPr>
        <w:t xml:space="preserve">售后服务方案进行</w:t>
      </w:r>
      <w:r>
        <w:rPr>
          <w:rFonts w:hint="eastAsia" w:ascii="宋体" w:hAnsi="宋体" w:eastAsia="宋体" w:cs="宋体"/>
          <w:sz w:val="24"/>
          <w:szCs w:val="24"/>
          <w:lang w:val="en-US" w:eastAsia="zh-CN"/>
        </w:rPr>
        <w:t xml:space="preserve">综合评定</w:t>
      </w:r>
      <w:r>
        <w:rPr>
          <w:rFonts w:hint="eastAsia" w:ascii="宋体" w:hAnsi="宋体" w:eastAsia="宋体" w:cs="宋体"/>
          <w:sz w:val="24"/>
          <w:szCs w:val="24"/>
        </w:rPr>
        <w:t xml:space="preserve">，内容包括但不限于售后服务计划、人员安排、服务方式（包含保修期内、保修期外的服务）、免费质保期内的维修、维护内容及服务方式和范围、响应方式及响应时间、故障修复时间等服务承诺。</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z w:val="24"/>
          <w:szCs w:val="24"/>
        </w:rPr>
        <w:t xml:space="preserve">。【0/</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3.5.培训方案5分</w:t>
      </w:r>
      <w:r/>
    </w:p>
    <w:p>
      <w:pPr>
        <w:ind w:firstLine="508"/>
        <w:keepLines w:val="0"/>
        <w:keepNext w:val="0"/>
        <w:pageBreakBefore w:val="0"/>
        <w:spacing w:line="440" w:lineRule="exact"/>
        <w:widowControl w:val="off"/>
        <w:rPr>
          <w:rFonts w:hint="eastAsia" w:ascii="宋体" w:hAnsi="宋体" w:eastAsia="宋体" w:cs="宋体"/>
          <w:sz w:val="24"/>
          <w:szCs w:val="24"/>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ascii="宋体" w:hAnsi="宋体" w:eastAsia="宋体" w:cs="宋体"/>
          <w:sz w:val="24"/>
          <w:szCs w:val="24"/>
        </w:rPr>
        <w:t xml:space="preserve">培训服务方案进行</w:t>
      </w:r>
      <w:r>
        <w:rPr>
          <w:rFonts w:hint="eastAsia" w:ascii="宋体" w:hAnsi="宋体" w:eastAsia="宋体" w:cs="宋体"/>
          <w:sz w:val="24"/>
          <w:szCs w:val="24"/>
          <w:lang w:val="en-US" w:eastAsia="zh-CN"/>
        </w:rPr>
        <w:t xml:space="preserve">综合评定</w:t>
      </w:r>
      <w:r>
        <w:rPr>
          <w:rFonts w:hint="eastAsia" w:ascii="宋体" w:hAnsi="宋体" w:eastAsia="宋体" w:cs="宋体"/>
          <w:sz w:val="24"/>
          <w:szCs w:val="24"/>
        </w:rPr>
        <w:t xml:space="preserve">，内容包括但不限于设备的设计原理、操作、维护、事故的处理和解决等方面。</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1</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z w:val="24"/>
          <w:szCs w:val="24"/>
        </w:rPr>
        <w:t xml:space="preserve">。【0/1/3/5】</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4．履约能力 </w:t>
      </w: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val="en-US" w:eastAsia="zh-CN"/>
        </w:rPr>
        <w:t xml:space="preserve">.0 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4.1.类似业绩</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投标人提供2023年1月1日以来（以合同签订日期为准）的类似业绩，有一份得2分，最高得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分。（请在投标文件中提供相关合同复印件，合同中须反映出相关内容，如合同中不能反映，须提供其他材料予以佐证，不提供不得分）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w:t>
      </w: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rPr>
          <w:rFonts w:hint="eastAsia" w:ascii="宋体" w:hAnsi="宋体" w:cs="宋体"/>
          <w:b/>
          <w:bCs/>
          <w:color w:val="000000"/>
          <w:spacing w:val="7"/>
          <w:sz w:val="22"/>
          <w:szCs w:val="28"/>
        </w:rPr>
      </w:pPr>
      <w:r>
        <w:rPr>
          <w:rFonts w:hint="eastAsia" w:ascii="宋体" w:hAnsi="宋体" w:cs="宋体"/>
          <w:b/>
          <w:bCs/>
          <w:color w:val="000000"/>
          <w:spacing w:val="7"/>
          <w:sz w:val="22"/>
          <w:szCs w:val="28"/>
        </w:rPr>
      </w:r>
      <w:r/>
    </w:p>
    <w:p>
      <w:pPr>
        <w:ind w:firstLine="480"/>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cs="宋体"/>
          <w:b/>
          <w:bCs/>
          <w:color w:val="000000"/>
          <w:spacing w:val="7"/>
          <w:sz w:val="22"/>
          <w:szCs w:val="28"/>
        </w:rPr>
        <w:t xml:space="preserve">注：以上证明材料，不提供不得分</w:t>
      </w:r>
      <w:r>
        <w:rPr>
          <w:rFonts w:hint="eastAsia" w:ascii="宋体" w:hAnsi="宋体" w:cs="宋体"/>
          <w:b/>
          <w:bCs/>
          <w:color w:val="000000"/>
          <w:spacing w:val="7"/>
          <w:sz w:val="22"/>
          <w:szCs w:val="28"/>
          <w:lang w:eastAsia="zh-CN"/>
        </w:rPr>
        <w:t xml:space="preserve">。</w:t>
      </w:r>
      <w:bookmarkEnd w:id="159"/>
      <w:bookmarkEnd w:id="160"/>
      <w:bookmarkEnd w:id="168"/>
      <w:bookmarkEnd w:id="169"/>
      <w:bookmarkEnd w:id="170"/>
      <w:bookmarkEnd w:id="193"/>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bookmarkStart w:id="201" w:name="_Toc5132"/>
      <w:r>
        <w:rPr>
          <w:rFonts w:hint="eastAsia" w:ascii="宋体" w:hAnsi="宋体" w:eastAsia="宋体" w:cs="宋体"/>
          <w:b/>
          <w:bCs/>
          <w:sz w:val="32"/>
          <w:szCs w:val="32"/>
          <w:highlight w:val="none"/>
          <w:lang w:val="en-US" w:eastAsia="zh-CN" w:bidi="ar-SA"/>
        </w:rPr>
        <w:t xml:space="preserve">投标文件格式</w:t>
      </w:r>
      <w:bookmarkEnd w:id="201"/>
      <w:r/>
      <w:r/>
    </w:p>
    <w:p>
      <w:pPr>
        <w:pStyle w:val="889"/>
        <w:tabs>
          <w:tab w:val="right" w:pos="9746" w:leader="dot"/>
        </w:tabs>
        <w:rPr>
          <w:rFonts w:hint="eastAsia" w:ascii="宋体" w:hAnsi="宋体"/>
          <w:sz w:val="28"/>
          <w:szCs w:val="44"/>
        </w:rPr>
      </w:pPr>
      <w:r>
        <w:rPr>
          <w:rFonts w:hint="eastAsia" w:ascii="宋体" w:hAnsi="宋体"/>
          <w:sz w:val="28"/>
          <w:szCs w:val="44"/>
        </w:rPr>
      </w:r>
      <w:r/>
    </w:p>
    <w:p>
      <w:pPr>
        <w:pStyle w:val="889"/>
        <w:spacing w:line="360" w:lineRule="auto"/>
        <w:tabs>
          <w:tab w:val="right" w:pos="9746" w:leader="dot"/>
        </w:tabs>
        <w:rPr>
          <w:sz w:val="28"/>
          <w:szCs w:val="36"/>
        </w:rPr>
      </w:pPr>
      <w:r>
        <w:rPr>
          <w:rFonts w:hint="eastAsia" w:ascii="宋体" w:hAnsi="宋体"/>
          <w:sz w:val="28"/>
          <w:szCs w:val="44"/>
        </w:rPr>
        <w:t xml:space="preserve">一、 封面</w:t>
      </w:r>
      <w:r/>
    </w:p>
    <w:p>
      <w:pPr>
        <w:pStyle w:val="889"/>
        <w:spacing w:line="360" w:lineRule="auto"/>
        <w:tabs>
          <w:tab w:val="right" w:pos="9746" w:leader="dot"/>
        </w:tabs>
        <w:rPr>
          <w:sz w:val="28"/>
          <w:szCs w:val="36"/>
        </w:rPr>
      </w:pPr>
      <w:r>
        <w:rPr>
          <w:rFonts w:hint="eastAsia" w:ascii="宋体" w:hAnsi="宋体"/>
          <w:sz w:val="28"/>
          <w:szCs w:val="44"/>
        </w:rPr>
        <w:t xml:space="preserve">二、 投标函格式</w:t>
      </w:r>
      <w:r/>
    </w:p>
    <w:p>
      <w:pPr>
        <w:pStyle w:val="889"/>
        <w:spacing w:line="360" w:lineRule="auto"/>
        <w:tabs>
          <w:tab w:val="right" w:pos="9746" w:leader="dot"/>
        </w:tabs>
        <w:rPr>
          <w:sz w:val="28"/>
          <w:szCs w:val="36"/>
        </w:rPr>
      </w:pPr>
      <w:r>
        <w:rPr>
          <w:rFonts w:hint="eastAsia" w:ascii="宋体" w:hAnsi="宋体"/>
          <w:bCs/>
          <w:sz w:val="28"/>
          <w:szCs w:val="44"/>
        </w:rPr>
        <w:t xml:space="preserve">三、 </w:t>
      </w:r>
      <w:r>
        <w:rPr>
          <w:rFonts w:hint="eastAsia" w:ascii="宋体" w:hAnsi="宋体" w:eastAsia="宋体" w:cs="Times New Roman"/>
          <w:sz w:val="28"/>
          <w:szCs w:val="44"/>
        </w:rPr>
        <w:t xml:space="preserve">开标</w:t>
      </w:r>
      <w:r>
        <w:rPr>
          <w:rFonts w:hint="eastAsia" w:ascii="宋体" w:hAnsi="宋体"/>
          <w:bCs/>
          <w:sz w:val="28"/>
          <w:szCs w:val="44"/>
        </w:rPr>
        <w:t xml:space="preserve">一览表</w:t>
      </w:r>
      <w:r/>
    </w:p>
    <w:p>
      <w:pPr>
        <w:pStyle w:val="889"/>
        <w:spacing w:line="360" w:lineRule="auto"/>
        <w:tabs>
          <w:tab w:val="right" w:pos="9746" w:leader="dot"/>
        </w:tabs>
        <w:rPr>
          <w:sz w:val="28"/>
          <w:szCs w:val="36"/>
        </w:rPr>
      </w:pPr>
      <w:r>
        <w:rPr>
          <w:rFonts w:hint="eastAsia" w:ascii="宋体" w:hAnsi="宋体"/>
          <w:bCs/>
          <w:sz w:val="28"/>
          <w:szCs w:val="44"/>
        </w:rPr>
        <w:t xml:space="preserve">四、 </w:t>
      </w:r>
      <w:r>
        <w:rPr>
          <w:rFonts w:hint="eastAsia" w:ascii="宋体" w:hAnsi="宋体"/>
          <w:bCs/>
          <w:sz w:val="28"/>
          <w:szCs w:val="44"/>
          <w:highlight w:val="none"/>
        </w:rPr>
        <w:t xml:space="preserve">资格</w:t>
      </w:r>
      <w:r>
        <w:rPr>
          <w:rFonts w:hint="eastAsia" w:ascii="宋体" w:hAnsi="宋体" w:eastAsia="宋体" w:cs="Times New Roman"/>
          <w:sz w:val="28"/>
          <w:szCs w:val="44"/>
          <w:highlight w:val="none"/>
        </w:rPr>
        <w:t xml:space="preserve">证明</w:t>
      </w:r>
      <w:r>
        <w:rPr>
          <w:rFonts w:hint="eastAsia" w:ascii="宋体" w:hAnsi="宋体"/>
          <w:bCs/>
          <w:sz w:val="28"/>
          <w:szCs w:val="44"/>
          <w:highlight w:val="none"/>
        </w:rPr>
        <w:t xml:space="preserve">文件</w:t>
      </w:r>
      <w:r/>
    </w:p>
    <w:p>
      <w:pPr>
        <w:pStyle w:val="889"/>
        <w:spacing w:line="360" w:lineRule="auto"/>
        <w:tabs>
          <w:tab w:val="right" w:pos="9746" w:leader="dot"/>
        </w:tabs>
        <w:rPr>
          <w:sz w:val="28"/>
          <w:szCs w:val="36"/>
        </w:rPr>
      </w:pPr>
      <w:r>
        <w:rPr>
          <w:rFonts w:hint="eastAsia"/>
          <w:bCs/>
          <w:sz w:val="28"/>
          <w:szCs w:val="44"/>
        </w:rPr>
        <w:t xml:space="preserve">五、 </w:t>
      </w:r>
      <w:r>
        <w:rPr>
          <w:rFonts w:ascii="宋体" w:hAnsi="宋体" w:eastAsia="宋体" w:cs="宋体"/>
          <w:color w:val="000000"/>
          <w:sz w:val="28"/>
          <w:szCs w:val="32"/>
          <w:highlight w:val="none"/>
        </w:rPr>
        <w:t xml:space="preserve">第四章</w:t>
      </w:r>
      <w:r>
        <w:rPr>
          <w:bCs/>
          <w:sz w:val="28"/>
          <w:szCs w:val="44"/>
        </w:rPr>
        <w:t xml:space="preserve">项目需求中实质性要求响应对照表</w:t>
      </w:r>
      <w:r/>
    </w:p>
    <w:p>
      <w:pPr>
        <w:pStyle w:val="889"/>
        <w:spacing w:line="360" w:lineRule="auto"/>
        <w:tabs>
          <w:tab w:val="right" w:pos="9746" w:leader="dot"/>
        </w:tabs>
        <w:rPr>
          <w:sz w:val="28"/>
          <w:szCs w:val="36"/>
        </w:rPr>
      </w:pPr>
      <w:r>
        <w:rPr>
          <w:rFonts w:hint="eastAsia"/>
          <w:bCs/>
          <w:sz w:val="28"/>
          <w:szCs w:val="44"/>
        </w:rPr>
        <w:t xml:space="preserve">六、 </w:t>
      </w:r>
      <w:r>
        <w:rPr>
          <w:rFonts w:hint="eastAsia" w:ascii="宋体" w:hAnsi="宋体" w:eastAsia="宋体" w:cs="Times New Roman"/>
          <w:bCs/>
          <w:sz w:val="28"/>
          <w:szCs w:val="44"/>
          <w:highlight w:val="none"/>
        </w:rPr>
        <w:t xml:space="preserve">投标</w:t>
      </w:r>
      <w:r>
        <w:rPr>
          <w:bCs/>
          <w:sz w:val="28"/>
          <w:szCs w:val="44"/>
        </w:rPr>
        <w:t xml:space="preserve">配置及分项报价表</w:t>
      </w:r>
      <w:r/>
    </w:p>
    <w:p>
      <w:pPr>
        <w:pStyle w:val="889"/>
        <w:spacing w:line="360" w:lineRule="auto"/>
        <w:tabs>
          <w:tab w:val="right" w:pos="9746" w:leader="dot"/>
        </w:tabs>
        <w:rPr>
          <w:sz w:val="28"/>
          <w:szCs w:val="36"/>
        </w:rPr>
      </w:pPr>
      <w:r>
        <w:rPr>
          <w:rFonts w:hint="eastAsia" w:ascii="宋体" w:hAnsi="宋体" w:eastAsia="宋体" w:cs="Times New Roman"/>
          <w:bCs/>
          <w:sz w:val="28"/>
          <w:szCs w:val="44"/>
        </w:rPr>
        <w:t xml:space="preserve">七、 </w:t>
      </w:r>
      <w:r>
        <w:rPr>
          <w:rFonts w:hint="eastAsia" w:ascii="宋体" w:hAnsi="宋体" w:eastAsia="宋体" w:cs="Times New Roman"/>
          <w:bCs/>
          <w:sz w:val="28"/>
          <w:szCs w:val="44"/>
          <w:highlight w:val="none"/>
        </w:rPr>
        <w:t xml:space="preserve">核心产品品牌表</w:t>
      </w:r>
      <w:r/>
    </w:p>
    <w:p>
      <w:pPr>
        <w:pStyle w:val="889"/>
        <w:spacing w:line="360" w:lineRule="auto"/>
        <w:tabs>
          <w:tab w:val="right" w:pos="9746" w:leader="dot"/>
        </w:tabs>
        <w:rPr>
          <w:sz w:val="28"/>
          <w:szCs w:val="36"/>
        </w:rPr>
      </w:pPr>
      <w:r>
        <w:rPr>
          <w:rFonts w:hint="eastAsia" w:ascii="宋体" w:hAnsi="宋体" w:eastAsia="宋体" w:cs="Times New Roman"/>
          <w:bCs/>
          <w:sz w:val="28"/>
          <w:szCs w:val="44"/>
          <w:lang w:eastAsia="zh-CN"/>
        </w:rPr>
        <w:t xml:space="preserve">八、 </w:t>
      </w:r>
      <w:r>
        <w:rPr>
          <w:rFonts w:hint="eastAsia" w:ascii="宋体" w:hAnsi="宋体" w:eastAsia="宋体" w:cs="Times New Roman"/>
          <w:bCs/>
          <w:sz w:val="28"/>
          <w:szCs w:val="44"/>
          <w:highlight w:val="none"/>
        </w:rPr>
        <w:t xml:space="preserve">常用零配件及耗材报价表</w:t>
      </w:r>
      <w:r/>
    </w:p>
    <w:p>
      <w:pPr>
        <w:pStyle w:val="889"/>
        <w:spacing w:line="360" w:lineRule="auto"/>
        <w:tabs>
          <w:tab w:val="right" w:pos="9746" w:leader="dot"/>
        </w:tabs>
        <w:rPr>
          <w:sz w:val="28"/>
          <w:szCs w:val="36"/>
        </w:rPr>
      </w:pPr>
      <w:r>
        <w:rPr>
          <w:rFonts w:hint="eastAsia" w:ascii="Times New Roman" w:hAnsi="Times New Roman" w:eastAsia="宋体" w:cs="Times New Roman"/>
          <w:bCs/>
          <w:sz w:val="28"/>
          <w:szCs w:val="44"/>
          <w:lang w:eastAsia="zh-CN"/>
        </w:rPr>
        <w:t xml:space="preserve">九、 </w:t>
      </w:r>
      <w:r>
        <w:rPr>
          <w:rFonts w:hint="eastAsia" w:ascii="Times New Roman" w:hAnsi="Times New Roman" w:eastAsia="宋体" w:cs="Times New Roman"/>
          <w:bCs/>
          <w:sz w:val="28"/>
          <w:szCs w:val="44"/>
          <w:highlight w:val="none"/>
          <w:lang w:eastAsia="zh-CN"/>
        </w:rPr>
        <w:t xml:space="preserve">技术参数响应及偏离表</w:t>
      </w:r>
      <w:r/>
    </w:p>
    <w:p>
      <w:pPr>
        <w:pStyle w:val="889"/>
        <w:spacing w:line="360" w:lineRule="auto"/>
        <w:tabs>
          <w:tab w:val="right" w:pos="9746" w:leader="dot"/>
        </w:tabs>
        <w:rPr>
          <w:sz w:val="28"/>
          <w:szCs w:val="36"/>
        </w:rPr>
      </w:pPr>
      <w:r>
        <w:rPr>
          <w:rFonts w:hint="eastAsia" w:ascii="Times New Roman" w:hAnsi="Times New Roman" w:eastAsia="宋体" w:cs="Times New Roman"/>
          <w:bCs/>
          <w:sz w:val="28"/>
          <w:szCs w:val="44"/>
          <w:lang w:eastAsia="zh-CN"/>
        </w:rPr>
        <w:t xml:space="preserve">十、 </w:t>
      </w:r>
      <w:r>
        <w:rPr>
          <w:rFonts w:hint="eastAsia" w:ascii="Times New Roman" w:hAnsi="Times New Roman" w:eastAsia="宋体" w:cs="Times New Roman"/>
          <w:bCs/>
          <w:sz w:val="28"/>
          <w:szCs w:val="44"/>
          <w:highlight w:val="none"/>
          <w:lang w:eastAsia="zh-CN"/>
        </w:rPr>
        <w:t xml:space="preserve">商务条款响应及偏离表</w:t>
      </w:r>
      <w:r/>
    </w:p>
    <w:p>
      <w:pPr>
        <w:pStyle w:val="889"/>
        <w:spacing w:line="360" w:lineRule="auto"/>
        <w:tabs>
          <w:tab w:val="right" w:pos="9746" w:leader="dot"/>
        </w:tabs>
        <w:rPr>
          <w:sz w:val="28"/>
          <w:szCs w:val="36"/>
        </w:rPr>
      </w:pPr>
      <w:r>
        <w:rPr>
          <w:rFonts w:hint="eastAsia" w:ascii="宋体" w:hAnsi="宋体"/>
          <w:sz w:val="28"/>
          <w:szCs w:val="52"/>
          <w:lang w:eastAsia="zh-CN"/>
        </w:rPr>
        <w:t xml:space="preserve">十一、 </w:t>
      </w:r>
      <w:r>
        <w:rPr>
          <w:rFonts w:hint="eastAsia" w:ascii="宋体" w:hAnsi="宋体"/>
          <w:sz w:val="28"/>
          <w:szCs w:val="52"/>
          <w:highlight w:val="none"/>
          <w:lang w:val="en-US" w:eastAsia="zh-CN"/>
        </w:rPr>
        <w:t xml:space="preserve">技术</w:t>
      </w:r>
      <w:r>
        <w:rPr>
          <w:rFonts w:ascii="Times New Roman" w:hAnsi="Times New Roman" w:eastAsia="宋体" w:cs="Times New Roman"/>
          <w:bCs/>
          <w:sz w:val="28"/>
          <w:szCs w:val="44"/>
          <w:highlight w:val="none"/>
          <w:lang w:eastAsia="zh-CN"/>
        </w:rPr>
        <w:t xml:space="preserve">方案</w:t>
      </w:r>
      <w:r>
        <w:rPr>
          <w:rFonts w:ascii="宋体" w:hAnsi="宋体"/>
          <w:sz w:val="28"/>
          <w:szCs w:val="52"/>
          <w:highlight w:val="none"/>
          <w:lang w:eastAsia="zh-CN"/>
        </w:rPr>
        <w:t xml:space="preserve">、服务方案</w:t>
      </w:r>
      <w:r/>
    </w:p>
    <w:p>
      <w:pPr>
        <w:pStyle w:val="889"/>
        <w:spacing w:line="360" w:lineRule="auto"/>
        <w:tabs>
          <w:tab w:val="right" w:pos="9746" w:leader="dot"/>
        </w:tabs>
        <w:rPr>
          <w:sz w:val="28"/>
          <w:szCs w:val="36"/>
        </w:rPr>
      </w:pPr>
      <w:r>
        <w:rPr>
          <w:rFonts w:hint="eastAsia" w:ascii="宋体" w:hAnsi="宋体" w:eastAsia="宋体" w:cs="Times New Roman"/>
          <w:sz w:val="28"/>
          <w:szCs w:val="52"/>
          <w:lang w:val="en-US" w:eastAsia="zh-CN"/>
        </w:rPr>
        <w:t xml:space="preserve">十二、 </w:t>
      </w:r>
      <w:r>
        <w:rPr>
          <w:rFonts w:hint="eastAsia" w:ascii="宋体" w:hAnsi="宋体" w:eastAsia="宋体" w:cs="Times New Roman"/>
          <w:sz w:val="28"/>
          <w:szCs w:val="52"/>
          <w:highlight w:val="none"/>
          <w:lang w:val="en-US" w:eastAsia="zh-CN"/>
        </w:rPr>
        <w:t xml:space="preserve">类似</w:t>
      </w:r>
      <w:r>
        <w:rPr>
          <w:rFonts w:hint="eastAsia" w:ascii="宋体" w:hAnsi="宋体" w:cs="Times New Roman"/>
          <w:sz w:val="28"/>
          <w:szCs w:val="52"/>
          <w:highlight w:val="none"/>
          <w:lang w:val="en-US" w:eastAsia="zh-CN"/>
        </w:rPr>
        <w:t xml:space="preserve">项目</w:t>
      </w:r>
      <w:r>
        <w:rPr>
          <w:rFonts w:hint="eastAsia" w:ascii="宋体" w:hAnsi="宋体" w:eastAsia="宋体" w:cs="Times New Roman"/>
          <w:sz w:val="28"/>
          <w:szCs w:val="52"/>
          <w:highlight w:val="none"/>
          <w:lang w:val="en-US" w:eastAsia="zh-CN"/>
        </w:rPr>
        <w:t xml:space="preserve">业绩一览表</w:t>
      </w:r>
      <w:r/>
    </w:p>
    <w:p>
      <w:pPr>
        <w:pStyle w:val="889"/>
        <w:spacing w:line="360" w:lineRule="auto"/>
        <w:tabs>
          <w:tab w:val="right" w:pos="9746" w:leader="dot"/>
        </w:tabs>
        <w:rPr>
          <w:rFonts w:hint="eastAsia" w:ascii="宋体" w:hAnsi="宋体"/>
          <w:sz w:val="28"/>
          <w:szCs w:val="44"/>
        </w:rPr>
      </w:pPr>
      <w:r>
        <w:rPr>
          <w:rFonts w:hint="eastAsia"/>
          <w:bCs/>
          <w:sz w:val="28"/>
          <w:szCs w:val="44"/>
        </w:rPr>
        <w:t xml:space="preserve">十三、 </w:t>
      </w:r>
      <w:r>
        <w:rPr>
          <w:rFonts w:hint="eastAsia" w:ascii="宋体" w:hAnsi="宋体"/>
          <w:sz w:val="28"/>
          <w:szCs w:val="44"/>
        </w:rPr>
        <w:t xml:space="preserve">投标人情况介绍</w:t>
      </w:r>
      <w:r/>
    </w:p>
    <w:p>
      <w:pPr>
        <w:pStyle w:val="889"/>
        <w:spacing w:line="360" w:lineRule="auto"/>
        <w:tabs>
          <w:tab w:val="right" w:pos="9746" w:leader="dot"/>
        </w:tabs>
        <w:rPr>
          <w:sz w:val="28"/>
          <w:szCs w:val="36"/>
        </w:rPr>
      </w:pPr>
      <w:r>
        <w:rPr>
          <w:rFonts w:hint="eastAsia" w:ascii="宋体" w:hAnsi="宋体"/>
          <w:sz w:val="28"/>
          <w:szCs w:val="44"/>
          <w:lang w:val="en-US" w:eastAsia="zh-CN"/>
        </w:rPr>
        <w:t xml:space="preserve">十四、</w:t>
      </w:r>
      <w:r>
        <w:rPr>
          <w:rFonts w:hint="eastAsia" w:ascii="宋体" w:hAnsi="宋体"/>
          <w:sz w:val="28"/>
          <w:szCs w:val="44"/>
        </w:rPr>
        <w:t xml:space="preserve">关于符合本国产品标准的声明函</w:t>
      </w:r>
      <w:r/>
    </w:p>
    <w:p>
      <w:pPr>
        <w:pStyle w:val="1059"/>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9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202" w:name="_Toc209797858"/>
      <w:r>
        <w:rPr>
          <w:rFonts w:hint="eastAsia" w:ascii="宋体" w:hAnsi="宋体"/>
          <w:b/>
          <w:sz w:val="32"/>
          <w:szCs w:val="32"/>
        </w:rPr>
        <w:t xml:space="preserve">封面</w:t>
      </w:r>
      <w:bookmarkEnd w:id="202"/>
      <w:r/>
      <w:r/>
    </w:p>
    <w:p>
      <w:pPr>
        <w:pStyle w:val="899"/>
        <w:rPr>
          <w:rFonts w:hint="eastAsia"/>
          <w:lang w:val="en-US" w:eastAsia="zh-CN"/>
        </w:rPr>
      </w:pPr>
      <w:r>
        <w:rPr>
          <w:rFonts w:hint="eastAsia"/>
          <w:lang w:val="en-US" w:eastAsia="zh-CN"/>
        </w:rPr>
      </w:r>
      <w:r/>
    </w:p>
    <w:p>
      <w:pPr>
        <w:pStyle w:val="1132"/>
        <w:jc w:val="center"/>
        <w:spacing w:before="540" w:after="540"/>
        <w:rPr>
          <w:rStyle w:val="1124"/>
          <w:rFonts w:ascii="宋体" w:hAnsi="宋体" w:eastAsia="宋体" w:cs="宋体"/>
          <w:color w:val="auto"/>
          <w:sz w:val="54"/>
          <w:szCs w:val="54"/>
        </w:rPr>
      </w:pPr>
      <w:r>
        <w:rPr>
          <w:rStyle w:val="1124"/>
          <w:rFonts w:ascii="宋体" w:hAnsi="宋体" w:eastAsia="宋体" w:cs="宋体"/>
          <w:color w:val="auto"/>
          <w:sz w:val="54"/>
          <w:szCs w:val="54"/>
        </w:rPr>
        <w:t xml:space="preserve">投 标 文 件</w:t>
      </w:r>
      <w:r/>
    </w:p>
    <w:p>
      <w:pPr>
        <w:pStyle w:val="1132"/>
        <w:spacing w:before="240" w:after="240"/>
        <w:rPr>
          <w:rStyle w:val="1124"/>
          <w:rFonts w:ascii="宋体" w:hAnsi="宋体" w:eastAsia="宋体" w:cs="宋体"/>
          <w:color w:val="auto"/>
          <w:sz w:val="24"/>
          <w:szCs w:val="24"/>
        </w:rPr>
      </w:pPr>
      <w:r>
        <w:rPr>
          <w:rStyle w:val="1124"/>
          <w:rFonts w:ascii="宋体" w:hAnsi="宋体" w:eastAsia="宋体" w:cs="宋体"/>
          <w:color w:val="auto"/>
        </w:rPr>
        <w:t xml:space="preserve"> </w:t>
      </w:r>
      <w:r/>
    </w:p>
    <w:p>
      <w:pPr>
        <w:pStyle w:val="1132"/>
        <w:jc w:val="center"/>
        <w:spacing w:before="400" w:after="400"/>
        <w:rPr>
          <w:rStyle w:val="1124"/>
          <w:rFonts w:ascii="宋体" w:hAnsi="宋体" w:eastAsia="宋体" w:cs="宋体"/>
          <w:color w:val="auto"/>
          <w:sz w:val="40"/>
          <w:szCs w:val="40"/>
        </w:rPr>
      </w:pPr>
      <w:r>
        <w:rPr>
          <w:rStyle w:val="1124"/>
          <w:rFonts w:ascii="宋体" w:hAnsi="宋体" w:eastAsia="宋体" w:cs="宋体"/>
          <w:color w:val="auto"/>
          <w:sz w:val="40"/>
          <w:szCs w:val="40"/>
        </w:rPr>
        <w:t xml:space="preserve"> </w:t>
      </w:r>
      <w:r/>
    </w:p>
    <w:p>
      <w:pPr>
        <w:pStyle w:val="1132"/>
        <w:spacing w:before="240" w:after="240"/>
        <w:rPr>
          <w:rStyle w:val="1124"/>
          <w:rFonts w:ascii="宋体" w:hAnsi="宋体" w:eastAsia="宋体" w:cs="宋体"/>
          <w:color w:val="auto"/>
          <w:sz w:val="24"/>
          <w:szCs w:val="24"/>
        </w:rPr>
      </w:pPr>
      <w:r>
        <w:rPr>
          <w:rStyle w:val="1124"/>
          <w:rFonts w:ascii="宋体" w:hAnsi="宋体" w:eastAsia="宋体" w:cs="宋体"/>
          <w:color w:val="auto"/>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项目名称：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招标编号：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投标人名称：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日期：   </w:t>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99"/>
        <w:jc w:val="center"/>
        <w:rPr>
          <w:rFonts w:hint="eastAsia"/>
        </w:rPr>
      </w:pPr>
      <w:r>
        <w:rPr>
          <w:rStyle w:val="1124"/>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99"/>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91"/>
        <w:jc w:val="center"/>
        <w:keepLines w:val="0"/>
        <w:keepNext w:val="0"/>
        <w:widowControl/>
        <w:suppressLineNumbers w:val="0"/>
      </w:pPr>
      <w:r>
        <w:t xml:space="preserve">开标一览表（总报价）</w:t>
      </w:r>
      <w:r/>
    </w:p>
    <w:p>
      <w:pPr>
        <w:pStyle w:val="891"/>
        <w:keepLines w:val="0"/>
        <w:keepNext w:val="0"/>
        <w:widowControl/>
        <w:suppressLineNumbers w:val="0"/>
      </w:pPr>
      <w:r>
        <w:t xml:space="preserve">投标人全称（加盖公章）： </w:t>
      </w:r>
      <w:r/>
    </w:p>
    <w:p>
      <w:pPr>
        <w:pStyle w:val="891"/>
        <w:keepLines w:val="0"/>
        <w:keepNext w:val="0"/>
        <w:widowControl/>
        <w:suppressLineNumbers w:val="0"/>
      </w:pPr>
      <w:r>
        <w:t xml:space="preserve">项目编号： </w:t>
      </w:r>
      <w:r/>
    </w:p>
    <w:p>
      <w:pPr>
        <w:pStyle w:val="891"/>
        <w:keepLines w:val="0"/>
        <w:keepNext w:val="0"/>
        <w:widowControl/>
        <w:suppressLineNumbers w:val="0"/>
      </w:pPr>
      <w:r>
        <w:t xml:space="preserve">分包号： </w:t>
      </w:r>
      <w:r/>
    </w:p>
    <w:tbl>
      <w:tblPr>
        <w:tblStyle w:val="86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91"/>
        <w:jc w:val="right"/>
        <w:keepLines w:val="0"/>
        <w:keepNext w:val="0"/>
        <w:widowControl/>
        <w:suppressLineNumbers w:val="0"/>
      </w:pPr>
      <w:r>
        <w:t xml:space="preserve">日期： 年 月   日</w:t>
      </w:r>
      <w:r/>
    </w:p>
    <w:p>
      <w:pPr>
        <w:pStyle w:val="891"/>
        <w:keepLines w:val="0"/>
        <w:keepNext w:val="0"/>
        <w:widowControl/>
        <w:suppressLineNumbers w:val="0"/>
      </w:pPr>
      <w:r>
        <w:t xml:space="preserve">填写说明：</w:t>
      </w:r>
      <w:r/>
    </w:p>
    <w:p>
      <w:pPr>
        <w:pStyle w:val="891"/>
        <w:keepLines w:val="0"/>
        <w:keepNext w:val="0"/>
        <w:widowControl/>
        <w:suppressLineNumbers w:val="0"/>
      </w:pPr>
      <w:r>
        <w:rPr>
          <w:rStyle w:val="896"/>
          <w:u w:val="single"/>
        </w:rPr>
        <w:t xml:space="preserve">1、开标一览表必须加盖投标人公章（复印件无效）。</w:t>
      </w:r>
      <w:r/>
    </w:p>
    <w:p>
      <w:pPr>
        <w:pStyle w:val="891"/>
        <w:keepLines w:val="0"/>
        <w:keepNext w:val="0"/>
        <w:widowControl/>
        <w:rPr>
          <w:rStyle w:val="896"/>
          <w:rFonts w:hint="eastAsia"/>
          <w:u w:val="single"/>
        </w:rPr>
        <w:suppressLineNumbers w:val="0"/>
      </w:pPr>
      <w:r>
        <w:rPr>
          <w:rStyle w:val="896"/>
          <w:u w:val="single"/>
        </w:rPr>
        <w:t xml:space="preserve">2、如有分包，投标人投任何一个包的标的，都需单独填写开标一览表。</w:t>
      </w:r>
      <w:r/>
    </w:p>
    <w:p>
      <w:pPr>
        <w:ind w:right="139" w:firstLine="0"/>
        <w:rPr>
          <w:rStyle w:val="896"/>
          <w:u w:val="single"/>
        </w:rPr>
      </w:pPr>
      <w:r>
        <w:rPr>
          <w:u w:val="single"/>
        </w:rPr>
      </w:r>
      <w:r/>
    </w:p>
    <w:p>
      <w:pPr>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92"/>
        <w:numPr>
          <w:ilvl w:val="0"/>
          <w:numId w:val="0"/>
        </w:numPr>
        <w:rPr>
          <w:b/>
          <w:bCs/>
          <w:i w:val="0"/>
          <w:iCs w:val="0"/>
          <w:sz w:val="24"/>
          <w:szCs w:val="24"/>
          <w:u w:val="none"/>
        </w:rPr>
      </w:pPr>
      <w:r>
        <w:rPr>
          <w:b/>
          <w:bCs/>
          <w:i w:val="0"/>
          <w:iCs w:val="0"/>
          <w:sz w:val="24"/>
          <w:szCs w:val="24"/>
          <w:u w:val="none"/>
        </w:rPr>
      </w:r>
      <w:r/>
    </w:p>
    <w:p>
      <w:pPr>
        <w:pStyle w:val="1092"/>
        <w:numPr>
          <w:ilvl w:val="0"/>
          <w:numId w:val="18"/>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5"/>
        <w:spacing w:line="440" w:lineRule="exact"/>
        <w:rPr>
          <w:rStyle w:val="868"/>
          <w:rFonts w:ascii="Times New Roman" w:hAnsi="Times New Roman" w:eastAsia="Times New Roman" w:cs="Times New Roman"/>
          <w:spacing w:val="7"/>
          <w:highlight w:val="none"/>
        </w:rPr>
        <w:outlineLvl w:val="9"/>
      </w:pPr>
      <w:r>
        <w:rPr>
          <w:rStyle w:val="868"/>
          <w:rFonts w:ascii="Times New Roman" w:hAnsi="Times New Roman" w:eastAsia="Times New Roman" w:cs="Times New Roman"/>
          <w:color w:val="000000"/>
          <w:highlight w:val="none"/>
        </w:rPr>
        <w:t xml:space="preserve">﻿ </w:t>
      </w:r>
      <w:r/>
    </w:p>
    <w:p>
      <w:pPr>
        <w:pStyle w:val="1125"/>
        <w:spacing w:before="240" w:after="240"/>
        <w:rPr>
          <w:rStyle w:val="868"/>
          <w:rFonts w:ascii="Times New Roman" w:hAnsi="Times New Roman" w:eastAsia="Times New Roman" w:cs="Times New Roman"/>
          <w:sz w:val="24"/>
          <w:szCs w:val="24"/>
          <w:highlight w:val="none"/>
        </w:rPr>
      </w:pPr>
      <w:r>
        <w:rPr>
          <w:rStyle w:val="868"/>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6"/>
        <w:jc w:val="center"/>
        <w:spacing w:before="360" w:after="360" w:line="300" w:lineRule="auto"/>
        <w:rPr>
          <w:rStyle w:val="868"/>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7"/>
        <w:jc w:val="center"/>
        <w:rPr>
          <w:sz w:val="24"/>
          <w:szCs w:val="28"/>
        </w:rPr>
      </w:pPr>
      <w:r>
        <w:rPr>
          <w:rFonts w:hint="eastAsia"/>
          <w:color w:val="000000"/>
          <w:sz w:val="24"/>
          <w:szCs w:val="28"/>
        </w:rPr>
        <w:t xml:space="preserve">依法缴纳税收和社会保障资金的相关材料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52"/>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52"/>
        <w:rPr>
          <w:rFonts w:hint="eastAsia" w:ascii="宋体" w:hAnsi="宋体"/>
          <w:sz w:val="24"/>
        </w:rPr>
      </w:pPr>
      <w:r>
        <w:rPr>
          <w:rFonts w:hint="eastAsia" w:ascii="宋体" w:hAnsi="宋体"/>
          <w:sz w:val="24"/>
        </w:rPr>
      </w:r>
      <w:r/>
    </w:p>
    <w:p>
      <w:pPr>
        <w:pStyle w:val="1052"/>
        <w:rPr>
          <w:rFonts w:hint="eastAsia" w:ascii="宋体" w:hAnsi="宋体"/>
          <w:sz w:val="24"/>
        </w:rPr>
      </w:pPr>
      <w:r>
        <w:rPr>
          <w:rFonts w:hint="eastAsia" w:ascii="宋体" w:hAnsi="宋体"/>
          <w:sz w:val="24"/>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50"/>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103"/>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103"/>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103"/>
        <w:ind w:firstLine="499"/>
        <w:spacing w:line="440" w:lineRule="exact"/>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203" w:name="sys_STR"/>
      <w:r/>
      <w:bookmarkEnd w:id="203"/>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103"/>
        <w:ind w:firstLine="499"/>
        <w:spacing w:line="440" w:lineRule="exact"/>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103"/>
        <w:spacing w:before="240" w:after="240"/>
        <w:rPr>
          <w:rFonts w:eastAsia="宋体"/>
          <w:highlight w:val="white"/>
        </w:rPr>
      </w:pPr>
      <w:r>
        <w:rPr>
          <w:rFonts w:eastAsia="宋体"/>
          <w:highlight w:val="white"/>
        </w:rPr>
        <w:t xml:space="preserve"> </w:t>
      </w:r>
      <w:r/>
    </w:p>
    <w:p>
      <w:pPr>
        <w:pStyle w:val="1103"/>
        <w:ind w:firstLine="3570"/>
        <w:spacing w:before="240" w:after="240"/>
        <w:rPr>
          <w:rFonts w:eastAsia="宋体"/>
          <w:highlight w:val="white"/>
        </w:rPr>
      </w:pPr>
      <w:r>
        <w:rPr>
          <w:rFonts w:eastAsia="宋体"/>
          <w:highlight w:val="white"/>
        </w:rPr>
        <w:t xml:space="preserve">被授权人身份证号码：   </w:t>
      </w:r>
      <w:r/>
    </w:p>
    <w:p>
      <w:pPr>
        <w:pStyle w:val="1103"/>
        <w:ind w:firstLine="3570"/>
        <w:spacing w:before="240" w:after="240"/>
        <w:rPr>
          <w:rFonts w:eastAsia="宋体"/>
          <w:highlight w:val="white"/>
        </w:rPr>
      </w:pPr>
      <w:r>
        <w:rPr>
          <w:rFonts w:eastAsia="宋体"/>
          <w:highlight w:val="white"/>
        </w:rPr>
        <w:t xml:space="preserve">被授权人联系电话：（手机）   </w:t>
      </w:r>
      <w:r/>
    </w:p>
    <w:p>
      <w:pPr>
        <w:pStyle w:val="1103"/>
        <w:ind w:firstLine="3570"/>
        <w:spacing w:before="240" w:after="240"/>
        <w:rPr>
          <w:rFonts w:eastAsia="宋体"/>
          <w:highlight w:val="white"/>
        </w:rPr>
      </w:pPr>
      <w:r>
        <w:rPr>
          <w:rFonts w:eastAsia="宋体"/>
          <w:highlight w:val="white"/>
        </w:rPr>
        <w:t xml:space="preserve">授权单位名称：   （加盖公章）</w:t>
      </w:r>
      <w:r/>
    </w:p>
    <w:p>
      <w:pPr>
        <w:pStyle w:val="1103"/>
        <w:ind w:firstLine="3570"/>
        <w:spacing w:before="240" w:after="240"/>
        <w:rPr>
          <w:rFonts w:eastAsia="宋体"/>
          <w:highlight w:val="white"/>
        </w:rPr>
      </w:pPr>
      <w:r>
        <w:rPr>
          <w:rFonts w:eastAsia="宋体"/>
          <w:highlight w:val="white"/>
        </w:rPr>
        <w:t xml:space="preserve">单位地址：   </w:t>
      </w:r>
      <w:r/>
    </w:p>
    <w:p>
      <w:pPr>
        <w:pStyle w:val="1103"/>
        <w:ind w:firstLine="3600"/>
        <w:spacing w:before="240" w:after="240"/>
        <w:rPr>
          <w:rFonts w:eastAsia="宋体"/>
          <w:highlight w:val="white"/>
        </w:rPr>
      </w:pPr>
      <w:r>
        <w:rPr>
          <w:rFonts w:eastAsia="宋体"/>
          <w:highlight w:val="white"/>
        </w:rPr>
        <w:t xml:space="preserve">日期：   </w:t>
      </w:r>
      <w:r/>
    </w:p>
    <w:p>
      <w:pPr>
        <w:pStyle w:val="1103"/>
        <w:ind w:firstLine="4830"/>
        <w:spacing w:before="240" w:after="240"/>
        <w:rPr>
          <w:rFonts w:eastAsia="宋体"/>
          <w:highlight w:val="white"/>
        </w:rPr>
      </w:pPr>
      <w:r>
        <w:rPr>
          <w:rFonts w:eastAsia="宋体"/>
          <w:highlight w:val="white"/>
        </w:rPr>
      </w:r>
      <w:r/>
    </w:p>
    <w:p>
      <w:pPr>
        <w:pStyle w:val="1103"/>
        <w:contextualSpacing/>
        <w:ind w:firstLine="482"/>
        <w:spacing w:line="360" w:lineRule="auto"/>
        <w:rPr>
          <w:rFonts w:eastAsia="宋体"/>
          <w:b/>
          <w:bCs/>
          <w:highlight w:val="white"/>
        </w:rPr>
      </w:pPr>
      <w:r/>
      <w:bookmarkStart w:id="204"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103"/>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440" w:lineRule="exact"/>
        <w:rPr>
          <w:rFonts w:ascii="Times New Roman" w:hAnsi="Times New Roman"/>
          <w:sz w:val="24"/>
          <w:szCs w:val="24"/>
          <w:highlight w:val="white"/>
        </w:rPr>
      </w:pPr>
      <w:r>
        <w:rPr>
          <w:rFonts w:ascii="Times New Roman" w:hAnsi="Times New Roman"/>
          <w:sz w:val="24"/>
          <w:szCs w:val="24"/>
          <w:highlight w:val="white"/>
        </w:rPr>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440" w:lineRule="exact"/>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204"/>
      <w:r/>
      <w:r/>
    </w:p>
    <w:p>
      <w:pPr>
        <w:pStyle w:val="1092"/>
        <w:numPr>
          <w:ilvl w:val="0"/>
          <w:numId w:val="0"/>
        </w:numPr>
        <w:ind w:firstLine="482"/>
        <w:keepLines w:val="0"/>
        <w:keepNext w:val="0"/>
        <w:pageBreakBefore w:val="0"/>
        <w:spacing w:line="440" w:lineRule="exact"/>
        <w:widowControl w:val="off"/>
        <w:rPr>
          <w:rStyle w:val="112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92"/>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124"/>
          <w:rFonts w:ascii="宋体" w:hAnsi="宋体" w:eastAsia="宋体" w:cs="宋体"/>
          <w:color w:val="auto"/>
          <w:sz w:val="32"/>
          <w:szCs w:val="32"/>
        </w:rPr>
        <w:t xml:space="preserve">中小企业声明函</w:t>
      </w:r>
      <w:r/>
    </w:p>
    <w:p>
      <w:pPr>
        <w:pStyle w:val="1109"/>
        <w:ind w:firstLine="480"/>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（项目名称）采购活动，</w:t>
      </w:r>
      <w:r>
        <w:rPr>
          <w:rFonts w:hint="eastAsia" w:ascii="宋体" w:hAnsi="宋体" w:cs="宋体"/>
          <w:color w:val="000000"/>
          <w:sz w:val="24"/>
          <w:szCs w:val="24"/>
        </w:rPr>
        <w:t xml:space="preserve">提供的货物全部由符合政策要求的中小企业制造。相关企业的具体情况如下</w:t>
      </w:r>
      <w:r>
        <w:rPr>
          <w:rStyle w:val="1124"/>
          <w:rFonts w:ascii="宋体" w:hAnsi="宋体" w:eastAsia="宋体" w:cs="宋体"/>
          <w:color w:val="000000"/>
        </w:rPr>
        <w:t xml:space="preserve">：</w:t>
      </w:r>
      <w:r/>
    </w:p>
    <w:p>
      <w:pPr>
        <w:pStyle w:val="1106"/>
        <w:numPr>
          <w:ilvl w:val="0"/>
          <w:numId w:val="19"/>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cs="宋体"/>
          <w:color w:val="000000"/>
          <w:sz w:val="24"/>
          <w:szCs w:val="24"/>
        </w:rPr>
        <w:t xml:space="preserve">制造商</w:t>
      </w:r>
      <w:r>
        <w:rPr>
          <w:rFonts w:hint="eastAsia" w:ascii="宋体" w:hAnsi="宋体" w:eastAsia="宋体" w:cs="宋体"/>
          <w:i w:val="0"/>
          <w:iCs w:val="0"/>
          <w:color w:val="auto"/>
          <w:highlight w:val="none"/>
        </w:rPr>
        <w:t xml:space="preserve">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6"/>
        <w:numPr>
          <w:ilvl w:val="0"/>
          <w:numId w:val="19"/>
        </w:numPr>
        <w:ind w:firstLine="480"/>
        <w:spacing w:line="440" w:lineRule="exact"/>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（标的名称） ，属于（采购文件中明确的所属行业） 行业；制造商为（企业名称），从业人员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万元，属于（中型企业、小型企业、微型企业）；</w:t>
      </w:r>
      <w:r/>
    </w:p>
    <w:p>
      <w:pPr>
        <w:pStyle w:val="1106"/>
        <w:numPr>
          <w:ilvl w:val="0"/>
          <w:numId w:val="19"/>
        </w:numPr>
        <w:ind w:firstLine="480"/>
        <w:spacing w:line="440" w:lineRule="exact"/>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（标的名称） ，属于（采购文件中明确的所属行业） 行业；制造商为（企业名称），从业人员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万元，属于（中型企业、小型企业、微型企业）；</w:t>
      </w:r>
      <w:r/>
    </w:p>
    <w:p>
      <w:pPr>
        <w:pStyle w:val="1106"/>
        <w:numPr>
          <w:ilvl w:val="0"/>
          <w:numId w:val="19"/>
        </w:numPr>
        <w:ind w:firstLine="480"/>
        <w:spacing w:line="440" w:lineRule="exact"/>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lang w:val="en-US" w:eastAsia="zh-CN"/>
        </w:rPr>
        <w:t xml:space="preserve">......</w:t>
      </w:r>
      <w:r/>
    </w:p>
    <w:p>
      <w:pPr>
        <w:pStyle w:val="1109"/>
        <w:ind w:firstLine="480"/>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09"/>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本企业对上述声明内容的真实性负责。如有虚假，将依法承担相应责任。 </w:t>
      </w:r>
      <w:r/>
    </w:p>
    <w:p>
      <w:pPr>
        <w:pStyle w:val="1109"/>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企业名称（盖章）：   </w:t>
      </w:r>
      <w:r/>
    </w:p>
    <w:p>
      <w:pPr>
        <w:pStyle w:val="1109"/>
        <w:keepLines w:val="0"/>
        <w:keepNext w:val="0"/>
        <w:pageBreakBefore w:val="0"/>
        <w:spacing w:line="440" w:lineRule="exact"/>
        <w:widowControl/>
        <w:rPr>
          <w:rStyle w:val="1124"/>
          <w:rFonts w:ascii="宋体" w:hAnsi="宋体" w:eastAsia="宋体" w:cs="宋体"/>
          <w:sz w:val="24"/>
          <w:szCs w:val="24"/>
        </w:rPr>
        <w:outlineLvl w:val="9"/>
      </w:pPr>
      <w:r>
        <w:rPr>
          <w:rStyle w:val="1124"/>
          <w:rFonts w:ascii="宋体" w:hAnsi="宋体" w:eastAsia="宋体" w:cs="宋体"/>
          <w:color w:val="000000"/>
        </w:rPr>
        <w:t xml:space="preserve">日期：   </w:t>
      </w:r>
      <w:r/>
    </w:p>
    <w:p>
      <w:pPr>
        <w:pStyle w:val="1109"/>
        <w:ind w:firstLine="480"/>
        <w:keepLines w:val="0"/>
        <w:keepNext w:val="0"/>
        <w:pageBreakBefore w:val="0"/>
        <w:spacing w:line="440" w:lineRule="exact"/>
        <w:rPr>
          <w:rStyle w:val="1124"/>
          <w:rFonts w:hint="eastAsia" w:ascii="宋体" w:hAnsi="宋体" w:eastAsia="宋体" w:cs="宋体"/>
          <w:sz w:val="24"/>
          <w:szCs w:val="24"/>
        </w:rPr>
        <w:outlineLvl w:val="9"/>
      </w:pPr>
      <w:r>
        <w:rPr>
          <w:rStyle w:val="1124"/>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24"/>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09"/>
        <w:keepLines w:val="0"/>
        <w:keepNext w:val="0"/>
        <w:pageBreakBefore w:val="0"/>
        <w:widowControl/>
        <w:rPr>
          <w:rStyle w:val="1124"/>
          <w:rFonts w:ascii="宋体" w:hAnsi="宋体" w:eastAsia="宋体" w:cs="宋体"/>
          <w:color w:val="000000"/>
        </w:rPr>
        <w:outlineLvl w:val="9"/>
      </w:pPr>
      <w:r>
        <w:rPr>
          <w:rFonts w:ascii="宋体" w:hAnsi="宋体" w:eastAsia="宋体" w:cs="宋体"/>
          <w:color w:val="000000"/>
        </w:rPr>
      </w:r>
      <w:r/>
    </w:p>
    <w:p>
      <w:pPr>
        <w:pStyle w:val="1109"/>
        <w:keepLines w:val="0"/>
        <w:keepNext w:val="0"/>
        <w:pageBreakBefore w:val="0"/>
        <w:widowControl/>
        <w:rPr>
          <w:rStyle w:val="1124"/>
          <w:rFonts w:ascii="宋体" w:hAnsi="宋体" w:eastAsia="宋体" w:cs="宋体"/>
          <w:color w:val="000000"/>
        </w:rPr>
      </w:pPr>
      <w:r>
        <w:rPr>
          <w:rStyle w:val="1124"/>
          <w:rFonts w:ascii="宋体" w:hAnsi="宋体" w:eastAsia="宋体" w:cs="宋体"/>
          <w:color w:val="000000"/>
        </w:rPr>
        <w:t xml:space="preserve">附：中小企业划型标准规定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8"/>
          <w:rFonts w:hint="eastAsia" w:ascii="宋体" w:hAnsi="宋体" w:eastAsia="宋体" w:cs="宋体"/>
          <w:color w:val="000000"/>
          <w:sz w:val="24"/>
          <w:szCs w:val="24"/>
        </w:rPr>
      </w:pPr>
      <w:r>
        <w:rPr>
          <w:rStyle w:val="868"/>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09"/>
        <w:keepLines w:val="0"/>
        <w:keepNext w:val="0"/>
        <w:pageBreakBefore w:val="0"/>
        <w:widowControl/>
        <w:rPr>
          <w:rStyle w:val="1124"/>
          <w:rFonts w:ascii="宋体" w:hAnsi="宋体" w:eastAsia="宋体" w:cs="宋体"/>
          <w:color w:val="000000"/>
        </w:rPr>
      </w:pPr>
      <w:r>
        <w:rPr>
          <w:rFonts w:ascii="宋体" w:hAnsi="宋体" w:eastAsia="宋体" w:cs="宋体"/>
          <w:color w:val="000000"/>
        </w:rPr>
      </w:r>
      <w:r/>
    </w:p>
    <w:p>
      <w:pPr>
        <w:pStyle w:val="1092"/>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124"/>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本单位对上述声明的真实性负责。如有虚假，将依法承担相应责任。</w:t>
      </w:r>
      <w:r/>
    </w:p>
    <w:p>
      <w:pPr>
        <w:pStyle w:val="1116"/>
        <w:jc w:val="center"/>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w:t>
      </w:r>
      <w:r/>
    </w:p>
    <w:p>
      <w:pPr>
        <w:pStyle w:val="1116"/>
        <w:jc w:val="center"/>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单位名称（盖章）：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日期：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供应商提供的《残疾人福利性单位声明函》与事实不符的，依照《政府采购法》第七十七条第一款的规定追究法律责任。</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92"/>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24"/>
          <w:rFonts w:ascii="Calibri" w:hAnsi="Calibri" w:eastAsia="宋体" w:cs="Times New Roman"/>
          <w:color w:val="auto"/>
          <w:sz w:val="32"/>
          <w:szCs w:val="32"/>
          <w:lang w:val="en-US" w:eastAsia="zh-CN" w:bidi="ar-SA"/>
        </w:rPr>
      </w:pPr>
      <w:r>
        <w:rPr>
          <w:rStyle w:val="1124"/>
          <w:rFonts w:hint="eastAsia" w:ascii="Calibri" w:hAnsi="Calibri" w:eastAsia="宋体" w:cs="Times New Roman"/>
          <w:color w:val="auto"/>
          <w:sz w:val="32"/>
          <w:szCs w:val="32"/>
          <w:lang w:val="en-US" w:eastAsia="zh-CN" w:bidi="ar-SA"/>
        </w:rPr>
        <w:t xml:space="preserve">监狱企业的证明文件</w:t>
      </w:r>
      <w:r/>
    </w:p>
    <w:p>
      <w:pPr>
        <w:pStyle w:val="1103"/>
        <w:ind w:firstLine="4560"/>
        <w:keepLines w:val="0"/>
        <w:keepNext w:val="0"/>
        <w:spacing w:before="240" w:after="240"/>
        <w:rPr>
          <w:rStyle w:val="1048"/>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8"/>
        <w:ind w:firstLine="480"/>
        <w:keepLines w:val="0"/>
        <w:keepNext w:val="0"/>
        <w:spacing w:line="440" w:lineRule="exact"/>
        <w:rPr>
          <w:rStyle w:val="1124"/>
          <w:rFonts w:ascii="宋体" w:hAnsi="宋体" w:eastAsia="宋体" w:cs="宋体"/>
          <w:color w:val="000000"/>
          <w:sz w:val="24"/>
          <w:szCs w:val="24"/>
        </w:rPr>
        <w:outlineLvl w:val="9"/>
      </w:pPr>
      <w:r>
        <w:rPr>
          <w:rStyle w:val="1124"/>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8"/>
        <w:keepLines w:val="0"/>
        <w:keepNext w:val="0"/>
        <w:rPr>
          <w:rStyle w:val="1124"/>
          <w:rFonts w:ascii="等线" w:hAnsi="等线" w:eastAsia="等线" w:cs="Times New Roman"/>
        </w:rPr>
        <w:outlineLvl w:val="9"/>
      </w:pPr>
      <w:r>
        <w:rPr>
          <w:rStyle w:val="1124"/>
          <w:rFonts w:hint="eastAsia" w:ascii="等线" w:hAnsi="等线" w:eastAsia="等线" w:cs="Times New Roman"/>
          <w:color w:val="000000"/>
        </w:rPr>
        <w:t xml:space="preserve">      </w:t>
      </w:r>
      <w:r/>
    </w:p>
    <w:p>
      <w:pPr>
        <w:pStyle w:val="1092"/>
        <w:numPr>
          <w:ilvl w:val="0"/>
          <w:numId w:val="0"/>
        </w:numPr>
        <w:ind w:firstLine="480"/>
        <w:keepLines w:val="0"/>
        <w:keepNext w:val="0"/>
        <w:pageBreakBefore w:val="0"/>
        <w:spacing w:line="440" w:lineRule="exact"/>
        <w:widowControl w:val="off"/>
        <w:rPr>
          <w:rStyle w:val="1124"/>
          <w:rFonts w:hint="eastAsia" w:ascii="宋体" w:hAnsi="宋体" w:eastAsia="宋体" w:cs="宋体"/>
          <w:b/>
          <w:bCs w:val="0"/>
          <w:color w:val="auto"/>
          <w:sz w:val="24"/>
          <w:szCs w:val="22"/>
          <w:highlight w:val="none"/>
          <w:lang w:eastAsia="zh-CN"/>
        </w:rPr>
        <w:outlineLvl w:val="9"/>
      </w:pPr>
      <w:r>
        <w:rPr>
          <w:rStyle w:val="1124"/>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103"/>
        <w:keepLines w:val="0"/>
        <w:keepNext w:val="0"/>
        <w:spacing w:before="240" w:after="240"/>
        <w:rPr>
          <w:rStyle w:val="1048"/>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7"/>
        </w:numPr>
        <w:ind w:left="0" w:firstLine="420"/>
        <w:jc w:val="left"/>
        <w:keepLines w:val="0"/>
        <w:keepNext w:val="0"/>
        <w:pageBreakBefore/>
        <w:spacing w:before="120" w:after="120" w:line="440" w:lineRule="exact"/>
        <w:widowControl w:val="off"/>
        <w:rPr>
          <w:b/>
          <w:bCs/>
          <w:sz w:val="32"/>
          <w:szCs w:val="32"/>
        </w:rPr>
        <w:outlineLvl w:val="1"/>
      </w:pPr>
      <w:r>
        <w:rPr>
          <w:rStyle w:val="1124"/>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8"/>
        <w:spacing w:line="440" w:lineRule="exact"/>
        <w:rPr>
          <w:rStyle w:val="868"/>
          <w:rFonts w:ascii="宋体" w:hAnsi="宋体" w:eastAsia="宋体" w:cs="宋体"/>
          <w:b/>
          <w:bCs/>
          <w:color w:val="auto"/>
          <w:highlight w:val="none"/>
        </w:rPr>
        <w:outlineLvl w:val="9"/>
      </w:pPr>
      <w:r>
        <w:rPr>
          <w:rStyle w:val="868"/>
          <w:rFonts w:ascii="宋体" w:hAnsi="宋体" w:eastAsia="宋体" w:cs="宋体"/>
          <w:b/>
          <w:bCs/>
          <w:color w:val="auto"/>
          <w:highlight w:val="none"/>
        </w:rPr>
        <w:t xml:space="preserve"> </w:t>
      </w:r>
      <w:r>
        <w:rPr>
          <w:rStyle w:val="868"/>
          <w:rFonts w:hint="eastAsia" w:ascii="宋体" w:hAnsi="宋体" w:eastAsia="宋体" w:cs="宋体"/>
          <w:b/>
          <w:bCs/>
          <w:color w:val="auto"/>
          <w:highlight w:val="none"/>
          <w:lang w:val="en-US" w:eastAsia="zh-CN"/>
        </w:rPr>
        <w:t xml:space="preserve">1、</w:t>
      </w:r>
      <w:r>
        <w:rPr>
          <w:rStyle w:val="868"/>
          <w:rFonts w:hint="eastAsia" w:ascii="宋体" w:hAnsi="宋体" w:eastAsia="宋体" w:cs="宋体"/>
          <w:b/>
          <w:bCs/>
          <w:color w:val="auto"/>
          <w:highlight w:val="none"/>
          <w:lang w:eastAsia="zh-CN"/>
        </w:rPr>
        <w:t xml:space="preserve">商务条款的实质性格式</w:t>
      </w:r>
      <w:r>
        <w:rPr>
          <w:rStyle w:val="868"/>
          <w:rFonts w:ascii="宋体" w:hAnsi="宋体" w:eastAsia="宋体" w:cs="宋体"/>
          <w:b/>
          <w:bCs/>
          <w:color w:val="auto"/>
          <w:highlight w:val="none"/>
        </w:rPr>
        <w:t xml:space="preserve"> </w:t>
      </w:r>
      <w:r/>
    </w:p>
    <w:tbl>
      <w:tblPr>
        <w:tblStyle w:val="869"/>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商务条款</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8"/>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spacing w:line="440" w:lineRule="exact"/>
              <w:rPr>
                <w:rStyle w:val="868"/>
                <w:rFonts w:ascii="宋体" w:hAnsi="宋体" w:eastAsia="宋体" w:cs="宋体"/>
                <w:b w:val="0"/>
                <w:bCs w:val="0"/>
                <w:i w:val="0"/>
                <w:iCs w:val="0"/>
                <w:smallCaps w:val="0"/>
                <w:color w:val="auto"/>
                <w:sz w:val="24"/>
                <w:szCs w:val="24"/>
                <w:highlight w:val="none"/>
              </w:rPr>
              <w:outlineLvl w:val="9"/>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8"/>
        <w:rPr>
          <w:rStyle w:val="868"/>
          <w:rFonts w:ascii="宋体" w:hAnsi="宋体" w:eastAsia="宋体" w:cs="宋体"/>
          <w:color w:val="auto"/>
          <w:highlight w:val="none"/>
        </w:rPr>
      </w:pPr>
      <w:r>
        <w:rPr>
          <w:rFonts w:ascii="宋体" w:hAnsi="宋体" w:eastAsia="宋体" w:cs="宋体"/>
          <w:color w:val="auto"/>
          <w:highlight w:val="none"/>
        </w:rPr>
      </w:r>
      <w:r/>
    </w:p>
    <w:p>
      <w:pPr>
        <w:pStyle w:val="1128"/>
        <w:ind w:firstLine="482"/>
        <w:rPr>
          <w:rStyle w:val="868"/>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8"/>
        <w:ind w:firstLine="482"/>
        <w:rPr>
          <w:rStyle w:val="868"/>
          <w:rFonts w:hint="eastAsia" w:ascii="宋体" w:hAnsi="宋体" w:eastAsia="宋体" w:cs="宋体"/>
          <w:b/>
          <w:bCs/>
          <w:color w:val="auto"/>
          <w:highlight w:val="none"/>
          <w:lang w:val="en-US" w:eastAsia="zh-CN"/>
        </w:rPr>
      </w:pPr>
      <w:r>
        <w:rPr>
          <w:rStyle w:val="868"/>
          <w:rFonts w:hint="eastAsia" w:ascii="宋体" w:hAnsi="宋体" w:eastAsia="宋体" w:cs="宋体"/>
          <w:b/>
          <w:bCs/>
          <w:color w:val="auto"/>
          <w:highlight w:val="none"/>
          <w:lang w:val="en-US" w:eastAsia="zh-CN"/>
        </w:rPr>
        <w:t xml:space="preserve">2、技术要求的实质性格式</w:t>
      </w:r>
      <w:r/>
    </w:p>
    <w:tbl>
      <w:tblPr>
        <w:tblStyle w:val="869"/>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技术要求</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8"/>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default"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99"/>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p>
    <w:p>
      <w:pPr>
        <w:pStyle w:val="1135"/>
        <w:jc w:val="center"/>
        <w:spacing w:before="400" w:after="400" w:line="300" w:lineRule="auto"/>
        <w:rPr>
          <w:rStyle w:val="1048"/>
          <w:rFonts w:ascii="黑体" w:hAnsi="黑体" w:eastAsia="黑体" w:cs="黑体"/>
          <w:b/>
          <w:bCs/>
          <w:sz w:val="40"/>
          <w:szCs w:val="40"/>
        </w:rPr>
      </w:pPr>
      <w:r>
        <w:rPr>
          <w:rStyle w:val="1048"/>
          <w:rFonts w:ascii="黑体" w:hAnsi="黑体" w:eastAsia="黑体" w:cs="黑体"/>
          <w:b/>
          <w:bCs/>
          <w:color w:val="000000"/>
          <w:sz w:val="40"/>
          <w:szCs w:val="40"/>
        </w:rPr>
        <w:t xml:space="preserve">投标配置及分项报价表 </w:t>
      </w:r>
      <w:r/>
    </w:p>
    <w:p>
      <w:pPr>
        <w:pStyle w:val="1135"/>
        <w:spacing w:before="240" w:after="240"/>
        <w:rPr>
          <w:rStyle w:val="1048"/>
          <w:rFonts w:ascii="宋体" w:hAnsi="宋体" w:eastAsia="宋体" w:cs="宋体"/>
          <w:sz w:val="24"/>
          <w:szCs w:val="24"/>
        </w:rPr>
      </w:pPr>
      <w:r>
        <w:rPr>
          <w:rStyle w:val="1048"/>
          <w:rFonts w:ascii="宋体" w:hAnsi="宋体" w:eastAsia="宋体" w:cs="宋体"/>
          <w:color w:val="000000"/>
        </w:rPr>
        <w:t xml:space="preserve">  </w:t>
      </w:r>
      <w:r/>
    </w:p>
    <w:tbl>
      <w:tblPr>
        <w:tblStyle w:val="869"/>
        <w:tblW w:w="8973"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65"/>
        <w:gridCol w:w="1409"/>
        <w:gridCol w:w="925"/>
        <w:gridCol w:w="764"/>
        <w:gridCol w:w="925"/>
        <w:gridCol w:w="925"/>
        <w:gridCol w:w="925"/>
        <w:gridCol w:w="441"/>
        <w:gridCol w:w="1147"/>
        <w:gridCol w:w="1147"/>
      </w:tblGrid>
      <w:tr>
        <w:trPr>
          <w:trHeight w:val="287"/>
        </w:trPr>
        <w:tc>
          <w:tcPr>
            <w:tcMar>
              <w:left w:w="0" w:type="dxa"/>
              <w:top w:w="0" w:type="dxa"/>
              <w:right w:w="0" w:type="dxa"/>
              <w:bottom w:w="0" w:type="dxa"/>
            </w:tcMar>
            <w:tcW w:w="365"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409"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设备名称</w:t>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764"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规格型号</w:t>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制造厂商</w:t>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产地</w:t>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数量</w:t>
            </w:r>
            <w:r/>
          </w:p>
        </w:tc>
        <w:tc>
          <w:tcPr>
            <w:tcMar>
              <w:left w:w="0" w:type="dxa"/>
              <w:top w:w="0" w:type="dxa"/>
              <w:right w:w="0" w:type="dxa"/>
              <w:bottom w:w="0" w:type="dxa"/>
            </w:tcMar>
            <w:tcW w:w="441"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单位</w:t>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总价（元）</w:t>
            </w:r>
            <w:r/>
          </w:p>
        </w:tc>
      </w:tr>
      <w:tr>
        <w:trPr>
          <w:trHeight w:val="287"/>
        </w:trPr>
        <w:tc>
          <w:tcPr>
            <w:tcMar>
              <w:left w:w="0" w:type="dxa"/>
              <w:top w:w="0" w:type="dxa"/>
              <w:right w:w="0" w:type="dxa"/>
              <w:bottom w:w="0" w:type="dxa"/>
            </w:tcMar>
            <w:tcW w:w="36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409"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764"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41"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trHeight w:val="287"/>
        </w:trPr>
        <w:tc>
          <w:tcPr>
            <w:tcMar>
              <w:left w:w="0" w:type="dxa"/>
              <w:top w:w="0" w:type="dxa"/>
              <w:right w:w="0" w:type="dxa"/>
              <w:bottom w:w="0" w:type="dxa"/>
            </w:tcMar>
            <w:tcW w:w="36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409"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764"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25"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41"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47" w:type="dxa"/>
            <w:vAlign w:val="center"/>
            <w:textDirection w:val="lrTb"/>
            <w:noWrap w:val="false"/>
          </w:tcPr>
          <w:p>
            <w:pPr>
              <w:pStyle w:val="1135"/>
              <w:jc w:val="center"/>
              <w:rPr>
                <w:rStyle w:val="1048"/>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365" w:type="dxa"/>
            <w:vAlign w:val="center"/>
            <w:textDirection w:val="lrTb"/>
            <w:noWrap w:val="false"/>
          </w:tcPr>
          <w:p>
            <w:pPr>
              <w:pStyle w:val="1135"/>
              <w:rPr>
                <w:rStyle w:val="1048"/>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409" w:type="dxa"/>
            <w:vAlign w:val="center"/>
            <w:textDirection w:val="lrTb"/>
            <w:noWrap w:val="false"/>
          </w:tcPr>
          <w:p>
            <w:pPr>
              <w:pStyle w:val="1135"/>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合计 </w:t>
            </w:r>
            <w:r/>
          </w:p>
        </w:tc>
        <w:tc>
          <w:tcPr>
            <w:gridSpan w:val="8"/>
            <w:tcMar>
              <w:left w:w="0" w:type="dxa"/>
              <w:top w:w="0" w:type="dxa"/>
              <w:right w:w="0" w:type="dxa"/>
              <w:bottom w:w="0" w:type="dxa"/>
            </w:tcMar>
            <w:tcW w:w="7199" w:type="dxa"/>
            <w:vAlign w:val="center"/>
            <w:textDirection w:val="lrTb"/>
            <w:noWrap w:val="false"/>
          </w:tcPr>
          <w:p>
            <w:pPr>
              <w:pStyle w:val="1135"/>
              <w:rPr>
                <w:rStyle w:val="1048"/>
                <w:rFonts w:ascii="宋体" w:hAnsi="宋体" w:eastAsia="宋体" w:cs="宋体"/>
                <w:b w:val="0"/>
                <w:bCs w:val="0"/>
                <w:i w:val="0"/>
                <w:iCs w:val="0"/>
                <w:smallCaps w:val="0"/>
                <w:sz w:val="24"/>
                <w:szCs w:val="24"/>
              </w:rPr>
            </w:pPr>
            <w:r>
              <w:rPr>
                <w:rStyle w:val="1048"/>
                <w:rFonts w:ascii="宋体" w:hAnsi="宋体" w:eastAsia="宋体" w:cs="宋体"/>
                <w:b w:val="0"/>
                <w:bCs w:val="0"/>
                <w:i w:val="0"/>
                <w:iCs w:val="0"/>
                <w:smallCaps w:val="0"/>
                <w:color w:val="000000"/>
                <w:sz w:val="24"/>
                <w:szCs w:val="24"/>
              </w:rPr>
              <w:t xml:space="preserve">   元(大写：   ) </w:t>
            </w:r>
            <w:r/>
          </w:p>
        </w:tc>
      </w:tr>
    </w:tbl>
    <w:p>
      <w:pPr>
        <w:pStyle w:val="1135"/>
        <w:spacing w:before="240" w:after="240"/>
        <w:rPr>
          <w:rStyle w:val="1048"/>
          <w:rFonts w:ascii="宋体" w:hAnsi="宋体" w:eastAsia="宋体" w:cs="宋体"/>
          <w:sz w:val="24"/>
          <w:szCs w:val="24"/>
        </w:rPr>
      </w:pPr>
      <w:r>
        <w:rPr>
          <w:rStyle w:val="1048"/>
          <w:rFonts w:ascii="宋体" w:hAnsi="宋体" w:eastAsia="宋体" w:cs="宋体"/>
          <w:color w:val="000000"/>
        </w:rPr>
        <w:t xml:space="preserve">  </w:t>
      </w:r>
      <w:r/>
    </w:p>
    <w:p>
      <w:pPr>
        <w:pStyle w:val="1135"/>
        <w:spacing w:before="240" w:after="240"/>
        <w:rPr>
          <w:rStyle w:val="1048"/>
          <w:rFonts w:ascii="宋体" w:hAnsi="宋体" w:eastAsia="宋体" w:cs="宋体"/>
          <w:sz w:val="24"/>
          <w:szCs w:val="24"/>
        </w:rPr>
      </w:pPr>
      <w:r>
        <w:rPr>
          <w:rStyle w:val="1048"/>
          <w:rFonts w:ascii="宋体" w:hAnsi="宋体" w:eastAsia="宋体" w:cs="宋体"/>
          <w:color w:val="000000"/>
        </w:rPr>
        <w:t xml:space="preserve">注： </w:t>
      </w:r>
      <w:r/>
    </w:p>
    <w:p>
      <w:pPr>
        <w:pStyle w:val="1135"/>
        <w:spacing w:before="240" w:after="240"/>
        <w:rPr>
          <w:rStyle w:val="1048"/>
          <w:rFonts w:ascii="宋体" w:hAnsi="宋体" w:eastAsia="宋体" w:cs="宋体"/>
          <w:sz w:val="24"/>
          <w:szCs w:val="24"/>
        </w:rPr>
      </w:pPr>
      <w:r>
        <w:rPr>
          <w:rStyle w:val="1048"/>
          <w:rFonts w:ascii="宋体" w:hAnsi="宋体" w:eastAsia="宋体" w:cs="宋体"/>
          <w:color w:val="000000"/>
        </w:rPr>
        <w:t xml:space="preserve">1、技术要求详见招标文件第四章项目需求；此表的总计金额应与开标一览表相符。 </w:t>
      </w:r>
      <w:r/>
    </w:p>
    <w:p>
      <w:pPr>
        <w:pStyle w:val="1135"/>
        <w:spacing w:before="240" w:after="240"/>
        <w:rPr>
          <w:rStyle w:val="1048"/>
          <w:rFonts w:ascii="宋体" w:hAnsi="宋体" w:eastAsia="宋体" w:cs="宋体"/>
          <w:sz w:val="24"/>
          <w:szCs w:val="24"/>
        </w:rPr>
      </w:pPr>
      <w:r>
        <w:rPr>
          <w:rStyle w:val="1048"/>
          <w:rFonts w:ascii="宋体" w:hAnsi="宋体" w:eastAsia="宋体" w:cs="宋体"/>
          <w:color w:val="000000"/>
        </w:rPr>
        <w:t xml:space="preserve">2、请提供本标书要求设备详细的配置清单及分项报价，包括标准件及选购件。 </w:t>
      </w:r>
      <w:r/>
    </w:p>
    <w:p>
      <w:pPr>
        <w:pStyle w:val="899"/>
        <w:ind w:left="0" w:firstLine="0"/>
        <w:rPr>
          <w:rFonts w:hint="eastAsia"/>
        </w:rPr>
      </w:pPr>
      <w:r>
        <w:rPr>
          <w:rStyle w:val="1048"/>
          <w:rFonts w:ascii="宋体" w:hAnsi="宋体" w:eastAsia="宋体" w:cs="宋体"/>
          <w:color w:val="000000"/>
        </w:rPr>
        <w:t xml:space="preserve">3、若无品牌，可填“自制”。</w:t>
      </w:r>
      <w:r/>
    </w:p>
    <w:p>
      <w:pPr>
        <w:numPr>
          <w:ilvl w:val="0"/>
          <w:numId w:val="17"/>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bookmarkStart w:id="205" w:name="_Toc12686"/>
      <w:r/>
      <w:bookmarkStart w:id="206" w:name="_Toc29348"/>
      <w:r>
        <w:rPr>
          <w:rFonts w:hint="eastAsia" w:ascii="宋体" w:hAnsi="宋体" w:eastAsia="宋体" w:cs="Times New Roman"/>
          <w:b/>
          <w:bCs/>
          <w:sz w:val="32"/>
          <w:szCs w:val="32"/>
          <w:highlight w:val="none"/>
        </w:rPr>
        <w:t xml:space="preserve">核心产品品牌表</w:t>
      </w:r>
      <w:r/>
    </w:p>
    <w:p>
      <w:pPr>
        <w:jc w:val="center"/>
        <w:spacing w:before="120" w:after="120"/>
        <w:widowControl/>
        <w:rPr>
          <w:rFonts w:ascii="宋体" w:cs="黑体"/>
          <w:b/>
          <w:bCs/>
          <w:color w:val="000000"/>
          <w:sz w:val="28"/>
          <w:szCs w:val="28"/>
        </w:rPr>
      </w:pPr>
      <w:r/>
      <w:bookmarkStart w:id="207" w:name="_Toc12940"/>
      <w:r/>
      <w:bookmarkStart w:id="208" w:name="_Toc11497"/>
      <w:r/>
      <w:bookmarkStart w:id="209" w:name="_Toc21327"/>
      <w:r>
        <w:rPr>
          <w:rFonts w:hint="eastAsia" w:ascii="宋体" w:hAnsi="宋体" w:cs="黑体"/>
          <w:b/>
          <w:bCs/>
          <w:color w:val="000000"/>
          <w:sz w:val="28"/>
          <w:szCs w:val="28"/>
        </w:rPr>
        <w:t xml:space="preserve">核心产品品牌表</w:t>
      </w:r>
      <w:bookmarkEnd w:id="207"/>
      <w:r/>
      <w:bookmarkEnd w:id="208"/>
      <w:r/>
      <w:bookmarkEnd w:id="209"/>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jc w:val="center"/>
          <w:trHeight w:val="680"/>
        </w:trPr>
        <w:tc>
          <w:tcPr>
            <w:tcW w:w="837" w:type="dxa"/>
            <w:vAlign w:val="center"/>
            <w:textDirection w:val="lrTb"/>
            <w:noWrap w:val="false"/>
          </w:tcPr>
          <w:p>
            <w:pPr>
              <w:pStyle w:val="1128"/>
              <w:jc w:val="center"/>
              <w:rPr>
                <w:rFonts w:ascii="宋体" w:cs="宋体"/>
                <w:b/>
                <w:bCs/>
              </w:rPr>
            </w:pPr>
            <w:r>
              <w:rPr>
                <w:rFonts w:hint="eastAsia" w:ascii="宋体" w:hAnsi="宋体" w:cs="宋体"/>
                <w:b/>
                <w:bCs/>
              </w:rPr>
              <w:t xml:space="preserve">序号</w:t>
            </w:r>
            <w:r/>
          </w:p>
        </w:tc>
        <w:tc>
          <w:tcPr>
            <w:tcW w:w="2598" w:type="dxa"/>
            <w:vAlign w:val="center"/>
            <w:textDirection w:val="lrTb"/>
            <w:noWrap w:val="false"/>
          </w:tcPr>
          <w:p>
            <w:pPr>
              <w:pStyle w:val="1128"/>
              <w:jc w:val="center"/>
              <w:rPr>
                <w:rFonts w:ascii="宋体" w:cs="宋体"/>
                <w:b/>
                <w:bCs/>
              </w:rPr>
            </w:pPr>
            <w:r>
              <w:rPr>
                <w:rFonts w:hint="eastAsia" w:ascii="宋体" w:hAnsi="宋体" w:cs="宋体"/>
                <w:b/>
                <w:bCs/>
              </w:rPr>
              <w:t xml:space="preserve">设备名称</w:t>
            </w:r>
            <w:r/>
          </w:p>
        </w:tc>
        <w:tc>
          <w:tcPr>
            <w:tcW w:w="1878" w:type="dxa"/>
            <w:vAlign w:val="center"/>
            <w:textDirection w:val="lrTb"/>
            <w:noWrap w:val="false"/>
          </w:tcPr>
          <w:p>
            <w:pPr>
              <w:pStyle w:val="1128"/>
              <w:jc w:val="center"/>
              <w:rPr>
                <w:rFonts w:ascii="宋体" w:cs="宋体"/>
                <w:b/>
                <w:bCs/>
              </w:rPr>
            </w:pPr>
            <w:r>
              <w:rPr>
                <w:rFonts w:hint="eastAsia" w:ascii="宋体" w:hAnsi="宋体" w:cs="宋体"/>
                <w:b/>
                <w:bCs/>
              </w:rPr>
              <w:t xml:space="preserve">品牌</w:t>
            </w:r>
            <w:r/>
          </w:p>
        </w:tc>
        <w:tc>
          <w:tcPr>
            <w:tcW w:w="1771" w:type="dxa"/>
            <w:vAlign w:val="center"/>
            <w:textDirection w:val="lrTb"/>
            <w:noWrap w:val="false"/>
          </w:tcPr>
          <w:p>
            <w:pPr>
              <w:pStyle w:val="1128"/>
              <w:jc w:val="center"/>
              <w:rPr>
                <w:rFonts w:ascii="宋体" w:cs="宋体"/>
                <w:b/>
                <w:bCs/>
              </w:rPr>
            </w:pPr>
            <w:r>
              <w:rPr>
                <w:rFonts w:hint="eastAsia" w:ascii="宋体" w:hAnsi="宋体" w:cs="宋体"/>
                <w:b/>
                <w:bCs/>
              </w:rPr>
              <w:t xml:space="preserve">制造厂商</w:t>
            </w:r>
            <w:r/>
          </w:p>
        </w:tc>
        <w:tc>
          <w:tcPr>
            <w:tcW w:w="1913" w:type="dxa"/>
            <w:vAlign w:val="center"/>
            <w:textDirection w:val="lrTb"/>
            <w:noWrap w:val="false"/>
          </w:tcPr>
          <w:p>
            <w:pPr>
              <w:pStyle w:val="1150"/>
              <w:jc w:val="center"/>
              <w:rPr>
                <w:rFonts w:ascii="Calibri" w:hAnsi="Calibri"/>
                <w:b/>
                <w:bCs/>
              </w:rPr>
            </w:pPr>
            <w:r>
              <w:rPr>
                <w:rFonts w:hint="eastAsia" w:ascii="Calibri" w:hAnsi="Calibri"/>
                <w:b/>
                <w:bCs/>
              </w:rPr>
              <w:t xml:space="preserve">备注</w:t>
            </w:r>
            <w:r/>
          </w:p>
        </w:tc>
      </w:tr>
      <w:tr>
        <w:trPr>
          <w:jc w:val="center"/>
          <w:trHeight w:val="680"/>
        </w:trPr>
        <w:tc>
          <w:tcPr>
            <w:tcW w:w="837" w:type="dxa"/>
            <w:vAlign w:val="center"/>
            <w:textDirection w:val="lrTb"/>
            <w:noWrap w:val="false"/>
          </w:tcPr>
          <w:p>
            <w:pPr>
              <w:pStyle w:val="1150"/>
              <w:jc w:val="center"/>
              <w:rPr>
                <w:rFonts w:ascii="宋体" w:hAnsi="宋体" w:cs="宋体"/>
              </w:rPr>
            </w:pPr>
            <w:r>
              <w:rPr>
                <w:rFonts w:ascii="宋体" w:hAnsi="宋体" w:cs="宋体"/>
              </w:rPr>
              <w:t xml:space="preserve">1</w:t>
            </w:r>
            <w:r/>
          </w:p>
        </w:tc>
        <w:tc>
          <w:tcPr>
            <w:shd w:val="clear" w:color="auto" w:fill="auto"/>
            <w:tcW w:w="2598" w:type="dxa"/>
            <w:vAlign w:val="center"/>
            <w:textDirection w:val="lrTb"/>
            <w:noWrap w:val="false"/>
          </w:tcPr>
          <w:p>
            <w:pPr>
              <w:pStyle w:val="1096"/>
              <w:jc w:val="center"/>
              <w:rPr>
                <w:rFonts w:hint="default" w:ascii="宋体" w:hAnsi="宋体" w:eastAsia="宋体" w:cs="宋体"/>
                <w:b w:val="0"/>
                <w:sz w:val="24"/>
                <w:szCs w:val="24"/>
              </w:rPr>
            </w:pPr>
            <w:r>
              <w:rPr>
                <w:rStyle w:val="1048"/>
                <w:rFonts w:hint="eastAsia" w:ascii="宋体" w:hAnsi="宋体" w:eastAsia="宋体" w:cs="宋体"/>
                <w:b w:val="0"/>
                <w:sz w:val="24"/>
                <w:szCs w:val="24"/>
                <w:highlight w:val="none"/>
                <w:lang w:val="en-US" w:eastAsia="zh-CN"/>
              </w:rPr>
              <w:t xml:space="preserve">多参数监护仪检定装置</w:t>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jc w:val="center"/>
              <w:rPr>
                <w:rFonts w:ascii="Calibri" w:hAnsi="Calibri"/>
              </w:rPr>
            </w:pPr>
            <w:r>
              <w:rPr>
                <w:rFonts w:hint="eastAsia" w:ascii="Calibri" w:hAnsi="Calibri"/>
              </w:rPr>
              <w:t xml:space="preserve">核心产品</w:t>
            </w:r>
            <w:r/>
          </w:p>
        </w:tc>
      </w:tr>
      <w:tr>
        <w:trPr>
          <w:jc w:val="center"/>
          <w:trHeight w:val="680"/>
        </w:trPr>
        <w:tc>
          <w:tcPr>
            <w:tcW w:w="837" w:type="dxa"/>
            <w:vAlign w:val="center"/>
            <w:textDirection w:val="lrTb"/>
            <w:noWrap w:val="false"/>
          </w:tcPr>
          <w:p>
            <w:pPr>
              <w:pStyle w:val="1150"/>
              <w:jc w:val="center"/>
              <w:rPr>
                <w:rFonts w:ascii="宋体" w:hAnsi="宋体" w:cs="宋体"/>
              </w:rPr>
            </w:pPr>
            <w:r>
              <w:rPr>
                <w:rFonts w:ascii="宋体" w:hAnsi="宋体" w:cs="宋体"/>
              </w:rPr>
              <w:t xml:space="preserve">2</w:t>
            </w:r>
            <w:r/>
          </w:p>
        </w:tc>
        <w:tc>
          <w:tcPr>
            <w:shd w:val="clear" w:color="auto" w:fill="auto"/>
            <w:tcW w:w="2598" w:type="dxa"/>
            <w:vAlign w:val="center"/>
            <w:textDirection w:val="lrTb"/>
            <w:noWrap w:val="false"/>
          </w:tcPr>
          <w:p>
            <w:pPr>
              <w:pStyle w:val="1096"/>
              <w:jc w:val="center"/>
              <w:rPr>
                <w:rFonts w:hint="default" w:ascii="宋体" w:hAnsi="宋体" w:eastAsia="宋体" w:cs="宋体"/>
                <w:b w:val="0"/>
                <w:sz w:val="24"/>
                <w:szCs w:val="24"/>
              </w:rPr>
            </w:pPr>
            <w:r>
              <w:rPr>
                <w:rStyle w:val="1048"/>
                <w:rFonts w:hint="eastAsia" w:ascii="宋体" w:hAnsi="宋体" w:eastAsia="宋体" w:cs="宋体"/>
                <w:b w:val="0"/>
                <w:sz w:val="24"/>
                <w:szCs w:val="24"/>
                <w:highlight w:val="none"/>
                <w:lang w:val="en-US" w:eastAsia="zh-CN"/>
              </w:rPr>
              <w:t xml:space="preserve">单三相电能表检定装置</w:t>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jc w:val="center"/>
              <w:rPr>
                <w:rFonts w:ascii="Calibri" w:hAnsi="Calibri"/>
              </w:rPr>
            </w:pPr>
            <w:r>
              <w:rPr>
                <w:rFonts w:hint="eastAsia" w:ascii="Calibri" w:hAnsi="Calibri"/>
              </w:rPr>
              <w:t xml:space="preserve">核心产品</w:t>
            </w:r>
            <w:r/>
          </w:p>
        </w:tc>
      </w:tr>
      <w:tr>
        <w:trPr>
          <w:jc w:val="center"/>
          <w:trHeight w:val="680"/>
        </w:trPr>
        <w:tc>
          <w:tcPr>
            <w:tcW w:w="837" w:type="dxa"/>
            <w:vAlign w:val="center"/>
            <w:textDirection w:val="lrTb"/>
            <w:noWrap w:val="false"/>
          </w:tcPr>
          <w:p>
            <w:pPr>
              <w:pStyle w:val="1150"/>
              <w:rPr>
                <w:rFonts w:ascii="Calibri" w:hAnsi="Calibri"/>
              </w:rPr>
            </w:pPr>
            <w:r>
              <w:rPr>
                <w:rFonts w:ascii="Calibri" w:hAnsi="Calibri"/>
              </w:rPr>
            </w:r>
            <w:r/>
          </w:p>
        </w:tc>
        <w:tc>
          <w:tcPr>
            <w:tcW w:w="2598" w:type="dxa"/>
            <w:vAlign w:val="center"/>
            <w:textDirection w:val="lrTb"/>
            <w:noWrap w:val="false"/>
          </w:tcPr>
          <w:p>
            <w:pPr>
              <w:pStyle w:val="1150"/>
              <w:rPr>
                <w:rFonts w:ascii="Calibri" w:hAnsi="Calibri"/>
              </w:rPr>
            </w:pPr>
            <w:r>
              <w:rPr>
                <w:rFonts w:ascii="Calibri" w:hAnsi="Calibri"/>
              </w:rPr>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rPr>
                <w:rFonts w:ascii="Calibri" w:hAnsi="Calibri"/>
              </w:rPr>
            </w:pPr>
            <w:r>
              <w:rPr>
                <w:rFonts w:ascii="Calibri" w:hAnsi="Calibri"/>
              </w:rPr>
            </w:r>
            <w:r/>
          </w:p>
        </w:tc>
      </w:tr>
      <w:tr>
        <w:trPr>
          <w:jc w:val="center"/>
          <w:trHeight w:val="680"/>
        </w:trPr>
        <w:tc>
          <w:tcPr>
            <w:tcW w:w="837" w:type="dxa"/>
            <w:vAlign w:val="center"/>
            <w:textDirection w:val="lrTb"/>
            <w:noWrap w:val="false"/>
          </w:tcPr>
          <w:p>
            <w:pPr>
              <w:pStyle w:val="1150"/>
              <w:rPr>
                <w:rFonts w:ascii="Calibri" w:hAnsi="Calibri"/>
              </w:rPr>
            </w:pPr>
            <w:r>
              <w:rPr>
                <w:rFonts w:ascii="Calibri" w:hAnsi="Calibri"/>
              </w:rPr>
            </w:r>
            <w:r/>
          </w:p>
        </w:tc>
        <w:tc>
          <w:tcPr>
            <w:tcW w:w="2598" w:type="dxa"/>
            <w:vAlign w:val="center"/>
            <w:textDirection w:val="lrTb"/>
            <w:noWrap w:val="false"/>
          </w:tcPr>
          <w:p>
            <w:pPr>
              <w:pStyle w:val="1150"/>
              <w:rPr>
                <w:rFonts w:ascii="Calibri" w:hAnsi="Calibri"/>
              </w:rPr>
            </w:pPr>
            <w:r>
              <w:rPr>
                <w:rFonts w:ascii="Calibri" w:hAnsi="Calibri"/>
              </w:rPr>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rPr>
                <w:rFonts w:ascii="Calibri" w:hAnsi="Calibri"/>
              </w:rPr>
            </w:pPr>
            <w:r>
              <w:rPr>
                <w:rFonts w:ascii="Calibri" w:hAnsi="Calibri"/>
              </w:rPr>
            </w:r>
            <w:r/>
          </w:p>
        </w:tc>
      </w:tr>
      <w:tr>
        <w:trPr>
          <w:jc w:val="center"/>
          <w:trHeight w:val="680"/>
        </w:trPr>
        <w:tc>
          <w:tcPr>
            <w:tcW w:w="837" w:type="dxa"/>
            <w:vAlign w:val="center"/>
            <w:textDirection w:val="lrTb"/>
            <w:noWrap w:val="false"/>
          </w:tcPr>
          <w:p>
            <w:pPr>
              <w:pStyle w:val="1150"/>
              <w:rPr>
                <w:rFonts w:ascii="Calibri" w:hAnsi="Calibri"/>
              </w:rPr>
            </w:pPr>
            <w:r>
              <w:rPr>
                <w:rFonts w:ascii="Calibri" w:hAnsi="Calibri"/>
              </w:rPr>
            </w:r>
            <w:r/>
          </w:p>
        </w:tc>
        <w:tc>
          <w:tcPr>
            <w:tcW w:w="2598" w:type="dxa"/>
            <w:vAlign w:val="center"/>
            <w:textDirection w:val="lrTb"/>
            <w:noWrap w:val="false"/>
          </w:tcPr>
          <w:p>
            <w:pPr>
              <w:pStyle w:val="1150"/>
              <w:rPr>
                <w:rFonts w:ascii="Calibri" w:hAnsi="Calibri"/>
              </w:rPr>
            </w:pPr>
            <w:r>
              <w:rPr>
                <w:rFonts w:ascii="Calibri" w:hAnsi="Calibri"/>
              </w:rPr>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rPr>
                <w:rFonts w:ascii="Calibri" w:hAnsi="Calibri"/>
              </w:rPr>
            </w:pPr>
            <w:r>
              <w:rPr>
                <w:rFonts w:ascii="Calibri" w:hAnsi="Calibri"/>
              </w:rPr>
            </w:r>
            <w:r/>
          </w:p>
        </w:tc>
      </w:tr>
      <w:tr>
        <w:trPr>
          <w:jc w:val="center"/>
          <w:trHeight w:val="680"/>
        </w:trPr>
        <w:tc>
          <w:tcPr>
            <w:tcW w:w="837" w:type="dxa"/>
            <w:vAlign w:val="center"/>
            <w:textDirection w:val="lrTb"/>
            <w:noWrap w:val="false"/>
          </w:tcPr>
          <w:p>
            <w:pPr>
              <w:pStyle w:val="1150"/>
              <w:rPr>
                <w:rFonts w:ascii="Calibri" w:hAnsi="Calibri"/>
              </w:rPr>
            </w:pPr>
            <w:r>
              <w:rPr>
                <w:rFonts w:ascii="Calibri" w:hAnsi="Calibri"/>
              </w:rPr>
            </w:r>
            <w:r/>
          </w:p>
        </w:tc>
        <w:tc>
          <w:tcPr>
            <w:tcW w:w="2598" w:type="dxa"/>
            <w:vAlign w:val="center"/>
            <w:textDirection w:val="lrTb"/>
            <w:noWrap w:val="false"/>
          </w:tcPr>
          <w:p>
            <w:pPr>
              <w:pStyle w:val="1150"/>
              <w:rPr>
                <w:rFonts w:ascii="Calibri" w:hAnsi="Calibri"/>
              </w:rPr>
            </w:pPr>
            <w:r>
              <w:rPr>
                <w:rFonts w:ascii="Calibri" w:hAnsi="Calibri"/>
              </w:rPr>
            </w:r>
            <w:r/>
          </w:p>
        </w:tc>
        <w:tc>
          <w:tcPr>
            <w:tcW w:w="1878" w:type="dxa"/>
            <w:vAlign w:val="center"/>
            <w:textDirection w:val="lrTb"/>
            <w:noWrap w:val="false"/>
          </w:tcPr>
          <w:p>
            <w:pPr>
              <w:pStyle w:val="1150"/>
              <w:rPr>
                <w:rFonts w:ascii="Calibri" w:hAnsi="Calibri"/>
              </w:rPr>
            </w:pPr>
            <w:r>
              <w:rPr>
                <w:rFonts w:ascii="Calibri" w:hAnsi="Calibri"/>
              </w:rPr>
            </w:r>
            <w:r/>
          </w:p>
        </w:tc>
        <w:tc>
          <w:tcPr>
            <w:tcW w:w="1771" w:type="dxa"/>
            <w:vAlign w:val="center"/>
            <w:textDirection w:val="lrTb"/>
            <w:noWrap w:val="false"/>
          </w:tcPr>
          <w:p>
            <w:pPr>
              <w:pStyle w:val="1150"/>
              <w:rPr>
                <w:rFonts w:ascii="Calibri" w:hAnsi="Calibri"/>
              </w:rPr>
            </w:pPr>
            <w:r>
              <w:rPr>
                <w:rFonts w:ascii="Calibri" w:hAnsi="Calibri"/>
              </w:rPr>
            </w:r>
            <w:r/>
          </w:p>
        </w:tc>
        <w:tc>
          <w:tcPr>
            <w:tcW w:w="1913" w:type="dxa"/>
            <w:vAlign w:val="center"/>
            <w:textDirection w:val="lrTb"/>
            <w:noWrap w:val="false"/>
          </w:tcPr>
          <w:p>
            <w:pPr>
              <w:pStyle w:val="1150"/>
              <w:rPr>
                <w:rFonts w:ascii="Calibri" w:hAnsi="Calibri"/>
              </w:rPr>
            </w:pPr>
            <w:r>
              <w:rPr>
                <w:rFonts w:ascii="Calibri" w:hAnsi="Calibri"/>
              </w:rPr>
            </w:r>
            <w:r/>
          </w:p>
        </w:tc>
      </w:tr>
    </w:tbl>
    <w:p>
      <w:pPr>
        <w:rPr>
          <w:rFonts w:hint="eastAsia"/>
          <w:b/>
          <w:bCs/>
          <w:sz w:val="24"/>
          <w:szCs w:val="24"/>
        </w:rPr>
      </w:pPr>
      <w:r>
        <w:rPr>
          <w:rFonts w:hint="eastAsia"/>
          <w:b/>
          <w:bCs/>
          <w:sz w:val="24"/>
          <w:szCs w:val="24"/>
        </w:rPr>
      </w:r>
      <w:r/>
    </w:p>
    <w:p>
      <w:pPr>
        <w:rPr>
          <w:rFonts w:hint="eastAsia" w:ascii="宋体" w:hAnsi="宋体" w:eastAsia="宋体" w:cs="Times New Roman"/>
          <w:b/>
          <w:bCs/>
          <w:sz w:val="32"/>
          <w:szCs w:val="32"/>
          <w:highlight w:val="cyan"/>
          <w:lang w:eastAsia="zh-CN"/>
        </w:rPr>
      </w:pPr>
      <w:r>
        <w:rPr>
          <w:rFonts w:hint="eastAsia"/>
          <w:b/>
          <w:bCs/>
          <w:sz w:val="24"/>
          <w:szCs w:val="24"/>
        </w:rPr>
        <w:t xml:space="preserve">注：此表填写的核心产品的品牌应与投标配置及分项报价表中品牌一致。</w:t>
      </w:r>
      <w:r/>
    </w:p>
    <w:p>
      <w:pPr>
        <w:numPr>
          <w:ilvl w:val="0"/>
          <w:numId w:val="17"/>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lang w:eastAsia="zh-CN"/>
        </w:rPr>
        <w:outlineLvl w:val="1"/>
      </w:pPr>
      <w:r>
        <w:rPr>
          <w:rFonts w:hint="eastAsia" w:ascii="宋体" w:hAnsi="宋体" w:eastAsia="宋体" w:cs="Times New Roman"/>
          <w:b/>
          <w:bCs/>
          <w:sz w:val="32"/>
          <w:szCs w:val="32"/>
          <w:highlight w:val="none"/>
        </w:rPr>
        <w:t xml:space="preserve">常用零配件及耗材报价表</w:t>
      </w:r>
      <w:r/>
    </w:p>
    <w:p>
      <w:pPr>
        <w:jc w:val="center"/>
        <w:rPr>
          <w:rFonts w:hint="eastAsia"/>
          <w:lang w:eastAsia="zh-CN"/>
        </w:rPr>
      </w:pPr>
      <w:r>
        <w:rPr>
          <w:rStyle w:val="1048"/>
          <w:rFonts w:ascii="黑体" w:hAnsi="黑体" w:eastAsia="黑体" w:cs="黑体"/>
          <w:b/>
          <w:bCs/>
          <w:color w:val="000000"/>
          <w:sz w:val="40"/>
          <w:szCs w:val="40"/>
        </w:rPr>
        <w:t xml:space="preserve">常用零配件及耗材报价表</w:t>
      </w:r>
      <w:r/>
    </w:p>
    <w:tbl>
      <w:tblPr>
        <w:tblStyle w:val="869"/>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2184"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产品名称</w:t>
            </w:r>
            <w:r/>
          </w:p>
        </w:tc>
        <w:tc>
          <w:tcPr>
            <w:tcMar>
              <w:left w:w="0" w:type="dxa"/>
              <w:top w:w="0" w:type="dxa"/>
              <w:right w:w="0" w:type="dxa"/>
              <w:bottom w:w="0" w:type="dxa"/>
            </w:tcMar>
            <w:tcW w:w="2821"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规格型号</w:t>
            </w:r>
            <w:r/>
          </w:p>
        </w:tc>
        <w:tc>
          <w:tcPr>
            <w:tcMar>
              <w:left w:w="0" w:type="dxa"/>
              <w:top w:w="0" w:type="dxa"/>
              <w:right w:w="0" w:type="dxa"/>
              <w:bottom w:w="0" w:type="dxa"/>
            </w:tcMar>
            <w:tcW w:w="1039"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计量单位</w:t>
            </w:r>
            <w:r/>
          </w:p>
        </w:tc>
        <w:tc>
          <w:tcPr>
            <w:tcMar>
              <w:left w:w="0" w:type="dxa"/>
              <w:top w:w="0" w:type="dxa"/>
              <w:right w:w="0" w:type="dxa"/>
              <w:bottom w:w="0" w:type="dxa"/>
            </w:tcMar>
            <w:tcW w:w="1039"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数量</w:t>
            </w:r>
            <w:r/>
          </w:p>
        </w:tc>
        <w:tc>
          <w:tcPr>
            <w:tcMar>
              <w:left w:w="0" w:type="dxa"/>
              <w:top w:w="0" w:type="dxa"/>
              <w:right w:w="0" w:type="dxa"/>
              <w:bottom w:w="0" w:type="dxa"/>
            </w:tcMar>
            <w:tcW w:w="1421"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Style w:val="1124"/>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2184"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2821"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421" w:type="dxa"/>
            <w:vAlign w:val="center"/>
            <w:textDirection w:val="lrTb"/>
            <w:noWrap w:val="false"/>
          </w:tcPr>
          <w:p>
            <w:pPr>
              <w:pStyle w:val="1119"/>
              <w:jc w:val="center"/>
              <w:keepLines w:val="0"/>
              <w:keepNext w:val="0"/>
              <w:pageBreakBefore w:val="0"/>
              <w:widowControl w:val="off"/>
              <w:rPr>
                <w:rStyle w:val="112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注：以上常用零配件及耗材必须保证与所投报设备兼容配套使用。</w:t>
      </w:r>
      <w:bookmarkEnd w:id="205"/>
      <w:bookmarkEnd w:id="206"/>
      <w:r/>
    </w:p>
    <w:p>
      <w:pPr>
        <w:pStyle w:val="1136"/>
        <w:jc w:val="center"/>
        <w:spacing w:before="400" w:after="400" w:line="300" w:lineRule="auto"/>
        <w:rPr>
          <w:rStyle w:val="1048"/>
          <w:rFonts w:ascii="黑体" w:hAnsi="黑体" w:eastAsia="黑体" w:cs="黑体"/>
          <w:b/>
          <w:bCs/>
          <w:sz w:val="40"/>
          <w:szCs w:val="40"/>
        </w:rPr>
      </w:pPr>
      <w:r>
        <w:rPr>
          <w:rFonts w:ascii="黑体" w:hAnsi="黑体" w:eastAsia="黑体" w:cs="黑体"/>
          <w:b/>
          <w:bCs/>
          <w:sz w:val="40"/>
          <w:szCs w:val="40"/>
        </w:rPr>
      </w:r>
      <w:r/>
    </w:p>
    <w:p>
      <w:pPr>
        <w:pStyle w:val="1136"/>
        <w:spacing w:before="240" w:after="240"/>
        <w:rPr>
          <w:rStyle w:val="1048"/>
          <w:rFonts w:ascii="宋体" w:hAnsi="宋体" w:eastAsia="宋体" w:cs="宋体"/>
          <w:sz w:val="24"/>
          <w:szCs w:val="24"/>
        </w:rPr>
      </w:pPr>
      <w:r>
        <w:rPr>
          <w:rStyle w:val="1048"/>
          <w:rFonts w:ascii="宋体" w:hAnsi="宋体" w:eastAsia="宋体" w:cs="宋体"/>
          <w:color w:val="000000"/>
        </w:rPr>
        <w:t xml:space="preserve"> </w:t>
      </w:r>
      <w:r/>
    </w:p>
    <w:p>
      <w:pPr>
        <w:numPr>
          <w:ilvl w:val="0"/>
          <w:numId w:val="17"/>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5"/>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5"/>
        <w:spacing w:before="240" w:after="240"/>
        <w:rPr>
          <w:rFonts w:eastAsia="宋体"/>
        </w:rPr>
      </w:pPr>
      <w:r>
        <w:rPr>
          <w:rFonts w:eastAsia="宋体"/>
        </w:rPr>
        <w:t xml:space="preserve">  </w:t>
      </w:r>
      <w:r/>
    </w:p>
    <w:tbl>
      <w:tblPr>
        <w:tblStyle w:val="869"/>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5"/>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5"/>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5"/>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5"/>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5"/>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5"/>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5"/>
              <w:rPr>
                <w:rFonts w:eastAsia="宋体"/>
              </w:rPr>
            </w:pPr>
            <w:r>
              <w:rPr>
                <w:rFonts w:eastAsia="宋体"/>
              </w:rPr>
            </w:r>
            <w:r/>
          </w:p>
        </w:tc>
      </w:tr>
    </w:tbl>
    <w:p>
      <w:pPr>
        <w:pStyle w:val="1135"/>
        <w:spacing w:before="240" w:after="240"/>
        <w:rPr>
          <w:rFonts w:eastAsia="宋体"/>
        </w:rPr>
      </w:pPr>
      <w:r>
        <w:rPr>
          <w:rFonts w:eastAsia="宋体"/>
        </w:rPr>
        <w:t xml:space="preserve">  </w:t>
      </w:r>
      <w:r/>
    </w:p>
    <w:p>
      <w:pPr>
        <w:pStyle w:val="1135"/>
        <w:spacing w:before="240" w:after="240"/>
        <w:rPr>
          <w:rFonts w:eastAsia="宋体"/>
        </w:rPr>
      </w:pPr>
      <w:r>
        <w:rPr>
          <w:rFonts w:eastAsia="宋体"/>
        </w:rPr>
        <w:t xml:space="preserve">注： </w:t>
      </w:r>
      <w:r/>
    </w:p>
    <w:p>
      <w:pPr>
        <w:pStyle w:val="1135"/>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5"/>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5"/>
        <w:spacing w:before="240" w:after="240"/>
        <w:rPr>
          <w:rFonts w:eastAsia="宋体"/>
        </w:rPr>
      </w:pPr>
      <w:r>
        <w:rPr>
          <w:rFonts w:eastAsia="宋体"/>
        </w:rPr>
        <w:t xml:space="preserve">3、表格不够可另接。 </w:t>
      </w:r>
      <w:r/>
    </w:p>
    <w:p>
      <w:pPr>
        <w:pStyle w:val="1136"/>
        <w:jc w:val="center"/>
        <w:spacing w:before="320" w:after="320" w:line="300" w:lineRule="auto"/>
        <w:rPr>
          <w:rFonts w:eastAsia="宋体"/>
          <w:b/>
          <w:bCs/>
          <w:sz w:val="32"/>
          <w:szCs w:val="32"/>
        </w:rPr>
      </w:pPr>
      <w:r>
        <w:rPr>
          <w:rFonts w:eastAsia="宋体"/>
          <w:b/>
          <w:bCs/>
          <w:sz w:val="32"/>
          <w:szCs w:val="32"/>
        </w:rPr>
      </w:r>
      <w:r/>
    </w:p>
    <w:p>
      <w:pPr>
        <w:pStyle w:val="1136"/>
        <w:jc w:val="center"/>
        <w:spacing w:before="320" w:after="320" w:line="300" w:lineRule="auto"/>
        <w:rPr>
          <w:rFonts w:eastAsia="宋体"/>
          <w:b/>
          <w:bCs/>
          <w:sz w:val="32"/>
          <w:szCs w:val="32"/>
        </w:rPr>
      </w:pPr>
      <w:r>
        <w:rPr>
          <w:rFonts w:eastAsia="宋体"/>
          <w:b/>
          <w:bCs/>
          <w:sz w:val="32"/>
          <w:szCs w:val="32"/>
        </w:rPr>
      </w:r>
      <w:r/>
    </w:p>
    <w:p>
      <w:pPr>
        <w:numPr>
          <w:ilvl w:val="0"/>
          <w:numId w:val="17"/>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136"/>
        <w:jc w:val="center"/>
        <w:spacing w:before="240" w:after="240"/>
        <w:rPr>
          <w:rFonts w:eastAsia="宋体"/>
        </w:rPr>
      </w:pPr>
      <w:r>
        <w:rPr>
          <w:rFonts w:eastAsia="宋体"/>
          <w:b/>
          <w:bCs/>
          <w:sz w:val="32"/>
          <w:szCs w:val="32"/>
        </w:rPr>
        <w:t xml:space="preserve">商务条款响应及偏离表</w:t>
      </w:r>
      <w:r/>
    </w:p>
    <w:tbl>
      <w:tblPr>
        <w:tblStyle w:val="869"/>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136"/>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136"/>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136"/>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136"/>
              <w:jc w:val="center"/>
              <w:rPr>
                <w:rFonts w:eastAsia="宋体"/>
              </w:rPr>
            </w:pPr>
            <w:r>
              <w:rPr>
                <w:rFonts w:eastAsia="宋体"/>
              </w:rPr>
              <w:t xml:space="preserve">投标人的承诺或说明</w:t>
            </w:r>
            <w:r/>
          </w:p>
        </w:tc>
      </w:tr>
    </w:tbl>
    <w:p>
      <w:pPr>
        <w:pStyle w:val="899"/>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rFonts w:ascii="宋体" w:hAnsi="宋体"/>
          <w:b/>
          <w:sz w:val="32"/>
          <w:szCs w:val="40"/>
          <w:highlight w:val="none"/>
          <w:lang w:eastAsia="zh-CN"/>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、服务方案</w:t>
      </w:r>
      <w:r/>
    </w:p>
    <w:p>
      <w:pPr>
        <w:pStyle w:val="899"/>
        <w:ind w:left="0" w:firstLine="0"/>
        <w:jc w:val="center"/>
        <w:keepLines w:val="0"/>
        <w:keepNext w:val="0"/>
        <w:pageBreakBefore w:val="0"/>
        <w:widowControl/>
        <w:rPr>
          <w:rFonts w:ascii="Times New Roman" w:hAnsi="Times New Roman" w:cs="Times New Roman"/>
          <w:b/>
          <w:bCs/>
          <w:i w:val="0"/>
          <w:iCs w:val="0"/>
          <w:u w:val="none"/>
        </w:rPr>
        <w:outlineLvl w:val="9"/>
      </w:pPr>
      <w:r/>
      <w:bookmarkStart w:id="210" w:name="_Toc43285583"/>
      <w:r/>
      <w:bookmarkStart w:id="211" w:name="_Toc35266041"/>
      <w:r>
        <w:rPr>
          <w:rStyle w:val="1124"/>
          <w:rFonts w:hint="eastAsia" w:ascii="宋体" w:hAnsi="宋体" w:eastAsia="宋体" w:cs="Times New Roman"/>
          <w:b/>
          <w:bCs/>
          <w:color w:val="auto"/>
          <w:sz w:val="28"/>
          <w:szCs w:val="28"/>
        </w:rPr>
        <w:t xml:space="preserve">技术方案、服务方案</w:t>
      </w:r>
      <w:bookmarkEnd w:id="210"/>
      <w:r/>
      <w:bookmarkEnd w:id="211"/>
      <w:r/>
      <w:r/>
    </w:p>
    <w:p>
      <w:pPr>
        <w:pStyle w:val="89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99"/>
        <w:ind w:left="0" w:firstLine="0"/>
        <w:jc w:val="center"/>
        <w:keepLines w:val="0"/>
        <w:keepNext w:val="0"/>
        <w:pageBreakBefore w:val="0"/>
        <w:widowControl/>
        <w:rPr>
          <w:sz w:val="24"/>
          <w:szCs w:val="21"/>
        </w:rPr>
        <w:outlineLvl w:val="9"/>
      </w:pPr>
      <w:r>
        <w:rPr>
          <w:sz w:val="24"/>
          <w:szCs w:val="21"/>
        </w:rPr>
        <w:t xml:space="preserve">（</w:t>
      </w:r>
      <w:r>
        <w:rPr>
          <w:rFonts w:hint="eastAsia"/>
          <w:sz w:val="24"/>
          <w:szCs w:val="21"/>
        </w:rPr>
        <w:t xml:space="preserve">投标人结合项目需求自行编写</w:t>
      </w:r>
      <w:r>
        <w:rPr>
          <w:sz w:val="24"/>
          <w:szCs w:val="21"/>
        </w:rPr>
        <w:t xml:space="preserve">）</w:t>
      </w:r>
      <w:r/>
    </w:p>
    <w:p>
      <w:pPr>
        <w:rPr>
          <w:sz w:val="24"/>
          <w:szCs w:val="21"/>
        </w:rPr>
      </w:pPr>
      <w:r>
        <w:rPr>
          <w:sz w:val="24"/>
          <w:szCs w:val="21"/>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9"/>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7"/>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52"/>
        <w:ind w:left="0" w:firstLine="0"/>
        <w:spacing w:after="0" w:line="360" w:lineRule="auto"/>
        <w:widowControl/>
        <w:tabs>
          <w:tab w:val="left" w:pos="1484" w:leader="none"/>
        </w:tabs>
        <w:rPr>
          <w:rFonts w:hint="eastAsia" w:ascii="宋体" w:hAnsi="宋体" w:cs="宋体"/>
          <w:sz w:val="24"/>
          <w:szCs w:val="32"/>
        </w:rPr>
      </w:pPr>
      <w:r>
        <w:rPr>
          <w:rStyle w:val="1124"/>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52"/>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52"/>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52"/>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99"/>
      </w:pPr>
      <w:r/>
      <w:r/>
    </w:p>
    <w:p>
      <w:pPr>
        <w:pStyle w:val="899"/>
      </w:pPr>
      <w:r/>
      <w:r/>
    </w:p>
    <w:p>
      <w:pPr>
        <w:pStyle w:val="899"/>
      </w:pPr>
      <w:r/>
      <w:r/>
    </w:p>
    <w:p>
      <w:pPr>
        <w:numPr>
          <w:ilvl w:val="0"/>
          <w:numId w:val="17"/>
        </w:numPr>
        <w:jc w:val="center"/>
        <w:pageBreakBefore/>
        <w:spacing w:before="120" w:after="120"/>
        <w:rPr>
          <w:rFonts w:hint="eastAsia" w:ascii="宋体" w:hAnsi="宋体"/>
          <w:b/>
          <w:color w:val="auto"/>
          <w:sz w:val="32"/>
          <w:szCs w:val="32"/>
        </w:rPr>
        <w:outlineLvl w:val="1"/>
      </w:pPr>
      <w:r>
        <w:rPr>
          <w:rFonts w:hint="eastAsia" w:ascii="宋体" w:hAnsi="宋体"/>
          <w:b/>
          <w:color w:val="auto"/>
          <w:sz w:val="32"/>
          <w:szCs w:val="32"/>
        </w:rPr>
        <w:t xml:space="preserve">关于符合本国产品标准的声明函</w:t>
      </w:r>
      <w:r/>
    </w:p>
    <w:p>
      <w:pPr>
        <w:pStyle w:val="1052"/>
        <w:jc w:val="right"/>
        <w:spacing w:line="240" w:lineRule="auto"/>
        <w:tabs>
          <w:tab w:val="left" w:pos="1484" w:leader="none"/>
        </w:tabs>
        <w:rPr>
          <w:rFonts w:hint="eastAsia" w:ascii="宋体" w:hAnsi="宋体" w:cs="宋体"/>
          <w:color w:val="auto"/>
          <w:sz w:val="24"/>
        </w:rPr>
      </w:pPr>
      <w:r>
        <w:rPr>
          <w:rFonts w:hint="eastAsia" w:ascii="宋体" w:hAnsi="宋体" w:cs="宋体"/>
          <w:color w:val="auto"/>
          <w:sz w:val="24"/>
        </w:rPr>
      </w:r>
      <w:r/>
    </w:p>
    <w:p>
      <w:pPr>
        <w:pStyle w:val="1151"/>
        <w:jc w:val="center"/>
        <w:rPr>
          <w:rFonts w:hint="eastAsia" w:ascii="宋体" w:hAnsi="宋体" w:eastAsia="宋体" w:cs="宋体"/>
          <w:bCs/>
          <w:color w:val="auto"/>
          <w:sz w:val="32"/>
        </w:rPr>
      </w:pPr>
      <w:r>
        <w:rPr>
          <w:rFonts w:hint="eastAsia" w:ascii="宋体" w:hAnsi="宋体" w:eastAsia="宋体" w:cs="宋体"/>
          <w:bCs/>
          <w:color w:val="auto"/>
          <w:sz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rPr>
      </w:pPr>
      <w:r>
        <w:rPr>
          <w:rFonts w:ascii="方正魏碑_GBK" w:hAnsi="方正魏碑_GBK" w:eastAsia="方正魏碑_GBK" w:cs="方正魏碑_GBK"/>
          <w:color w:val="auto"/>
          <w:sz w:val="24"/>
        </w:rPr>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4391660</wp:posOffset>
                </wp:positionH>
                <wp:positionV relativeFrom="paragraph">
                  <wp:posOffset>403860</wp:posOffset>
                </wp:positionV>
                <wp:extent cx="535940" cy="97790"/>
                <wp:effectExtent l="635" t="4445" r="1587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3594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45.8pt;mso-position-horizontal:absolute;mso-position-vertical-relative:text;margin-top:31.8pt;mso-position-vertical:absolute;width:42.2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3278505</wp:posOffset>
                </wp:positionH>
                <wp:positionV relativeFrom="paragraph">
                  <wp:posOffset>356235</wp:posOffset>
                </wp:positionV>
                <wp:extent cx="816610" cy="103505"/>
                <wp:effectExtent l="635" t="4445" r="1905" b="635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258.1pt;mso-position-horizontal:absolute;mso-position-vertical-relative:text;margin-top:28.0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2050415</wp:posOffset>
                </wp:positionH>
                <wp:positionV relativeFrom="paragraph">
                  <wp:posOffset>387350</wp:posOffset>
                </wp:positionV>
                <wp:extent cx="816610" cy="76200"/>
                <wp:effectExtent l="635" t="4445" r="1905" b="1460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61.4pt;mso-position-horizontal:absolute;mso-position-vertical-relative:text;margin-top:30.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434340</wp:posOffset>
                </wp:positionH>
                <wp:positionV relativeFrom="paragraph">
                  <wp:posOffset>614680</wp:posOffset>
                </wp:positionV>
                <wp:extent cx="763270" cy="140970"/>
                <wp:effectExtent l="635" t="4445" r="17145" b="698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763270"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4.2pt;mso-position-horizontal:absolute;mso-position-vertical-relative:text;margin-top:48.4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1543685</wp:posOffset>
                </wp:positionH>
                <wp:positionV relativeFrom="paragraph">
                  <wp:posOffset>669290</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21.5pt;mso-position-horizontal:absolute;mso-position-vertical-relative:text;margin-top:52.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4889500</wp:posOffset>
                </wp:positionH>
                <wp:positionV relativeFrom="paragraph">
                  <wp:posOffset>72390</wp:posOffset>
                </wp:positionV>
                <wp:extent cx="577215" cy="92075"/>
                <wp:effectExtent l="635" t="4445" r="12700" b="177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85.0pt;mso-position-horizontal:absolute;mso-position-vertical-relative:text;margin-top:5.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hd w:val="clear" w:color="auto" w:fill="ffffff"/>
        </w:rPr>
        <w:t xml:space="preserve">1.</w:t>
      </w:r>
      <w:r>
        <w:rPr>
          <w:rStyle w:val="896"/>
          <w:rFonts w:hint="eastAsia" w:ascii="宋体" w:hAnsi="宋体" w:eastAsia="宋体" w:cs="宋体"/>
          <w:i w:val="0"/>
          <w:color w:val="auto"/>
          <w:sz w:val="24"/>
          <w:u w:val="single"/>
          <w:shd w:val="clear" w:color="auto" w:fill="ffffff"/>
        </w:rPr>
        <w:t xml:space="preserve">（产品名称1）</w:t>
      </w:r>
      <w:r>
        <w:rPr>
          <w:rStyle w:val="896"/>
          <w:rFonts w:hint="eastAsia" w:ascii="宋体" w:hAnsi="宋体" w:eastAsia="宋体" w:cs="宋体"/>
          <w:i w:val="0"/>
          <w:color w:val="auto"/>
          <w:sz w:val="24"/>
          <w:shd w:val="clear" w:color="auto" w:fill="ffffff"/>
          <w:vertAlign w:val="superscript"/>
        </w:rPr>
        <w:t xml:space="preserve">1</w:t>
      </w:r>
      <w:r>
        <w:rPr>
          <w:rFonts w:hint="eastAsia" w:ascii="宋体" w:hAnsi="宋体" w:eastAsia="宋体" w:cs="宋体"/>
          <w:color w:val="auto"/>
          <w:sz w:val="24"/>
          <w:shd w:val="clear" w:color="auto" w:fill="ffffff"/>
        </w:rPr>
        <w:t xml:space="preserve">，生产厂为</w:t>
      </w:r>
      <w:r>
        <w:rPr>
          <w:rStyle w:val="896"/>
          <w:rFonts w:hint="eastAsia" w:ascii="宋体" w:hAnsi="宋体" w:eastAsia="宋体" w:cs="宋体"/>
          <w:i w:val="0"/>
          <w:color w:val="auto"/>
          <w:sz w:val="24"/>
          <w:u w:val="single"/>
          <w:shd w:val="clear" w:color="auto" w:fill="ffffff"/>
        </w:rPr>
        <w:t xml:space="preserve">（厂名）</w:t>
      </w:r>
      <w:r>
        <w:rPr>
          <w:rStyle w:val="896"/>
          <w:rFonts w:hint="eastAsia" w:ascii="宋体" w:hAnsi="宋体" w:eastAsia="宋体" w:cs="宋体"/>
          <w:i w:val="0"/>
          <w:color w:val="auto"/>
          <w:sz w:val="24"/>
          <w:shd w:val="clear" w:color="auto" w:fill="ffffff"/>
          <w:vertAlign w:val="superscript"/>
        </w:rPr>
        <w:t xml:space="preserve">2</w:t>
      </w:r>
      <w:r>
        <w:rPr>
          <w:rFonts w:hint="eastAsia" w:ascii="宋体" w:hAnsi="宋体" w:eastAsia="宋体" w:cs="宋体"/>
          <w:color w:val="auto"/>
          <w:sz w:val="24"/>
          <w:shd w:val="clear" w:color="auto" w:fill="ffffff"/>
        </w:rPr>
        <w:t xml:space="preserve">，厂址为</w:t>
      </w:r>
      <w:r>
        <w:rPr>
          <w:rStyle w:val="896"/>
          <w:rFonts w:hint="eastAsia" w:ascii="宋体" w:hAnsi="宋体" w:eastAsia="宋体" w:cs="宋体"/>
          <w:i w:val="0"/>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w:t>
      </w:r>
      <w:r>
        <w:rPr>
          <w:rStyle w:val="896"/>
          <w:rFonts w:hint="eastAsia" w:ascii="宋体" w:hAnsi="宋体" w:eastAsia="宋体" w:cs="宋体"/>
          <w:i w:val="0"/>
          <w:color w:val="auto"/>
          <w:sz w:val="24"/>
          <w:u w:val="single"/>
          <w:shd w:val="clear" w:color="auto" w:fill="ffffff"/>
        </w:rPr>
        <w:t xml:space="preserve">（产品名称1） </w:t>
      </w:r>
      <w:r>
        <w:rPr>
          <w:rFonts w:hint="eastAsia" w:ascii="宋体" w:hAnsi="宋体" w:eastAsia="宋体" w:cs="宋体"/>
          <w:color w:val="auto"/>
          <w:sz w:val="24"/>
          <w:shd w:val="clear" w:color="auto" w:fill="ffffff"/>
        </w:rPr>
        <w:t xml:space="preserve">的中国境内生产的组件成本占比≥</w:t>
      </w:r>
      <w:r>
        <w:rPr>
          <w:rStyle w:val="896"/>
          <w:rFonts w:hint="eastAsia" w:ascii="宋体" w:hAnsi="宋体" w:eastAsia="宋体" w:cs="宋体"/>
          <w:i w:val="0"/>
          <w:color w:val="auto"/>
          <w:sz w:val="24"/>
          <w:u w:val="single"/>
          <w:shd w:val="clear" w:color="auto" w:fill="ffffff"/>
        </w:rPr>
        <w:t xml:space="preserve">（规定比例）</w:t>
      </w:r>
      <w:r>
        <w:rPr>
          <w:rStyle w:val="896"/>
          <w:rFonts w:hint="eastAsia" w:ascii="宋体" w:hAnsi="宋体" w:eastAsia="宋体" w:cs="宋体"/>
          <w:i w:val="0"/>
          <w:color w:val="auto"/>
          <w:sz w:val="24"/>
          <w:shd w:val="clear" w:color="auto" w:fill="ffffff"/>
          <w:vertAlign w:val="superscript"/>
        </w:rPr>
        <w:t xml:space="preserve">3</w:t>
      </w:r>
      <w:r>
        <w:rPr>
          <w:rFonts w:hint="eastAsia" w:ascii="宋体" w:hAnsi="宋体" w:eastAsia="宋体" w:cs="宋体"/>
          <w:color w:val="auto"/>
          <w:sz w:val="24"/>
          <w:shd w:val="clear" w:color="auto" w:fill="ffffff"/>
        </w:rPr>
        <w:t xml:space="preserve">。</w:t>
      </w:r>
      <w:r>
        <w:rPr>
          <w:rStyle w:val="896"/>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896"/>
          <w:rFonts w:hint="eastAsia" w:ascii="宋体" w:hAnsi="宋体" w:eastAsia="宋体" w:cs="宋体"/>
          <w:i w:val="0"/>
          <w:color w:val="auto"/>
          <w:sz w:val="24"/>
          <w:u w:val="single"/>
          <w:shd w:val="clear" w:color="auto" w:fill="ffffff"/>
        </w:rPr>
        <w:t xml:space="preserve">（关键组件）</w:t>
      </w:r>
      <w:r>
        <w:rPr>
          <w:rStyle w:val="896"/>
          <w:rFonts w:hint="eastAsia" w:ascii="宋体" w:hAnsi="宋体" w:eastAsia="宋体" w:cs="宋体"/>
          <w:i w:val="0"/>
          <w:color w:val="auto"/>
          <w:sz w:val="24"/>
          <w:shd w:val="clear" w:color="auto" w:fill="ffffff"/>
          <w:vertAlign w:val="superscript"/>
        </w:rPr>
        <w:t xml:space="preserve">4</w:t>
      </w:r>
      <w:r>
        <w:rPr>
          <w:rFonts w:hint="eastAsia" w:ascii="宋体" w:hAnsi="宋体" w:eastAsia="宋体" w:cs="宋体"/>
          <w:color w:val="auto"/>
          <w:sz w:val="24"/>
          <w:shd w:val="clear" w:color="auto" w:fill="ffffff"/>
        </w:rPr>
        <w:t xml:space="preserve">在中国境内生产。</w:t>
      </w:r>
      <w:r>
        <w:rPr>
          <w:rStyle w:val="896"/>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896"/>
          <w:rFonts w:hint="eastAsia" w:ascii="宋体" w:hAnsi="宋体" w:eastAsia="宋体" w:cs="宋体"/>
          <w:i w:val="0"/>
          <w:color w:val="auto"/>
          <w:sz w:val="24"/>
          <w:u w:val="single"/>
          <w:shd w:val="clear" w:color="auto" w:fill="ffffff"/>
        </w:rPr>
        <w:t xml:space="preserve">（关键工序）</w:t>
      </w:r>
      <w:r>
        <w:rPr>
          <w:rStyle w:val="896"/>
          <w:rFonts w:hint="eastAsia" w:ascii="宋体" w:hAnsi="宋体" w:eastAsia="宋体" w:cs="宋体"/>
          <w:i w:val="0"/>
          <w:color w:val="auto"/>
          <w:sz w:val="24"/>
          <w:shd w:val="clear" w:color="auto" w:fill="ffffff"/>
          <w:vertAlign w:val="superscript"/>
        </w:rPr>
        <w:t xml:space="preserve">5</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1776095</wp:posOffset>
                </wp:positionH>
                <wp:positionV relativeFrom="paragraph">
                  <wp:posOffset>360045</wp:posOffset>
                </wp:positionV>
                <wp:extent cx="692785" cy="125730"/>
                <wp:effectExtent l="635" t="4445" r="11430" b="2222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39.8pt;mso-position-horizontal:absolute;mso-position-vertical-relative:text;margin-top:28.3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163830</wp:posOffset>
                </wp:positionH>
                <wp:positionV relativeFrom="paragraph">
                  <wp:posOffset>624840</wp:posOffset>
                </wp:positionV>
                <wp:extent cx="633730" cy="121285"/>
                <wp:effectExtent l="635" t="4445" r="13335" b="762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2.9pt;mso-position-horizontal:absolute;mso-position-vertical-relative:text;margin-top:49.2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1202690</wp:posOffset>
                </wp:positionH>
                <wp:positionV relativeFrom="paragraph">
                  <wp:posOffset>648970</wp:posOffset>
                </wp:positionV>
                <wp:extent cx="763270" cy="140970"/>
                <wp:effectExtent l="635" t="4445" r="17145" b="698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94.7pt;mso-position-horizontal:absolute;mso-position-vertical-relative:text;margin-top:51.1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2947670</wp:posOffset>
                </wp:positionH>
                <wp:positionV relativeFrom="paragraph">
                  <wp:posOffset>328295</wp:posOffset>
                </wp:positionV>
                <wp:extent cx="763270" cy="120015"/>
                <wp:effectExtent l="635" t="4445" r="17145" b="889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32.1pt;mso-position-horizontal:absolute;mso-position-vertical-relative:text;margin-top:25.8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4107180</wp:posOffset>
                </wp:positionH>
                <wp:positionV relativeFrom="paragraph">
                  <wp:posOffset>306705</wp:posOffset>
                </wp:positionV>
                <wp:extent cx="462280" cy="147320"/>
                <wp:effectExtent l="1270" t="4445" r="12700" b="19685"/>
                <wp:wrapNone/>
                <wp:docPr id="15"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23.4pt;mso-position-horizontal:absolute;mso-position-vertical-relative:text;margin-top:24.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hd w:val="clear" w:color="auto" w:fill="ffffff"/>
        </w:rPr>
        <w:t xml:space="preserve">2.</w:t>
      </w:r>
      <w:r>
        <w:rPr>
          <w:rStyle w:val="896"/>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，生产厂为</w:t>
      </w:r>
      <w:r>
        <w:rPr>
          <w:rStyle w:val="896"/>
          <w:rFonts w:hint="eastAsia" w:ascii="宋体" w:hAnsi="宋体" w:eastAsia="宋体" w:cs="宋体"/>
          <w:i w:val="0"/>
          <w:color w:val="auto"/>
          <w:sz w:val="24"/>
          <w:u w:val="single"/>
          <w:shd w:val="clear" w:color="auto" w:fill="ffffff"/>
        </w:rPr>
        <w:t xml:space="preserve">（厂名）</w:t>
      </w:r>
      <w:r>
        <w:rPr>
          <w:rFonts w:hint="eastAsia" w:ascii="宋体" w:hAnsi="宋体" w:eastAsia="宋体" w:cs="宋体"/>
          <w:color w:val="auto"/>
          <w:sz w:val="24"/>
          <w:shd w:val="clear" w:color="auto" w:fill="ffffff"/>
        </w:rPr>
        <w:t xml:space="preserve">，厂址为</w:t>
      </w:r>
      <w:r>
        <w:rPr>
          <w:rStyle w:val="896"/>
          <w:rFonts w:hint="eastAsia" w:ascii="宋体" w:hAnsi="宋体" w:eastAsia="宋体" w:cs="宋体"/>
          <w:i w:val="0"/>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Style w:val="896"/>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的中国境内生产的组件成本占比≥</w:t>
      </w:r>
      <w:r>
        <w:rPr>
          <w:rStyle w:val="896"/>
          <w:rFonts w:hint="eastAsia" w:ascii="宋体" w:hAnsi="宋体" w:eastAsia="宋体" w:cs="宋体"/>
          <w:i w:val="0"/>
          <w:color w:val="auto"/>
          <w:sz w:val="24"/>
          <w:u w:val="single"/>
          <w:shd w:val="clear" w:color="auto" w:fill="ffffff"/>
        </w:rPr>
        <w:t xml:space="preserve">（规定比例）</w:t>
      </w:r>
      <w:r>
        <w:rPr>
          <w:rFonts w:hint="eastAsia" w:ascii="宋体" w:hAnsi="宋体" w:eastAsia="宋体" w:cs="宋体"/>
          <w:color w:val="auto"/>
          <w:sz w:val="24"/>
          <w:shd w:val="clear" w:color="auto" w:fill="ffffff"/>
        </w:rPr>
        <w:t xml:space="preserve">。</w:t>
      </w:r>
      <w:r>
        <w:rPr>
          <w:rStyle w:val="896"/>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的</w:t>
      </w:r>
      <w:r>
        <w:rPr>
          <w:rStyle w:val="896"/>
          <w:rFonts w:hint="eastAsia" w:ascii="宋体" w:hAnsi="宋体" w:eastAsia="宋体" w:cs="宋体"/>
          <w:i w:val="0"/>
          <w:color w:val="auto"/>
          <w:sz w:val="24"/>
          <w:u w:val="single"/>
          <w:shd w:val="clear" w:color="auto" w:fill="ffffff"/>
        </w:rPr>
        <w:t xml:space="preserve">（关键组件）</w:t>
      </w:r>
      <w:r>
        <w:rPr>
          <w:rFonts w:hint="eastAsia" w:ascii="宋体" w:hAnsi="宋体" w:eastAsia="宋体" w:cs="宋体"/>
          <w:color w:val="auto"/>
          <w:sz w:val="24"/>
          <w:shd w:val="clear" w:color="auto" w:fill="ffffff"/>
        </w:rPr>
        <w:t xml:space="preserve">在中国境内生产。</w:t>
      </w:r>
      <w:r>
        <w:rPr>
          <w:rStyle w:val="896"/>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896"/>
          <w:rFonts w:hint="eastAsia" w:ascii="宋体" w:hAnsi="宋体" w:eastAsia="宋体" w:cs="宋体"/>
          <w:i w:val="0"/>
          <w:color w:val="auto"/>
          <w:sz w:val="24"/>
          <w:u w:val="single"/>
          <w:shd w:val="clear" w:color="auto" w:fill="ffffff"/>
        </w:rPr>
        <w:t xml:space="preserve">（关键工序）</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w:t>
      </w:r>
      <w:r/>
    </w:p>
    <w:p>
      <w:pPr>
        <w:ind w:firstLine="4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color w:val="auto"/>
          <w:sz w:val="24"/>
        </w:rPr>
      </w:pPr>
      <w:r>
        <w:rPr>
          <w:rFonts w:ascii="方正魏碑_GBK" w:hAnsi="方正魏碑_GBK" w:eastAsia="方正魏碑_GBK" w:cs="方正魏碑_GBK"/>
          <w:color w:val="auto"/>
          <w:sz w:val="24"/>
        </w:rPr>
      </w:r>
      <w:r/>
    </w:p>
    <w:p>
      <w:pPr>
        <w:ind w:right="480" w:firstLine="37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                    </w:t>
      </w:r>
      <w:r>
        <w:rPr>
          <w:rFonts w:ascii="方正魏碑_GBK" w:hAnsi="方正魏碑_GBK" w:eastAsia="方正魏碑_GBK" w:cs="方正魏碑_GBK"/>
          <w:color w:val="auto"/>
          <w:sz w:val="24"/>
          <w:shd w:val="clear" w:color="auto" w:fill="ffffff"/>
        </w:rPr>
        <w:t xml:space="preserve">            </w:t>
      </w:r>
      <w:r>
        <w:rPr>
          <w:rFonts w:hint="eastAsia" w:ascii="方正魏碑_GBK" w:hAnsi="方正魏碑_GBK" w:eastAsia="方正魏碑_GBK" w:cs="方正魏碑_GBK"/>
          <w:color w:val="auto"/>
          <w:sz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__________________</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1.产品如有型号，请在“产品名称”栏一并填写。</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2.生产厂名与厂址应与生产厂营业执照载明的相关信息保持一致。</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4.该产品的关键组件要求实施前，“关键组件”栏可不填，下同。</w:t>
      </w:r>
      <w:r/>
    </w:p>
    <w:p>
      <w:pPr>
        <w:jc w:val="left"/>
        <w:spacing w:before="30" w:after="30" w:line="0" w:lineRule="atLeast"/>
        <w:widowControl/>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5.该产品的关键工序要求实施前，“关键工序”栏可不填，下同。</w:t>
      </w:r>
      <w:r/>
    </w:p>
    <w:p>
      <w:pPr>
        <w:jc w:val="left"/>
        <w:spacing w:before="30" w:after="30" w:line="0" w:lineRule="atLeast"/>
        <w:widowControl/>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6.用斜线划除的地方无需填写。</w:t>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pStyle w:val="1052"/>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52"/>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52"/>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52"/>
        <w:jc w:val="right"/>
        <w:tabs>
          <w:tab w:val="left" w:pos="1484" w:leader="none"/>
        </w:tabs>
        <w:rPr>
          <w:rFonts w:hint="eastAsia" w:ascii="宋体" w:hAnsi="宋体" w:cs="宋体"/>
          <w:color w:val="auto"/>
          <w:sz w:val="24"/>
        </w:rPr>
      </w:pPr>
      <w:r>
        <w:rPr>
          <w:rFonts w:hint="eastAsia" w:ascii="宋体" w:hAnsi="宋体" w:cs="宋体"/>
          <w:color w:val="auto"/>
          <w:sz w:val="24"/>
        </w:rPr>
        <w:t xml:space="preserve">全文完。</w:t>
      </w:r>
      <w:r/>
    </w:p>
    <w:p>
      <w:pPr>
        <w:pStyle w:val="1052"/>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1">
    <w:multiLevelType w:val="hybridMultilevel"/>
    <w:lvl w:ilvl="0">
      <w:start w:val="1"/>
      <w:numFmt w:val="decimal"/>
      <w:pStyle w:val="109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ascii="宋体" w:hAnsi="宋体" w:eastAsia="宋体" w:cs="宋体"/>
        <w:b/>
        <w:bCs/>
        <w:sz w:val="28"/>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2"/>
  </w:num>
  <w:num w:numId="5">
    <w:abstractNumId w:val="14"/>
  </w:num>
  <w:num w:numId="6">
    <w:abstractNumId w:val="5"/>
  </w:num>
  <w:num w:numId="7">
    <w:abstractNumId w:val="10"/>
  </w:num>
  <w:num w:numId="8">
    <w:abstractNumId w:val="4"/>
  </w:num>
  <w:num w:numId="9">
    <w:abstractNumId w:val="3"/>
  </w:num>
  <w:num w:numId="10">
    <w:abstractNumId w:val="1"/>
  </w:num>
  <w:num w:numId="11">
    <w:abstractNumId w:val="13"/>
  </w:num>
  <w:num w:numId="12">
    <w:abstractNumId w:val="16"/>
  </w:num>
  <w:num w:numId="13">
    <w:abstractNumId w:val="2"/>
  </w:num>
  <w:num w:numId="14">
    <w:abstractNumId w:val="18"/>
  </w:num>
  <w:num w:numId="15">
    <w:abstractNumId w:val="9"/>
  </w:num>
  <w:num w:numId="16">
    <w:abstractNumId w:val="17"/>
  </w:num>
  <w:num w:numId="17">
    <w:abstractNumId w:val="6"/>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link w:val="113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901"/>
    <w:uiPriority w:val="9"/>
    <w:qFormat/>
    <w:pPr>
      <w:keepLines/>
      <w:keepNext/>
      <w:spacing w:before="480" w:after="200"/>
      <w:outlineLvl w:val="0"/>
    </w:pPr>
    <w:rPr>
      <w:rFonts w:ascii="Arial" w:hAnsi="Arial" w:eastAsia="Arial" w:cs="Arial"/>
      <w:sz w:val="40"/>
      <w:szCs w:val="40"/>
    </w:rPr>
  </w:style>
  <w:style w:type="paragraph" w:styleId="860">
    <w:name w:val="Heading 2"/>
    <w:basedOn w:val="858"/>
    <w:link w:val="902"/>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03"/>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4"/>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5"/>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6"/>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8"/>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09"/>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unhideWhenUsed/>
    <w:qFormat/>
    <w:pPr>
      <w:ind w:left="1701" w:right="0" w:firstLine="0"/>
      <w:spacing w:after="57"/>
    </w:pPr>
  </w:style>
  <w:style w:type="paragraph" w:styleId="871">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annotation text"/>
    <w:basedOn w:val="858"/>
    <w:uiPriority w:val="99"/>
    <w:semiHidden/>
    <w:unhideWhenUsed/>
    <w:qFormat/>
    <w:pPr>
      <w:jc w:val="left"/>
    </w:pPr>
  </w:style>
  <w:style w:type="paragraph" w:styleId="873">
    <w:name w:val="Body Text"/>
    <w:basedOn w:val="858"/>
    <w:next w:val="874"/>
    <w:uiPriority w:val="0"/>
    <w:semiHidden/>
    <w:qFormat/>
    <w:rPr>
      <w:rFonts w:ascii="Arial" w:hAnsi="Arial" w:eastAsia="Arial" w:cs="Arial"/>
      <w:sz w:val="21"/>
      <w:szCs w:val="21"/>
      <w:lang w:val="en-US" w:eastAsia="en-US" w:bidi="ar-SA"/>
    </w:rPr>
  </w:style>
  <w:style w:type="paragraph" w:styleId="874" w:customStyle="1">
    <w:name w:val="TOC 标题11"/>
    <w:next w:val="858"/>
    <w:uiPriority w:val="0"/>
    <w:qFormat/>
    <w:rPr>
      <w:rFonts w:ascii="宋体" w:hAnsi="宋体" w:eastAsia="宋体" w:cs="宋体"/>
      <w:sz w:val="32"/>
      <w:lang w:val="en-US" w:eastAsia="zh-CN" w:bidi="ar-SA"/>
    </w:rPr>
  </w:style>
  <w:style w:type="paragraph" w:styleId="875">
    <w:name w:val="Body Text Indent"/>
    <w:basedOn w:val="858"/>
    <w:next w:val="858"/>
    <w:uiPriority w:val="0"/>
    <w:qFormat/>
    <w:pPr>
      <w:ind w:firstLine="645"/>
    </w:pPr>
    <w:rPr>
      <w:rFonts w:ascii="楷体_GB2312" w:hAnsi="宋体" w:eastAsia="楷体_GB2312"/>
      <w:sz w:val="32"/>
      <w:szCs w:val="32"/>
    </w:rPr>
  </w:style>
  <w:style w:type="paragraph" w:styleId="876">
    <w:name w:val="toc 5"/>
    <w:basedOn w:val="858"/>
    <w:next w:val="858"/>
    <w:uiPriority w:val="39"/>
    <w:unhideWhenUsed/>
    <w:qFormat/>
    <w:pPr>
      <w:ind w:left="1134" w:right="0" w:firstLine="0"/>
      <w:spacing w:after="57"/>
    </w:pPr>
  </w:style>
  <w:style w:type="paragraph" w:styleId="877">
    <w:name w:val="toc 3"/>
    <w:basedOn w:val="858"/>
    <w:next w:val="858"/>
    <w:uiPriority w:val="39"/>
    <w:unhideWhenUsed/>
    <w:qFormat/>
    <w:pPr>
      <w:ind w:left="567" w:right="0" w:firstLine="0"/>
      <w:spacing w:after="57"/>
    </w:pPr>
  </w:style>
  <w:style w:type="paragraph" w:styleId="878">
    <w:name w:val="toc 8"/>
    <w:basedOn w:val="858"/>
    <w:next w:val="858"/>
    <w:uiPriority w:val="39"/>
    <w:unhideWhenUsed/>
    <w:qFormat/>
    <w:pPr>
      <w:ind w:left="1984" w:right="0" w:firstLine="0"/>
      <w:spacing w:after="57"/>
    </w:pPr>
  </w:style>
  <w:style w:type="paragraph" w:styleId="879">
    <w:name w:val="endnote text"/>
    <w:basedOn w:val="858"/>
    <w:link w:val="1045"/>
    <w:uiPriority w:val="99"/>
    <w:semiHidden/>
    <w:unhideWhenUsed/>
    <w:qFormat/>
    <w:pPr>
      <w:spacing w:after="0" w:line="240" w:lineRule="auto"/>
    </w:pPr>
    <w:rPr>
      <w:sz w:val="20"/>
    </w:rPr>
  </w:style>
  <w:style w:type="paragraph" w:styleId="880">
    <w:name w:val="Footer"/>
    <w:basedOn w:val="858"/>
    <w:link w:val="918"/>
    <w:uiPriority w:val="99"/>
    <w:unhideWhenUsed/>
    <w:qFormat/>
    <w:pPr>
      <w:spacing w:after="0" w:line="240" w:lineRule="auto"/>
      <w:tabs>
        <w:tab w:val="center" w:pos="7143" w:leader="none"/>
        <w:tab w:val="right" w:pos="14287" w:leader="none"/>
      </w:tabs>
    </w:pPr>
  </w:style>
  <w:style w:type="paragraph" w:styleId="881">
    <w:name w:val="envelope return"/>
    <w:basedOn w:val="858"/>
    <w:uiPriority w:val="99"/>
    <w:qFormat/>
    <w:rPr>
      <w:rFonts w:ascii="Arial" w:hAnsi="Arial"/>
    </w:rPr>
  </w:style>
  <w:style w:type="paragraph" w:styleId="882">
    <w:name w:val="Header"/>
    <w:basedOn w:val="858"/>
    <w:link w:val="916"/>
    <w:uiPriority w:val="99"/>
    <w:unhideWhenUsed/>
    <w:qFormat/>
    <w:pPr>
      <w:spacing w:after="0" w:line="240" w:lineRule="auto"/>
      <w:tabs>
        <w:tab w:val="center" w:pos="7143" w:leader="none"/>
        <w:tab w:val="right" w:pos="14287" w:leader="none"/>
      </w:tabs>
    </w:pPr>
  </w:style>
  <w:style w:type="paragraph" w:styleId="883">
    <w:name w:val="toc 1"/>
    <w:basedOn w:val="858"/>
    <w:next w:val="858"/>
    <w:uiPriority w:val="39"/>
    <w:unhideWhenUsed/>
    <w:qFormat/>
    <w:pPr>
      <w:ind w:left="0" w:right="0" w:firstLine="0"/>
      <w:spacing w:after="57"/>
    </w:pPr>
  </w:style>
  <w:style w:type="paragraph" w:styleId="884">
    <w:name w:val="toc 4"/>
    <w:basedOn w:val="858"/>
    <w:next w:val="858"/>
    <w:uiPriority w:val="39"/>
    <w:unhideWhenUsed/>
    <w:qFormat/>
    <w:pPr>
      <w:ind w:left="850" w:right="0" w:firstLine="0"/>
      <w:spacing w:after="57"/>
    </w:pPr>
  </w:style>
  <w:style w:type="paragraph" w:styleId="885">
    <w:name w:val="Subtitle"/>
    <w:basedOn w:val="858"/>
    <w:next w:val="858"/>
    <w:link w:val="911"/>
    <w:uiPriority w:val="11"/>
    <w:qFormat/>
    <w:pPr>
      <w:spacing w:before="200" w:after="200"/>
    </w:pPr>
    <w:rPr>
      <w:sz w:val="24"/>
      <w:szCs w:val="24"/>
    </w:rPr>
  </w:style>
  <w:style w:type="paragraph" w:styleId="886">
    <w:name w:val="footnote text"/>
    <w:basedOn w:val="858"/>
    <w:link w:val="1044"/>
    <w:uiPriority w:val="99"/>
    <w:semiHidden/>
    <w:unhideWhenUsed/>
    <w:qFormat/>
    <w:pPr>
      <w:spacing w:after="40" w:line="240" w:lineRule="auto"/>
    </w:pPr>
    <w:rPr>
      <w:sz w:val="18"/>
    </w:rPr>
  </w:style>
  <w:style w:type="paragraph" w:styleId="887">
    <w:name w:val="toc 6"/>
    <w:basedOn w:val="858"/>
    <w:next w:val="858"/>
    <w:uiPriority w:val="39"/>
    <w:unhideWhenUsed/>
    <w:qFormat/>
    <w:pPr>
      <w:ind w:left="1417" w:right="0" w:firstLine="0"/>
      <w:spacing w:after="57"/>
    </w:pPr>
  </w:style>
  <w:style w:type="paragraph" w:styleId="888">
    <w:name w:val="table of figures"/>
    <w:basedOn w:val="858"/>
    <w:next w:val="858"/>
    <w:uiPriority w:val="99"/>
    <w:unhideWhenUsed/>
    <w:qFormat/>
    <w:pPr>
      <w:spacing w:after="0" w:afterAutospacing="0"/>
    </w:pPr>
  </w:style>
  <w:style w:type="paragraph" w:styleId="889">
    <w:name w:val="toc 2"/>
    <w:basedOn w:val="858"/>
    <w:next w:val="858"/>
    <w:uiPriority w:val="39"/>
    <w:unhideWhenUsed/>
    <w:qFormat/>
    <w:pPr>
      <w:ind w:left="283" w:right="0" w:firstLine="0"/>
      <w:spacing w:after="57"/>
    </w:pPr>
  </w:style>
  <w:style w:type="paragraph" w:styleId="890">
    <w:name w:val="toc 9"/>
    <w:basedOn w:val="858"/>
    <w:next w:val="858"/>
    <w:uiPriority w:val="39"/>
    <w:unhideWhenUsed/>
    <w:qFormat/>
    <w:pPr>
      <w:ind w:left="2268" w:right="0" w:firstLine="0"/>
      <w:spacing w:after="57"/>
    </w:pPr>
  </w:style>
  <w:style w:type="paragraph" w:styleId="891">
    <w:name w:val="Normal (Web)"/>
    <w:basedOn w:val="858"/>
    <w:uiPriority w:val="99"/>
    <w:semiHidden/>
    <w:unhideWhenUsed/>
    <w:qFormat/>
    <w:pPr>
      <w:ind w:left="0" w:right="0"/>
      <w:jc w:val="left"/>
      <w:spacing w:before="0" w:beforeAutospacing="1" w:after="0" w:afterAutospacing="1"/>
    </w:pPr>
    <w:rPr>
      <w:sz w:val="24"/>
      <w:lang w:val="en-US" w:eastAsia="zh-CN" w:bidi="ar"/>
    </w:rPr>
  </w:style>
  <w:style w:type="paragraph" w:styleId="892">
    <w:name w:val="Title"/>
    <w:basedOn w:val="858"/>
    <w:next w:val="858"/>
    <w:link w:val="910"/>
    <w:uiPriority w:val="10"/>
    <w:qFormat/>
    <w:pPr>
      <w:contextualSpacing/>
      <w:spacing w:before="300" w:after="200"/>
    </w:pPr>
    <w:rPr>
      <w:sz w:val="48"/>
      <w:szCs w:val="48"/>
    </w:rPr>
  </w:style>
  <w:style w:type="paragraph" w:styleId="893">
    <w:name w:val="Body Text First Indent 2"/>
    <w:basedOn w:val="875"/>
    <w:uiPriority w:val="0"/>
    <w:qFormat/>
    <w:pPr>
      <w:ind w:firstLine="200"/>
      <w:spacing w:line="360" w:lineRule="auto"/>
    </w:pPr>
    <w:rPr>
      <w:rFonts w:ascii="宋体" w:eastAsia="宋体"/>
      <w:sz w:val="21"/>
      <w:szCs w:val="20"/>
    </w:rPr>
  </w:style>
  <w:style w:type="table" w:styleId="8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Emphasis"/>
    <w:basedOn w:val="868"/>
    <w:uiPriority w:val="2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首行缩进"/>
    <w:basedOn w:val="858"/>
    <w:next w:val="858"/>
    <w:uiPriority w:val="0"/>
    <w:qFormat/>
    <w:pPr>
      <w:ind w:firstLine="480"/>
      <w:jc w:val="left"/>
      <w:spacing w:line="360" w:lineRule="auto"/>
    </w:pPr>
    <w:rPr>
      <w:rFonts w:ascii="宋体" w:hAnsi="宋体"/>
      <w:sz w:val="24"/>
    </w:rPr>
  </w:style>
  <w:style w:type="paragraph" w:styleId="900" w:customStyle="1">
    <w:name w:val="正文1"/>
    <w:basedOn w:val="858"/>
    <w:next w:val="858"/>
    <w:uiPriority w:val="0"/>
    <w:qFormat/>
    <w:pPr>
      <w:ind w:left="420"/>
      <w:spacing w:line="300" w:lineRule="auto"/>
      <w:widowControl/>
    </w:pPr>
    <w:rPr>
      <w:szCs w:val="20"/>
    </w:rPr>
  </w:style>
  <w:style w:type="character" w:styleId="901" w:customStyle="1">
    <w:name w:val="Heading 1 Char"/>
    <w:link w:val="859"/>
    <w:uiPriority w:val="9"/>
    <w:qFormat/>
    <w:rPr>
      <w:rFonts w:ascii="Arial" w:hAnsi="Arial" w:eastAsia="Arial" w:cs="Arial"/>
      <w:sz w:val="40"/>
      <w:szCs w:val="40"/>
    </w:rPr>
  </w:style>
  <w:style w:type="character" w:styleId="902" w:customStyle="1">
    <w:name w:val="Heading 2 Char"/>
    <w:link w:val="860"/>
    <w:uiPriority w:val="9"/>
    <w:qFormat/>
    <w:rPr>
      <w:rFonts w:ascii="Arial" w:hAnsi="Arial" w:eastAsia="Arial" w:cs="Arial"/>
      <w:sz w:val="34"/>
    </w:rPr>
  </w:style>
  <w:style w:type="character" w:styleId="903" w:customStyle="1">
    <w:name w:val="Heading 3 Char"/>
    <w:link w:val="861"/>
    <w:uiPriority w:val="9"/>
    <w:qFormat/>
    <w:rPr>
      <w:rFonts w:ascii="Arial" w:hAnsi="Arial" w:eastAsia="Arial" w:cs="Arial"/>
      <w:sz w:val="30"/>
      <w:szCs w:val="30"/>
    </w:rPr>
  </w:style>
  <w:style w:type="character" w:styleId="904" w:customStyle="1">
    <w:name w:val="Heading 4 Char"/>
    <w:link w:val="862"/>
    <w:uiPriority w:val="9"/>
    <w:qFormat/>
    <w:rPr>
      <w:rFonts w:ascii="Arial" w:hAnsi="Arial" w:eastAsia="Arial" w:cs="Arial"/>
      <w:b/>
      <w:bCs/>
      <w:sz w:val="26"/>
      <w:szCs w:val="26"/>
    </w:rPr>
  </w:style>
  <w:style w:type="character" w:styleId="905" w:customStyle="1">
    <w:name w:val="Heading 5 Char"/>
    <w:link w:val="863"/>
    <w:uiPriority w:val="9"/>
    <w:qFormat/>
    <w:rPr>
      <w:rFonts w:ascii="Arial" w:hAnsi="Arial" w:eastAsia="Arial" w:cs="Arial"/>
      <w:b/>
      <w:bCs/>
      <w:sz w:val="24"/>
      <w:szCs w:val="24"/>
    </w:rPr>
  </w:style>
  <w:style w:type="character" w:styleId="906" w:customStyle="1">
    <w:name w:val="Heading 6 Char"/>
    <w:link w:val="864"/>
    <w:uiPriority w:val="9"/>
    <w:qFormat/>
    <w:rPr>
      <w:rFonts w:ascii="Arial" w:hAnsi="Arial" w:eastAsia="Arial" w:cs="Arial"/>
      <w:b/>
      <w:bCs/>
      <w:sz w:val="22"/>
      <w:szCs w:val="22"/>
    </w:rPr>
  </w:style>
  <w:style w:type="character" w:styleId="907" w:customStyle="1">
    <w:name w:val="Heading 7 Char"/>
    <w:link w:val="865"/>
    <w:uiPriority w:val="9"/>
    <w:qFormat/>
    <w:rPr>
      <w:rFonts w:ascii="Arial" w:hAnsi="Arial" w:eastAsia="Arial" w:cs="Arial"/>
      <w:b/>
      <w:bCs/>
      <w:i/>
      <w:iCs/>
      <w:sz w:val="22"/>
      <w:szCs w:val="22"/>
    </w:rPr>
  </w:style>
  <w:style w:type="character" w:styleId="908" w:customStyle="1">
    <w:name w:val="Heading 8 Char"/>
    <w:link w:val="866"/>
    <w:uiPriority w:val="9"/>
    <w:qFormat/>
    <w:rPr>
      <w:rFonts w:ascii="Arial" w:hAnsi="Arial" w:eastAsia="Arial" w:cs="Arial"/>
      <w:i/>
      <w:iCs/>
      <w:sz w:val="22"/>
      <w:szCs w:val="22"/>
    </w:rPr>
  </w:style>
  <w:style w:type="character" w:styleId="909" w:customStyle="1">
    <w:name w:val="Heading 9 Char"/>
    <w:link w:val="867"/>
    <w:uiPriority w:val="9"/>
    <w:qFormat/>
    <w:rPr>
      <w:rFonts w:ascii="Arial" w:hAnsi="Arial" w:eastAsia="Arial" w:cs="Arial"/>
      <w:i/>
      <w:iCs/>
      <w:sz w:val="21"/>
      <w:szCs w:val="21"/>
    </w:rPr>
  </w:style>
  <w:style w:type="character" w:styleId="910" w:customStyle="1">
    <w:name w:val="Title Char"/>
    <w:link w:val="892"/>
    <w:uiPriority w:val="10"/>
    <w:qFormat/>
    <w:rPr>
      <w:sz w:val="48"/>
      <w:szCs w:val="48"/>
    </w:rPr>
  </w:style>
  <w:style w:type="character" w:styleId="911" w:customStyle="1">
    <w:name w:val="Subtitle Char"/>
    <w:link w:val="885"/>
    <w:uiPriority w:val="11"/>
    <w:qFormat/>
    <w:rPr>
      <w:sz w:val="24"/>
      <w:szCs w:val="24"/>
    </w:rPr>
  </w:style>
  <w:style w:type="paragraph" w:styleId="912">
    <w:name w:val="Quote"/>
    <w:basedOn w:val="858"/>
    <w:next w:val="858"/>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58"/>
    <w:next w:val="858"/>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82"/>
    <w:uiPriority w:val="99"/>
    <w:qFormat/>
  </w:style>
  <w:style w:type="character" w:styleId="917" w:customStyle="1">
    <w:name w:val="Footer Char"/>
    <w:link w:val="880"/>
    <w:uiPriority w:val="99"/>
    <w:qFormat/>
  </w:style>
  <w:style w:type="character" w:styleId="918" w:customStyle="1">
    <w:name w:val="Caption Char"/>
    <w:link w:val="880"/>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6"/>
    <w:uiPriority w:val="99"/>
    <w:qFormat/>
    <w:rPr>
      <w:sz w:val="18"/>
    </w:rPr>
  </w:style>
  <w:style w:type="character" w:styleId="1045" w:customStyle="1">
    <w:name w:val="Endnote Text Char"/>
    <w:link w:val="879"/>
    <w:uiPriority w:val="99"/>
    <w:qFormat/>
    <w:rPr>
      <w:sz w:val="20"/>
    </w:rPr>
  </w:style>
  <w:style w:type="paragraph" w:styleId="1046" w:customStyle="1">
    <w:name w:val="TOC Heading"/>
    <w:uiPriority w:val="39"/>
    <w:unhideWhenUsed/>
    <w:qFormat/>
    <w:rPr>
      <w:rFonts w:hint="default" w:ascii="Times New Roman" w:hAnsi="Times New Roman" w:eastAsia="宋体" w:cs="Times New Roman"/>
    </w:rPr>
  </w:style>
  <w:style w:type="paragraph" w:styleId="1047" w:customStyle="1">
    <w:name w:val="标题 21"/>
    <w:basedOn w:val="858"/>
    <w:next w:val="858"/>
    <w:uiPriority w:val="0"/>
    <w:qFormat/>
    <w:pPr>
      <w:jc w:val="center"/>
      <w:keepLines/>
      <w:keepNext/>
      <w:spacing w:before="260" w:after="260" w:line="415" w:lineRule="auto"/>
      <w:outlineLvl w:val="1"/>
    </w:pPr>
    <w:rPr>
      <w:rFonts w:ascii="Arial" w:hAnsi="Arial" w:eastAsia="幼圆"/>
      <w:b/>
      <w:bCs/>
      <w:sz w:val="44"/>
      <w:szCs w:val="44"/>
    </w:rPr>
  </w:style>
  <w:style w:type="character" w:styleId="1048" w:customStyle="1">
    <w:name w:val="默认段落字体1"/>
    <w:link w:val="858"/>
    <w:uiPriority w:val="0"/>
    <w:semiHidden/>
    <w:qFormat/>
  </w:style>
  <w:style w:type="table" w:styleId="1049" w:customStyle="1">
    <w:name w:val="普通表格1"/>
    <w:uiPriority w:val="0"/>
    <w:semiHidden/>
    <w:qFormat/>
    <w:tblPr/>
  </w:style>
  <w:style w:type="paragraph" w:styleId="1050" w:customStyle="1">
    <w:name w:val="正文缩进1"/>
    <w:basedOn w:val="858"/>
    <w:uiPriority w:val="0"/>
    <w:qFormat/>
    <w:pPr>
      <w:ind w:firstLine="420"/>
    </w:pPr>
    <w:rPr>
      <w:szCs w:val="21"/>
    </w:rPr>
  </w:style>
  <w:style w:type="paragraph" w:styleId="1051" w:customStyle="1">
    <w:name w:val="文档结构图1"/>
    <w:basedOn w:val="858"/>
    <w:uiPriority w:val="0"/>
    <w:qFormat/>
    <w:pPr>
      <w:shd w:val="clear" w:color="auto" w:fill="000080"/>
    </w:pPr>
    <w:rPr>
      <w:szCs w:val="21"/>
    </w:rPr>
  </w:style>
  <w:style w:type="paragraph" w:styleId="1052" w:customStyle="1">
    <w:name w:val="正文文本1"/>
    <w:basedOn w:val="858"/>
    <w:next w:val="858"/>
    <w:uiPriority w:val="0"/>
    <w:qFormat/>
    <w:pPr>
      <w:spacing w:after="120"/>
    </w:pPr>
  </w:style>
  <w:style w:type="paragraph" w:styleId="1053" w:customStyle="1">
    <w:name w:val="正文文本缩进1"/>
    <w:basedOn w:val="858"/>
    <w:next w:val="1054"/>
    <w:uiPriority w:val="0"/>
    <w:qFormat/>
    <w:pPr>
      <w:ind w:firstLine="645"/>
    </w:pPr>
    <w:rPr>
      <w:rFonts w:ascii="楷体_GB2312" w:hAnsi="宋体" w:eastAsia="楷体_GB2312"/>
      <w:sz w:val="32"/>
      <w:szCs w:val="32"/>
    </w:rPr>
  </w:style>
  <w:style w:type="paragraph" w:styleId="1054" w:customStyle="1">
    <w:name w:val="寄信人地址1"/>
    <w:basedOn w:val="858"/>
    <w:uiPriority w:val="99"/>
    <w:qFormat/>
    <w:rPr>
      <w:rFonts w:ascii="Arial" w:hAnsi="Arial"/>
    </w:rPr>
  </w:style>
  <w:style w:type="paragraph" w:styleId="1055" w:customStyle="1">
    <w:name w:val="日期1"/>
    <w:basedOn w:val="858"/>
    <w:next w:val="858"/>
    <w:uiPriority w:val="0"/>
    <w:qFormat/>
    <w:rPr>
      <w:sz w:val="24"/>
    </w:rPr>
  </w:style>
  <w:style w:type="paragraph" w:styleId="1056" w:customStyle="1">
    <w:name w:val="页脚1"/>
    <w:basedOn w:val="858"/>
    <w:uiPriority w:val="99"/>
    <w:qFormat/>
    <w:pPr>
      <w:jc w:val="left"/>
      <w:tabs>
        <w:tab w:val="center" w:pos="4153" w:leader="none"/>
        <w:tab w:val="right" w:pos="8306" w:leader="none"/>
      </w:tabs>
    </w:pPr>
    <w:rPr>
      <w:sz w:val="18"/>
      <w:szCs w:val="18"/>
    </w:rPr>
  </w:style>
  <w:style w:type="paragraph" w:styleId="1057" w:customStyle="1">
    <w:name w:val="页眉1"/>
    <w:basedOn w:val="858"/>
    <w:uiPriority w:val="99"/>
    <w:qFormat/>
    <w:pPr>
      <w:jc w:val="center"/>
      <w:tabs>
        <w:tab w:val="center" w:pos="4153" w:leader="none"/>
        <w:tab w:val="right" w:pos="8306" w:leader="none"/>
      </w:tabs>
      <w:pBdr>
        <w:bottom w:val="single" w:color="000000" w:sz="6" w:space="1"/>
      </w:pBdr>
    </w:pPr>
    <w:rPr>
      <w:sz w:val="18"/>
      <w:szCs w:val="18"/>
    </w:rPr>
  </w:style>
  <w:style w:type="paragraph" w:styleId="1058" w:customStyle="1">
    <w:name w:val="目录 11"/>
    <w:basedOn w:val="858"/>
    <w:next w:val="858"/>
    <w:uiPriority w:val="0"/>
    <w:qFormat/>
  </w:style>
  <w:style w:type="paragraph" w:styleId="1059" w:customStyle="1">
    <w:name w:val="目录 21"/>
    <w:basedOn w:val="858"/>
    <w:next w:val="858"/>
    <w:uiPriority w:val="0"/>
    <w:qFormat/>
    <w:pPr>
      <w:ind w:left="420"/>
    </w:pPr>
  </w:style>
  <w:style w:type="paragraph" w:styleId="1060" w:customStyle="1">
    <w:name w:val="普通(网站)1"/>
    <w:basedOn w:val="858"/>
    <w:uiPriority w:val="0"/>
    <w:qFormat/>
    <w:pPr>
      <w:ind w:left="0" w:right="0"/>
      <w:jc w:val="left"/>
      <w:spacing w:before="100" w:beforeAutospacing="1" w:after="100" w:afterAutospacing="1"/>
    </w:pPr>
    <w:rPr>
      <w:sz w:val="24"/>
      <w:lang w:val="en-US" w:eastAsia="zh-CN" w:bidi="ar"/>
    </w:rPr>
  </w:style>
  <w:style w:type="paragraph" w:styleId="1061" w:customStyle="1">
    <w:name w:val="正文首行缩进1"/>
    <w:basedOn w:val="1052"/>
    <w:next w:val="858"/>
    <w:uiPriority w:val="99"/>
    <w:unhideWhenUsed/>
    <w:qFormat/>
    <w:pPr>
      <w:ind w:firstLine="420"/>
    </w:pPr>
  </w:style>
  <w:style w:type="paragraph" w:styleId="1062" w:customStyle="1">
    <w:name w:val="正文首行缩进 21"/>
    <w:basedOn w:val="1053"/>
    <w:uiPriority w:val="0"/>
    <w:qFormat/>
    <w:pPr>
      <w:ind w:firstLine="200"/>
      <w:spacing w:line="360" w:lineRule="auto"/>
    </w:pPr>
    <w:rPr>
      <w:rFonts w:ascii="宋体" w:eastAsia="宋体"/>
      <w:sz w:val="21"/>
      <w:szCs w:val="20"/>
    </w:rPr>
  </w:style>
  <w:style w:type="character" w:styleId="1063" w:customStyle="1">
    <w:name w:val="要点1"/>
    <w:basedOn w:val="1048"/>
    <w:link w:val="858"/>
    <w:uiPriority w:val="0"/>
    <w:qFormat/>
    <w:rPr>
      <w:b/>
      <w:bCs/>
    </w:rPr>
  </w:style>
  <w:style w:type="character" w:styleId="1064" w:customStyle="1">
    <w:name w:val="页码1"/>
    <w:link w:val="858"/>
    <w:uiPriority w:val="0"/>
    <w:qFormat/>
  </w:style>
  <w:style w:type="character" w:styleId="1065" w:customStyle="1">
    <w:name w:val="已访问的超链接1"/>
    <w:basedOn w:val="1048"/>
    <w:link w:val="858"/>
    <w:uiPriority w:val="0"/>
    <w:qFormat/>
    <w:rPr>
      <w:color w:val="800080"/>
      <w:u w:val="none"/>
    </w:rPr>
  </w:style>
  <w:style w:type="character" w:styleId="1066" w:customStyle="1">
    <w:name w:val="强调1"/>
    <w:basedOn w:val="1048"/>
    <w:link w:val="858"/>
    <w:uiPriority w:val="0"/>
    <w:qFormat/>
    <w:rPr>
      <w:b/>
      <w:bCs/>
    </w:rPr>
  </w:style>
  <w:style w:type="character" w:styleId="1067" w:customStyle="1">
    <w:name w:val="HTML 定义1"/>
    <w:basedOn w:val="1048"/>
    <w:link w:val="858"/>
    <w:uiPriority w:val="0"/>
    <w:qFormat/>
  </w:style>
  <w:style w:type="character" w:styleId="1068" w:customStyle="1">
    <w:name w:val="HTML 打字机1"/>
    <w:basedOn w:val="1048"/>
    <w:link w:val="858"/>
    <w:uiPriority w:val="0"/>
    <w:qFormat/>
    <w:rPr>
      <w:rFonts w:ascii="monospace" w:hAnsi="monospace" w:eastAsia="monospace" w:cs="monospace"/>
      <w:sz w:val="20"/>
    </w:rPr>
  </w:style>
  <w:style w:type="character" w:styleId="1069" w:customStyle="1">
    <w:name w:val="HTML 缩写1"/>
    <w:basedOn w:val="1048"/>
    <w:link w:val="858"/>
    <w:uiPriority w:val="0"/>
    <w:qFormat/>
  </w:style>
  <w:style w:type="character" w:styleId="1070" w:customStyle="1">
    <w:name w:val="HTML 变量1"/>
    <w:basedOn w:val="1048"/>
    <w:link w:val="858"/>
    <w:uiPriority w:val="0"/>
    <w:qFormat/>
  </w:style>
  <w:style w:type="character" w:styleId="1071" w:customStyle="1">
    <w:name w:val="超链接1"/>
    <w:basedOn w:val="1048"/>
    <w:link w:val="858"/>
    <w:uiPriority w:val="0"/>
    <w:qFormat/>
    <w:rPr>
      <w:color w:val="0000ff"/>
      <w:u w:val="none"/>
    </w:rPr>
  </w:style>
  <w:style w:type="character" w:styleId="1072" w:customStyle="1">
    <w:name w:val="HTML 代码1"/>
    <w:basedOn w:val="1048"/>
    <w:link w:val="858"/>
    <w:uiPriority w:val="0"/>
    <w:qFormat/>
    <w:rPr>
      <w:rFonts w:ascii="monospace" w:hAnsi="monospace" w:eastAsia="monospace" w:cs="monospace"/>
      <w:sz w:val="20"/>
    </w:rPr>
  </w:style>
  <w:style w:type="character" w:styleId="1073" w:customStyle="1">
    <w:name w:val="HTML 引文1"/>
    <w:basedOn w:val="1048"/>
    <w:link w:val="858"/>
    <w:uiPriority w:val="0"/>
    <w:qFormat/>
  </w:style>
  <w:style w:type="character" w:styleId="1074" w:customStyle="1">
    <w:name w:val="HTML 键盘1"/>
    <w:basedOn w:val="1048"/>
    <w:link w:val="858"/>
    <w:uiPriority w:val="0"/>
    <w:qFormat/>
    <w:rPr>
      <w:rFonts w:ascii="monospace" w:hAnsi="monospace" w:eastAsia="monospace" w:cs="monospace"/>
      <w:sz w:val="20"/>
    </w:rPr>
  </w:style>
  <w:style w:type="character" w:styleId="1075" w:customStyle="1">
    <w:name w:val="HTML 样本1"/>
    <w:basedOn w:val="1048"/>
    <w:link w:val="858"/>
    <w:uiPriority w:val="0"/>
    <w:qFormat/>
    <w:rPr>
      <w:rFonts w:ascii="monospace" w:hAnsi="monospace" w:eastAsia="monospace" w:cs="monospace"/>
    </w:rPr>
  </w:style>
  <w:style w:type="paragraph" w:styleId="1076" w:customStyle="1">
    <w:name w:val="普通正文"/>
    <w:basedOn w:val="858"/>
    <w:uiPriority w:val="0"/>
    <w:qFormat/>
    <w:pPr>
      <w:ind w:firstLine="480"/>
      <w:jc w:val="left"/>
      <w:spacing w:before="120" w:after="120" w:line="360" w:lineRule="auto"/>
    </w:pPr>
    <w:rPr>
      <w:rFonts w:ascii="Arial" w:hAnsi="Arial"/>
      <w:sz w:val="24"/>
    </w:rPr>
  </w:style>
  <w:style w:type="paragraph" w:styleId="1077" w:customStyle="1">
    <w:name w:val="WPSOffice手动目录 1"/>
    <w:uiPriority w:val="0"/>
    <w:qFormat/>
    <w:rPr>
      <w:rFonts w:hint="default" w:ascii="Times New Roman" w:hAnsi="Times New Roman" w:eastAsia="宋体" w:cs="Times New Roman"/>
      <w:sz w:val="20"/>
      <w:szCs w:val="20"/>
    </w:rPr>
  </w:style>
  <w:style w:type="character" w:styleId="1078" w:customStyle="1">
    <w:name w:val="标题 4 Char"/>
    <w:link w:val="858"/>
    <w:uiPriority w:val="9"/>
    <w:qFormat/>
    <w:rPr>
      <w:rFonts w:ascii="Cambria" w:hAnsi="Cambria" w:eastAsia="宋体" w:cs="Times New Roman"/>
      <w:b/>
      <w:bCs/>
      <w:sz w:val="28"/>
      <w:szCs w:val="28"/>
    </w:rPr>
  </w:style>
  <w:style w:type="paragraph" w:styleId="1079" w:customStyle="1">
    <w:name w:val="Normal_2"/>
    <w:next w:val="1080"/>
    <w:uiPriority w:val="0"/>
    <w:qFormat/>
    <w:rPr>
      <w:rFonts w:hint="default" w:ascii="Times New Roman" w:hAnsi="Times New Roman" w:eastAsia="Times New Roman" w:cs="Times New Roman"/>
      <w:sz w:val="24"/>
      <w:szCs w:val="24"/>
      <w:lang w:val="en-US" w:eastAsia="zh-CN" w:bidi="ar-SA"/>
    </w:rPr>
  </w:style>
  <w:style w:type="paragraph" w:styleId="1080" w:customStyle="1">
    <w:name w:val="首行缩进_0"/>
    <w:basedOn w:val="1081"/>
    <w:uiPriority w:val="0"/>
    <w:qFormat/>
    <w:pPr>
      <w:ind w:firstLine="480"/>
      <w:jc w:val="left"/>
      <w:spacing w:line="360" w:lineRule="auto"/>
    </w:pPr>
    <w:rPr>
      <w:rFonts w:ascii="宋体" w:hAnsi="宋体"/>
      <w:sz w:val="24"/>
    </w:rPr>
  </w:style>
  <w:style w:type="paragraph" w:styleId="1081" w:customStyle="1">
    <w:name w:val="Normal_9"/>
    <w:next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
    <w:next w:val="1080"/>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0" w:customStyle="1">
    <w:name w:val="正文 A"/>
    <w:next w:val="109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1" w:customStyle="1">
    <w:name w:val="段"/>
    <w:next w:val="858"/>
    <w:uiPriority w:val="0"/>
    <w:qFormat/>
    <w:pPr>
      <w:ind w:firstLine="200"/>
      <w:jc w:val="both"/>
    </w:pPr>
    <w:rPr>
      <w:rFonts w:hint="default" w:ascii="宋体" w:hAnsi="Times New Roman" w:eastAsia="宋体" w:cs="Times New Roman"/>
      <w:sz w:val="21"/>
      <w:szCs w:val="22"/>
      <w:lang w:val="en-US" w:eastAsia="zh-CN" w:bidi="ar-SA"/>
    </w:rPr>
  </w:style>
  <w:style w:type="paragraph" w:styleId="1092" w:customStyle="1">
    <w:name w:val="样式1"/>
    <w:basedOn w:val="858"/>
    <w:uiPriority w:val="0"/>
    <w:qFormat/>
    <w:pPr>
      <w:numPr>
        <w:ilvl w:val="0"/>
        <w:numId w:val="1"/>
      </w:numPr>
      <w:ind w:firstLine="0"/>
    </w:pPr>
    <w:rPr>
      <w:rFonts w:ascii="宋体" w:hAnsi="宋体" w:cs="宋体"/>
      <w:szCs w:val="21"/>
    </w:rPr>
  </w:style>
  <w:style w:type="paragraph" w:styleId="1093">
    <w:name w:val="List Paragraph"/>
    <w:basedOn w:val="858"/>
    <w:uiPriority w:val="34"/>
    <w:qFormat/>
    <w:pPr>
      <w:ind w:firstLine="420"/>
    </w:pPr>
  </w:style>
  <w:style w:type="paragraph" w:styleId="1094" w:customStyle="1">
    <w:name w:val="Normal_0_2"/>
    <w:uiPriority w:val="0"/>
    <w:qFormat/>
    <w:rPr>
      <w:rFonts w:hint="default" w:ascii="Times New Roman" w:hAnsi="Times New Roman" w:eastAsia="Times New Roman" w:cs="Times New Roman"/>
      <w:sz w:val="24"/>
      <w:szCs w:val="24"/>
    </w:rPr>
  </w:style>
  <w:style w:type="paragraph" w:styleId="1095" w:customStyle="1">
    <w:name w:val="Normal_1_1"/>
    <w:uiPriority w:val="0"/>
    <w:qFormat/>
    <w:rPr>
      <w:rFonts w:hint="default" w:ascii="Times New Roman" w:hAnsi="Times New Roman" w:eastAsia="Times New Roman" w:cs="Times New Roman"/>
      <w:sz w:val="24"/>
      <w:szCs w:val="24"/>
    </w:rPr>
  </w:style>
  <w:style w:type="paragraph" w:styleId="1096" w:customStyle="1">
    <w:name w:val="Normal_0_1_0"/>
    <w:uiPriority w:val="0"/>
    <w:qFormat/>
    <w:rPr>
      <w:rFonts w:hint="default" w:ascii="Times New Roman" w:hAnsi="Times New Roman" w:eastAsia="Times New Roman" w:cs="Times New Roman"/>
      <w:sz w:val="24"/>
      <w:szCs w:val="24"/>
    </w:rPr>
  </w:style>
  <w:style w:type="paragraph" w:styleId="1097" w:customStyle="1">
    <w:name w:val="Normal_0_4"/>
    <w:uiPriority w:val="0"/>
    <w:qFormat/>
    <w:rPr>
      <w:rFonts w:hint="default" w:ascii="Times New Roman" w:hAnsi="Times New Roman" w:eastAsia="Times New Roman" w:cs="Times New Roman"/>
      <w:sz w:val="24"/>
      <w:szCs w:val="24"/>
    </w:rPr>
  </w:style>
  <w:style w:type="paragraph" w:styleId="1098" w:customStyle="1">
    <w:name w:val="Normal_13"/>
    <w:uiPriority w:val="0"/>
    <w:qFormat/>
    <w:rPr>
      <w:rFonts w:hint="default" w:ascii="Times New Roman" w:hAnsi="Times New Roman" w:eastAsia="Times New Roman" w:cs="Times New Roman"/>
      <w:sz w:val="24"/>
      <w:szCs w:val="24"/>
    </w:rPr>
  </w:style>
  <w:style w:type="character" w:styleId="1099" w:customStyle="1">
    <w:name w:val="hover"/>
    <w:basedOn w:val="1048"/>
    <w:link w:val="858"/>
    <w:uiPriority w:val="0"/>
    <w:qFormat/>
  </w:style>
  <w:style w:type="character" w:styleId="1100" w:customStyle="1">
    <w:name w:val="hover1"/>
    <w:basedOn w:val="1048"/>
    <w:link w:val="858"/>
    <w:uiPriority w:val="0"/>
    <w:qFormat/>
    <w:rPr>
      <w:color w:val="2590eb"/>
    </w:rPr>
  </w:style>
  <w:style w:type="character" w:styleId="1101" w:customStyle="1">
    <w:name w:val="hover2"/>
    <w:basedOn w:val="1048"/>
    <w:link w:val="858"/>
    <w:uiPriority w:val="0"/>
    <w:qFormat/>
    <w:rPr>
      <w:color w:val="2590eb"/>
    </w:rPr>
  </w:style>
  <w:style w:type="character" w:styleId="1102" w:customStyle="1">
    <w:name w:val="mini-outputtext1"/>
    <w:basedOn w:val="1048"/>
    <w:link w:val="858"/>
    <w:uiPriority w:val="0"/>
    <w:qFormat/>
  </w:style>
  <w:style w:type="paragraph" w:styleId="1103" w:customStyle="1">
    <w:name w:val="Normal_18_0"/>
    <w:uiPriority w:val="0"/>
    <w:qFormat/>
    <w:rPr>
      <w:rFonts w:hint="default" w:ascii="Times New Roman" w:hAnsi="Times New Roman" w:eastAsia="Times New Roman" w:cs="Times New Roman"/>
      <w:sz w:val="24"/>
      <w:szCs w:val="24"/>
    </w:rPr>
  </w:style>
  <w:style w:type="paragraph" w:styleId="1104" w:customStyle="1">
    <w:name w:val="Normal_24"/>
    <w:uiPriority w:val="0"/>
    <w:qFormat/>
    <w:rPr>
      <w:rFonts w:hint="default" w:ascii="Times New Roman" w:hAnsi="Times New Roman" w:eastAsia="Times New Roman" w:cs="Times New Roman"/>
      <w:sz w:val="24"/>
      <w:szCs w:val="24"/>
    </w:rPr>
  </w:style>
  <w:style w:type="paragraph" w:styleId="1105" w:customStyle="1">
    <w:name w:val="Normal_27"/>
    <w:uiPriority w:val="0"/>
    <w:qFormat/>
    <w:rPr>
      <w:rFonts w:hint="default" w:ascii="Times New Roman" w:hAnsi="Times New Roman" w:eastAsia="Times New Roman" w:cs="Times New Roman"/>
      <w:sz w:val="24"/>
      <w:szCs w:val="24"/>
    </w:rPr>
  </w:style>
  <w:style w:type="paragraph" w:styleId="1106" w:customStyle="1">
    <w:name w:val="Normal_43"/>
    <w:uiPriority w:val="0"/>
    <w:qFormat/>
    <w:rPr>
      <w:rFonts w:hint="default" w:ascii="Times New Roman" w:hAnsi="Times New Roman" w:eastAsia="Times New Roman" w:cs="Times New Roman"/>
      <w:sz w:val="24"/>
      <w:szCs w:val="24"/>
    </w:rPr>
  </w:style>
  <w:style w:type="paragraph" w:styleId="1107" w:customStyle="1">
    <w:name w:val="Normal_6_1"/>
    <w:uiPriority w:val="0"/>
    <w:qFormat/>
    <w:rPr>
      <w:rFonts w:hint="default" w:ascii="Times New Roman" w:hAnsi="Times New Roman" w:eastAsia="Times New Roman" w:cs="Times New Roman"/>
      <w:sz w:val="24"/>
      <w:szCs w:val="24"/>
    </w:rPr>
  </w:style>
  <w:style w:type="paragraph" w:styleId="1108" w:customStyle="1">
    <w:name w:val="Normal_0_1"/>
    <w:uiPriority w:val="0"/>
    <w:qFormat/>
    <w:rPr>
      <w:rFonts w:hint="default" w:ascii="Times New Roman" w:hAnsi="Times New Roman" w:eastAsia="Times New Roman" w:cs="Times New Roman"/>
      <w:sz w:val="24"/>
      <w:szCs w:val="24"/>
    </w:rPr>
  </w:style>
  <w:style w:type="paragraph" w:styleId="1109" w:customStyle="1">
    <w:name w:val="Normal_23"/>
    <w:uiPriority w:val="0"/>
    <w:qFormat/>
    <w:rPr>
      <w:rFonts w:hint="default" w:ascii="Times New Roman" w:hAnsi="Times New Roman" w:eastAsia="Times New Roman" w:cs="Times New Roman"/>
      <w:sz w:val="24"/>
      <w:szCs w:val="24"/>
    </w:rPr>
  </w:style>
  <w:style w:type="paragraph" w:styleId="1110" w:customStyle="1">
    <w:name w:val="p0"/>
    <w:basedOn w:val="858"/>
    <w:uiPriority w:val="99"/>
    <w:qFormat/>
    <w:pPr>
      <w:widowControl/>
    </w:pPr>
    <w:rPr>
      <w:rFonts w:ascii="Calibri" w:hAnsi="Calibri" w:cs="宋体"/>
      <w:szCs w:val="21"/>
    </w:rPr>
  </w:style>
  <w:style w:type="paragraph" w:styleId="1111" w:customStyle="1">
    <w:name w:val="Normal_2_0"/>
    <w:uiPriority w:val="0"/>
    <w:qFormat/>
    <w:rPr>
      <w:rFonts w:hint="default" w:ascii="Times New Roman" w:hAnsi="Times New Roman" w:eastAsia="Times New Roman" w:cs="Times New Roman"/>
      <w:sz w:val="24"/>
      <w:szCs w:val="24"/>
    </w:rPr>
  </w:style>
  <w:style w:type="paragraph" w:styleId="1112" w:customStyle="1">
    <w:name w:val="Normal_4_0"/>
    <w:uiPriority w:val="0"/>
    <w:qFormat/>
    <w:rPr>
      <w:rFonts w:hint="default" w:ascii="Times New Roman" w:hAnsi="Times New Roman" w:eastAsia="Times New Roman" w:cs="Times New Roman"/>
      <w:sz w:val="24"/>
      <w:szCs w:val="24"/>
    </w:rPr>
  </w:style>
  <w:style w:type="paragraph" w:styleId="1113" w:customStyle="1">
    <w:name w:val="Normal_5_0"/>
    <w:uiPriority w:val="0"/>
    <w:qFormat/>
    <w:rPr>
      <w:rFonts w:hint="default" w:ascii="Times New Roman" w:hAnsi="Times New Roman" w:eastAsia="Times New Roman" w:cs="Times New Roman"/>
      <w:sz w:val="24"/>
      <w:szCs w:val="24"/>
    </w:rPr>
  </w:style>
  <w:style w:type="table" w:styleId="1114" w:customStyle="1">
    <w:name w:val="TableGrid1"/>
    <w:uiPriority w:val="0"/>
    <w:qFormat/>
    <w:tblPr/>
  </w:style>
  <w:style w:type="paragraph" w:styleId="111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25"/>
    <w:uiPriority w:val="0"/>
    <w:qFormat/>
    <w:rPr>
      <w:rFonts w:hint="default" w:ascii="Times New Roman" w:hAnsi="Times New Roman" w:eastAsia="Times New Roman" w:cs="Times New Roman"/>
      <w:sz w:val="24"/>
      <w:szCs w:val="24"/>
    </w:rPr>
  </w:style>
  <w:style w:type="paragraph" w:styleId="1117" w:customStyle="1">
    <w:name w:val="Normal_26"/>
    <w:uiPriority w:val="0"/>
    <w:qFormat/>
    <w:rPr>
      <w:rFonts w:hint="default" w:ascii="Times New Roman" w:hAnsi="Times New Roman" w:eastAsia="Times New Roman" w:cs="Times New Roman"/>
      <w:sz w:val="24"/>
      <w:szCs w:val="24"/>
    </w:rPr>
  </w:style>
  <w:style w:type="paragraph" w:styleId="111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30"/>
    <w:uiPriority w:val="0"/>
    <w:qFormat/>
    <w:rPr>
      <w:rFonts w:hint="default" w:ascii="Times New Roman" w:hAnsi="Times New Roman" w:eastAsia="Times New Roman" w:cs="Times New Roman"/>
      <w:sz w:val="24"/>
      <w:szCs w:val="24"/>
    </w:rPr>
  </w:style>
  <w:style w:type="paragraph" w:styleId="1120" w:customStyle="1">
    <w:name w:val="WPSOffice手动目录 2"/>
    <w:uiPriority w:val="0"/>
    <w:qFormat/>
    <w:rPr>
      <w:rFonts w:hint="default" w:ascii="Times New Roman" w:hAnsi="Times New Roman" w:eastAsia="宋体" w:cs="Times New Roman"/>
      <w:sz w:val="20"/>
      <w:szCs w:val="20"/>
    </w:rPr>
  </w:style>
  <w:style w:type="paragraph" w:styleId="1121" w:customStyle="1">
    <w:name w:val="WPSOffice手动目录 3"/>
    <w:uiPriority w:val="0"/>
    <w:qFormat/>
    <w:rPr>
      <w:rFonts w:hint="default" w:ascii="Times New Roman" w:hAnsi="Times New Roman" w:eastAsia="宋体" w:cs="Times New Roman"/>
      <w:sz w:val="20"/>
      <w:szCs w:val="20"/>
    </w:rPr>
  </w:style>
  <w:style w:type="paragraph" w:styleId="1122" w:customStyle="1">
    <w:name w:val="p0_0"/>
    <w:basedOn w:val="1088"/>
    <w:uiPriority w:val="0"/>
    <w:qFormat/>
    <w:pPr>
      <w:widowControl/>
    </w:pPr>
    <w:rPr>
      <w:szCs w:val="21"/>
    </w:rPr>
  </w:style>
  <w:style w:type="paragraph" w:styleId="1123" w:customStyle="1">
    <w:name w:val="标题 41"/>
    <w:basedOn w:val="858"/>
    <w:next w:val="858"/>
    <w:uiPriority w:val="0"/>
    <w:qFormat/>
    <w:pPr>
      <w:keepLines/>
      <w:keepNext/>
      <w:spacing w:before="280" w:after="290" w:line="376" w:lineRule="auto"/>
      <w:outlineLvl w:val="3"/>
    </w:pPr>
    <w:rPr>
      <w:rFonts w:ascii="Arial" w:hAnsi="Arial" w:eastAsia="黑体" w:cs="Times New Roman"/>
      <w:b/>
      <w:bCs/>
      <w:sz w:val="28"/>
      <w:szCs w:val="28"/>
    </w:rPr>
  </w:style>
  <w:style w:type="character" w:styleId="1124" w:customStyle="1">
    <w:name w:val="默认段落字体11"/>
    <w:link w:val="858"/>
    <w:uiPriority w:val="0"/>
    <w:semiHidden/>
    <w:qFormat/>
  </w:style>
  <w:style w:type="paragraph" w:styleId="1125" w:customStyle="1">
    <w:name w:val="Normal_9_0"/>
    <w:uiPriority w:val="0"/>
    <w:qFormat/>
    <w:rPr>
      <w:rFonts w:hint="default" w:ascii="Times New Roman" w:hAnsi="Times New Roman" w:eastAsia="Times New Roman" w:cs="Times New Roman"/>
      <w:sz w:val="24"/>
      <w:szCs w:val="24"/>
    </w:rPr>
  </w:style>
  <w:style w:type="paragraph" w:styleId="1126" w:customStyle="1">
    <w:name w:val="Normal_11_0"/>
    <w:uiPriority w:val="0"/>
    <w:qFormat/>
    <w:rPr>
      <w:rFonts w:hint="default" w:ascii="Times New Roman" w:hAnsi="Times New Roman" w:eastAsia="Times New Roman" w:cs="Times New Roman"/>
      <w:sz w:val="24"/>
      <w:szCs w:val="24"/>
    </w:rPr>
  </w:style>
  <w:style w:type="paragraph" w:styleId="1127" w:customStyle="1">
    <w:name w:val="正文_0"/>
    <w:uiPriority w:val="0"/>
    <w:qFormat/>
    <w:pPr>
      <w:jc w:val="both"/>
      <w:widowControl w:val="off"/>
    </w:pPr>
    <w:rPr>
      <w:rFonts w:hint="default" w:ascii="Calibri" w:hAnsi="Calibri" w:eastAsia="宋体" w:cs="Times New Roman"/>
      <w:sz w:val="21"/>
      <w:szCs w:val="22"/>
    </w:rPr>
  </w:style>
  <w:style w:type="paragraph" w:styleId="1128" w:customStyle="1">
    <w:name w:val="Normal_28"/>
    <w:uiPriority w:val="0"/>
    <w:qFormat/>
    <w:rPr>
      <w:rFonts w:hint="default" w:ascii="Times New Roman" w:hAnsi="Times New Roman" w:eastAsia="Times New Roman" w:cs="Times New Roman"/>
      <w:sz w:val="24"/>
      <w:szCs w:val="24"/>
    </w:rPr>
  </w:style>
  <w:style w:type="paragraph" w:styleId="112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4"/>
    <w:uiPriority w:val="0"/>
    <w:qFormat/>
    <w:rPr>
      <w:rFonts w:hint="default" w:ascii="Times New Roman" w:hAnsi="Times New Roman" w:eastAsia="Times New Roman" w:cs="Times New Roman"/>
      <w:sz w:val="24"/>
      <w:szCs w:val="24"/>
    </w:rPr>
  </w:style>
  <w:style w:type="paragraph" w:styleId="1131" w:customStyle="1">
    <w:name w:val="Normal_1"/>
    <w:uiPriority w:val="0"/>
    <w:qFormat/>
    <w:rPr>
      <w:rFonts w:hint="default" w:ascii="Times New Roman" w:hAnsi="Times New Roman" w:eastAsia="Times New Roman" w:cs="Times New Roman"/>
      <w:sz w:val="24"/>
      <w:szCs w:val="24"/>
    </w:rPr>
  </w:style>
  <w:style w:type="paragraph" w:styleId="1132" w:customStyle="1">
    <w:name w:val="Normal_2_1"/>
    <w:uiPriority w:val="0"/>
    <w:qFormat/>
    <w:rPr>
      <w:rFonts w:hint="default" w:ascii="Times New Roman" w:hAnsi="Times New Roman" w:eastAsia="Times New Roman" w:cs="Times New Roman"/>
      <w:sz w:val="24"/>
      <w:szCs w:val="24"/>
    </w:rPr>
  </w:style>
  <w:style w:type="paragraph" w:styleId="1133" w:customStyle="1">
    <w:name w:val="Normal_1_2"/>
    <w:uiPriority w:val="0"/>
    <w:qFormat/>
    <w:rPr>
      <w:rFonts w:hint="default" w:ascii="Times New Roman" w:hAnsi="Times New Roman" w:eastAsia="Times New Roman" w:cs="Times New Roman"/>
      <w:sz w:val="24"/>
      <w:szCs w:val="24"/>
    </w:rPr>
  </w:style>
  <w:style w:type="paragraph" w:styleId="1134" w:customStyle="1">
    <w:name w:val="Normal_6_0"/>
    <w:uiPriority w:val="0"/>
    <w:qFormat/>
    <w:rPr>
      <w:rFonts w:hint="default" w:ascii="Times New Roman" w:hAnsi="Times New Roman" w:eastAsia="Times New Roman" w:cs="Times New Roman"/>
      <w:sz w:val="24"/>
      <w:szCs w:val="24"/>
    </w:rPr>
  </w:style>
  <w:style w:type="paragraph" w:styleId="1135" w:customStyle="1">
    <w:name w:val="Normal_39"/>
    <w:uiPriority w:val="0"/>
    <w:qFormat/>
    <w:rPr>
      <w:rFonts w:hint="default" w:ascii="Times New Roman" w:hAnsi="Times New Roman" w:eastAsia="Times New Roman" w:cs="Times New Roman"/>
      <w:sz w:val="24"/>
      <w:szCs w:val="24"/>
    </w:rPr>
  </w:style>
  <w:style w:type="paragraph" w:styleId="1136" w:customStyle="1">
    <w:name w:val="Normal_41"/>
    <w:uiPriority w:val="0"/>
    <w:qFormat/>
    <w:rPr>
      <w:rFonts w:hint="default" w:ascii="Times New Roman" w:hAnsi="Times New Roman" w:eastAsia="Times New Roman" w:cs="Times New Roman"/>
      <w:sz w:val="24"/>
      <w:szCs w:val="24"/>
    </w:rPr>
  </w:style>
  <w:style w:type="character" w:styleId="1137" w:customStyle="1">
    <w:name w:val="10"/>
    <w:link w:val="858"/>
    <w:uiPriority w:val="0"/>
    <w:qFormat/>
    <w:rPr>
      <w:rFonts w:ascii="Times New Roman" w:hAnsi="Times New Roman" w:cs="Times New Roman"/>
    </w:rPr>
  </w:style>
  <w:style w:type="character" w:styleId="1138" w:customStyle="1">
    <w:name w:val="font31"/>
    <w:basedOn w:val="868"/>
    <w:uiPriority w:val="0"/>
    <w:qFormat/>
    <w:rPr>
      <w:rFonts w:hint="eastAsia" w:ascii="宋体" w:hAnsi="宋体" w:eastAsia="宋体" w:cs="宋体"/>
      <w:color w:val="000000"/>
      <w:sz w:val="20"/>
      <w:szCs w:val="20"/>
      <w:u w:val="none"/>
    </w:rPr>
  </w:style>
  <w:style w:type="character" w:styleId="1139" w:customStyle="1">
    <w:name w:val="font51"/>
    <w:basedOn w:val="868"/>
    <w:uiPriority w:val="0"/>
    <w:qFormat/>
    <w:rPr>
      <w:rFonts w:hint="eastAsia" w:ascii="宋体" w:hAnsi="宋体" w:eastAsia="宋体" w:cs="宋体"/>
      <w:color w:val="000000"/>
      <w:sz w:val="20"/>
      <w:szCs w:val="20"/>
      <w:u w:val="none"/>
    </w:rPr>
  </w:style>
  <w:style w:type="character" w:styleId="1140" w:customStyle="1">
    <w:name w:val="font101"/>
    <w:basedOn w:val="868"/>
    <w:uiPriority w:val="0"/>
    <w:qFormat/>
    <w:rPr>
      <w:rFonts w:hint="eastAsia" w:ascii="宋体" w:hAnsi="宋体" w:eastAsia="宋体" w:cs="宋体"/>
      <w:i/>
      <w:iCs/>
      <w:color w:val="000000"/>
      <w:sz w:val="20"/>
      <w:szCs w:val="20"/>
      <w:u w:val="single"/>
    </w:rPr>
  </w:style>
  <w:style w:type="character" w:styleId="1141" w:customStyle="1">
    <w:name w:val="font112"/>
    <w:basedOn w:val="868"/>
    <w:uiPriority w:val="0"/>
    <w:qFormat/>
    <w:rPr>
      <w:rFonts w:hint="eastAsia" w:ascii="宋体" w:hAnsi="宋体" w:eastAsia="宋体" w:cs="宋体"/>
      <w:i/>
      <w:iCs/>
      <w:color w:val="000000"/>
      <w:sz w:val="20"/>
      <w:szCs w:val="20"/>
      <w:u w:val="none"/>
    </w:rPr>
  </w:style>
  <w:style w:type="character" w:styleId="1142" w:customStyle="1">
    <w:name w:val="font121"/>
    <w:basedOn w:val="868"/>
    <w:uiPriority w:val="0"/>
    <w:qFormat/>
    <w:rPr>
      <w:rFonts w:hint="eastAsia" w:ascii="宋体" w:hAnsi="宋体" w:eastAsia="宋体" w:cs="宋体"/>
      <w:color w:val="000000"/>
      <w:sz w:val="20"/>
      <w:szCs w:val="20"/>
      <w:u w:val="none"/>
      <w:vertAlign w:val="superscript"/>
    </w:rPr>
  </w:style>
  <w:style w:type="character" w:styleId="1143" w:customStyle="1">
    <w:name w:val="font131"/>
    <w:basedOn w:val="868"/>
    <w:uiPriority w:val="0"/>
    <w:qFormat/>
    <w:rPr>
      <w:rFonts w:hint="eastAsia" w:ascii="宋体" w:hAnsi="宋体" w:eastAsia="宋体" w:cs="宋体"/>
      <w:color w:val="ff0000"/>
      <w:sz w:val="20"/>
      <w:szCs w:val="20"/>
      <w:u w:val="none"/>
    </w:rPr>
  </w:style>
  <w:style w:type="character" w:styleId="1144" w:customStyle="1">
    <w:name w:val="font141"/>
    <w:basedOn w:val="868"/>
    <w:uiPriority w:val="0"/>
    <w:qFormat/>
    <w:rPr>
      <w:rFonts w:hint="eastAsia" w:ascii="宋体" w:hAnsi="宋体" w:eastAsia="宋体" w:cs="宋体"/>
      <w:color w:val="000000"/>
      <w:sz w:val="20"/>
      <w:szCs w:val="20"/>
      <w:u w:val="none"/>
      <w:vertAlign w:val="superscript"/>
    </w:rPr>
  </w:style>
  <w:style w:type="character" w:styleId="1145" w:customStyle="1">
    <w:name w:val="font81"/>
    <w:basedOn w:val="868"/>
    <w:uiPriority w:val="0"/>
    <w:qFormat/>
    <w:rPr>
      <w:rFonts w:hint="default" w:ascii="Times New Roman" w:hAnsi="Times New Roman" w:cs="Times New Roman"/>
      <w:color w:val="000000"/>
      <w:sz w:val="20"/>
      <w:szCs w:val="20"/>
      <w:u w:val="none"/>
    </w:rPr>
  </w:style>
  <w:style w:type="character" w:styleId="1146" w:customStyle="1">
    <w:name w:val="font161"/>
    <w:basedOn w:val="868"/>
    <w:uiPriority w:val="0"/>
    <w:qFormat/>
    <w:rPr>
      <w:rFonts w:hint="default" w:ascii="Times New Roman" w:hAnsi="Times New Roman" w:cs="Times New Roman"/>
      <w:color w:val="000000"/>
      <w:sz w:val="20"/>
      <w:szCs w:val="20"/>
      <w:u w:val="none"/>
      <w:vertAlign w:val="superscript"/>
    </w:rPr>
  </w:style>
  <w:style w:type="character" w:styleId="1147" w:customStyle="1">
    <w:name w:val="font91"/>
    <w:basedOn w:val="868"/>
    <w:uiPriority w:val="0"/>
    <w:qFormat/>
    <w:rPr>
      <w:rFonts w:hint="default" w:ascii="Times New Roman" w:hAnsi="Times New Roman" w:cs="Times New Roman"/>
      <w:color w:val="000000"/>
      <w:sz w:val="20"/>
      <w:szCs w:val="20"/>
      <w:u w:val="none"/>
    </w:rPr>
  </w:style>
  <w:style w:type="paragraph" w:styleId="1148" w:customStyle="1">
    <w:name w:val="Normal_17"/>
    <w:uiPriority w:val="99"/>
    <w:qFormat/>
    <w:rPr>
      <w:rFonts w:ascii="Times New Roman" w:hAnsi="Times New Roman" w:eastAsia="宋体" w:cs="Times New Roman"/>
      <w:sz w:val="24"/>
      <w:szCs w:val="24"/>
      <w:lang w:val="en-US" w:eastAsia="zh-CN" w:bidi="ar-SA"/>
    </w:rPr>
  </w:style>
  <w:style w:type="paragraph" w:styleId="1149" w:customStyle="1">
    <w:name w:val="Normal_18"/>
    <w:uiPriority w:val="99"/>
    <w:qFormat/>
    <w:rPr>
      <w:rFonts w:ascii="Times New Roman" w:hAnsi="Times New Roman" w:eastAsia="宋体" w:cs="Times New Roman"/>
      <w:sz w:val="24"/>
      <w:szCs w:val="24"/>
      <w:lang w:val="en-US" w:eastAsia="zh-CN" w:bidi="ar-SA"/>
    </w:rPr>
  </w:style>
  <w:style w:type="paragraph" w:styleId="1150" w:customStyle="1">
    <w:name w:val="Normal_29"/>
    <w:uiPriority w:val="99"/>
    <w:qFormat/>
    <w:rPr>
      <w:rFonts w:ascii="Times New Roman" w:hAnsi="Times New Roman" w:eastAsia="宋体" w:cs="Times New Roman"/>
      <w:sz w:val="24"/>
      <w:szCs w:val="24"/>
      <w:lang w:val="en-US" w:eastAsia="zh-CN" w:bidi="ar-SA"/>
    </w:rPr>
  </w:style>
  <w:style w:type="paragraph" w:styleId="1151" w:customStyle="1">
    <w:name w:val="Normal_22"/>
    <w:uiPriority w:val="0"/>
    <w:qFormat/>
    <w:rPr>
      <w:rFonts w:ascii="Times New Roman" w:hAnsi="Times New Roman" w:eastAsia="Times New Roman" w:cs="Times New Roman"/>
      <w:sz w:val="24"/>
      <w:szCs w:val="24"/>
      <w:lang w:val="en-US" w:eastAsia="zh-CN" w:bidi="ar-SA"/>
    </w:rPr>
  </w:style>
  <w:style w:type="numbering" w:styleId="9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3</cp:revision>
  <dcterms:created xsi:type="dcterms:W3CDTF">2023-07-12T14:37:00Z</dcterms:created>
  <dcterms:modified xsi:type="dcterms:W3CDTF">2026-08-04T06:37:56Z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D1A68C6CDEBD4C72B30897CB3F7920DA_13</vt:lpwstr>
  </property>
  <property fmtid="{D5CDD505-2E9C-101B-9397-08002B2CF9AE}" pid="4" name="KSOTemplateDocerSaveRecord">
    <vt:lpwstr>eyJoZGlkIjoiMjI5MWM3YTgzZGRlMDdhM2IzYTFiZTU0YTMyMTQwYWMifQ==</vt:lpwstr>
  </property>
</Properties>
</file>