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ascii="Arial" w:hAnsi="Arial" w:eastAsia="黑体" w:cs="黑体"/>
          <w:b/>
          <w:color w:val="auto"/>
          <w:sz w:val="84"/>
          <w:szCs w:val="24"/>
          <w:highlight w:val="none"/>
          <w:lang w:bidi="ar"/>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jc w:val="left"/>
        <w:rPr>
          <w:rFonts w:ascii="Times New Roman" w:hAnsi="Times New Roman"/>
          <w:b/>
          <w:color w:val="auto"/>
          <w:sz w:val="30"/>
          <w:szCs w:val="30"/>
          <w:highlight w:val="none"/>
          <w:lang w:bidi="ar"/>
        </w:rPr>
      </w:pPr>
      <w:r>
        <w:rPr>
          <w:rFonts w:hint="eastAsia" w:ascii="Times New Roman" w:hAnsi="Times New Roman" w:cs="宋体"/>
          <w:b/>
          <w:color w:val="auto"/>
          <w:sz w:val="30"/>
          <w:szCs w:val="30"/>
          <w:highlight w:val="none"/>
          <w:lang w:bidi="ar"/>
        </w:rPr>
        <w:t xml:space="preserve">项目名称：</w:t>
      </w:r>
      <w:r>
        <w:rPr>
          <w:rFonts w:hint="eastAsia" w:ascii="Times New Roman" w:hAnsi="Times New Roman"/>
          <w:b/>
          <w:color w:val="auto"/>
          <w:sz w:val="30"/>
          <w:szCs w:val="30"/>
          <w:highlight w:val="none"/>
          <w:lang w:bidi="ar"/>
        </w:rPr>
        <w:t xml:space="preserve">泗洪县城区学校门口交通安全设施建设项目</w:t>
      </w:r>
      <w:r/>
    </w:p>
    <w:p>
      <w:pPr>
        <w:ind w:firstLine="1506"/>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项目编号：JSZC-321324-JSCW-G2026-0024</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center"/>
        <w:spacing w:before="120" w:after="120" w:line="360" w:lineRule="auto"/>
        <w:rPr>
          <w:rFonts w:ascii="Times New Roman" w:hAnsi="Times New Roman"/>
          <w:b/>
          <w:color w:val="auto"/>
          <w:sz w:val="30"/>
          <w:szCs w:val="30"/>
          <w:highlight w:val="none"/>
        </w:rPr>
      </w:pPr>
      <w:r>
        <w:rPr>
          <w:rFonts w:ascii="Times New Roman" w:hAnsi="Times New Roman"/>
          <w:b/>
          <w:bCs/>
          <w:color w:val="auto"/>
          <w:sz w:val="32"/>
          <w:szCs w:val="24"/>
          <w:highlight w:val="none"/>
        </w:rPr>
        <w:t xml:space="preserve">（</w:t>
      </w:r>
      <w:r>
        <w:rPr>
          <w:rFonts w:ascii="Times New Roman" w:hAnsi="Times New Roman"/>
          <w:b/>
          <w:bCs/>
          <w:color w:val="auto"/>
          <w:sz w:val="32"/>
          <w:szCs w:val="24"/>
          <w:highlight w:val="none"/>
          <w:u w:val="single"/>
        </w:rPr>
        <w:t xml:space="preserve">货物</w:t>
      </w:r>
      <w:r>
        <w:rPr>
          <w:rFonts w:ascii="Times New Roman" w:hAnsi="Times New Roman"/>
          <w:b/>
          <w:bCs/>
          <w:color w:val="auto"/>
          <w:sz w:val="32"/>
          <w:szCs w:val="24"/>
          <w:highlight w:val="none"/>
        </w:rPr>
        <w:t xml:space="preserve">类项目，</w:t>
      </w:r>
      <w:r>
        <w:rPr>
          <w:rFonts w:hint="eastAsia" w:ascii="Times New Roman" w:hAnsi="Times New Roman"/>
          <w:b/>
          <w:bCs/>
          <w:color w:val="auto"/>
          <w:sz w:val="32"/>
          <w:szCs w:val="24"/>
          <w:highlight w:val="none"/>
        </w:rPr>
        <w:t xml:space="preserve">本项目</w:t>
      </w:r>
      <w:r>
        <w:rPr>
          <w:rFonts w:ascii="Times New Roman" w:hAnsi="Times New Roman"/>
          <w:b/>
          <w:bCs/>
          <w:color w:val="auto"/>
          <w:sz w:val="32"/>
          <w:szCs w:val="24"/>
          <w:highlight w:val="none"/>
          <w:u w:val="single"/>
        </w:rPr>
        <w:t xml:space="preserve">专门</w:t>
      </w:r>
      <w:r>
        <w:rPr>
          <w:rFonts w:ascii="Times New Roman" w:hAnsi="Times New Roman"/>
          <w:b/>
          <w:bCs/>
          <w:color w:val="auto"/>
          <w:sz w:val="32"/>
          <w:szCs w:val="24"/>
          <w:highlight w:val="none"/>
        </w:rPr>
        <w:t xml:space="preserve">面向中小企业）</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0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江苏春为全过程工程咨询有限公司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 </w:t>
      </w:r>
      <w:r/>
    </w:p>
    <w:p>
      <w:pPr>
        <w:ind w:firstLine="964"/>
        <w:jc w:val="left"/>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hint="eastAsia" w:ascii="Arial" w:hAnsi="Arial"/>
          <w:b/>
          <w:color w:val="auto"/>
          <w:sz w:val="32"/>
          <w:szCs w:val="24"/>
          <w:highlight w:val="none"/>
          <w:lang w:eastAsia="zh-CN" w:bidi="ar"/>
        </w:rPr>
        <w:t xml:space="preserve">2026年8月7日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18"/>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18"/>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18"/>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18"/>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18"/>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18"/>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59"/>
        <w:numPr>
          <w:ilvl w:val="0"/>
          <w:numId w:val="3"/>
        </w:numPr>
        <w:jc w:val="center"/>
        <w:spacing w:before="200"/>
        <w:rPr>
          <w:rFonts w:eastAsia="黑体"/>
          <w:color w:val="auto"/>
          <w:sz w:val="36"/>
          <w:szCs w:val="36"/>
          <w:highlight w:val="none"/>
        </w:rPr>
      </w:pPr>
      <w:r/>
      <w:bookmarkStart w:id="4" w:name="_Toc30943"/>
      <w:r/>
      <w:bookmarkStart w:id="5" w:name="_Toc25722"/>
      <w:r/>
      <w:bookmarkStart w:id="6" w:name="_Toc10813"/>
      <w:r>
        <w:rPr>
          <w:rFonts w:hint="eastAsia" w:eastAsia="黑体"/>
          <w:color w:val="auto"/>
          <w:sz w:val="36"/>
          <w:szCs w:val="36"/>
          <w:highlight w:val="none"/>
        </w:rPr>
        <w:t xml:space="preserve"> 投标邀请</w:t>
      </w:r>
      <w:bookmarkEnd w:id="2"/>
      <w:r/>
      <w:bookmarkEnd w:id="3"/>
      <w:r/>
      <w:bookmarkEnd w:id="4"/>
      <w:r/>
      <w:bookmarkEnd w:id="5"/>
      <w:r/>
      <w:bookmarkEnd w:id="6"/>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泗洪县城区学校门口交通安全设施建设项目JSZC-321324-JSCW-G2026-0024</w:t>
      </w:r>
      <w:r>
        <w:rPr>
          <w:rFonts w:hint="eastAsia" w:ascii="宋体" w:hAnsi="宋体" w:cs="宋体"/>
          <w:color w:val="auto"/>
          <w:sz w:val="24"/>
          <w:szCs w:val="24"/>
          <w:highlight w:val="none"/>
        </w:rPr>
        <w:t xml:space="preserve">招标项目的潜在投标人应在投标人应在招标文件提供的时间内，通过“苏采云“系统（网址：http://jszfcg.jsczt.cn) 找到本项目获取招标文件，并于</w:t>
      </w:r>
      <w:r>
        <w:rPr>
          <w:rFonts w:hint="eastAsia" w:ascii="宋体" w:hAnsi="宋体" w:cs="宋体"/>
          <w:color w:val="ff0000"/>
          <w:sz w:val="24"/>
          <w:szCs w:val="24"/>
          <w:highlight w:val="none"/>
          <w:lang w:eastAsia="zh-CN"/>
        </w:rPr>
        <w:t xml:space="preserve">2026年9月</w:t>
      </w:r>
      <w:r>
        <w:rPr>
          <w:rFonts w:hint="eastAsia" w:ascii="宋体" w:hAnsi="宋体" w:cs="宋体"/>
          <w:color w:val="ff0000"/>
          <w:sz w:val="24"/>
          <w:szCs w:val="24"/>
          <w:highlight w:val="none"/>
          <w:lang w:val="en-US" w:eastAsia="zh-CN"/>
        </w:rPr>
        <w:t xml:space="preserve">11</w:t>
      </w:r>
      <w:r>
        <w:rPr>
          <w:rFonts w:hint="eastAsia" w:ascii="宋体" w:hAnsi="宋体" w:cs="宋体"/>
          <w:color w:val="ff0000"/>
          <w:sz w:val="24"/>
          <w:szCs w:val="24"/>
          <w:highlight w:val="none"/>
          <w:lang w:eastAsia="zh-CN"/>
        </w:rPr>
        <w:t xml:space="preserve">日</w:t>
      </w:r>
      <w:r>
        <w:rPr>
          <w:rFonts w:hint="eastAsia" w:ascii="宋体" w:hAnsi="宋体" w:cs="宋体"/>
          <w:color w:val="ff0000"/>
          <w:sz w:val="24"/>
          <w:szCs w:val="24"/>
          <w:highlight w:val="none"/>
        </w:rPr>
        <w:t xml:space="preserve">09时00分</w:t>
      </w:r>
      <w:r>
        <w:rPr>
          <w:rFonts w:hint="eastAsia" w:ascii="宋体" w:hAnsi="宋体" w:cs="宋体"/>
          <w:color w:val="auto"/>
          <w:sz w:val="24"/>
          <w:szCs w:val="24"/>
          <w:highlight w:val="none"/>
        </w:rPr>
        <w:t xml:space="preserve">（北京时间）前递交投标文件。</w:t>
      </w:r>
      <w:r/>
    </w:p>
    <w:p>
      <w:pPr>
        <w:pStyle w:val="760"/>
        <w:ind w:firstLine="482"/>
        <w:spacing w:before="120" w:after="0" w:line="480" w:lineRule="exact"/>
        <w:rPr>
          <w:rFonts w:ascii="宋体" w:hAnsi="宋体" w:eastAsia="宋体" w:cs="宋体"/>
          <w:bCs/>
          <w:color w:val="auto"/>
          <w:sz w:val="24"/>
          <w:szCs w:val="24"/>
          <w:highlight w:val="none"/>
        </w:rPr>
      </w:pPr>
      <w:r/>
      <w:bookmarkStart w:id="7" w:name="_Toc28359079"/>
      <w:r/>
      <w:bookmarkStart w:id="8" w:name="_Toc28359002"/>
      <w:r/>
      <w:bookmarkStart w:id="9" w:name="_Toc35393621"/>
      <w:r/>
      <w:bookmarkStart w:id="10" w:name="_Toc35393790"/>
      <w:r/>
      <w:bookmarkStart w:id="11" w:name="_Toc38985263"/>
      <w:r/>
      <w:bookmarkStart w:id="12" w:name="_Toc2584"/>
      <w:r/>
      <w:bookmarkStart w:id="13" w:name="_Hlk24379207"/>
      <w:r>
        <w:rPr>
          <w:rFonts w:hint="eastAsia" w:ascii="宋体" w:hAnsi="宋体" w:eastAsia="宋体" w:cs="宋体"/>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1.项目编号：JSZC-321324-JSCW-G2026-0024</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bookmarkEnd w:id="13"/>
      <w:r>
        <w:rPr>
          <w:rFonts w:hint="eastAsia" w:ascii="宋体" w:hAnsi="宋体" w:cs="宋体"/>
          <w:color w:val="auto"/>
          <w:sz w:val="24"/>
          <w:szCs w:val="24"/>
          <w:highlight w:val="none"/>
        </w:rPr>
        <w:t xml:space="preserve">泗洪县城区学校门口交通安全设施建设项目</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3.预算金额：372.8534 万元</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4.最高限价（如有）：本项目设定最高限价，最高限价为</w:t>
      </w:r>
      <w:bookmarkStart w:id="14" w:name="EB6c1f3d39c6914ae1bada8ccaa777b37a"/>
      <w:r>
        <w:rPr>
          <w:rFonts w:hint="eastAsia" w:ascii="宋体" w:hAnsi="宋体" w:cs="宋体"/>
          <w:color w:val="auto"/>
          <w:sz w:val="24"/>
          <w:szCs w:val="24"/>
          <w:highlight w:val="none"/>
        </w:rPr>
        <w:t xml:space="preserve">336.8573万元，高于此最高限价为无效标。</w:t>
      </w:r>
      <w:bookmarkEnd w:id="14"/>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5.采购需求：为了进一步强化校园及周边交通安全管理和秩序维护，泗洪县教育局拟进行城区学校门口交通安全设施建设，详细内容见本招标文件第四章采购需求。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6.合同履行期限：合同签订后90日历天内安装完毕并交付使用。</w:t>
      </w:r>
      <w:r/>
    </w:p>
    <w:p>
      <w:pPr>
        <w:ind w:firstLine="480"/>
        <w:spacing w:line="480" w:lineRule="exact"/>
        <w:rPr>
          <w:rFonts w:ascii="宋体" w:hAnsi="宋体" w:cs="宋体"/>
          <w:color w:val="auto"/>
          <w:sz w:val="24"/>
          <w:szCs w:val="24"/>
          <w:highlight w:val="none"/>
        </w:rPr>
      </w:pPr>
      <w:r/>
      <w:bookmarkStart w:id="15" w:name="_Toc35393791"/>
      <w:r/>
      <w:bookmarkStart w:id="16" w:name="_Toc28359003"/>
      <w:r/>
      <w:bookmarkStart w:id="17" w:name="_Toc35393622"/>
      <w:r/>
      <w:bookmarkStart w:id="18" w:name="_Toc28359080"/>
      <w:r/>
      <w:bookmarkStart w:id="19" w:name="_Toc38985264"/>
      <w:r/>
      <w:bookmarkStart w:id="20" w:name="_Toc27291"/>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联合体投标。</w:t>
      </w:r>
      <w:r/>
    </w:p>
    <w:p>
      <w:pPr>
        <w:pStyle w:val="760"/>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（一）满足《中华人民共和国政府采购法》第二十二条规定：</w:t>
      </w:r>
      <w:bookmarkStart w:id="21" w:name="_Toc28359004"/>
      <w:r/>
      <w:bookmarkStart w:id="22" w:name="_Toc28359081"/>
      <w:r/>
      <w:bookmarkStart w:id="23" w:name="_Toc35393792"/>
      <w:r/>
      <w:bookmarkStart w:id="24" w:name="_Toc38985265"/>
      <w:r/>
      <w:bookmarkStart w:id="25" w:name="_Toc35393623"/>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3.投标人代理人(授权委托人)必须为本单位正式员工，并在投标文件中提供投标截止日前6个月内由本单位为其缴纳的任意1个月社会养老保险证明资料电子件。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（二）落实政府采购政策需满足的资格要求：本项目专门面向中小企业（含监狱企业、残疾人福利企业）采购的项目，所投</w:t>
      </w:r>
      <w:r>
        <w:rPr>
          <w:rFonts w:hint="eastAsia" w:ascii="宋体" w:hAnsi="宋体" w:cs="宋体"/>
          <w:color w:val="auto"/>
          <w:sz w:val="24"/>
          <w:szCs w:val="24"/>
          <w:highlight w:val="none"/>
          <w:lang w:val="en-US" w:eastAsia="zh-CN"/>
        </w:rPr>
        <w:t xml:space="preserve">货物类</w:t>
      </w:r>
      <w:r>
        <w:rPr>
          <w:rFonts w:hint="eastAsia" w:ascii="宋体" w:hAnsi="宋体" w:cs="宋体"/>
          <w:color w:val="auto"/>
          <w:sz w:val="24"/>
          <w:szCs w:val="24"/>
          <w:highlight w:val="none"/>
        </w:rPr>
        <w:t xml:space="preserve">产品制造商</w:t>
      </w:r>
      <w:r>
        <w:rPr>
          <w:rFonts w:hint="eastAsia" w:ascii="宋体" w:hAnsi="宋体" w:cs="宋体"/>
          <w:color w:val="auto"/>
          <w:sz w:val="24"/>
          <w:szCs w:val="24"/>
          <w:highlight w:val="none"/>
          <w:lang w:val="en-US" w:eastAsia="zh-CN"/>
        </w:rPr>
        <w:t xml:space="preserve">和工程类承接商</w:t>
      </w:r>
      <w:r>
        <w:rPr>
          <w:rFonts w:hint="eastAsia" w:ascii="宋体" w:hAnsi="宋体" w:cs="宋体"/>
          <w:color w:val="auto"/>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注：单位负责人为同一人或者存在直接控股、管理关系的不同供应商，不得参加同一合同项下的政府采购活动。否则，相关投标均无效。</w:t>
      </w:r>
      <w:r/>
    </w:p>
    <w:p>
      <w:pPr>
        <w:pStyle w:val="760"/>
        <w:ind w:firstLine="482"/>
        <w:spacing w:before="0" w:after="0" w:line="480" w:lineRule="exact"/>
        <w:rPr>
          <w:rFonts w:ascii="宋体" w:hAnsi="宋体" w:eastAsia="宋体" w:cs="宋体"/>
          <w:bCs/>
          <w:color w:val="auto"/>
          <w:sz w:val="24"/>
          <w:szCs w:val="24"/>
          <w:highlight w:val="none"/>
        </w:rPr>
      </w:pPr>
      <w:r/>
      <w:bookmarkStart w:id="26" w:name="_Toc22204"/>
      <w:r>
        <w:rPr>
          <w:rFonts w:hint="eastAsia" w:ascii="宋体" w:hAnsi="宋体" w:eastAsia="宋体" w:cs="宋体"/>
          <w:bCs/>
          <w:color w:val="auto"/>
          <w:sz w:val="24"/>
          <w:szCs w:val="24"/>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82"/>
      <w:r/>
      <w:bookmarkStart w:id="28" w:name="_Toc28359005"/>
      <w:r/>
      <w:bookmarkStart w:id="29" w:name="_Toc35393793"/>
      <w:r/>
      <w:bookmarkStart w:id="30" w:name="_Toc35393624"/>
      <w:r/>
      <w:bookmarkStart w:id="31" w:name="_Toc19148"/>
      <w:r/>
      <w:bookmarkStart w:id="32" w:name="_Toc38985266"/>
      <w:r>
        <w:rPr>
          <w:rFonts w:hint="eastAsia" w:ascii="宋体" w:hAnsi="宋体" w:cs="宋体"/>
          <w:color w:val="auto"/>
          <w:sz w:val="24"/>
          <w:szCs w:val="24"/>
          <w:highlight w:val="none"/>
        </w:rPr>
        <w:t xml:space="preserve">时间：自招标文件公告发布之日起5个工作日。</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地点：</w:t>
      </w:r>
      <w:bookmarkStart w:id="33" w:name="OLE_LINK32"/>
      <w:r>
        <w:rPr>
          <w:rFonts w:hint="eastAsia" w:ascii="宋体" w:hAnsi="宋体" w:cs="宋体"/>
          <w:color w:val="auto"/>
          <w:sz w:val="24"/>
          <w:szCs w:val="24"/>
          <w:highlight w:val="none"/>
        </w:rPr>
        <w:t xml:space="preserve">招标文件提供的时间内，通过“苏采云“系统（网址： http://jszfcg.jsczt.cn)找到本项目。</w:t>
      </w:r>
      <w:bookmarkEnd w:id="33"/>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方式：投标人应在招标文件提供的时间内，通过“苏采云”系统（网址： http://jszfcg.jsczt.cn/），使用CA锁登录系统后，找到本项目获取招标文件（后缀名为“.kedt”）。</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售价：0.00元</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本项目共分一个包。投标人参与多个采购包投标的，应按采购包分别获取招标文件。投标人未按要求获取招标文件导致无法投标的，后果自负（其投标文件不予接受）。 </w:t>
      </w:r>
      <w:r/>
    </w:p>
    <w:p>
      <w:pPr>
        <w:pStyle w:val="760"/>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w:t>
      </w:r>
      <w:bookmarkEnd w:id="27"/>
      <w:r/>
      <w:bookmarkEnd w:id="28"/>
      <w:r>
        <w:rPr>
          <w:rFonts w:hint="eastAsia" w:ascii="宋体" w:hAnsi="宋体" w:eastAsia="宋体" w:cs="宋体"/>
          <w:bCs/>
          <w:color w:val="auto"/>
          <w:sz w:val="24"/>
          <w:szCs w:val="24"/>
          <w:highlight w:val="none"/>
        </w:rPr>
        <w:t xml:space="preserve">截止时间、开标时间和地点</w:t>
      </w:r>
      <w:bookmarkEnd w:id="29"/>
      <w:r/>
      <w:bookmarkEnd w:id="30"/>
      <w:r/>
      <w:bookmarkEnd w:id="31"/>
      <w:r/>
      <w:bookmarkEnd w:id="3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ff0000"/>
          <w:sz w:val="24"/>
          <w:szCs w:val="24"/>
          <w:highlight w:val="none"/>
          <w:lang w:eastAsia="zh-CN"/>
        </w:rPr>
        <w:t xml:space="preserve">2026年9月</w:t>
      </w:r>
      <w:r>
        <w:rPr>
          <w:rFonts w:hint="eastAsia" w:ascii="宋体" w:hAnsi="宋体" w:cs="宋体"/>
          <w:color w:val="ff0000"/>
          <w:sz w:val="24"/>
          <w:szCs w:val="24"/>
          <w:highlight w:val="none"/>
          <w:lang w:val="en-US" w:eastAsia="zh-CN"/>
        </w:rPr>
        <w:t xml:space="preserve">11</w:t>
      </w:r>
      <w:r>
        <w:rPr>
          <w:rFonts w:hint="eastAsia" w:ascii="宋体" w:hAnsi="宋体" w:cs="宋体"/>
          <w:color w:val="ff0000"/>
          <w:sz w:val="24"/>
          <w:szCs w:val="24"/>
          <w:highlight w:val="none"/>
          <w:lang w:eastAsia="zh-CN"/>
        </w:rPr>
        <w:t xml:space="preserve">日</w:t>
      </w:r>
      <w:r>
        <w:rPr>
          <w:rFonts w:hint="eastAsia" w:ascii="宋体" w:hAnsi="宋体" w:cs="宋体"/>
          <w:color w:val="ff0000"/>
          <w:sz w:val="24"/>
          <w:szCs w:val="24"/>
          <w:highlight w:val="none"/>
        </w:rPr>
        <w:t xml:space="preserve">09点00分</w:t>
      </w:r>
      <w:r>
        <w:rPr>
          <w:rFonts w:hint="eastAsia" w:ascii="宋体" w:hAnsi="宋体" w:cs="宋体"/>
          <w:color w:val="auto"/>
          <w:sz w:val="24"/>
          <w:szCs w:val="24"/>
          <w:highlight w:val="none"/>
        </w:rPr>
        <w:t xml:space="preserve">（北京时间）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pStyle w:val="760"/>
        <w:ind w:firstLine="482"/>
        <w:spacing w:before="0" w:after="0" w:line="480" w:lineRule="exact"/>
        <w:rPr>
          <w:rFonts w:ascii="宋体" w:hAnsi="宋体" w:eastAsia="宋体" w:cs="宋体"/>
          <w:bCs/>
          <w:color w:val="auto"/>
          <w:sz w:val="24"/>
          <w:szCs w:val="24"/>
          <w:highlight w:val="none"/>
        </w:rPr>
      </w:pPr>
      <w:r/>
      <w:bookmarkStart w:id="34" w:name="_Toc28359007"/>
      <w:r/>
      <w:bookmarkStart w:id="35" w:name="_Toc35393794"/>
      <w:r/>
      <w:bookmarkStart w:id="36" w:name="_Toc24820"/>
      <w:r/>
      <w:bookmarkStart w:id="37" w:name="_Toc38985267"/>
      <w:r/>
      <w:bookmarkStart w:id="38" w:name="_Toc35393625"/>
      <w:r/>
      <w:bookmarkStart w:id="39" w:name="_Toc28359084"/>
      <w:r>
        <w:rPr>
          <w:rFonts w:hint="eastAsia" w:ascii="宋体" w:hAnsi="宋体" w:eastAsia="宋体" w:cs="宋体"/>
          <w:bCs/>
          <w:color w:val="auto"/>
          <w:sz w:val="24"/>
          <w:szCs w:val="24"/>
          <w:highlight w:val="none"/>
        </w:rPr>
        <w:t xml:space="preserve">五、公告期限</w:t>
      </w:r>
      <w:bookmarkEnd w:id="34"/>
      <w:r/>
      <w:bookmarkEnd w:id="35"/>
      <w:r/>
      <w:bookmarkEnd w:id="36"/>
      <w:r/>
      <w:bookmarkEnd w:id="37"/>
      <w:r/>
      <w:bookmarkEnd w:id="38"/>
      <w:r/>
      <w:bookmarkEnd w:id="39"/>
      <w:r/>
      <w:r/>
    </w:p>
    <w:p>
      <w:pPr>
        <w:ind w:firstLine="480"/>
        <w:spacing w:line="480" w:lineRule="exact"/>
        <w:rPr>
          <w:rFonts w:ascii="宋体" w:hAnsi="宋体" w:cs="宋体"/>
          <w:color w:val="auto"/>
          <w:sz w:val="24"/>
          <w:szCs w:val="24"/>
          <w:highlight w:val="none"/>
        </w:rPr>
      </w:pPr>
      <w:r/>
      <w:bookmarkStart w:id="40" w:name="_Toc35393626"/>
      <w:r/>
      <w:bookmarkStart w:id="41" w:name="_Toc38985268"/>
      <w:r/>
      <w:bookmarkStart w:id="42" w:name="_Toc35393795"/>
      <w:r>
        <w:rPr>
          <w:rFonts w:hint="eastAsia" w:ascii="宋体" w:hAnsi="宋体" w:cs="宋体"/>
          <w:color w:val="auto"/>
          <w:sz w:val="24"/>
          <w:szCs w:val="24"/>
          <w:highlight w:val="none"/>
        </w:rPr>
        <w:t xml:space="preserve">自本公告发布之日起5个工作日。</w:t>
      </w:r>
      <w:r/>
    </w:p>
    <w:p>
      <w:pPr>
        <w:pStyle w:val="760"/>
        <w:ind w:firstLine="482"/>
        <w:spacing w:before="0" w:after="0" w:line="480" w:lineRule="exact"/>
        <w:rPr>
          <w:rFonts w:ascii="宋体" w:hAnsi="宋体" w:eastAsia="宋体" w:cs="宋体"/>
          <w:bCs/>
          <w:color w:val="auto"/>
          <w:sz w:val="24"/>
          <w:szCs w:val="24"/>
          <w:highlight w:val="none"/>
        </w:rPr>
      </w:pPr>
      <w:r/>
      <w:bookmarkStart w:id="43" w:name="_Toc13415"/>
      <w:r>
        <w:rPr>
          <w:rFonts w:hint="eastAsia" w:ascii="宋体" w:hAnsi="宋体" w:eastAsia="宋体" w:cs="宋体"/>
          <w:bCs/>
          <w:color w:val="auto"/>
          <w:sz w:val="24"/>
          <w:szCs w:val="24"/>
          <w:highlight w:val="none"/>
        </w:rPr>
        <w:t xml:space="preserve">六、其他补充事宜</w:t>
      </w:r>
      <w:bookmarkEnd w:id="40"/>
      <w:r/>
      <w:bookmarkEnd w:id="41"/>
      <w:r/>
      <w:bookmarkEnd w:id="42"/>
      <w:r/>
      <w:bookmarkEnd w:id="43"/>
      <w:r/>
      <w:r/>
    </w:p>
    <w:p>
      <w:pPr>
        <w:ind w:firstLine="480"/>
        <w:spacing w:line="480" w:lineRule="exact"/>
        <w:rPr>
          <w:rFonts w:ascii="宋体" w:hAnsi="宋体" w:cs="宋体"/>
          <w:color w:val="auto"/>
          <w:sz w:val="24"/>
          <w:szCs w:val="24"/>
          <w:highlight w:val="none"/>
        </w:rPr>
      </w:pPr>
      <w:r/>
      <w:bookmarkStart w:id="44" w:name="_Toc29049"/>
      <w:r/>
      <w:bookmarkStart w:id="45" w:name="_Toc28359008"/>
      <w:r/>
      <w:bookmarkStart w:id="46" w:name="_Toc38985269"/>
      <w:r/>
      <w:bookmarkStart w:id="47" w:name="_Toc35393627"/>
      <w:r/>
      <w:bookmarkStart w:id="48" w:name="_Toc28359085"/>
      <w:r/>
      <w:bookmarkStart w:id="49" w:name="_Toc35393796"/>
      <w:r>
        <w:rPr>
          <w:rFonts w:hint="eastAsia" w:ascii="宋体" w:hAnsi="宋体" w:cs="宋体"/>
          <w:color w:val="auto"/>
          <w:sz w:val="24"/>
          <w:szCs w:val="24"/>
          <w:highlight w:val="none"/>
        </w:rPr>
        <w:t xml:space="preserve">1.财政部门监督电话：0527-88359233。</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3.宿迁地区“苏采云”技术支持客服电话：0527-84363067、0519-86722806。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4.投标人通过苏采云系统参与政府采购项目，相关操作手册详见链接：http://www.ccgp-jiangsu.gov.cn/jiangsu/zlxz/ee/ee3a4bc5a3454aa2b0d9312230633ce9.html。</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6.有关本次招标的事项若存在变动或修改，敬请及时关注“宿迁市政府采购网”等平台更正公告。</w:t>
      </w:r>
      <w:r/>
    </w:p>
    <w:p>
      <w:pPr>
        <w:pStyle w:val="760"/>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44"/>
      <w:r/>
      <w:bookmarkEnd w:id="45"/>
      <w:r/>
      <w:bookmarkEnd w:id="46"/>
      <w:r/>
      <w:bookmarkEnd w:id="47"/>
      <w:r/>
      <w:bookmarkEnd w:id="48"/>
      <w:r/>
      <w:bookmarkEnd w:id="49"/>
      <w:r/>
      <w:r/>
    </w:p>
    <w:p>
      <w:pPr>
        <w:ind w:firstLine="480"/>
        <w:jc w:val="left"/>
        <w:spacing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名称：泗洪县教育局</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地址：泗洪县洪泽湖路东大街7号</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联系人：吴利祥</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50" w:name="_Toc28359009"/>
      <w:r/>
      <w:bookmarkStart w:id="51" w:name="_Toc28359086"/>
      <w:r>
        <w:rPr>
          <w:rFonts w:hint="eastAsia" w:ascii="宋体" w:hAnsi="宋体" w:cs="宋体"/>
          <w:color w:val="auto"/>
          <w:sz w:val="24"/>
          <w:szCs w:val="24"/>
          <w:highlight w:val="none"/>
        </w:rPr>
        <w:t xml:space="preserve">13809094632</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50"/>
      <w:r/>
      <w:bookmarkEnd w:id="51"/>
      <w:r>
        <w:rPr>
          <w:rFonts w:hint="eastAsia" w:ascii="宋体" w:hAnsi="宋体" w:cs="宋体"/>
          <w:color w:val="auto"/>
          <w:sz w:val="24"/>
          <w:szCs w:val="24"/>
          <w:highlight w:val="none"/>
        </w:rPr>
        <w:t xml:space="preserve">采购代理机构信息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名称：江苏春为全过程工程咨询有限公司</w:t>
      </w:r>
      <w:r/>
    </w:p>
    <w:p>
      <w:pPr>
        <w:ind w:firstLine="480"/>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地址：泗洪县明德紫郡东门商铺往南50米</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联系方式：18851398356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 话：18851398356  </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tabs>
          <w:tab w:val="left" w:pos="9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1.有关本次采购的事项若存在变动或修改，敬请及时关注“宿迁市政府采购网”等平台更正公告。</w:t>
      </w:r>
      <w:r/>
    </w:p>
    <w:p>
      <w:pPr>
        <w:ind w:firstLine="480"/>
        <w:spacing w:line="480" w:lineRule="exact"/>
        <w:tabs>
          <w:tab w:val="left" w:pos="90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2.本次招标不收取投标保证金。</w:t>
      </w:r>
      <w:r/>
    </w:p>
    <w:p>
      <w:pPr>
        <w:ind w:firstLine="480"/>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2" w:name="_Toc9425"/>
      <w:r/>
      <w:bookmarkStart w:id="53" w:name="_Toc81575190"/>
      <w:r/>
      <w:bookmarkStart w:id="54" w:name="_Toc81575153"/>
      <w:r/>
      <w:bookmarkStart w:id="55" w:name="_Toc15265"/>
      <w:r/>
      <w:bookmarkStart w:id="56" w:name="_Toc11687"/>
      <w:r>
        <w:rPr>
          <w:rFonts w:hint="eastAsia" w:eastAsia="黑体"/>
          <w:color w:val="auto"/>
          <w:sz w:val="36"/>
          <w:szCs w:val="36"/>
          <w:highlight w:val="none"/>
        </w:rPr>
        <w:t xml:space="preserve">第二章  投标人须知</w:t>
      </w:r>
      <w:bookmarkEnd w:id="52"/>
      <w:r/>
      <w:bookmarkEnd w:id="53"/>
      <w:r/>
      <w:bookmarkEnd w:id="54"/>
      <w:r/>
      <w:bookmarkEnd w:id="55"/>
      <w:r/>
      <w:bookmarkEnd w:id="56"/>
      <w:r/>
      <w:r/>
    </w:p>
    <w:p>
      <w:pPr>
        <w:pStyle w:val="760"/>
        <w:ind w:firstLine="482"/>
        <w:spacing w:before="0" w:after="0" w:line="480" w:lineRule="exact"/>
        <w:rPr>
          <w:rFonts w:ascii="宋体" w:hAnsi="宋体" w:eastAsia="宋体" w:cs="宋体"/>
          <w:bCs/>
          <w:color w:val="auto"/>
          <w:sz w:val="24"/>
          <w:szCs w:val="24"/>
          <w:highlight w:val="none"/>
        </w:rPr>
      </w:pPr>
      <w:r/>
      <w:bookmarkStart w:id="57" w:name="_Toc4529"/>
      <w:r>
        <w:rPr>
          <w:rFonts w:hint="eastAsia" w:ascii="宋体" w:hAnsi="宋体" w:eastAsia="宋体" w:cs="宋体"/>
          <w:bCs/>
          <w:color w:val="auto"/>
          <w:sz w:val="24"/>
          <w:szCs w:val="24"/>
          <w:highlight w:val="none"/>
        </w:rPr>
        <w:t xml:space="preserve">投标人须知前附表：</w:t>
      </w:r>
      <w:bookmarkEnd w:id="57"/>
      <w:r/>
      <w:r/>
    </w:p>
    <w:tbl>
      <w:tblPr>
        <w:tblStyle w:val="705"/>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spacing w:line="400" w:lineRule="exact"/>
              <w:rPr>
                <w:rFonts w:ascii="宋体" w:hAnsi="宋体" w:cs="宋体"/>
                <w:b/>
                <w:color w:val="auto"/>
                <w:sz w:val="24"/>
                <w:szCs w:val="24"/>
                <w:highlight w:val="none"/>
              </w:rPr>
            </w:pPr>
            <w:r/>
            <w:bookmarkStart w:id="58" w:name="_Toc29262"/>
            <w:r/>
            <w:bookmarkStart w:id="59" w:name="_Toc81575154"/>
            <w:r/>
            <w:bookmarkStart w:id="60" w:name="_Toc81575191"/>
            <w:r>
              <w:rPr>
                <w:rFonts w:hint="eastAsia" w:ascii="宋体" w:hAnsi="宋体" w:cs="宋体"/>
                <w:b/>
                <w:color w:val="auto"/>
                <w:sz w:val="24"/>
                <w:szCs w:val="24"/>
                <w:highlight w:val="none"/>
              </w:rPr>
              <w:t xml:space="preserve">序号</w:t>
            </w:r>
            <w:r/>
          </w:p>
        </w:tc>
        <w:tc>
          <w:tcPr>
            <w:tcW w:w="1772"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579"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w:t>
            </w:r>
            <w:bookmarkStart w:id="61" w:name="EB9a5853ee094f4f0ea6ec3169265f6f2c"/>
            <w:r>
              <w:rPr>
                <w:rFonts w:hint="eastAsia" w:ascii="宋体" w:hAnsi="宋体" w:cs="宋体"/>
                <w:color w:val="auto"/>
                <w:sz w:val="24"/>
                <w:szCs w:val="24"/>
                <w:highlight w:val="none"/>
              </w:rPr>
              <w:t xml:space="preserve">属性按以下第</w:t>
            </w:r>
            <w:bookmarkEnd w:id="61"/>
            <w:r>
              <w:rPr>
                <w:rFonts w:hint="eastAsia" w:ascii="宋体" w:hAnsi="宋体" w:cs="宋体"/>
                <w:color w:val="auto"/>
                <w:sz w:val="24"/>
                <w:szCs w:val="24"/>
                <w:highlight w:val="none"/>
                <w:u w:val="single"/>
              </w:rPr>
              <w:t xml:space="preserve"> 1  </w:t>
            </w:r>
            <w:r>
              <w:rPr>
                <w:rFonts w:hint="eastAsia" w:ascii="宋体" w:hAnsi="宋体" w:cs="宋体"/>
                <w:color w:val="auto"/>
                <w:sz w:val="24"/>
                <w:szCs w:val="24"/>
                <w:highlight w:val="none"/>
              </w:rPr>
              <w:t xml:space="preserve">种确定：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1.货物</w:t>
            </w:r>
            <w:bookmarkStart w:id="62" w:name="EBd5c6c026f9674c39b21b31ecd0c1e7fa"/>
            <w:r>
              <w:rPr>
                <w:rFonts w:hint="eastAsia" w:ascii="宋体" w:hAnsi="宋体" w:cs="宋体"/>
                <w:color w:val="auto"/>
                <w:sz w:val="24"/>
                <w:szCs w:val="24"/>
                <w:highlight w:val="none"/>
              </w:rPr>
              <w:t xml:space="preserve">采购；2.</w:t>
            </w:r>
            <w:bookmarkEnd w:id="62"/>
            <w:r>
              <w:rPr>
                <w:rFonts w:hint="eastAsia" w:ascii="宋体" w:hAnsi="宋体" w:cs="宋体"/>
                <w:color w:val="auto"/>
                <w:sz w:val="24"/>
                <w:szCs w:val="24"/>
                <w:highlight w:val="none"/>
              </w:rPr>
              <w:t xml:space="preserve">服务</w:t>
            </w:r>
            <w:bookmarkStart w:id="63" w:name="EBf7d2a4f44ecb4166a93ea852e73be69f"/>
            <w:r>
              <w:rPr>
                <w:rFonts w:hint="eastAsia" w:ascii="宋体" w:hAnsi="宋体" w:cs="宋体"/>
                <w:color w:val="auto"/>
                <w:sz w:val="24"/>
                <w:szCs w:val="24"/>
                <w:highlight w:val="none"/>
              </w:rPr>
              <w:t xml:space="preserve">采购；3.</w:t>
            </w:r>
            <w:bookmarkEnd w:id="63"/>
            <w:r>
              <w:rPr>
                <w:rFonts w:hint="eastAsia" w:ascii="宋体" w:hAnsi="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4" w:name="EBd40b5fb42f2944a3b45e579ce3941f02"/>
            <w:r/>
            <w:bookmarkEnd w:id="64"/>
            <w:r>
              <w:rPr>
                <w:rFonts w:hint="eastAsia" w:ascii="宋体" w:hAnsi="宋体" w:cs="宋体"/>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提交加密电子投标文件</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具体评标办法详见招标文件第三章。</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1.采购人按规定在评标委员会推荐的中标候选人中确定中标人；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分包要求</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5" w:name="EBebac1462c5d9459fbda8a75065c2455d"/>
            <w:r>
              <w:rPr>
                <w:rFonts w:hint="eastAsia" w:ascii="宋体" w:hAnsi="宋体" w:cs="宋体"/>
                <w:color w:val="auto"/>
                <w:sz w:val="24"/>
                <w:szCs w:val="24"/>
                <w:highlight w:val="none"/>
              </w:rPr>
              <w:t xml:space="preserve">本项目的非主体、非关键性工作是否允许分包</w:t>
            </w:r>
            <w:bookmarkEnd w:id="65"/>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1.允许分包，允许大中型企业向一家或者多家小微企业分包，分包具体内容、金额或比例：施工类。</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分包企业要求：具有建筑工程施工总承包三级及以上资质或市政公用工程施工总承包三级及以上企业资质。</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专家评审劳务报酬支付标准、方式及周期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支付标准:参照《宿迁市政府采购专家评审费发放标准》宿财购[2018]32号支付，(2小时以内200元/人；超过2小时不足8小时的，按100元/人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小时计算；连续评审超过8小时，超出部分按200元/人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w:t>
            </w:r>
            <w:r/>
          </w:p>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支付方式及周期:费用由采购人通过预算一体化系统支付评审费，支付周期不超过评审结束后</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个工作日。</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组织踏勘现场，投标人如对项目现场进行踏勘，费用由投标人自行承担。投标人在投标时应充分考虑现场实际情况及所存在的投标风险，如因投标人未踏勘现场或对项目现场情况考虑不周可能产生的一切费用，</w:t>
            </w:r>
            <w:r>
              <w:rPr>
                <w:rFonts w:hint="eastAsia" w:ascii="宋体" w:hAnsi="宋体" w:cs="宋体"/>
                <w:color w:val="auto"/>
                <w:sz w:val="24"/>
                <w:szCs w:val="24"/>
                <w:highlight w:val="none"/>
                <w:lang w:val="en-US" w:eastAsia="zh-CN"/>
              </w:rPr>
              <w:t xml:space="preserve">由投标人自行承担</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踏勘现场联系人：吴利祥；电话：13809094632。</w:t>
            </w:r>
            <w:r/>
          </w:p>
        </w:tc>
      </w:tr>
    </w:tbl>
    <w:p>
      <w:pPr>
        <w:pStyle w:val="760"/>
        <w:ind w:firstLine="482"/>
        <w:spacing w:before="0" w:after="0" w:line="480" w:lineRule="exact"/>
        <w:rPr>
          <w:rFonts w:ascii="宋体" w:hAnsi="宋体" w:eastAsia="宋体" w:cs="宋体"/>
          <w:bCs/>
          <w:color w:val="auto"/>
          <w:sz w:val="24"/>
          <w:szCs w:val="24"/>
          <w:highlight w:val="none"/>
        </w:rPr>
      </w:pPr>
      <w:r/>
      <w:bookmarkStart w:id="66" w:name="_Toc81575155"/>
      <w:r/>
      <w:bookmarkEnd w:id="66"/>
      <w:r/>
      <w:bookmarkStart w:id="67" w:name="_Toc81575192"/>
      <w:r/>
      <w:bookmarkEnd w:id="67"/>
      <w:r/>
      <w:bookmarkStart w:id="68" w:name="EB6eaaf474639940df900ef4965d71f450"/>
      <w:r/>
      <w:bookmarkEnd w:id="68"/>
      <w:r/>
      <w:bookmarkStart w:id="69" w:name="_Toc30953"/>
      <w:r/>
      <w:bookmarkEnd w:id="69"/>
      <w:r/>
      <w:bookmarkStart w:id="70" w:name="_Toc8239"/>
      <w:r/>
      <w:bookmarkEnd w:id="70"/>
      <w:r/>
      <w:r/>
    </w:p>
    <w:p>
      <w:pPr>
        <w:pStyle w:val="760"/>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一、总 则</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2.2 满足本文件实质性要求的规定。</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3.2 在本项目政府采购活动过程中，如果所执行的标准有更新的，按照最新标准执行。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80" w:lineRule="exact"/>
        <w:rPr>
          <w:rFonts w:ascii="宋体" w:hAnsi="宋体" w:cs="宋体"/>
          <w:color w:val="auto"/>
          <w:sz w:val="24"/>
          <w:highlight w:val="none"/>
        </w:rPr>
      </w:pPr>
      <w:r/>
      <w:bookmarkStart w:id="71" w:name="_Toc15995"/>
      <w:r/>
      <w:bookmarkStart w:id="72" w:name="_Toc81575156"/>
      <w:r/>
      <w:bookmarkStart w:id="73" w:name="_Toc81575193"/>
      <w:r/>
      <w:bookmarkStart w:id="74" w:name="_Toc29306"/>
      <w:r>
        <w:rPr>
          <w:rFonts w:hint="eastAsia" w:ascii="宋体" w:hAnsi="宋体" w:cs="宋体"/>
          <w:color w:val="auto"/>
          <w:sz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4.2 代理费用收取方式及标准：</w:t>
      </w:r>
      <w:r>
        <w:rPr>
          <w:rFonts w:hint="eastAsia" w:ascii="宋体" w:hAnsi="宋体" w:cs="宋体"/>
          <w:color w:val="auto"/>
          <w:sz w:val="24"/>
          <w:highlight w:val="none"/>
          <w:u w:val="single"/>
        </w:rPr>
        <w:t xml:space="preserve">由采购人支付，按照委托代理合同约定支付代理费（可以采用数字人民币支付）。</w:t>
      </w:r>
      <w:r/>
    </w:p>
    <w:p>
      <w:pPr>
        <w:pStyle w:val="760"/>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5、招标文件的约束力</w:t>
      </w:r>
      <w:r/>
    </w:p>
    <w:p>
      <w:pPr>
        <w:pStyle w:val="760"/>
        <w:ind w:firstLine="480"/>
        <w:spacing w:before="0" w:after="0" w:line="480" w:lineRule="exact"/>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 投标人一旦参加本项目采购活动，即被认为接受了本招标文件的规定和约束。</w:t>
      </w:r>
      <w:r/>
    </w:p>
    <w:p>
      <w:pPr>
        <w:pStyle w:val="760"/>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二、招标文件</w:t>
      </w:r>
      <w:bookmarkEnd w:id="71"/>
      <w:r/>
      <w:bookmarkEnd w:id="72"/>
      <w:r/>
      <w:bookmarkEnd w:id="73"/>
      <w:r/>
      <w:bookmarkEnd w:id="7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7、政府采购政策功能落实</w:t>
      </w:r>
      <w:r/>
    </w:p>
    <w:p>
      <w:pPr>
        <w:ind w:firstLine="482"/>
        <w:spacing w:line="480" w:lineRule="exact"/>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7.1、7.2 、7.3、7.4、7.5</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7.1中小企业政策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扣除，用扣除后的价格参加评审。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⑤联合体各方均为小型、微型企业（残疾人福利单位、监狱企业）的，联合体享受/%价格扣除，用扣除后的价格参与评审。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7.2节能产品、环境标志产品</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7.2.2采购人拟采购的产品属于优先采购的节能环保品目清单范围的，按以下条件优先采购：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7.3.1商品包装、快递包装政府采购需求标准（试行）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7.3.2绿色数据中心政府采购需求标准（试行）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7.3.3绿色建材政府采购需求标准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按照财政部住房和城乡建设部工业和信息化部关于印发《关于扩大政府采购支持绿色建材促进建筑品质提升政策实施范围的通知》要求执行。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26"/>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b/>
          <w:bCs/>
          <w:color w:val="auto"/>
          <w:szCs w:val="24"/>
          <w:highlight w:val="none"/>
          <w:shd w:val="clear" w:color="auto" w:fill="ffffff"/>
        </w:rPr>
        <w:t xml:space="preserve">采购本国产品的支持政策</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.3 供应商需按照招标文件的要求提供《关于符合本国产品标准的声明函》（以下简称《声明函》），如不提供将不享受本国产品价格评审优惠。</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7.5</w:t>
      </w:r>
      <w:r>
        <w:rPr>
          <w:rFonts w:hint="eastAsia" w:ascii="宋体" w:hAnsi="宋体" w:cs="宋体"/>
          <w:color w:val="auto"/>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8、招标文件的澄清或修改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8.2招标文件的澄清、修改将在原公告媒体上发布更正公告，澄清、修改文件均作为招标文件的组成部分，并对投标人具有约束力。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8.3投标人应及时登录“苏采云”系统获取澄清答疑文件（修改后的招标文件），如投标人未能及时下载澄清答疑文件，造成的相关责任由投标人承担。</w:t>
      </w:r>
      <w:r/>
    </w:p>
    <w:p>
      <w:pPr>
        <w:pStyle w:val="760"/>
        <w:ind w:firstLine="482"/>
        <w:spacing w:before="0" w:after="0" w:line="480" w:lineRule="exact"/>
        <w:rPr>
          <w:rFonts w:ascii="宋体" w:hAnsi="宋体" w:eastAsia="宋体" w:cs="宋体"/>
          <w:bCs/>
          <w:color w:val="auto"/>
          <w:sz w:val="24"/>
          <w:szCs w:val="24"/>
          <w:highlight w:val="none"/>
        </w:rPr>
      </w:pPr>
      <w:r/>
      <w:bookmarkStart w:id="75" w:name="_Toc11461"/>
      <w:r/>
      <w:bookmarkStart w:id="76" w:name="_Toc81575157"/>
      <w:r/>
      <w:bookmarkStart w:id="77" w:name="_Toc81575194"/>
      <w:r/>
      <w:bookmarkStart w:id="78" w:name="_Toc5574"/>
      <w:r>
        <w:rPr>
          <w:rFonts w:hint="eastAsia" w:ascii="宋体" w:hAnsi="宋体" w:eastAsia="宋体" w:cs="宋体"/>
          <w:bCs/>
          <w:color w:val="auto"/>
          <w:sz w:val="24"/>
          <w:szCs w:val="24"/>
          <w:highlight w:val="none"/>
        </w:rPr>
        <w:t xml:space="preserve">三、投标文件的编制</w:t>
      </w:r>
      <w:bookmarkEnd w:id="75"/>
      <w:r/>
      <w:bookmarkEnd w:id="76"/>
      <w:r/>
      <w:bookmarkEnd w:id="77"/>
      <w:r/>
      <w:bookmarkEnd w:id="7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9、投标文件的编制要求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10、投标文件构成</w:t>
      </w:r>
      <w:r/>
    </w:p>
    <w:p>
      <w:pPr>
        <w:ind w:firstLine="480"/>
        <w:spacing w:line="480" w:lineRule="exact"/>
        <w:rPr>
          <w:rFonts w:ascii="宋体" w:hAnsi="宋体" w:cs="宋体"/>
          <w:bCs/>
          <w:color w:val="auto"/>
          <w:sz w:val="24"/>
          <w:highlight w:val="none"/>
        </w:rPr>
      </w:pPr>
      <w:r>
        <w:rPr>
          <w:rFonts w:hint="eastAsia" w:ascii="宋体" w:hAnsi="宋体" w:cs="宋体"/>
          <w:color w:val="auto"/>
          <w:sz w:val="24"/>
          <w:highlight w:val="none"/>
        </w:rPr>
        <w:t xml:space="preserve">10.1投标文件包括资格证明文件、开标一览表、分项报价表、响应及偏离表、投标函、其他证明文件等部分。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79" w:name="EBc50e2bb832bb43068403b10c1cce6141"/>
      <w:r/>
      <w:r/>
    </w:p>
    <w:p>
      <w:pPr>
        <w:ind w:firstLine="482"/>
        <w:spacing w:line="480" w:lineRule="exact"/>
        <w:rPr>
          <w:rFonts w:ascii="宋体" w:hAnsi="宋体" w:cs="宋体"/>
          <w:bCs/>
          <w:color w:val="auto"/>
          <w:sz w:val="24"/>
          <w:highlight w:val="none"/>
        </w:rPr>
      </w:pPr>
      <w:r>
        <w:rPr>
          <w:rFonts w:hint="eastAsia" w:ascii="宋体" w:hAnsi="宋体" w:cs="宋体"/>
          <w:b/>
          <w:color w:val="auto"/>
          <w:sz w:val="24"/>
          <w:highlight w:val="none"/>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11、投标报价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11.2报价注意事项：投标价格一律以人民币计算，以元为单位标注，最多保留至小数点后两位，招标文件有规定的按招标文件执行。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12、投标保证金</w:t>
      </w:r>
      <w:bookmarkStart w:id="80" w:name="EB183a0bf075204c54a4ff090f1aecaaa7"/>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8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13、投标有效期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60"/>
        <w:ind w:firstLine="482"/>
        <w:spacing w:before="0" w:after="0" w:line="480" w:lineRule="exact"/>
        <w:rPr>
          <w:rFonts w:ascii="宋体" w:hAnsi="宋体" w:eastAsia="宋体" w:cs="宋体"/>
          <w:bCs/>
          <w:color w:val="auto"/>
          <w:sz w:val="24"/>
          <w:szCs w:val="24"/>
          <w:highlight w:val="none"/>
        </w:rPr>
      </w:pPr>
      <w:r/>
      <w:bookmarkStart w:id="81" w:name="_Toc23443"/>
      <w:r/>
      <w:bookmarkStart w:id="82" w:name="_Toc2773"/>
      <w:r/>
      <w:bookmarkStart w:id="83" w:name="_Toc81575158"/>
      <w:r/>
      <w:bookmarkStart w:id="84" w:name="_Toc81575195"/>
      <w:r>
        <w:rPr>
          <w:rFonts w:hint="eastAsia" w:ascii="宋体" w:hAnsi="宋体" w:eastAsia="宋体" w:cs="宋体"/>
          <w:bCs/>
          <w:color w:val="auto"/>
          <w:sz w:val="24"/>
          <w:szCs w:val="24"/>
          <w:highlight w:val="none"/>
        </w:rPr>
        <w:t xml:space="preserve">四、投标文件的提交</w:t>
      </w:r>
      <w:bookmarkEnd w:id="81"/>
      <w:r/>
      <w:bookmarkEnd w:id="82"/>
      <w:r/>
      <w:bookmarkEnd w:id="83"/>
      <w:r/>
      <w:bookmarkEnd w:id="8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14、投标文件的提交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14.2投标文件的修改和撤回：在投标截止时间之前，投标人可以撤回或重新提交投标文件。投标文件以最终完成上传的为准。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15、投标文件被拒绝接收的情形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760"/>
        <w:ind w:firstLine="482"/>
        <w:spacing w:before="0" w:after="0" w:line="480" w:lineRule="exact"/>
        <w:rPr>
          <w:rFonts w:ascii="宋体" w:hAnsi="宋体" w:eastAsia="宋体" w:cs="宋体"/>
          <w:bCs/>
          <w:color w:val="auto"/>
          <w:sz w:val="24"/>
          <w:szCs w:val="24"/>
          <w:highlight w:val="none"/>
        </w:rPr>
      </w:pPr>
      <w:r/>
      <w:bookmarkStart w:id="85" w:name="_Toc959"/>
      <w:r/>
      <w:bookmarkStart w:id="86" w:name="_Toc20026"/>
      <w:r/>
      <w:bookmarkStart w:id="87" w:name="_Toc81575160"/>
      <w:r/>
      <w:bookmarkStart w:id="88" w:name="_Toc81575197"/>
      <w:r>
        <w:rPr>
          <w:rFonts w:hint="eastAsia" w:ascii="宋体" w:hAnsi="宋体" w:eastAsia="宋体" w:cs="宋体"/>
          <w:bCs/>
          <w:color w:val="auto"/>
          <w:sz w:val="24"/>
          <w:szCs w:val="24"/>
          <w:highlight w:val="none"/>
        </w:rPr>
        <w:t xml:space="preserve">五、开标、评标程序</w:t>
      </w:r>
      <w:bookmarkEnd w:id="85"/>
      <w:r/>
      <w:bookmarkEnd w:id="86"/>
      <w:r/>
      <w:bookmarkEnd w:id="87"/>
      <w:r/>
      <w:bookmarkEnd w:id="8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16、开标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16.2开标仪式由采购代理机构组织。“苏采云”系统将自动对项目进行开标，并宣布各投标人名称和投标价格。</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16.5投标人在开、评标全过程中应保持通讯畅通，及时登录“苏采云”系统查阅、答复相关信息。</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17、评标委员会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18、评标程序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18.1资格审查</w:t>
      </w:r>
      <w:bookmarkStart w:id="89" w:name="EBa9c0a2c9e523494487594c65b2a92370"/>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89"/>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18.2符合性检查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90"/>
      <w:r>
        <w:rPr>
          <w:rFonts w:hint="eastAsia" w:ascii="宋体" w:hAnsi="宋体" w:cs="宋体"/>
          <w:color w:val="auto"/>
          <w:sz w:val="24"/>
          <w:highlight w:val="none"/>
        </w:rPr>
        <w:t xml:space="preserve">重大偏离的认定需经过评标委员会以少数服从多数的原则作出结论。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18.5相同品牌产品投标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18.5.3非单一产品采购项目，采购人确定核心产品，并在招标文件中载明。多家投标人提供的核心产品品牌相同的，按前两款规定处理。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18.6有关问题的澄清</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18.6.2投标文件报价出现前后不一致的，除招标文件另有规定外，按照下列规定修正：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18.7异常低价投标审查</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18.7.1 评标过程中出现下列情形之一的，评审委员会应当启动异常低价投标（响应）审查程序：</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相关法律法规对供应商报价有规定的，从其规定。</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18.8比较</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18.9推荐中标候选人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760"/>
        <w:ind w:firstLine="482"/>
        <w:spacing w:before="0" w:after="0" w:line="480" w:lineRule="exact"/>
        <w:rPr>
          <w:rFonts w:ascii="宋体" w:hAnsi="宋体" w:eastAsia="宋体" w:cs="宋体"/>
          <w:bCs/>
          <w:color w:val="auto"/>
          <w:sz w:val="24"/>
          <w:szCs w:val="24"/>
          <w:highlight w:val="none"/>
        </w:rPr>
      </w:pPr>
      <w:r/>
      <w:bookmarkStart w:id="91" w:name="_Toc81575159"/>
      <w:r/>
      <w:bookmarkStart w:id="92" w:name="_Toc8841"/>
      <w:r/>
      <w:bookmarkStart w:id="93" w:name="_Toc8712"/>
      <w:r/>
      <w:bookmarkStart w:id="94" w:name="_Toc81575196"/>
      <w:r>
        <w:rPr>
          <w:rFonts w:hint="eastAsia" w:ascii="宋体" w:hAnsi="宋体" w:eastAsia="宋体" w:cs="宋体"/>
          <w:bCs/>
          <w:color w:val="auto"/>
          <w:sz w:val="24"/>
          <w:szCs w:val="24"/>
          <w:highlight w:val="none"/>
        </w:rPr>
        <w:t xml:space="preserve">六、无效投标、废标、串通投标</w:t>
      </w:r>
      <w:bookmarkEnd w:id="91"/>
      <w:r/>
      <w:bookmarkEnd w:id="92"/>
      <w:r/>
      <w:bookmarkEnd w:id="93"/>
      <w:r/>
      <w:bookmarkEnd w:id="94"/>
      <w:r>
        <w:rPr>
          <w:rFonts w:hint="eastAsia" w:ascii="宋体" w:hAnsi="宋体" w:eastAsia="宋体" w:cs="宋体"/>
          <w:bCs/>
          <w:color w:val="auto"/>
          <w:sz w:val="24"/>
          <w:szCs w:val="24"/>
          <w:highlight w:val="none"/>
        </w:rPr>
        <w:t xml:space="preserve">及取消中标候选人资格情形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19、无效投标情形</w:t>
      </w:r>
      <w:r/>
    </w:p>
    <w:p>
      <w:pPr>
        <w:ind w:firstLine="480"/>
        <w:spacing w:line="480" w:lineRule="exact"/>
        <w:rPr>
          <w:rFonts w:ascii="宋体" w:hAnsi="宋体" w:cs="宋体"/>
          <w:strike/>
          <w:color w:val="auto"/>
          <w:sz w:val="24"/>
          <w:szCs w:val="24"/>
          <w:highlight w:val="none"/>
        </w:rPr>
      </w:pPr>
      <w:r>
        <w:rPr>
          <w:rFonts w:hint="eastAsia" w:ascii="宋体" w:hAnsi="宋体" w:cs="宋体"/>
          <w:color w:val="auto"/>
          <w:sz w:val="24"/>
          <w:szCs w:val="24"/>
          <w:highlight w:val="none"/>
        </w:rPr>
        <w:t xml:space="preserve">19.1投标人同一采购包提交两个（含两个）以上不同的投标报价的。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19.2投标人不符合招标文件规定资格要求的或未按规定提交资质证件的。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19.3投标人的报价超过了采购预算或最高限价的。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19.4投标文件未通过符合性审查的。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19.5投标文件出现重大偏离，不符合招标文件中规定的实质性要求的（★部分为实质性要求）。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19.8投标文件未按照招标文件要求加盖CA电子公章的。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19.9投标人有本招标文件规定的恶意串通投标情形的。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19.10投标文件含有采购人不能接受的附加条件的。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19.11投标人所投标产品不符合招标文件中所列国家强制性标准的。</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19.12其他法律、法规及本招标文件规定的属无效投标的情形。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20、废标情形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20.1符合专业条件的投标人或者对招标文件作实质响应的投标人不足三家的。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20.2出现影响采购公正的违法、违规行为的。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20.3因重大变故，采购任务取消的。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20.4评标委员会认定招标文件存在歧义、重大缺陷导致评审工作无法进行的。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20.5在“苏采云”系统规定时间内成功解密电子投标文件的投标人不足3家的。</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21、投标人不足三家情形处理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22、串通投标情形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有下列情形之一的，属于恶意串通投标：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22.1供应商直接或间接从采购人或采购代理机构处获得其他供应商的投标情况，并修改其投标文件；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22.2评审活动开始前供应商直接或间接从采购人或采购代理机构处获得评标委员会组成人员情况；</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22.3供应商接受采购人或采购代理机构授意撤换、修改投标文件；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22.4供应商之间协商投标报价、技术方案等投标文件实质性内容；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22.5属于同一集团、协会、商会等组织成员的供应商按照该组织要求协同投标；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22.6供应商之间事先约定由某一特定供应商中标、成交；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22.7供应商之间商定部分供应商放弃投标或者放弃中标、成交；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22.8供应商与采购人或采购代理机构之间、供应商相互之间为谋求特定供应商中标成交或者排斥其他供应商的其他串通行为；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有下列情形之一的，视为投标人串通投标，其投标无效：</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22.9不同投标人的投标文件由同一单位或者个人编制；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22.10不同投标人委托同一单位或者个人办理投标事宜；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22.11不同投标人的投标文件载明的项目管理成员或者联系人员为同一人；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22.12不同投标人的投标文件异常一致或者投标报价呈规律性差异；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22.13不同投标人的投标文件相互混装；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22.14不同投标人的投标保证金从同一单位或者个人的账户转出。</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23、</w:t>
      </w:r>
      <w:bookmarkStart w:id="95" w:name="OLE_LINK4"/>
      <w:r>
        <w:rPr>
          <w:rFonts w:hint="eastAsia" w:ascii="宋体" w:hAnsi="宋体" w:cs="宋体"/>
          <w:b/>
          <w:color w:val="auto"/>
          <w:sz w:val="24"/>
          <w:highlight w:val="none"/>
        </w:rPr>
        <w:t xml:space="preserve">取消中标候选人资格情形</w:t>
      </w:r>
      <w:bookmarkEnd w:id="95"/>
      <w:r/>
      <w:r/>
    </w:p>
    <w:p>
      <w:pPr>
        <w:ind w:firstLine="480"/>
        <w:spacing w:line="480" w:lineRule="exact"/>
        <w:rPr>
          <w:rFonts w:ascii="宋体" w:hAnsi="宋体" w:cs="宋体"/>
          <w:color w:val="auto"/>
          <w:sz w:val="24"/>
          <w:szCs w:val="24"/>
          <w:highlight w:val="none"/>
        </w:rPr>
      </w:pPr>
      <w:r/>
      <w:bookmarkStart w:id="96" w:name="_Toc6494"/>
      <w:r/>
      <w:bookmarkStart w:id="97" w:name="_Toc81575198"/>
      <w:r/>
      <w:bookmarkStart w:id="98" w:name="_Toc81575161"/>
      <w:r/>
      <w:bookmarkStart w:id="99" w:name="_Toc2391"/>
      <w:r>
        <w:rPr>
          <w:rFonts w:hint="eastAsia" w:ascii="宋体" w:hAnsi="宋体" w:cs="宋体"/>
          <w:color w:val="auto"/>
          <w:sz w:val="24"/>
          <w:szCs w:val="24"/>
          <w:highlight w:val="none"/>
        </w:rPr>
        <w:t xml:space="preserve">23.1提供虚假材料谋取中标的；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23.2采取不正当手段诋毁、排挤其他投标人的；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23.3与采购人、其他投标人或者采购代理机构恶意串通的；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23.4向采购人、采购代理机构行贿或者提供其他不正当利益的；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23.5未在规定时间内与采购人签订采购合同的；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23.6法律、法规规定的其他情况。</w:t>
      </w:r>
      <w:r/>
    </w:p>
    <w:p>
      <w:pPr>
        <w:ind w:firstLine="482"/>
        <w:spacing w:line="48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七、中标及合同签订</w:t>
      </w:r>
      <w:bookmarkEnd w:id="96"/>
      <w:r/>
      <w:bookmarkEnd w:id="97"/>
      <w:r/>
      <w:bookmarkEnd w:id="98"/>
      <w:r/>
      <w:bookmarkEnd w:id="9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24、确定中标人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24.1采购人应当自收到评审报告之日起5个工作日内在评审报告推荐的中标候选人中按顺序确定中标人。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24.2中标人确定之日起2个工作日内，采购人、采购代理机构将发布中标结果，中标公告的公告期限为1个工作日。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24.3采购人确定正被列为失信被执行人的投标人为中标人的，中标结果无效。</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25、中标通知书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25.2中标通知书发出后，采购人改变中标结果的，或者中标人放弃中标项目的，应当依法承担法律责任。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25.3采用综合评分法评审的，未中标人可于中标结果公告期限届满之日起通过“苏采云”系统查看</w:t>
      </w:r>
      <w:bookmarkStart w:id="100" w:name="OLE_LINK5"/>
      <w:r>
        <w:rPr>
          <w:rFonts w:hint="eastAsia" w:ascii="宋体" w:hAnsi="宋体" w:cs="宋体"/>
          <w:color w:val="auto"/>
          <w:sz w:val="24"/>
          <w:highlight w:val="none"/>
        </w:rPr>
        <w:t xml:space="preserve">自己的评审得分及排序情况。</w:t>
      </w:r>
      <w:bookmarkEnd w:id="10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26、授予合同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26.2采购人在自合同签订之日起2个工作日内，将合同在指定的媒体上公告。</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27、履约保证金</w:t>
      </w:r>
      <w:r/>
    </w:p>
    <w:p>
      <w:pPr>
        <w:ind w:firstLine="480"/>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27.1履约保证金提交形式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履约保证金应</w:t>
      </w:r>
      <w:r>
        <w:rPr>
          <w:rFonts w:hint="eastAsia" w:ascii="宋体" w:hAnsi="宋体" w:cs="宋体"/>
          <w:color w:val="auto"/>
          <w:sz w:val="24"/>
          <w:highlight w:val="none"/>
          <w:lang w:val="zh-CN"/>
        </w:rPr>
        <w:t xml:space="preserve">在中标公告发布之日起7日历天内提交。</w:t>
      </w:r>
      <w:r>
        <w:rPr>
          <w:rFonts w:hint="eastAsia" w:ascii="宋体" w:hAnsi="宋体" w:cs="宋体"/>
          <w:color w:val="auto"/>
          <w:sz w:val="24"/>
          <w:highlight w:val="none"/>
        </w:rPr>
        <w:t xml:space="preserve">除银行电汇、网上银行、数字人民币外，投标人还可选用银行保函、担保公司的保证担保或保险公司的保证保险等多种形式向采购人缴纳。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27.2履约保证金提交金额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cs="宋体"/>
          <w:color w:val="auto"/>
          <w:sz w:val="24"/>
          <w:highlight w:val="none"/>
          <w:u w:val="single"/>
        </w:rPr>
        <w:t xml:space="preserve">1.2</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27.3履约保证金退还方式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27.4履约保证金退还条件，按以下第</w:t>
      </w:r>
      <w:r>
        <w:rPr>
          <w:rFonts w:hint="eastAsia" w:ascii="宋体" w:hAnsi="宋体" w:cs="宋体"/>
          <w:color w:val="auto"/>
          <w:sz w:val="24"/>
          <w:highlight w:val="none"/>
          <w:u w:val="single"/>
        </w:rPr>
        <w:t xml:space="preserve"> a </w:t>
      </w:r>
      <w:r>
        <w:rPr>
          <w:rFonts w:hint="eastAsia" w:ascii="宋体" w:hAnsi="宋体" w:cs="宋体"/>
          <w:color w:val="auto"/>
          <w:sz w:val="24"/>
          <w:highlight w:val="none"/>
        </w:rPr>
        <w:t xml:space="preserve">方式执行：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a、货物类项目，项目验收合格，出具验收报告及履约保证金收据申请退付；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b、服务类项目，项目履约期满评价合格，出具履约评价报告及履约保证金收据申请退付；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c、工程类项目，项目完工验收合格，出具完工证明及履约保证金收据申请退付；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27.5履约保证金退还时间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27.6履约保证金不予退还情形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27.7逾期退还履约保证金违约责任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27.8如中标人未在规定时间内缴纳履约保证金，视为虚假承诺，采购人有权报请财政部门进行处理。</w:t>
      </w:r>
      <w:r/>
    </w:p>
    <w:p>
      <w:pPr>
        <w:ind w:firstLine="482"/>
        <w:spacing w:line="480" w:lineRule="exact"/>
        <w:rPr>
          <w:rFonts w:ascii="宋体" w:hAnsi="宋体" w:cs="宋体"/>
          <w:b/>
          <w:bCs/>
          <w:color w:val="auto"/>
          <w:sz w:val="24"/>
          <w:highlight w:val="none"/>
        </w:rPr>
      </w:pPr>
      <w:r>
        <w:rPr>
          <w:rFonts w:hint="eastAsia" w:ascii="宋体" w:hAnsi="宋体" w:cs="宋体"/>
          <w:b/>
          <w:color w:val="auto"/>
          <w:sz w:val="24"/>
          <w:highlight w:val="none"/>
        </w:rPr>
        <w:t xml:space="preserve">28、</w:t>
      </w:r>
      <w:r>
        <w:rPr>
          <w:rFonts w:hint="eastAsia" w:ascii="宋体" w:hAnsi="宋体" w:cs="宋体"/>
          <w:b/>
          <w:color w:val="auto"/>
          <w:sz w:val="24"/>
          <w:szCs w:val="24"/>
          <w:highlight w:val="none"/>
        </w:rPr>
        <w:t xml:space="preserve">政府采购履约资金扶持政策</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p>
    <w:p>
      <w:pPr>
        <w:ind w:firstLine="482"/>
        <w:spacing w:line="480" w:lineRule="exact"/>
        <w:rPr>
          <w:rFonts w:ascii="宋体" w:hAnsi="宋体" w:cs="宋体"/>
          <w:color w:val="auto"/>
          <w:sz w:val="24"/>
          <w:highlight w:val="none"/>
        </w:rPr>
      </w:pPr>
      <w:r>
        <w:rPr>
          <w:rFonts w:hint="eastAsia" w:ascii="宋体" w:hAnsi="宋体" w:cs="宋体"/>
          <w:b/>
          <w:color w:val="auto"/>
          <w:sz w:val="24"/>
          <w:highlight w:val="none"/>
        </w:rPr>
        <w:t xml:space="preserve">29、合同履行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29.1政府采购合同订立后，合同各方不得擅自变更、中止或者终止合同。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760"/>
        <w:ind w:firstLine="482"/>
        <w:spacing w:before="0" w:after="0" w:line="480" w:lineRule="exact"/>
        <w:rPr>
          <w:rFonts w:ascii="宋体" w:hAnsi="宋体" w:eastAsia="宋体" w:cs="宋体"/>
          <w:bCs/>
          <w:color w:val="auto"/>
          <w:sz w:val="24"/>
          <w:szCs w:val="24"/>
          <w:highlight w:val="none"/>
        </w:rPr>
      </w:pPr>
      <w:r/>
      <w:bookmarkStart w:id="101" w:name="_Toc7550"/>
      <w:r/>
      <w:bookmarkStart w:id="102" w:name="_Toc22084"/>
      <w:r/>
      <w:bookmarkStart w:id="103" w:name="_Toc81575199"/>
      <w:r/>
      <w:bookmarkStart w:id="104" w:name="_Toc81575162"/>
      <w:r>
        <w:rPr>
          <w:rFonts w:hint="eastAsia" w:ascii="宋体" w:hAnsi="宋体" w:eastAsia="宋体" w:cs="宋体"/>
          <w:bCs/>
          <w:color w:val="auto"/>
          <w:sz w:val="24"/>
          <w:szCs w:val="24"/>
          <w:highlight w:val="none"/>
        </w:rPr>
        <w:t xml:space="preserve">八、</w:t>
      </w:r>
      <w:bookmarkEnd w:id="101"/>
      <w:r/>
      <w:bookmarkEnd w:id="102"/>
      <w:r/>
      <w:bookmarkEnd w:id="103"/>
      <w:r/>
      <w:bookmarkEnd w:id="104"/>
      <w:r/>
      <w:bookmarkStart w:id="105" w:name="_Toc81575163"/>
      <w:r/>
      <w:bookmarkStart w:id="106" w:name="_Toc31888"/>
      <w:r/>
      <w:bookmarkStart w:id="107" w:name="_Toc81575200"/>
      <w:r/>
      <w:bookmarkStart w:id="108" w:name="_Toc12263"/>
      <w:r>
        <w:rPr>
          <w:rFonts w:hint="eastAsia" w:ascii="宋体" w:hAnsi="宋体" w:eastAsia="宋体" w:cs="宋体"/>
          <w:bCs/>
          <w:color w:val="auto"/>
          <w:sz w:val="24"/>
          <w:szCs w:val="24"/>
          <w:highlight w:val="none"/>
        </w:rPr>
        <w:t xml:space="preserve">质疑与投诉</w:t>
      </w:r>
      <w:bookmarkEnd w:id="105"/>
      <w:r/>
      <w:bookmarkEnd w:id="106"/>
      <w:r/>
      <w:bookmarkEnd w:id="107"/>
      <w:r/>
      <w:bookmarkEnd w:id="10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30、质疑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本项目接收质疑函的方式：现场接收或邮寄接收。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联系部门：泗洪县教育局、江苏春为全过程工程咨询有限公司</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联系电话：13809094632、18851398356</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通讯地址：泗洪县洪泽湖路东大街、泗洪县明德紫郡东门商铺往南50米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30.2供应商应知其权益受到损害之日，是指：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30.4供应商提出质疑应当提交质疑函和必要的证明材料。质疑函的必备内容：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30.5采购人在收到质疑函后7个工作日内作出答复，并以书面形式通知质疑供应商和其他有关供应商，但质疑答复的内容不涉及商业秘密。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31、投诉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highlight w:val="none"/>
        </w:rPr>
        <w:t xml:space="preserve">质疑供应商对答复不满意或采购人未在规定时间内作出答复的，可在答复期满后15个工作日内向同级财政部门提起投诉。</w:t>
      </w:r>
      <w:r/>
    </w:p>
    <w:p>
      <w:pPr>
        <w:pStyle w:val="759"/>
        <w:jc w:val="center"/>
        <w:spacing w:before="200"/>
        <w:rPr>
          <w:color w:val="auto"/>
          <w:highlight w:val="none"/>
        </w:rPr>
      </w:pPr>
      <w:r/>
      <w:bookmarkStart w:id="109" w:name="EB4d341233595e4bf8ad7006b4bd78d974"/>
      <w:r/>
      <w:bookmarkEnd w:id="109"/>
      <w:r/>
      <w:bookmarkStart w:id="110" w:name="_Toc81575201"/>
      <w:r/>
      <w:bookmarkStart w:id="111" w:name="_Toc81575164"/>
      <w:r/>
      <w:bookmarkStart w:id="112" w:name="_Hlk166141273"/>
      <w:r>
        <w:rPr>
          <w:rFonts w:hint="eastAsia"/>
          <w:color w:val="auto"/>
          <w:highlight w:val="none"/>
        </w:rPr>
        <w:br w:type="page" w:clear="all"/>
      </w:r>
      <w:bookmarkStart w:id="113" w:name="_Toc17996"/>
      <w:r>
        <w:rPr>
          <w:rFonts w:hint="eastAsia" w:ascii="Calibri" w:hAnsi="Calibri" w:eastAsia="宋体" w:cs="Times New Roman"/>
          <w:b/>
          <w:color w:val="auto"/>
          <w:sz w:val="36"/>
          <w:szCs w:val="36"/>
          <w:highlight w:val="none"/>
        </w:rPr>
        <w:t xml:space="preserve">第三章  资格审查及评标</w:t>
      </w:r>
      <w:bookmarkEnd w:id="110"/>
      <w:r/>
      <w:bookmarkEnd w:id="111"/>
      <w:r/>
      <w:bookmarkEnd w:id="113"/>
      <w:r>
        <w:rPr>
          <w:rFonts w:hint="eastAsia" w:ascii="Calibri" w:hAnsi="Calibri" w:eastAsia="宋体" w:cs="Times New Roman"/>
          <w:b/>
          <w:color w:val="auto"/>
          <w:sz w:val="36"/>
          <w:szCs w:val="36"/>
          <w:highlight w:val="none"/>
        </w:rPr>
        <w:t xml:space="preserve">方法</w:t>
      </w:r>
      <w:r/>
    </w:p>
    <w:p>
      <w:pPr>
        <w:ind w:firstLine="482"/>
        <w:jc w:val="left"/>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一、资格审查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资格审查人员按照下列指标对各投标人的资格进行审查，未通过审查的为无效标，不参与评标。</w:t>
      </w:r>
      <w:r/>
    </w:p>
    <w:tbl>
      <w:tblPr>
        <w:tblStyle w:val="70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360" w:lineRule="exact"/>
              <w:rPr>
                <w:rFonts w:ascii="宋体" w:hAnsi="宋体" w:cs="宋体"/>
                <w:color w:val="auto"/>
                <w:sz w:val="24"/>
                <w:szCs w:val="24"/>
                <w:highlight w:val="none"/>
              </w:rPr>
            </w:pPr>
            <w:r/>
            <w:bookmarkStart w:id="114" w:name="EB9af8278fd1df4f8591f0fad951f64ddb"/>
            <w:r>
              <w:rPr>
                <w:rFonts w:hint="eastAsia" w:ascii="宋体" w:hAnsi="宋体" w:cs="宋体"/>
                <w:color w:val="auto"/>
                <w:sz w:val="24"/>
                <w:szCs w:val="24"/>
                <w:highlight w:val="none"/>
              </w:rPr>
              <w:t xml:space="preserve">资格审查因素</w:t>
            </w:r>
            <w:r/>
          </w:p>
        </w:tc>
        <w:tc>
          <w:tcPr>
            <w:tcW w:w="4791"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355"/>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投标声明及承诺函</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bookmarkEnd w:id="114"/>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投标代理人(授权委托人)要求</w:t>
            </w:r>
            <w:r/>
          </w:p>
        </w:tc>
        <w:tc>
          <w:tcPr>
            <w:tcW w:w="4791" w:type="dxa"/>
            <w:vAlign w:val="center"/>
            <w:textDirection w:val="lrTb"/>
            <w:noWrap/>
          </w:tcPr>
          <w:p>
            <w:pPr>
              <w:spacing w:line="360" w:lineRule="exact"/>
              <w:rPr>
                <w:rFonts w:ascii="宋体" w:hAnsi="宋体" w:cs="宋体"/>
                <w:color w:val="auto"/>
                <w:sz w:val="24"/>
                <w:szCs w:val="24"/>
                <w:highlight w:val="none"/>
              </w:rPr>
            </w:pPr>
            <w:r>
              <w:rPr>
                <w:color w:val="auto"/>
                <w:sz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联合体投标</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tc>
      </w:tr>
    </w:tbl>
    <w:p>
      <w:pPr>
        <w:ind w:firstLine="482"/>
        <w:jc w:val="left"/>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126"/>
        <w:ind w:firstLine="482"/>
        <w:spacing w:line="480" w:lineRule="exact"/>
        <w:rPr>
          <w:rFonts w:ascii="宋体" w:hAnsi="宋体" w:cs="宋体"/>
          <w:color w:val="auto"/>
          <w:szCs w:val="24"/>
          <w:highlight w:val="none"/>
        </w:rPr>
        <w:outlineLvl w:val="1"/>
      </w:pPr>
      <w:r/>
      <w:bookmarkStart w:id="115" w:name="_Toc12255"/>
      <w:r/>
      <w:bookmarkStart w:id="116" w:name="_Toc81575205"/>
      <w:r/>
      <w:bookmarkStart w:id="117" w:name="_Toc81575168"/>
      <w:r/>
      <w:bookmarkStart w:id="118" w:name="_Toc2916"/>
      <w:r/>
      <w:bookmarkStart w:id="119" w:name="_Toc22314"/>
      <w:r>
        <w:rPr>
          <w:rFonts w:hint="eastAsia" w:ascii="宋体" w:hAnsi="宋体" w:cs="宋体"/>
          <w:b/>
          <w:bCs/>
          <w:color w:val="auto"/>
          <w:szCs w:val="24"/>
          <w:highlight w:val="none"/>
          <w:shd w:val="clear" w:color="auto" w:fill="ffffff"/>
        </w:rPr>
        <w:t xml:space="preserve">二、评分办法—综合评分法</w:t>
      </w:r>
      <w:r/>
    </w:p>
    <w:p>
      <w:pPr>
        <w:pStyle w:val="1126"/>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1、评标办法：</w:t>
      </w:r>
      <w:r>
        <w:rPr>
          <w:rFonts w:hint="eastAsia" w:ascii="宋体" w:hAnsi="宋体" w:cs="宋体"/>
          <w:color w:val="auto"/>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126"/>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1126"/>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综合评分保留至小数点后两位。 </w:t>
      </w:r>
      <w:r/>
    </w:p>
    <w:p>
      <w:pPr>
        <w:pStyle w:val="1126"/>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2、符合性审查。</w:t>
      </w:r>
      <w:r>
        <w:rPr>
          <w:rFonts w:hint="eastAsia" w:ascii="宋体" w:hAnsi="宋体" w:cs="宋体"/>
          <w:color w:val="auto"/>
          <w:szCs w:val="24"/>
          <w:highlight w:val="none"/>
          <w:shd w:val="clear" w:color="auto" w:fill="ffffff"/>
        </w:rPr>
        <w:t xml:space="preserve">评标委员会首先按照下列指标对各投标人的投标文件进行符合性审查，未通过审查的为无效标，不再参与评审。</w:t>
      </w:r>
      <w:r/>
    </w:p>
    <w:tbl>
      <w:tblPr>
        <w:tblStyle w:val="70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jc w:val="center"/>
              <w:spacing w:line="360" w:lineRule="exact"/>
              <w:rPr>
                <w:rFonts w:ascii="宋体" w:hAnsi="宋体" w:cs="宋体"/>
                <w:color w:val="auto"/>
                <w:sz w:val="24"/>
                <w:szCs w:val="24"/>
                <w:highlight w:val="none"/>
              </w:rPr>
            </w:pPr>
            <w:r/>
            <w:bookmarkStart w:id="120" w:name="EB75d0996a6f1d4348a21f8c3293010436"/>
            <w:r>
              <w:rPr>
                <w:rFonts w:hint="eastAsia" w:ascii="宋体" w:hAnsi="宋体" w:cs="宋体"/>
                <w:color w:val="auto"/>
                <w:sz w:val="24"/>
                <w:szCs w:val="24"/>
                <w:highlight w:val="none"/>
              </w:rPr>
              <w:t xml:space="preserve">符合性审查因素</w:t>
            </w:r>
            <w:r/>
          </w:p>
        </w:tc>
        <w:tc>
          <w:tcPr>
            <w:tcW w:w="4849"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报价符合性审查</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rHeight w:val="250"/>
        </w:trPr>
        <w:tc>
          <w:tcPr>
            <w:tcW w:w="4364"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w:t>
            </w:r>
            <w:r/>
          </w:p>
        </w:tc>
        <w:tc>
          <w:tcPr>
            <w:tcW w:w="4849"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技术标准和要求</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bookmarkEnd w:id="120"/>
            <w:r/>
            <w:r/>
          </w:p>
        </w:tc>
      </w:tr>
    </w:tbl>
    <w:p>
      <w:pPr>
        <w:pStyle w:val="1126"/>
        <w:ind w:firstLine="482"/>
        <w:spacing w:line="480" w:lineRule="exact"/>
        <w:rPr>
          <w:rFonts w:ascii="宋体" w:hAnsi="宋体" w:cs="宋体"/>
          <w:color w:val="auto"/>
          <w:szCs w:val="24"/>
          <w:highlight w:val="none"/>
          <w:shd w:val="clear" w:color="auto" w:fill="ffffff"/>
        </w:rPr>
      </w:pPr>
      <w:r>
        <w:rPr>
          <w:rFonts w:hint="eastAsia" w:ascii="宋体" w:hAnsi="宋体" w:cs="宋体"/>
          <w:b/>
          <w:bCs/>
          <w:color w:val="auto"/>
          <w:szCs w:val="24"/>
          <w:highlight w:val="none"/>
          <w:shd w:val="clear" w:color="auto" w:fill="ffffff"/>
        </w:rPr>
        <w:t xml:space="preserve">3、详细评审。</w:t>
      </w:r>
      <w:r>
        <w:rPr>
          <w:rFonts w:hint="eastAsia" w:ascii="宋体" w:hAnsi="宋体" w:cs="宋体"/>
          <w:color w:val="auto"/>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705"/>
        <w:tblW w:w="9664" w:type="dxa"/>
        <w:tblInd w:w="-472" w:type="dxa"/>
        <w:tblLayout w:type="autofit"/>
        <w:tblCellMar>
          <w:left w:w="108" w:type="dxa"/>
          <w:top w:w="0" w:type="dxa"/>
          <w:right w:w="108" w:type="dxa"/>
          <w:bottom w:w="0" w:type="dxa"/>
        </w:tblCellMar>
        <w:tblLook w:val="04A0" w:firstRow="1" w:lastRow="0" w:firstColumn="1" w:lastColumn="0" w:noHBand="0" w:noVBand="1"/>
      </w:tblPr>
      <w:tblGrid>
        <w:gridCol w:w="848"/>
        <w:gridCol w:w="990"/>
        <w:gridCol w:w="1125"/>
        <w:gridCol w:w="6701"/>
      </w:tblGrid>
      <w:tr>
        <w:trPr>
          <w:trHeight w:val="312"/>
        </w:trPr>
        <w:tc>
          <w:tcPr>
            <w:gridSpan w:val="2"/>
            <w:tcBorders>
              <w:top w:val="single" w:color="000000" w:sz="8" w:space="0"/>
              <w:left w:val="single" w:color="000000" w:sz="8" w:space="0"/>
              <w:bottom w:val="single" w:color="000000" w:sz="4" w:space="0"/>
              <w:right w:val="single" w:color="000000" w:sz="4" w:space="0"/>
            </w:tcBorders>
            <w:tcW w:w="1838"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评审因素</w:t>
            </w:r>
            <w:r/>
          </w:p>
        </w:tc>
        <w:tc>
          <w:tcPr>
            <w:tcBorders>
              <w:top w:val="single" w:color="000000" w:sz="8"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c>
          <w:tcPr>
            <w:tcBorders>
              <w:top w:val="single" w:color="000000" w:sz="8" w:space="0"/>
              <w:left w:val="single" w:color="000000" w:sz="4" w:space="0"/>
              <w:bottom w:val="single" w:color="000000" w:sz="4" w:space="0"/>
              <w:right w:val="single" w:color="000000" w:sz="8" w:space="0"/>
            </w:tcBorders>
            <w:tcW w:w="6701"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报价分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技术参数要求响应</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35</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针对招标文件“第四部分、采购需求”中的“采购清单及技术参数要求”所列内容进行评分，所投产品技术参数完全满足或优于招标文件技术参数要求的得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bidi="ar"/>
              </w:rPr>
              <w:t xml:space="preserve">35</w:t>
            </w:r>
            <w:r>
              <w:rPr>
                <w:rFonts w:hint="eastAsia" w:ascii="宋体" w:hAnsi="宋体" w:cs="宋体"/>
                <w:color w:val="auto"/>
                <w:sz w:val="24"/>
                <w:szCs w:val="24"/>
                <w:highlight w:val="none"/>
                <w:lang w:bidi="ar"/>
              </w:rPr>
              <w:t xml:space="preserve">分。</w:t>
            </w:r>
            <w:r/>
          </w:p>
          <w:p>
            <w:pPr>
              <w:numPr>
                <w:ilvl w:val="0"/>
                <w:numId w:val="0"/>
              </w:numPr>
              <w:jc w:val="left"/>
              <w:spacing w:line="400" w:lineRule="exact"/>
              <w:widowControl/>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”为实质性响应要求（共1条），不响应为无效标；</w:t>
            </w:r>
            <w:r/>
          </w:p>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标“▲”为重要技术参数（共</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条，计</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分），每有一项负偏离扣</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分，扣完为止。</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、标“＃”为一般参数（共</w:t>
            </w:r>
            <w:r>
              <w:rPr>
                <w:rFonts w:hint="eastAsia" w:ascii="宋体" w:hAnsi="宋体" w:cs="宋体"/>
                <w:color w:val="auto"/>
                <w:sz w:val="24"/>
                <w:szCs w:val="24"/>
                <w:highlight w:val="none"/>
                <w:lang w:val="en-US" w:eastAsia="zh-CN" w:bidi="ar"/>
              </w:rPr>
              <w:t xml:space="preserve">60</w:t>
            </w:r>
            <w:r>
              <w:rPr>
                <w:rFonts w:hint="eastAsia" w:ascii="宋体" w:hAnsi="宋体" w:cs="宋体"/>
                <w:color w:val="auto"/>
                <w:sz w:val="24"/>
                <w:szCs w:val="24"/>
                <w:highlight w:val="none"/>
                <w:lang w:bidi="ar"/>
              </w:rPr>
              <w:t xml:space="preserve">条，计</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分），每有一项负偏离扣</w:t>
            </w:r>
            <w:r>
              <w:rPr>
                <w:rFonts w:hint="eastAsia" w:ascii="宋体" w:hAnsi="宋体" w:cs="宋体"/>
                <w:color w:val="auto"/>
                <w:sz w:val="24"/>
                <w:szCs w:val="24"/>
                <w:highlight w:val="none"/>
                <w:lang w:val="en-US" w:eastAsia="zh-CN" w:bidi="ar"/>
              </w:rPr>
              <w:t xml:space="preserve">0.5</w:t>
            </w:r>
            <w:r>
              <w:rPr>
                <w:rFonts w:hint="eastAsia" w:ascii="宋体" w:hAnsi="宋体" w:cs="宋体"/>
                <w:color w:val="auto"/>
                <w:sz w:val="24"/>
                <w:szCs w:val="24"/>
                <w:highlight w:val="none"/>
                <w:lang w:bidi="ar"/>
              </w:rPr>
              <w:t xml:space="preserve">分，扣完为止。</w:t>
            </w:r>
            <w:r/>
          </w:p>
          <w:p>
            <w:pPr>
              <w:jc w:val="left"/>
              <w:spacing w:line="40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注：</w:t>
            </w:r>
            <w:r>
              <w:rPr>
                <w:rFonts w:hint="eastAsia" w:ascii="宋体" w:hAnsi="宋体" w:cs="宋体"/>
                <w:color w:val="auto"/>
                <w:sz w:val="24"/>
                <w:szCs w:val="24"/>
                <w:highlight w:val="none"/>
                <w:lang w:val="en-US" w:eastAsia="zh-CN" w:bidi="ar"/>
              </w:rPr>
              <w:t xml:space="preserve">1.标“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1）投标人须详尽真实的提供投标产品的《技术要求响应及偏离表》，且均须在技术要求响应及偏离表内详尽真实的逐条提供偏差情况，否则将视为无效标。（2）有指定证明材料要求的未按指定要求提供相关证明材料的将视为无效标。（3）无指定证明材料要求的以加盖投标人公章的《技术要求响应及偏离表》为准。</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2.标“▲”和</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w:t>
            </w:r>
            <w:r>
              <w:rPr>
                <w:rFonts w:hint="eastAsia" w:ascii="宋体" w:hAnsi="宋体" w:cs="宋体"/>
                <w:color w:val="auto"/>
                <w:sz w:val="24"/>
                <w:szCs w:val="24"/>
                <w:highlight w:val="none"/>
                <w:lang w:bidi="ar"/>
              </w:rPr>
              <w:t xml:space="preserve">（1）投标人</w:t>
            </w:r>
            <w:r>
              <w:rPr>
                <w:rFonts w:hint="eastAsia" w:ascii="宋体" w:hAnsi="宋体" w:cs="宋体"/>
                <w:color w:val="auto"/>
                <w:sz w:val="24"/>
                <w:szCs w:val="24"/>
                <w:highlight w:val="none"/>
                <w:lang w:val="en-US" w:eastAsia="zh-CN" w:bidi="ar"/>
              </w:rPr>
              <w:t xml:space="preserve">须</w:t>
            </w:r>
            <w:r>
              <w:rPr>
                <w:rFonts w:hint="eastAsia" w:ascii="宋体" w:hAnsi="宋体" w:cs="宋体"/>
                <w:color w:val="auto"/>
                <w:sz w:val="24"/>
                <w:szCs w:val="24"/>
                <w:highlight w:val="none"/>
                <w:lang w:bidi="ar"/>
              </w:rPr>
              <w:t xml:space="preserve">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视频演示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采购清单中技术要求前标有“</w:t>
            </w:r>
            <w:r>
              <w:rPr>
                <w:rFonts w:hint="eastAsia" w:ascii="宋体" w:hAnsi="宋体" w:cs="宋体"/>
                <w:b/>
                <w:bCs/>
                <w:color w:val="auto"/>
                <w:sz w:val="24"/>
                <w:szCs w:val="24"/>
                <w:highlight w:val="none"/>
                <w:lang w:bidi="ar"/>
              </w:rPr>
              <w:t xml:space="preserve">☆☆</w:t>
            </w:r>
            <w:r>
              <w:rPr>
                <w:rFonts w:hint="eastAsia" w:ascii="宋体" w:hAnsi="宋体" w:cs="宋体"/>
                <w:color w:val="auto"/>
                <w:sz w:val="24"/>
                <w:szCs w:val="24"/>
                <w:highlight w:val="none"/>
                <w:lang w:bidi="ar"/>
              </w:rPr>
              <w:t xml:space="preserve">”的技术参数(共2条，每条2分，共计4分)，投标人需提供产品功能演示视频，评标委员会根据投标人提供的产品功能演示视频进行评审:</w:t>
            </w:r>
            <w:r>
              <w:rPr>
                <w:rFonts w:hint="default" w:ascii="宋体" w:hAnsi="宋体" w:cs="宋体"/>
                <w:color w:val="auto"/>
                <w:sz w:val="24"/>
                <w:szCs w:val="24"/>
                <w:highlight w:val="none"/>
                <w:lang w:val="en-US" w:eastAsia="zh-CN" w:bidi="ar"/>
              </w:rPr>
              <w:t xml:space="preserve">每</w:t>
            </w:r>
            <w:r>
              <w:rPr>
                <w:rFonts w:hint="eastAsia" w:ascii="宋体" w:hAnsi="宋体" w:cs="宋体"/>
                <w:color w:val="auto"/>
                <w:sz w:val="24"/>
                <w:szCs w:val="24"/>
                <w:highlight w:val="none"/>
                <w:lang w:val="en-US" w:eastAsia="zh-CN" w:bidi="ar"/>
              </w:rPr>
              <w:t xml:space="preserve">条</w:t>
            </w:r>
            <w:r>
              <w:rPr>
                <w:rFonts w:hint="default" w:ascii="宋体" w:hAnsi="宋体" w:cs="宋体"/>
                <w:color w:val="auto"/>
                <w:sz w:val="24"/>
                <w:szCs w:val="24"/>
                <w:highlight w:val="none"/>
                <w:lang w:val="en-US" w:eastAsia="zh-CN" w:bidi="ar"/>
              </w:rPr>
              <w:t xml:space="preserve">演示功能完全覆盖并符合采购需求要求，</w:t>
            </w:r>
            <w:r>
              <w:rPr>
                <w:rFonts w:hint="eastAsia" w:ascii="宋体" w:hAnsi="宋体" w:cs="宋体"/>
                <w:color w:val="auto"/>
                <w:sz w:val="24"/>
                <w:szCs w:val="24"/>
                <w:highlight w:val="none"/>
                <w:lang w:val="en-US" w:eastAsia="zh-CN" w:bidi="ar"/>
              </w:rPr>
              <w:t xml:space="preserve">业务</w:t>
            </w:r>
            <w:r>
              <w:rPr>
                <w:rFonts w:hint="default" w:ascii="宋体" w:hAnsi="宋体" w:cs="宋体"/>
                <w:color w:val="auto"/>
                <w:sz w:val="24"/>
                <w:szCs w:val="24"/>
                <w:highlight w:val="none"/>
                <w:lang w:val="en-US" w:eastAsia="zh-CN" w:bidi="ar"/>
              </w:rPr>
              <w:t xml:space="preserve">逻辑准确、系统结构清晰、流程顺畅，无任何逻辑错误或</w:t>
            </w:r>
            <w:r>
              <w:rPr>
                <w:rFonts w:hint="eastAsia" w:ascii="宋体" w:hAnsi="宋体" w:cs="宋体"/>
                <w:color w:val="auto"/>
                <w:sz w:val="24"/>
                <w:szCs w:val="24"/>
                <w:highlight w:val="none"/>
                <w:lang w:val="en-US" w:eastAsia="zh-CN" w:bidi="ar"/>
              </w:rPr>
              <w:t xml:space="preserve">演示</w:t>
            </w:r>
            <w:r>
              <w:rPr>
                <w:rFonts w:hint="default" w:ascii="宋体" w:hAnsi="宋体" w:cs="宋体"/>
                <w:color w:val="auto"/>
                <w:sz w:val="24"/>
                <w:szCs w:val="24"/>
                <w:highlight w:val="none"/>
                <w:lang w:val="en-US" w:eastAsia="zh-CN" w:bidi="ar"/>
              </w:rPr>
              <w:t xml:space="preserve">缺失的，得</w:t>
            </w:r>
            <w:r>
              <w:rPr>
                <w:rFonts w:hint="eastAsia" w:ascii="宋体" w:hAnsi="宋体" w:cs="宋体"/>
                <w:color w:val="auto"/>
                <w:sz w:val="24"/>
                <w:szCs w:val="24"/>
                <w:highlight w:val="none"/>
                <w:lang w:val="en-US" w:eastAsia="zh-CN" w:bidi="ar"/>
              </w:rPr>
              <w:t xml:space="preserve">2</w:t>
            </w:r>
            <w:r>
              <w:rPr>
                <w:rFonts w:hint="default" w:ascii="宋体" w:hAnsi="宋体" w:cs="宋体"/>
                <w:color w:val="auto"/>
                <w:sz w:val="24"/>
                <w:szCs w:val="24"/>
                <w:highlight w:val="none"/>
                <w:lang w:val="en-US" w:eastAsia="zh-CN" w:bidi="ar"/>
              </w:rPr>
              <w:t xml:space="preserve">分；每</w:t>
            </w:r>
            <w:r>
              <w:rPr>
                <w:rFonts w:hint="eastAsia" w:ascii="宋体" w:hAnsi="宋体" w:cs="宋体"/>
                <w:color w:val="auto"/>
                <w:sz w:val="24"/>
                <w:szCs w:val="24"/>
                <w:highlight w:val="none"/>
                <w:lang w:val="en-US" w:eastAsia="zh-CN" w:bidi="ar"/>
              </w:rPr>
              <w:t xml:space="preserve">条</w:t>
            </w:r>
            <w:r>
              <w:rPr>
                <w:rFonts w:hint="default" w:ascii="宋体" w:hAnsi="宋体" w:cs="宋体"/>
                <w:color w:val="auto"/>
                <w:sz w:val="24"/>
                <w:szCs w:val="24"/>
                <w:highlight w:val="none"/>
                <w:lang w:val="en-US" w:eastAsia="zh-CN" w:bidi="ar"/>
              </w:rPr>
              <w:t xml:space="preserve">演示功能基本符合采购需求要求，在非核心流程上存在瑕疵但未导致流程中断，能够完成演示的，得</w:t>
            </w:r>
            <w:r>
              <w:rPr>
                <w:rFonts w:hint="eastAsia" w:ascii="宋体" w:hAnsi="宋体" w:cs="宋体"/>
                <w:color w:val="auto"/>
                <w:sz w:val="24"/>
                <w:szCs w:val="24"/>
                <w:highlight w:val="none"/>
                <w:lang w:val="en-US" w:eastAsia="zh-CN" w:bidi="ar"/>
              </w:rPr>
              <w:t xml:space="preserve">1</w:t>
            </w:r>
            <w:r>
              <w:rPr>
                <w:rFonts w:hint="default" w:ascii="宋体" w:hAnsi="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bidi="ar"/>
              </w:rPr>
              <w:t xml:space="preserve">每条演示功能与采购需求存在核心业务上的偏差，或业务逻辑错误或系统结构缺陷导致流程中断无法演示或未提供的，不得分。</w:t>
            </w:r>
            <w:r/>
          </w:p>
        </w:tc>
      </w:tr>
      <w:tr>
        <w:trPr>
          <w:trHeight w:val="1560"/>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投标人自</w:t>
            </w:r>
            <w:r>
              <w:rPr>
                <w:rFonts w:hint="eastAsia" w:ascii="宋体" w:hAnsi="宋体" w:cs="宋体"/>
                <w:color w:val="auto"/>
                <w:sz w:val="24"/>
                <w:szCs w:val="24"/>
                <w:highlight w:val="none"/>
                <w:lang w:eastAsia="zh-CN" w:bidi="ar"/>
              </w:rPr>
              <w:t xml:space="preserve">2023年1月1日</w:t>
            </w:r>
            <w:r>
              <w:rPr>
                <w:rFonts w:hint="eastAsia" w:ascii="宋体" w:hAnsi="宋体" w:cs="宋体"/>
                <w:color w:val="auto"/>
                <w:sz w:val="24"/>
                <w:szCs w:val="24"/>
                <w:highlight w:val="none"/>
                <w:lang w:bidi="ar"/>
              </w:rPr>
              <w:t xml:space="preserve">以来（以合同或者合同协议书签订时间为准）已完成的类似业绩，每提供一个得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分，本项最高得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需提供业绩证明材料至投标文件，证明材料原件扫描件需包含中标（或者成交）通知书、合同（或者合同协议书）、采购人履约评价（或者验收合格报告或者验收合格证明），三者缺一不可，未提供或提供不全或模糊不清无法辨认均不予计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（2）合同甲方履约评价中出现“不满意”或“差”或“不合格”或同等意思表达的，该业绩不得分。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（3）投标人提供的企业业绩将随中标结果公告同步公开。</w:t>
            </w:r>
            <w:r/>
          </w:p>
        </w:tc>
      </w:tr>
      <w:tr>
        <w:trPr>
          <w:trHeight w:val="510"/>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注：1、在投标文件中提供证书原件扫描件；2、如未提供或提供不全或提供不符合要求的均不得分。</w:t>
            </w:r>
            <w:r/>
          </w:p>
        </w:tc>
      </w:tr>
      <w:tr>
        <w:trPr>
          <w:trHeight w:val="1872"/>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项目组人员</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1、投标人针对本项目拟派的项目负责人具有工业和信息化部或人力资源社会保障部颁发的信息系统项目管理师证书的</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得1分。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2、项目组其他人员（不含项目负责人）具有工业和信息化部或人力资源社会保障部颁发的系统集成项目管理工程师、网络工程师证书</w:t>
            </w:r>
            <w:r>
              <w:rPr>
                <w:rFonts w:hint="eastAsia" w:ascii="宋体" w:hAnsi="宋体" w:cs="宋体"/>
                <w:color w:val="auto"/>
                <w:sz w:val="24"/>
                <w:szCs w:val="24"/>
                <w:highlight w:val="none"/>
                <w:lang w:val="en-US" w:eastAsia="zh-CN" w:bidi="ar"/>
              </w:rPr>
              <w:t xml:space="preserve">的</w:t>
            </w:r>
            <w:r>
              <w:rPr>
                <w:rFonts w:hint="eastAsia" w:ascii="宋体" w:hAnsi="宋体" w:cs="宋体"/>
                <w:color w:val="auto"/>
                <w:sz w:val="24"/>
                <w:szCs w:val="24"/>
                <w:highlight w:val="none"/>
                <w:lang w:bidi="ar"/>
              </w:rPr>
              <w:t xml:space="preserve">，每有一个得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分，最高得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注：（1）上述项目组成员必须为本单位员工，以上项目组成员必须为本单位员工，需提供2025年</w:t>
            </w:r>
            <w:r>
              <w:rPr>
                <w:rFonts w:hint="eastAsia" w:ascii="宋体" w:hAnsi="宋体" w:cs="宋体"/>
                <w:color w:val="auto"/>
                <w:sz w:val="24"/>
                <w:szCs w:val="24"/>
                <w:highlight w:val="none"/>
                <w:lang w:val="en-US" w:eastAsia="zh-CN" w:bidi="ar"/>
              </w:rPr>
              <w:t xml:space="preserve">12</w:t>
            </w:r>
            <w:r>
              <w:rPr>
                <w:rFonts w:hint="eastAsia" w:ascii="宋体" w:hAnsi="宋体" w:cs="宋体"/>
                <w:color w:val="auto"/>
                <w:sz w:val="24"/>
                <w:szCs w:val="24"/>
                <w:highlight w:val="none"/>
                <w:lang w:bidi="ar"/>
              </w:rPr>
              <w:t xml:space="preserve">月1日以来任意一个月社会养老保险证明原件扫描件，否则不得分；（2）以上项目组成员的证书均须提供原件扫描件，未提供的本项不得分；（3）</w:t>
            </w:r>
            <w:r>
              <w:rPr>
                <w:rFonts w:hint="eastAsia" w:ascii="宋体" w:hAnsi="宋体" w:cs="宋体"/>
                <w:color w:val="ff0000"/>
                <w:sz w:val="24"/>
                <w:szCs w:val="24"/>
                <w:highlight w:val="none"/>
                <w:lang w:val="en-US" w:eastAsia="zh-CN" w:bidi="ar"/>
              </w:rPr>
              <w:t xml:space="preserve">对中标供应商提供的</w:t>
            </w:r>
            <w:r>
              <w:rPr>
                <w:rFonts w:hint="eastAsia" w:ascii="宋体" w:hAnsi="宋体" w:cs="宋体"/>
                <w:color w:val="auto"/>
                <w:sz w:val="24"/>
                <w:szCs w:val="24"/>
                <w:highlight w:val="none"/>
                <w:lang w:bidi="ar"/>
              </w:rPr>
              <w:t xml:space="preserve">上述项目组成员相关证书原件备查</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服务过程中，人员不得</w:t>
            </w:r>
            <w:r>
              <w:rPr>
                <w:rFonts w:hint="eastAsia" w:ascii="宋体" w:hAnsi="宋体" w:cs="宋体"/>
                <w:color w:val="auto"/>
                <w:sz w:val="24"/>
                <w:szCs w:val="24"/>
                <w:highlight w:val="none"/>
                <w:lang w:val="en-US" w:eastAsia="zh-CN" w:bidi="ar"/>
              </w:rPr>
              <w:t xml:space="preserve">随意</w:t>
            </w:r>
            <w:r>
              <w:rPr>
                <w:rFonts w:hint="eastAsia" w:ascii="宋体" w:hAnsi="宋体" w:cs="宋体"/>
                <w:color w:val="auto"/>
                <w:sz w:val="24"/>
                <w:szCs w:val="24"/>
                <w:highlight w:val="none"/>
                <w:lang w:bidi="ar"/>
              </w:rPr>
              <w:t xml:space="preserve">更改。（4）以上项目组成员中同一人员具备上述多种证书的，不重复计分；同一证书多人具备的，不重复计分。</w:t>
            </w:r>
            <w:r/>
          </w:p>
        </w:tc>
      </w:tr>
      <w:tr>
        <w:trPr>
          <w:trHeight w:val="90"/>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投标人根据招标文件“第四章采购需求—项目实施要求”中“质量保证方案”制定方案内容，评委根据以下标准综合打分：</w:t>
            </w:r>
            <w:r>
              <w:rPr>
                <w:rFonts w:hint="eastAsia" w:ascii="宋体" w:hAnsi="宋体" w:cs="宋体"/>
                <w:color w:val="auto"/>
                <w:sz w:val="24"/>
                <w:szCs w:val="24"/>
                <w:highlight w:val="none"/>
              </w:rPr>
              <w:t xml:space="preserve">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分；②方案</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培训及技术支持方案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投标人根据招标文件“第四章、采购需求—项目实施要求”中“培训及技术支持要求”制定方案内容，评委根据以下标准综合打分：①方案</w:t>
            </w:r>
            <w:r>
              <w:rPr>
                <w:rFonts w:hint="eastAsia" w:ascii="宋体" w:hAnsi="宋体" w:cs="宋体"/>
                <w:color w:val="auto"/>
                <w:sz w:val="24"/>
                <w:szCs w:val="24"/>
                <w:highlight w:val="none"/>
                <w:lang w:val="en-US" w:eastAsia="zh-CN"/>
              </w:rPr>
              <w:t xml:space="preserve">内容详细，科学</w:t>
            </w:r>
            <w:r>
              <w:rPr>
                <w:rFonts w:hint="eastAsia" w:ascii="宋体" w:hAnsi="宋体" w:cs="宋体"/>
                <w:color w:val="auto"/>
                <w:sz w:val="24"/>
                <w:szCs w:val="24"/>
                <w:highlight w:val="none"/>
              </w:rPr>
              <w:t xml:space="preserve">合理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能够针对采购需求进行细化且优于采购需求的得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分；②方案内容</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内容表述有一定的偏差，但不影响实质性意思表达，能够满足采购需求的得2分</w:t>
            </w:r>
            <w:r>
              <w:rPr>
                <w:rFonts w:hint="eastAsia" w:ascii="宋体" w:hAnsi="宋体" w:cs="宋体"/>
                <w:color w:val="auto"/>
                <w:sz w:val="24"/>
                <w:szCs w:val="24"/>
                <w:highlight w:val="none"/>
              </w:rPr>
              <w:t xml:space="preserve">；③方案不完整承诺后期优化能满足采购基本要求的得1分；④未提供内容的，不得分。</w:t>
            </w:r>
            <w:r/>
          </w:p>
        </w:tc>
      </w:tr>
      <w:tr>
        <w:trPr>
          <w:trHeight w:val="1575"/>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设备安装</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交通安全设施安装规划方案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图纸设计规范、标注明确、细节清晰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分；②方案</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w:t>
            </w:r>
            <w:r>
              <w:rPr>
                <w:rFonts w:hint="eastAsia" w:ascii="宋体" w:hAnsi="宋体" w:cs="宋体"/>
                <w:color w:val="auto"/>
                <w:sz w:val="24"/>
                <w:szCs w:val="24"/>
                <w:highlight w:val="none"/>
                <w:lang w:eastAsia="zh-CN"/>
              </w:rPr>
              <w:t xml:space="preserve">，核心设计无缺失，标注基本规范，提供</w:t>
            </w:r>
            <w:r>
              <w:rPr>
                <w:rFonts w:hint="eastAsia" w:ascii="宋体" w:hAnsi="宋体" w:cs="宋体"/>
                <w:color w:val="auto"/>
                <w:sz w:val="24"/>
                <w:szCs w:val="24"/>
                <w:highlight w:val="none"/>
                <w:lang w:val="en-US" w:eastAsia="zh-CN"/>
              </w:rPr>
              <w:t xml:space="preserve">的图纸</w:t>
            </w:r>
            <w:r>
              <w:rPr>
                <w:rFonts w:hint="eastAsia" w:ascii="宋体" w:hAnsi="宋体" w:cs="宋体"/>
                <w:color w:val="auto"/>
                <w:sz w:val="24"/>
                <w:szCs w:val="24"/>
                <w:highlight w:val="none"/>
                <w:lang w:eastAsia="zh-CN"/>
              </w:rPr>
              <w:t xml:space="preserve">能基本呈现</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内容</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AI</w:t>
            </w:r>
            <w:r>
              <w:rPr>
                <w:rFonts w:hint="eastAsia" w:ascii="宋体" w:hAnsi="宋体" w:cs="宋体"/>
                <w:color w:val="auto"/>
                <w:sz w:val="24"/>
                <w:szCs w:val="24"/>
                <w:highlight w:val="none"/>
                <w:lang w:val="en-US" w:eastAsia="zh-CN" w:bidi="ar"/>
              </w:rPr>
              <w:t xml:space="preserve">系统接入</w:t>
            </w:r>
            <w:r>
              <w:rPr>
                <w:rFonts w:hint="eastAsia" w:ascii="宋体" w:hAnsi="宋体" w:cs="宋体"/>
                <w:color w:val="auto"/>
                <w:sz w:val="24"/>
                <w:szCs w:val="24"/>
                <w:highlight w:val="none"/>
                <w:lang w:bidi="ar"/>
              </w:rPr>
              <w:t xml:space="preserve">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分；②方案</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网络接入</w:t>
            </w:r>
            <w:r>
              <w:rPr>
                <w:rFonts w:hint="eastAsia" w:ascii="宋体" w:hAnsi="宋体" w:cs="宋体"/>
                <w:color w:val="auto"/>
                <w:sz w:val="24"/>
                <w:szCs w:val="24"/>
                <w:highlight w:val="none"/>
                <w:lang w:bidi="ar"/>
              </w:rPr>
              <w:t xml:space="preserve">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投标人根据招标文件“第四章、采购需求—设备安装要求”制定方案内容，评委根据以下标准综合打分：①方案内容详细全面，能够针对采购需求进行细化且优于采购需求的得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分；②方案内容完整，针对采购需求内容要求而制定，内容表述有一定的偏差，但不影响实质性意思表达，能够满足采购需求的得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售后服务方案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投标人根据招标文件“第四章、采购需求—售后服务要求”制定方案内容，评委根据以下标准综合打分：①方案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且优于采购需求的得3分；②方案内容</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，针对采购需求内容要求而制定，内容表述有一定的偏差，但不影响实质性意思表达，能够满足采购需求的得2分；③方案不完整承诺后期优化能满足采购基本要求的得1分；④未提供内容的，不得分。</w:t>
            </w:r>
            <w:r/>
          </w:p>
        </w:tc>
      </w:tr>
    </w:tbl>
    <w:p>
      <w:pPr>
        <w:pStyle w:val="1126"/>
        <w:ind w:firstLine="482"/>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4、采购本国产品的支持政策</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1.3 供应商需按照招标文件的要求提供《关于符合本国产品标准的声明函》（以下简称《声明函》），如不提供将不享受本国产品价格评审优惠。</w:t>
      </w:r>
      <w:r/>
    </w:p>
    <w:p>
      <w:pPr>
        <w:pStyle w:val="1126"/>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6"/>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6"/>
        <w:ind w:firstLine="482"/>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（三）评标结果。</w:t>
      </w:r>
      <w:r>
        <w:rPr>
          <w:rFonts w:hint="eastAsia" w:ascii="宋体" w:hAnsi="宋体" w:cs="宋体"/>
          <w:color w:val="auto"/>
          <w:szCs w:val="24"/>
          <w:highlight w:val="none"/>
          <w:shd w:val="clear" w:color="auto" w:fill="ffffff"/>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126"/>
        <w:ind w:left="482"/>
        <w:spacing w:line="440" w:lineRule="exact"/>
        <w:rPr>
          <w:rFonts w:ascii="宋体" w:cs="宋体"/>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cs="宋体"/>
          <w:color w:val="auto"/>
          <w:highlight w:val="none"/>
          <w:shd w:val="clear" w:color="auto" w:fill="ffffff"/>
        </w:rPr>
      </w:r>
      <w:r/>
    </w:p>
    <w:p>
      <w:pPr>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80" w:lineRule="exact"/>
        <w:rPr>
          <w:b/>
          <w:color w:val="auto"/>
          <w:sz w:val="44"/>
          <w:szCs w:val="44"/>
          <w:highlight w:val="none"/>
        </w:rPr>
        <w:sectPr>
          <w:footerReference w:type="default" r:id="rId12"/>
          <w:footnotePr/>
          <w:endnotePr/>
          <w:type w:val="nextPage"/>
          <w:pgSz w:w="11906" w:h="16838" w:orient="portrait"/>
          <w:pgMar w:top="1440" w:right="1304" w:bottom="1440" w:left="1418" w:header="851" w:footer="992" w:gutter="0"/>
          <w:pgNumType w:start="1"/>
          <w:cols w:num="1" w:sep="0" w:space="1701" w:equalWidth="1"/>
          <w:docGrid w:linePitch="360"/>
        </w:sectPr>
      </w:pPr>
      <w:r>
        <w:rPr>
          <w:b/>
          <w:color w:val="auto"/>
          <w:sz w:val="44"/>
          <w:szCs w:val="44"/>
          <w:highlight w:val="none"/>
        </w:rPr>
      </w:r>
      <w:r/>
    </w:p>
    <w:p>
      <w:pPr>
        <w:jc w:val="center"/>
        <w:spacing w:line="480" w:lineRule="exact"/>
        <w:rPr>
          <w:b/>
          <w:color w:val="auto"/>
          <w:sz w:val="36"/>
          <w:szCs w:val="36"/>
          <w:highlight w:val="none"/>
        </w:rPr>
      </w:pPr>
      <w:r>
        <w:rPr>
          <w:rFonts w:hint="eastAsia"/>
          <w:b/>
          <w:color w:val="auto"/>
          <w:sz w:val="36"/>
          <w:szCs w:val="36"/>
          <w:highlight w:val="none"/>
        </w:rPr>
        <w:t xml:space="preserve">第四章</w:t>
      </w:r>
      <w:r>
        <w:rPr>
          <w:b/>
          <w:color w:val="auto"/>
          <w:sz w:val="36"/>
          <w:szCs w:val="36"/>
          <w:highlight w:val="none"/>
        </w:rPr>
        <w:t xml:space="preserve">  </w:t>
      </w:r>
      <w:r>
        <w:rPr>
          <w:rFonts w:hint="eastAsia"/>
          <w:b/>
          <w:color w:val="auto"/>
          <w:sz w:val="36"/>
          <w:szCs w:val="36"/>
          <w:highlight w:val="none"/>
        </w:rPr>
        <w:t xml:space="preserve">采购需求</w:t>
      </w:r>
      <w:bookmarkEnd w:id="112"/>
      <w:r/>
      <w:bookmarkEnd w:id="115"/>
      <w:r/>
      <w:bookmarkEnd w:id="116"/>
      <w:r/>
      <w:bookmarkEnd w:id="117"/>
      <w:r/>
      <w:bookmarkEnd w:id="118"/>
      <w:r/>
      <w:bookmarkEnd w:id="119"/>
      <w:r/>
      <w:r/>
    </w:p>
    <w:p>
      <w:pPr>
        <w:ind w:firstLine="480"/>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项目属性：</w:t>
      </w:r>
      <w:r>
        <w:rPr>
          <w:rFonts w:hint="eastAsia" w:ascii="Times New Roman" w:hAnsi="Times New Roman"/>
          <w:bCs/>
          <w:color w:val="auto"/>
          <w:sz w:val="24"/>
          <w:highlight w:val="none"/>
          <w:u w:val="single"/>
        </w:rPr>
        <w:t xml:space="preserve">货物类项目</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w:t>
      </w:r>
      <w:r>
        <w:rPr>
          <w:rFonts w:hint="eastAsia" w:ascii="Times New Roman" w:hAnsi="Times New Roman"/>
          <w:bCs/>
          <w:color w:val="auto"/>
          <w:sz w:val="24"/>
          <w:highlight w:val="none"/>
          <w:u w:val="single"/>
        </w:rPr>
        <w:t xml:space="preserve">不接受</w:t>
      </w:r>
      <w:r>
        <w:rPr>
          <w:rFonts w:hint="eastAsia" w:ascii="Times New Roman" w:hAnsi="Times New Roman"/>
          <w:bCs/>
          <w:color w:val="auto"/>
          <w:sz w:val="24"/>
          <w:highlight w:val="none"/>
        </w:rPr>
        <w:t xml:space="preserve">（接受/不接受）进口。</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本项目采购标的对应的中小企业划分标准所属行业：</w:t>
      </w:r>
      <w:r/>
    </w:p>
    <w:tbl>
      <w:tblPr>
        <w:tblStyle w:val="705"/>
        <w:tblW w:w="7608" w:type="dxa"/>
        <w:tblInd w:w="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092"/>
        <w:gridCol w:w="3556"/>
      </w:tblGrid>
      <w:tr>
        <w:trPr>
          <w:trHeight w:val="270"/>
        </w:trPr>
        <w:tc>
          <w:tcPr>
            <w:tcW w:w="960" w:type="dxa"/>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W w:w="309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采购标的</w:t>
            </w:r>
            <w:r/>
          </w:p>
        </w:tc>
        <w:tc>
          <w:tcPr>
            <w:tcW w:w="355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对应中小企业划分标准所属行业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一、路段标识标牌标线</w:t>
            </w:r>
            <w:r/>
          </w:p>
        </w:tc>
      </w:tr>
      <w:tr>
        <w:trPr>
          <w:trHeight w:val="2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gridSpan w:val="3"/>
            <w:shd w:val="clear" w:color="auto" w:fill="ffffff"/>
            <w:tcW w:w="7608"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二、隔离减速装置</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12</w:t>
            </w:r>
            <w:r/>
          </w:p>
        </w:tc>
        <w:tc>
          <w:tcPr>
            <w:tcW w:w="3092" w:type="dxa"/>
            <w:vAlign w:val="center"/>
            <w:textDirection w:val="lrTb"/>
            <w:noWrap w:val="false"/>
          </w:tcPr>
          <w:p>
            <w:pPr>
              <w:jc w:val="center"/>
              <w:spacing w:line="360" w:lineRule="exac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震荡标线</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隔离护栏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14</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防撞柱</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三、护学岗配套物资</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移动信号灯</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反光背心</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指挥棒</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宣传喇叭</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四、智能前端配套设备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便携式</w:t>
            </w:r>
            <w:r>
              <w:rPr>
                <w:rFonts w:hint="eastAsia" w:ascii="宋体" w:hAnsi="宋体" w:cs="宋体"/>
                <w:color w:val="auto"/>
                <w:szCs w:val="21"/>
                <w:highlight w:val="none"/>
                <w:lang w:bidi="ar"/>
              </w:rPr>
              <w:t xml:space="preserve">布控球</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枪球一体机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建筑业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五、后端设备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AI融合巡检一体化系统</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六、施工集成</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建筑业</w:t>
            </w:r>
            <w:r/>
          </w:p>
        </w:tc>
      </w:tr>
    </w:tbl>
    <w:p>
      <w:pPr>
        <w:ind w:firstLine="482"/>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1、项目名称：泗洪县城区学校门口交通安全设施建设项目</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主要内容为：为了进一步强化校园及周边交通安全管理和秩序维护，泗洪县教育局拟进行城区学校门口交通安全设施建设，主要内容包括路段标识标牌标线、隔离减速装置、护学岗配套物资及智能AI巡查系统设备、智能前端配套设备、后端平台设备等建设内容。</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3、供货地点：采购人指定地点。</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4、合同履行期限：合同签订后90日历天内安装完毕并交付使用。</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5、运行维护期：3年（自验收合格之日起算）。</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6、质量：合格，提供的产品性能及质量有国家标准的应符合国家标准。无国家标准的应符合行业标准或企业标准，并满足招标文件要求，实现投标文件承诺条款。</w:t>
      </w:r>
      <w:r/>
    </w:p>
    <w:p>
      <w:pPr>
        <w:pStyle w:val="709"/>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预付款：</w:t>
      </w:r>
      <w:r>
        <w:rPr>
          <w:rFonts w:hint="eastAsia" w:ascii="宋体" w:hAnsi="宋体" w:cs="宋体"/>
          <w:color w:val="auto"/>
          <w:sz w:val="24"/>
          <w:szCs w:val="24"/>
          <w:highlight w:val="none"/>
          <w:lang w:val="zh-CN"/>
        </w:rPr>
        <w:t xml:space="preserve">签订合同后，自收到</w:t>
      </w:r>
      <w:r>
        <w:rPr>
          <w:rFonts w:hint="eastAsia" w:ascii="宋体" w:hAnsi="宋体" w:cs="宋体"/>
          <w:color w:val="auto"/>
          <w:sz w:val="24"/>
          <w:highlight w:val="none"/>
        </w:rPr>
        <w:t xml:space="preserve">供应商</w:t>
      </w:r>
      <w:r>
        <w:rPr>
          <w:rFonts w:hint="eastAsia" w:ascii="宋体" w:hAnsi="宋体" w:cs="宋体"/>
          <w:color w:val="auto"/>
          <w:sz w:val="24"/>
          <w:szCs w:val="24"/>
          <w:highlight w:val="none"/>
          <w:lang w:val="zh-CN"/>
        </w:rPr>
        <w:t xml:space="preserve">发票后10个工作日内</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支付合同总价款的30%；</w:t>
      </w:r>
      <w:r>
        <w:rPr>
          <w:rFonts w:hint="eastAsia" w:ascii="宋体" w:hAnsi="宋体" w:cs="宋体"/>
          <w:color w:val="auto"/>
          <w:sz w:val="24"/>
          <w:szCs w:val="24"/>
          <w:highlight w:val="none"/>
        </w:rPr>
        <w:t xml:space="preserve"> </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进度款：全部设备安装调试完毕经验收合格且收到供应商发票后10个工作日内付至合同价款的100%。</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（1）可以采用数字人民币支付；</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（2）资金支付的时间：收到供应商发票10个工作日内；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（3）资金支付的条件：满足相应阶段的要求且收到供应商发票；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）在签订合同时，供应商明确表示无需预付款或者主动要求降低预付款比例的，采购人可不适用前述规定。</w:t>
      </w:r>
      <w:r/>
    </w:p>
    <w:p>
      <w:pPr>
        <w:pStyle w:val="1211"/>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三、政府采购中实施本国产品标准及相关政策</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1、本项目对采购本国产品给予政策支持，具体内容见招标文件“第三部分 资格审查及评标办法”。</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11"/>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四、采购清单及技术参数要求</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（一）采购清单及技术参数要求</w:t>
      </w:r>
      <w:r/>
    </w:p>
    <w:p>
      <w:pPr>
        <w:rPr>
          <w:color w:val="auto"/>
          <w:highlight w:val="none"/>
        </w:rPr>
      </w:pPr>
      <w:r>
        <w:rPr>
          <w:color w:val="auto"/>
          <w:highlight w:val="none"/>
        </w:rPr>
      </w:r>
      <w:r/>
    </w:p>
    <w:tbl>
      <w:tblPr>
        <w:tblStyle w:val="705"/>
        <w:tblW w:w="5976" w:type="pct"/>
        <w:tblInd w:w="-683" w:type="dxa"/>
        <w:tblLayout w:type="fixed"/>
        <w:tblCellMar>
          <w:left w:w="108" w:type="dxa"/>
          <w:top w:w="0" w:type="dxa"/>
          <w:right w:w="108" w:type="dxa"/>
          <w:bottom w:w="0" w:type="dxa"/>
        </w:tblCellMar>
        <w:tblLook w:val="04A0" w:firstRow="1" w:lastRow="0" w:firstColumn="1" w:lastColumn="0" w:noHBand="0" w:noVBand="1"/>
      </w:tblPr>
      <w:tblGrid>
        <w:gridCol w:w="627"/>
        <w:gridCol w:w="1240"/>
        <w:gridCol w:w="5633"/>
        <w:gridCol w:w="1065"/>
        <w:gridCol w:w="600"/>
        <w:gridCol w:w="1020"/>
      </w:tblGrid>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备注</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一、路段标识标牌标线</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材质、规格尺寸：80cm（L）*80cm(W),铝板厚度≥2.0mm；板面反光膜等级：四类超强反光膜。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材质、规格尺寸：边长90cm三角形状标志牌，铝板厚度≥2.0mm；板面反光膜等级：四类超强反光膜。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材质、规格尺寸：60cm（L）*60cm(W),铝板厚度≥2.0mm；板面反光膜等级：四类超强反光膜。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类型：限速30指示牌；材质、规格尺寸</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90cm(L)*180cm(W),铝板厚度≥2.0mm；板面反光膜等级：四类超强反光膜。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材质、规格尺寸：60cm圆形标志牌,铝板厚度≥2.0mm；板面反光膜等级：四类超强反光膜。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#1、材质、规格尺寸：60cm圆形标志牌,铝板厚度≥2.0mm；板面反光膜等级：四类超强反光膜。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杆件:3m高,≥Φ89mm镀锌，壁厚≥2.0mm；基础：C25混凝土，规格：40cm(L)*40cm(L)*60cm(H)；预埋件地笼面板240mm（L）*240mm(L)-3mm(T)，对边距160mm*160mm,4根M18-650mm长地脚螺栓。</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硬化路面取芯打孔，直径：100mm,深度：≥25cm。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val="en-US" w:eastAsia="zh-CN" w:bidi="ar"/>
              </w:rPr>
              <w:t xml:space="preserve">厚度</w:t>
            </w:r>
            <w:r>
              <w:rPr>
                <w:rFonts w:hint="eastAsia" w:ascii="宋体" w:hAnsi="宋体" w:cs="宋体"/>
                <w:color w:val="auto"/>
                <w:szCs w:val="21"/>
                <w:highlight w:val="none"/>
                <w:lang w:bidi="ar"/>
              </w:rPr>
              <w:t xml:space="preserve">：1.5-2.5mm；宽度：≥45cm。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3957.5</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val="en-US" w:eastAsia="zh-CN" w:bidi="ar"/>
              </w:rPr>
              <w:t xml:space="preserve">厚度</w:t>
            </w:r>
            <w:r>
              <w:rPr>
                <w:rFonts w:hint="eastAsia" w:ascii="宋体" w:hAnsi="宋体" w:cs="宋体"/>
                <w:color w:val="auto"/>
                <w:szCs w:val="21"/>
                <w:highlight w:val="none"/>
                <w:lang w:bidi="ar"/>
              </w:rPr>
              <w:t xml:space="preserve">：1.5-2.5mm；宽度：≥15cm。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10834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热熔标线清洗。</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二、隔离减速装置</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震荡标线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震荡标线；基底厚度≥1.8mm，宽度≥40cm；凸起部分厚度为3-8mm。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3433</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类型：城市隔离护栏</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颜色根据采购方要求定制</w:t>
            </w:r>
            <w:r>
              <w:rPr>
                <w:rFonts w:hint="eastAsia" w:ascii="宋体" w:hAnsi="宋体" w:cs="宋体"/>
                <w:color w:val="auto"/>
                <w:szCs w:val="21"/>
                <w:highlight w:val="none"/>
                <w:lang w:bidi="ar"/>
              </w:rPr>
              <w:t xml:space="preserve">；规格尺寸：护栏规格:1200mm（H）*3120mm(L)；立柱:120mm(L)*120mm(W)*1.5mm(T)；上下横杆：Φ60mm*1.2mm(T)；两边竖杆: Φ50mm*1.2mm(T)；内横杆：Φ40mm*1.2mm(T)；内圆弧：Φ40mm*1.8mm(T)；水泥底座：≥300*400*150mm。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3967</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防撞柱</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材质、规格尺寸：热镀锌钢管</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直径：165mm高度：85cm；厚度：≥2.0mm </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三类高强黄黑反光膜</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 柱内C25混凝土灌方；取芯（硬化路面取芯打孔，直径：180mm,深度：25cm）。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移动护栏</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类型:深灰色城市隔离护栏；护栏规格:1200mm（H）*3120mm(L)；立柱:120mm(L)*120mm(W)*1.5mm(T)；上下横杆:Φ60mm*1.2mm(T)；两边竖杆:Φ50mm*1.2mm(T)；内横杆:Φ40mm*1.2mm(T)；</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三、护学岗配套物资</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移动信号灯</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#1.出光面直径:≥Φ300mm；工作电压:DC12V；胶体电池:12V100AH；太阳能电池板:单晶硅 ≥50W；防护等级:≥IP54。</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反光背心</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#1.尺寸:均码；重量:≥150g；布料:针织布；颜色:荧光黄。</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指挥棒</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#1.尺寸:≥50cm；款式:指挥棒；颜色:绿色；可视距离:≥800 米。</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宣传喇叭</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#1.录音时长：≥120秒；电池容量：≥2000mAh；材质：ABS工程材质。</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四、智能前端配套设备</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便携式</w:t>
            </w:r>
            <w:r>
              <w:rPr>
                <w:rFonts w:hint="eastAsia" w:ascii="宋体" w:hAnsi="宋体" w:cs="宋体"/>
                <w:color w:val="auto"/>
                <w:szCs w:val="21"/>
                <w:highlight w:val="none"/>
                <w:lang w:bidi="ar"/>
              </w:rPr>
              <w:t xml:space="preserve">布控球</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不小于200万</w:t>
            </w:r>
            <w:r>
              <w:rPr>
                <w:rFonts w:hint="eastAsia" w:ascii="宋体" w:hAnsi="宋体" w:cs="宋体"/>
                <w:color w:val="auto"/>
                <w:szCs w:val="21"/>
                <w:highlight w:val="none"/>
                <w:lang w:val="en-US" w:eastAsia="zh-CN" w:bidi="ar"/>
              </w:rPr>
              <w:t xml:space="preserve">像素，</w:t>
            </w:r>
            <w:r>
              <w:rPr>
                <w:rFonts w:hint="eastAsia" w:ascii="宋体" w:hAnsi="宋体" w:cs="宋体"/>
                <w:color w:val="auto"/>
                <w:szCs w:val="21"/>
                <w:highlight w:val="none"/>
                <w:lang w:bidi="ar"/>
              </w:rPr>
              <w:t xml:space="preserve">双4G便携球</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分辨率高</w:t>
            </w:r>
            <w:r>
              <w:rPr>
                <w:rFonts w:hint="eastAsia" w:ascii="宋体" w:hAnsi="宋体" w:cs="宋体"/>
                <w:color w:val="auto"/>
                <w:szCs w:val="21"/>
                <w:highlight w:val="none"/>
                <w:lang w:val="en-US" w:eastAsia="zh-CN" w:bidi="ar"/>
              </w:rPr>
              <w:t xml:space="preserve">不低于</w:t>
            </w:r>
            <w:r>
              <w:rPr>
                <w:rFonts w:hint="eastAsia" w:ascii="宋体" w:hAnsi="宋体" w:cs="宋体"/>
                <w:color w:val="auto"/>
                <w:szCs w:val="21"/>
                <w:highlight w:val="none"/>
                <w:lang w:bidi="ar"/>
              </w:rPr>
              <w:t xml:space="preserve">1080P</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低照度，≤彩色0.001lux@F1.6，支持MIC、扬声器</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支持自动彩转黑功能；支持图像宽动态、背光补偿、强光抑制、降噪、透雾、防抖；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可通过设备自身附带小屏显示当前电池电量、GPS状态、4G状态、录像状态、剩余存储时间、蓝牙状态、平台连接状态、</w:t>
            </w:r>
            <w:r>
              <w:rPr>
                <w:rFonts w:hint="eastAsia" w:ascii="宋体" w:hAnsi="宋体" w:cs="宋体"/>
                <w:color w:val="auto"/>
                <w:szCs w:val="21"/>
                <w:highlight w:val="none"/>
                <w:lang w:eastAsia="zh-CN" w:bidi="ar"/>
              </w:rPr>
              <w:t xml:space="preserve">Wi-Fi</w:t>
            </w:r>
            <w:r>
              <w:rPr>
                <w:rFonts w:hint="eastAsia" w:ascii="宋体" w:hAnsi="宋体" w:cs="宋体"/>
                <w:color w:val="auto"/>
                <w:szCs w:val="21"/>
                <w:highlight w:val="none"/>
                <w:lang w:bidi="ar"/>
              </w:rPr>
              <w:t xml:space="preserve">状态；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支持TF卡存储，不低于256G；配置可拆卸电池，单电池可支持不小于</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小时连续工作；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底部配置高吸力磁铁，安装便捷；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包含电池*2，不小于256GTF卡*1，电源适配器、手提箱、三脚架、座充等配件；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支持自动白平衡，色温2800K~10000K自适应；</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支持2.4G/5G，可通过WiFi接入无线网络，也可将自身设置为WiFi热点，支持通过移动终端直连访问操作；</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0.</w:t>
            </w:r>
            <w:r>
              <w:rPr>
                <w:rFonts w:hint="eastAsia" w:ascii="宋体" w:hAnsi="宋体" w:cs="宋体"/>
                <w:color w:val="auto"/>
                <w:szCs w:val="21"/>
                <w:highlight w:val="none"/>
                <w:lang w:bidi="ar"/>
              </w:rPr>
              <w:t xml:space="preserve">具有电子防抖功能，能设置电子防抖功能开启/关闭。</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运用场景，适配中高考等重大考务活动现场视频巡查取证。</w:t>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bCs/>
                <w:color w:val="auto"/>
                <w:sz w:val="24"/>
                <w:szCs w:val="24"/>
                <w:highlight w:val="none"/>
              </w:rPr>
              <w:t xml:space="preserve">●</w:t>
            </w:r>
            <w:r>
              <w:rPr>
                <w:rFonts w:hint="eastAsia" w:ascii="宋体" w:hAnsi="宋体" w:cs="宋体"/>
                <w:color w:val="auto"/>
                <w:szCs w:val="21"/>
                <w:highlight w:val="none"/>
                <w:lang w:bidi="ar"/>
              </w:rPr>
              <w:t xml:space="preserve">枪球一体机</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设备内置不少于2个全景通道和1个细节通道，细节最大分辨率不小于2560*1440；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支持最低照度彩色≤0.0005l</w:t>
            </w:r>
            <w:r>
              <w:rPr>
                <w:rFonts w:hint="eastAsia" w:ascii="宋体" w:hAnsi="宋体" w:cs="宋体"/>
                <w:color w:val="auto"/>
                <w:szCs w:val="21"/>
                <w:highlight w:val="none"/>
                <w:lang w:val="en-US" w:eastAsia="zh-CN" w:bidi="ar"/>
              </w:rPr>
              <w:t xml:space="preserve">u</w:t>
            </w:r>
            <w:r>
              <w:rPr>
                <w:rFonts w:hint="eastAsia" w:ascii="宋体" w:hAnsi="宋体" w:cs="宋体"/>
                <w:color w:val="auto"/>
                <w:szCs w:val="21"/>
                <w:highlight w:val="none"/>
                <w:lang w:bidi="ar"/>
              </w:rPr>
              <w:t xml:space="preserve">x，黑白≤0.0001l</w:t>
            </w:r>
            <w:r>
              <w:rPr>
                <w:rFonts w:hint="eastAsia" w:ascii="宋体" w:hAnsi="宋体" w:cs="宋体"/>
                <w:color w:val="auto"/>
                <w:szCs w:val="21"/>
                <w:highlight w:val="none"/>
                <w:lang w:val="en-US" w:eastAsia="zh-CN" w:bidi="ar"/>
              </w:rPr>
              <w:t xml:space="preserve">u</w:t>
            </w:r>
            <w:r>
              <w:rPr>
                <w:rFonts w:hint="eastAsia" w:ascii="宋体" w:hAnsi="宋体" w:cs="宋体"/>
                <w:color w:val="auto"/>
                <w:szCs w:val="21"/>
                <w:highlight w:val="none"/>
                <w:lang w:bidi="ar"/>
              </w:rPr>
              <w:t xml:space="preserve">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支持白光补光不小于30米，红外补光不小于100米；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#4.全景支持拼接模式和非拼接模式，在拼接模式下，全景通道支持分辨率不小于3680×1656；在非拼接模式下，可输出2个全景通道，支持分辨率不小于1920×1080；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细节通道支持不小于</w:t>
            </w:r>
            <w:r>
              <w:rPr>
                <w:rFonts w:hint="eastAsia" w:ascii="宋体" w:hAnsi="宋体" w:cs="宋体"/>
                <w:color w:val="auto"/>
                <w:szCs w:val="21"/>
                <w:highlight w:val="none"/>
                <w:lang w:val="en-US" w:eastAsia="zh-CN" w:bidi="ar"/>
              </w:rPr>
              <w:t xml:space="preserve">20</w:t>
            </w:r>
            <w:r>
              <w:rPr>
                <w:rFonts w:hint="eastAsia" w:ascii="宋体" w:hAnsi="宋体" w:cs="宋体"/>
                <w:color w:val="auto"/>
                <w:szCs w:val="21"/>
                <w:highlight w:val="none"/>
                <w:lang w:bidi="ar"/>
              </w:rPr>
              <w:t xml:space="preserve">倍光学变倍，最大焦距不小</w:t>
            </w:r>
            <w:r>
              <w:rPr>
                <w:rFonts w:hint="eastAsia" w:ascii="宋体" w:hAnsi="宋体" w:cs="宋体"/>
                <w:color w:val="auto"/>
                <w:szCs w:val="21"/>
                <w:highlight w:val="none"/>
                <w:lang w:val="en-US" w:eastAsia="zh-CN" w:bidi="ar"/>
              </w:rPr>
              <w:t xml:space="preserve">于100</w:t>
            </w:r>
            <w:r>
              <w:rPr>
                <w:rFonts w:hint="eastAsia" w:ascii="宋体" w:hAnsi="宋体" w:cs="宋体"/>
                <w:color w:val="auto"/>
                <w:szCs w:val="21"/>
                <w:highlight w:val="none"/>
                <w:lang w:bidi="ar"/>
              </w:rPr>
              <w:t xml:space="preserve">mm；</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#6.全景通道1、2支持：水平90°旋转，垂直0°-350°旋转，轴心旋转0°-350°。细节通道支持水平360°旋转，垂直俯仰-10°-90°；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▲7.全景双镜头、细节球机镜头支持独立水平/垂直角度调节。</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提供第三方检验机构出具的检测报告原件扫描件）</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设备支持不少于</w:t>
            </w:r>
            <w:r>
              <w:rPr>
                <w:rFonts w:hint="eastAsia" w:ascii="宋体" w:hAnsi="宋体" w:cs="宋体"/>
                <w:color w:val="auto"/>
                <w:szCs w:val="21"/>
                <w:highlight w:val="none"/>
                <w:lang w:val="en-US" w:eastAsia="zh-CN" w:bidi="ar"/>
              </w:rPr>
              <w:t xml:space="preserve">256</w:t>
            </w:r>
            <w:r>
              <w:rPr>
                <w:rFonts w:hint="eastAsia" w:ascii="宋体" w:hAnsi="宋体" w:cs="宋体"/>
                <w:color w:val="auto"/>
                <w:szCs w:val="21"/>
                <w:highlight w:val="none"/>
                <w:lang w:bidi="ar"/>
              </w:rPr>
              <w:t xml:space="preserve">个预置位，可按照所设置的预置位设置不少于8条巡航路径；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H.264、H.265编码均支持High Profile高阶编码档位；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▲10.设备支持双规格安装接口，兼容快速快拆旋转安装、多孔位稳固壁挂/抱杆安装两种方式；</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提供第三方检验机构出具的检测报告原件扫描件）</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细节通道支持smart</w:t>
            </w:r>
            <w:r>
              <w:rPr>
                <w:rFonts w:hint="eastAsia" w:ascii="宋体" w:hAnsi="宋体" w:cs="宋体"/>
                <w:color w:val="auto"/>
                <w:szCs w:val="21"/>
                <w:highlight w:val="none"/>
                <w:lang w:val="en-US" w:eastAsia="zh-CN" w:bidi="ar"/>
              </w:rPr>
              <w:t xml:space="preserve">智能</w:t>
            </w:r>
            <w:r>
              <w:rPr>
                <w:rFonts w:hint="eastAsia" w:ascii="宋体" w:hAnsi="宋体" w:cs="宋体"/>
                <w:color w:val="auto"/>
                <w:szCs w:val="21"/>
                <w:highlight w:val="none"/>
                <w:lang w:bidi="ar"/>
              </w:rPr>
              <w:t xml:space="preserve">事件</w:t>
            </w:r>
            <w:r>
              <w:rPr>
                <w:rFonts w:hint="eastAsia" w:ascii="宋体" w:hAnsi="宋体" w:cs="宋体"/>
                <w:color w:val="auto"/>
                <w:szCs w:val="21"/>
                <w:highlight w:val="none"/>
                <w:lang w:val="en-US" w:eastAsia="zh-CN" w:bidi="ar"/>
              </w:rPr>
              <w:t xml:space="preserve">检测</w:t>
            </w:r>
            <w:r>
              <w:rPr>
                <w:rFonts w:hint="eastAsia" w:ascii="宋体" w:hAnsi="宋体" w:cs="宋体"/>
                <w:color w:val="auto"/>
                <w:szCs w:val="21"/>
                <w:highlight w:val="none"/>
                <w:lang w:bidi="ar"/>
              </w:rPr>
              <w:t xml:space="preserve">、全结构化模式，</w:t>
            </w:r>
            <w:r>
              <w:rPr>
                <w:rFonts w:hint="eastAsia" w:ascii="宋体" w:hAnsi="宋体" w:cs="宋体"/>
                <w:color w:val="auto"/>
                <w:szCs w:val="21"/>
                <w:highlight w:val="none"/>
                <w:lang w:val="en-US" w:eastAsia="zh-CN" w:bidi="ar"/>
              </w:rPr>
              <w:t xml:space="preserve">各类</w:t>
            </w:r>
            <w:r>
              <w:rPr>
                <w:rFonts w:hint="eastAsia" w:ascii="宋体" w:hAnsi="宋体" w:cs="宋体"/>
                <w:color w:val="auto"/>
                <w:szCs w:val="21"/>
                <w:highlight w:val="none"/>
                <w:lang w:bidi="ar"/>
              </w:rPr>
              <w:t xml:space="preserve">智能</w:t>
            </w:r>
            <w:r>
              <w:rPr>
                <w:rFonts w:hint="eastAsia" w:ascii="宋体" w:hAnsi="宋体" w:cs="宋体"/>
                <w:color w:val="auto"/>
                <w:szCs w:val="21"/>
                <w:highlight w:val="none"/>
                <w:lang w:val="en-US" w:eastAsia="zh-CN" w:bidi="ar"/>
              </w:rPr>
              <w:t xml:space="preserve">分析</w:t>
            </w:r>
            <w:r>
              <w:rPr>
                <w:rFonts w:hint="eastAsia" w:ascii="宋体" w:hAnsi="宋体" w:cs="宋体"/>
                <w:color w:val="auto"/>
                <w:szCs w:val="21"/>
                <w:highlight w:val="none"/>
                <w:lang w:bidi="ar"/>
              </w:rPr>
              <w:t xml:space="preserve">功能可任意选择保存生效；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#12.全景通道支持一键拼接功能，可将2个全景画面进行拼接输出，在拼接模式下，设备可输出全景和细节2个视频画面，在非拼接模式下，设备可输出全景通道1、全景通道2和细节通道共3个视频画面；</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.全景通道1和全景通道2分别内置1个麦克风。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设备具有语音对讲设置；设备支持不少于2路报警输入，不少于1路报警输出，不少于1路音频输入，不少于1路音频输出，不少于2个麦克风，不少于1个扬声器、不少于1个SD卡槽，不少于1个RJ45网口，不少于1个485接口。</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#1.材质：采用 Q235B 钢板，等径焊管杆，杆高 4.5m，上口径φ140mm，下口径为φ140mm，主杆壁厚≥3.5mm；底板法兰：320mm*320mm*14mm；横臂：横臂长度 0.5m-1.0m，等径焊管≥φ76mm，横臂壁厚≥2.75mm；整体热镀锌喷塑上色。</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#2.地笼：4-M18*800mm；接地-4*40*1200mm(镀锌扁铁）。</w:t>
            </w:r>
            <w:r/>
          </w:p>
          <w:p>
            <w:pPr>
              <w:jc w:val="left"/>
              <w:spacing w:line="360" w:lineRule="exact"/>
              <w:widowControl/>
              <w:rPr>
                <w:rFonts w:ascii="宋体" w:hAnsi="宋体" w:cs="宋体"/>
                <w:color w:val="auto"/>
                <w:szCs w:val="21"/>
                <w:highlight w:val="none"/>
              </w:rPr>
            </w:pPr>
            <w:r>
              <w:rPr>
                <w:rFonts w:hint="eastAsia" w:ascii="宋体" w:hAnsi="宋体" w:cs="宋体"/>
                <w:color w:val="ff0000"/>
                <w:szCs w:val="21"/>
                <w:highlight w:val="none"/>
                <w:lang w:bidi="ar"/>
              </w:rPr>
              <w:t xml:space="preserve">#3.C25 砼,基础</w:t>
            </w:r>
            <w:r>
              <w:rPr>
                <w:rFonts w:hint="eastAsia" w:ascii="宋体" w:hAnsi="宋体" w:cs="宋体"/>
                <w:color w:val="ff0000"/>
                <w:szCs w:val="21"/>
                <w:highlight w:val="none"/>
                <w:lang w:val="en-US" w:eastAsia="zh-CN" w:bidi="ar"/>
              </w:rPr>
              <w:t xml:space="preserve">尺</w:t>
            </w:r>
            <w:r>
              <w:rPr>
                <w:rFonts w:hint="eastAsia" w:ascii="宋体" w:hAnsi="宋体" w:cs="宋体"/>
                <w:color w:val="ff0000"/>
                <w:szCs w:val="21"/>
                <w:highlight w:val="none"/>
                <w:lang w:bidi="ar"/>
              </w:rPr>
              <w:t xml:space="preserve">寸：650mm*650mm*800mm。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#1.设备箱尺寸：400mm*300mm*200mm；材质：≥1.2mm镀锌板；接地铜排、电源防雷器等配套设备；箱门图案根据客户需求打印。</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.国标</w:t>
            </w:r>
            <w:r>
              <w:rPr>
                <w:rFonts w:hint="eastAsia" w:ascii="宋体" w:hAnsi="宋体" w:cs="宋体"/>
                <w:color w:val="auto"/>
                <w:szCs w:val="21"/>
                <w:highlight w:val="none"/>
                <w:lang w:bidi="ar"/>
              </w:rPr>
              <w:t xml:space="preserve">2*1.5平方</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提供3C认证证书</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.不低于</w:t>
            </w:r>
            <w:r>
              <w:rPr>
                <w:rFonts w:hint="eastAsia" w:ascii="宋体" w:hAnsi="宋体" w:cs="宋体"/>
                <w:color w:val="auto"/>
                <w:szCs w:val="21"/>
                <w:highlight w:val="none"/>
                <w:lang w:bidi="ar"/>
              </w:rPr>
              <w:t xml:space="preserve">超五类非屏蔽</w:t>
            </w:r>
            <w:r>
              <w:rPr>
                <w:rFonts w:hint="eastAsia" w:ascii="宋体" w:hAnsi="宋体" w:cs="宋体"/>
                <w:color w:val="auto"/>
                <w:szCs w:val="21"/>
                <w:highlight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.长度≤1.5米；具体</w:t>
            </w:r>
            <w:r>
              <w:rPr>
                <w:rFonts w:hint="eastAsia" w:ascii="宋体" w:hAnsi="宋体" w:cs="宋体"/>
                <w:color w:val="auto"/>
                <w:szCs w:val="21"/>
                <w:highlight w:val="none"/>
                <w:lang w:bidi="ar"/>
              </w:rPr>
              <w:t xml:space="preserve">根据现场环境定制</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PE管、水晶头、扎带、防水胶布、相机支架等。</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五、后端设备</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AI融合巡检一体化系统</w:t>
            </w:r>
            <w:r>
              <w:rPr>
                <w:rFonts w:ascii="宋体" w:hAnsi="宋体" w:cs="宋体"/>
                <w:color w:val="auto"/>
                <w:szCs w:val="21"/>
                <w:highlight w:val="none"/>
                <w:lang w:bidi="ar"/>
              </w:rPr>
              <w:br/>
            </w:r>
            <w:r>
              <w:rPr>
                <w:rFonts w:ascii="宋体" w:hAnsi="宋体" w:cs="宋体"/>
                <w:color w:val="auto"/>
                <w:szCs w:val="21"/>
                <w:highlight w:val="none"/>
                <w:lang w:bidi="ar"/>
              </w:rPr>
              <w:br/>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b w:val="0"/>
                <w:bCs w:val="0"/>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系统集成行人、机动车、非机动车、异常行为、安全事件多类型智能AI算法，覆盖5大类及以上常态化智能研判场景；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输入带宽：≥</w:t>
            </w:r>
            <w:r>
              <w:rPr>
                <w:rFonts w:hint="eastAsia" w:ascii="宋体" w:hAnsi="宋体" w:cs="宋体"/>
                <w:color w:val="auto"/>
                <w:szCs w:val="21"/>
                <w:highlight w:val="none"/>
                <w:lang w:val="en-US" w:eastAsia="zh-CN" w:bidi="ar"/>
              </w:rPr>
              <w:t xml:space="preserve">512</w:t>
            </w:r>
            <w:r>
              <w:rPr>
                <w:rFonts w:hint="eastAsia" w:ascii="宋体" w:hAnsi="宋体" w:cs="宋体"/>
                <w:color w:val="auto"/>
                <w:szCs w:val="21"/>
                <w:highlight w:val="none"/>
                <w:lang w:bidi="ar"/>
              </w:rPr>
              <w:t xml:space="preserve">Mbps，输出带宽：≥</w:t>
            </w:r>
            <w:r>
              <w:rPr>
                <w:rFonts w:hint="eastAsia" w:ascii="宋体" w:hAnsi="宋体" w:cs="宋体"/>
                <w:color w:val="auto"/>
                <w:szCs w:val="21"/>
                <w:highlight w:val="none"/>
                <w:lang w:val="en-US" w:eastAsia="zh-CN" w:bidi="ar"/>
              </w:rPr>
              <w:t xml:space="preserve">512</w:t>
            </w:r>
            <w:r>
              <w:rPr>
                <w:rFonts w:hint="eastAsia" w:ascii="宋体" w:hAnsi="宋体" w:cs="宋体"/>
                <w:color w:val="auto"/>
                <w:szCs w:val="21"/>
                <w:highlight w:val="none"/>
                <w:lang w:bidi="ar"/>
              </w:rPr>
              <w:t xml:space="preserve">Mbps；</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w:t>
            </w:r>
            <w:r>
              <w:rPr>
                <w:rFonts w:hint="eastAsia" w:ascii="宋体" w:hAnsi="宋体" w:cs="宋体"/>
                <w:b w:val="0"/>
                <w:bCs w:val="0"/>
                <w:color w:val="auto"/>
                <w:szCs w:val="21"/>
                <w:highlight w:val="none"/>
                <w:lang w:bidi="ar"/>
              </w:rPr>
              <w:t xml:space="preserve">3.设备可视化界面可实时展示AI运算引擎运行温度、引擎配置、引擎利用率，用于辅助运维人员判断AI算力引擎状态排查故障</w:t>
            </w:r>
            <w:r>
              <w:rPr>
                <w:rFonts w:hint="eastAsia" w:ascii="宋体" w:hAnsi="宋体" w:cs="宋体"/>
                <w:b w:val="0"/>
                <w:bCs w:val="0"/>
                <w:color w:val="auto"/>
                <w:szCs w:val="21"/>
                <w:highlight w:val="none"/>
                <w:lang w:eastAsia="zh-CN" w:bidi="ar"/>
              </w:rPr>
              <w:t xml:space="preserve">；</w:t>
            </w:r>
            <w:r>
              <w:rPr>
                <w:rFonts w:hint="eastAsia" w:ascii="宋体" w:hAnsi="宋体" w:cs="宋体"/>
                <w:b w:val="0"/>
                <w:bCs w:val="0"/>
                <w:color w:val="auto"/>
                <w:szCs w:val="21"/>
                <w:highlight w:val="none"/>
                <w:lang w:bidi="ar"/>
              </w:rPr>
              <w:t xml:space="preserve">前端AI摄像机上报报警事件后，平台系统可联动后端大模型算力设备开展二次深度分析（以实际使用所搭载算力内容，如人脸结构化数据，异常行为等），并将最终研判结果回传业务平台用于报警、记录。（提供功能演示视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支持全场景视频智能分析能力：实时视频流智能分析、多路视频轮巡智能检测、视频定时抓图智能研判、本地/下发离线图片智能解析、图片URL链接智能分析、前端IPC抓拍报警图片二次复核、业务平台中心流式取流任务可视化管控与智能处理；（提供第三方检验机构出具的检测报告原件扫描件）</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☆☆5.</w:t>
            </w:r>
            <w:r>
              <w:rPr>
                <w:rFonts w:hint="eastAsia" w:ascii="宋体" w:hAnsi="宋体" w:cs="宋体"/>
                <w:b/>
                <w:bCs/>
                <w:color w:val="auto"/>
                <w:szCs w:val="21"/>
                <w:highlight w:val="none"/>
                <w:lang w:val="en-US" w:eastAsia="zh-CN" w:bidi="ar"/>
              </w:rPr>
              <w:t xml:space="preserve">算法要求</w:t>
            </w:r>
            <w:r>
              <w:rPr>
                <w:rFonts w:hint="eastAsia" w:ascii="宋体" w:hAnsi="宋体" w:cs="宋体"/>
                <w:b w:val="0"/>
                <w:bCs w:val="0"/>
                <w:color w:val="auto"/>
                <w:szCs w:val="21"/>
                <w:highlight w:val="none"/>
                <w:lang w:val="en-US" w:eastAsia="zh-CN" w:bidi="ar"/>
              </w:rPr>
              <w:t xml:space="preserve">：</w:t>
            </w:r>
            <w:r>
              <w:rPr>
                <w:rFonts w:hint="eastAsia" w:ascii="宋体" w:hAnsi="宋体" w:cs="宋体"/>
                <w:b w:val="0"/>
                <w:bCs w:val="0"/>
                <w:color w:val="auto"/>
                <w:szCs w:val="21"/>
                <w:highlight w:val="none"/>
                <w:lang w:bidi="ar"/>
              </w:rPr>
              <w:t xml:space="preserve">支持同类型算法大模型（多维度解析行为）、小模型（精准解析某一项行为）一体化打包封装，引擎绑定配置单界面模式选择即可自动匹配对应模型，部署完成模型之后进行行为解析，输出匹配结果，用于业务研判及联动报警，无需重复规则配置，一次配置即可实现大小模型协同联动分析便于技术人员节省前期部署同类算法时间；兼容双部署运行模式：大小模型协同高性能并发模式、轻量化小模型高精度专项研判模式，便于技术人员结合实际应用场景合理选择匹配模型</w:t>
            </w:r>
            <w:r>
              <w:rPr>
                <w:rFonts w:hint="eastAsia" w:ascii="宋体" w:hAnsi="宋体" w:cs="宋体"/>
                <w:b w:val="0"/>
                <w:bCs w:val="0"/>
                <w:color w:val="auto"/>
                <w:szCs w:val="21"/>
                <w:highlight w:val="none"/>
                <w:lang w:eastAsia="zh-CN" w:bidi="ar"/>
              </w:rPr>
              <w:t xml:space="preserve">。</w:t>
            </w:r>
            <w:r>
              <w:rPr>
                <w:rFonts w:hint="eastAsia" w:ascii="宋体" w:hAnsi="宋体" w:cs="宋体"/>
                <w:b w:val="0"/>
                <w:bCs w:val="0"/>
                <w:color w:val="auto"/>
                <w:szCs w:val="21"/>
                <w:highlight w:val="none"/>
                <w:lang w:bidi="ar"/>
              </w:rPr>
              <w:t xml:space="preserve">（提供功能演示视频）</w:t>
            </w:r>
            <w:r/>
          </w:p>
          <w:p>
            <w:pPr>
              <w:jc w:val="left"/>
              <w:spacing w:line="360" w:lineRule="exact"/>
              <w:widowControl/>
              <w:rPr>
                <w:rFonts w:hint="eastAsia" w:ascii="宋体" w:hAnsi="宋体" w:eastAsia="宋体" w:cs="宋体"/>
                <w:b w:val="0"/>
                <w:bCs w:val="0"/>
                <w:color w:val="auto"/>
                <w:szCs w:val="21"/>
                <w:highlight w:val="none"/>
                <w:lang w:val="en-US" w:eastAsia="zh-CN" w:bidi="ar"/>
              </w:rPr>
            </w:pPr>
            <w:r>
              <w:rPr>
                <w:rFonts w:hint="eastAsia" w:ascii="宋体" w:hAnsi="宋体" w:cs="宋体"/>
                <w:color w:val="auto"/>
                <w:szCs w:val="21"/>
                <w:highlight w:val="none"/>
                <w:lang w:bidi="ar"/>
              </w:rPr>
              <w:t xml:space="preserve">#</w:t>
            </w:r>
            <w:r>
              <w:rPr>
                <w:rFonts w:hint="eastAsia" w:ascii="宋体" w:hAnsi="宋体" w:cs="宋体"/>
                <w:b/>
                <w:bCs/>
                <w:color w:val="auto"/>
                <w:szCs w:val="21"/>
                <w:highlight w:val="none"/>
                <w:lang w:val="en-US" w:eastAsia="zh-CN" w:bidi="ar"/>
              </w:rPr>
              <w:t xml:space="preserve">6.</w:t>
            </w:r>
            <w:r>
              <w:rPr>
                <w:rFonts w:hint="eastAsia" w:ascii="宋体" w:hAnsi="宋体" w:eastAsia="宋体" w:cs="宋体"/>
                <w:b/>
                <w:bCs/>
                <w:color w:val="auto"/>
                <w:szCs w:val="21"/>
                <w:highlight w:val="none"/>
                <w:lang w:val="en-US" w:eastAsia="zh-CN" w:bidi="ar"/>
              </w:rPr>
              <w:t xml:space="preserve">功能实现：</w:t>
            </w:r>
            <w:r>
              <w:rPr>
                <w:rFonts w:hint="default" w:ascii="宋体" w:hAnsi="宋体" w:eastAsia="宋体" w:cs="宋体"/>
                <w:b w:val="0"/>
                <w:bCs w:val="0"/>
                <w:color w:val="auto"/>
                <w:szCs w:val="21"/>
                <w:highlight w:val="none"/>
                <w:lang w:val="en-US" w:eastAsia="zh-CN" w:bidi="ar"/>
              </w:rPr>
              <w:t xml:space="preserve">①</w:t>
            </w:r>
            <w:r>
              <w:rPr>
                <w:rFonts w:hint="eastAsia" w:ascii="宋体" w:hAnsi="宋体" w:eastAsia="宋体" w:cs="宋体"/>
                <w:b w:val="0"/>
                <w:bCs w:val="0"/>
                <w:color w:val="auto"/>
                <w:szCs w:val="21"/>
                <w:highlight w:val="none"/>
                <w:lang w:val="en-US" w:eastAsia="zh-CN" w:bidi="ar"/>
              </w:rPr>
              <w:t xml:space="preserve">基于算法能力对视频流进行实时智能分析，完成护学岗执勤情况进行监管通报，可对执勤区域内的人员聚集、流动态势进行实时监测与分析。</w:t>
            </w:r>
            <w:r/>
          </w:p>
          <w:p>
            <w:pPr>
              <w:jc w:val="left"/>
              <w:spacing w:line="360" w:lineRule="exact"/>
              <w:widowControl/>
              <w:rPr>
                <w:rFonts w:hint="eastAsia" w:ascii="宋体" w:hAnsi="宋体" w:eastAsia="宋体" w:cs="宋体"/>
                <w:b w:val="0"/>
                <w:bCs w:val="0"/>
                <w:color w:val="auto"/>
                <w:szCs w:val="21"/>
                <w:highlight w:val="none"/>
                <w:lang w:val="en-US" w:eastAsia="zh-CN" w:bidi="ar"/>
              </w:rPr>
            </w:pPr>
            <w:r>
              <w:rPr>
                <w:rFonts w:hint="default" w:ascii="宋体" w:hAnsi="宋体" w:eastAsia="宋体" w:cs="宋体"/>
                <w:b w:val="0"/>
                <w:bCs w:val="0"/>
                <w:color w:val="auto"/>
                <w:szCs w:val="21"/>
                <w:highlight w:val="none"/>
                <w:lang w:val="en-US" w:eastAsia="zh-CN" w:bidi="ar"/>
              </w:rPr>
              <w:t xml:space="preserve">②</w:t>
            </w:r>
            <w:r>
              <w:rPr>
                <w:rFonts w:hint="eastAsia" w:ascii="宋体" w:hAnsi="宋体" w:eastAsia="宋体" w:cs="宋体"/>
                <w:b w:val="0"/>
                <w:bCs w:val="0"/>
                <w:color w:val="auto"/>
                <w:szCs w:val="21"/>
                <w:highlight w:val="none"/>
                <w:lang w:val="en-US" w:eastAsia="zh-CN" w:bidi="ar"/>
              </w:rPr>
              <w:t xml:space="preserve">通过对学生个体的行为进行精准的AI数据解析，系统能够有效识别如奔跑推搡、异常滞留、区域入侵等多种行为状态，护学管理等风险行为的自动识别与即时预警。</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.支持离线模型和在线模型两种模型导入方式，支持第三方算法插件的导入和管理；可显示模型名称、有效期、模型标签及模型版本。</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.支持不小于256路H.264、H.265格式高清码流接入；</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支持不少于2个HDMI、1个VGA、4口千兆以太网口、2个USB2.0接口、4个USB3.0接口；</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.配置12块不小于6TB硬盘；</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接口类型：SATA</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转速：≥5400RPM</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缓存：不低于256MB</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最大读取速度：180MB/s</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接口传输速率（最大值）：6.0Gb/s</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平均读写功率（W）：不低于4.5W</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加载/卸载周期：不少于300,000</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MTBF：不少于1,000,000</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年负荷（TB/年）：≥180TB</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工作状态温度(°C)：0-65℃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▲1.2.5G千兆电接口≥6个，SFP+万兆光口≥2个；（提供官网链接和设备外观截图证明）</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#2.整机最大吞吐量≥10Gbps，配置3年防病毒、防攻击、上网行为管理、Web安全防护等增强特性授权；</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#3.支持状态检测防火墙、NAT、访问控制、链路负载、ARP防护、DDoS 攻击防御（SYN Flood、UDP Flood 等）；支持IPSec/SSL VPN，满足远程办公、跨地域组网安全需求；VPN用户登录支持双因子认证，包括动态口令、硬件特征码认证手段；支持IPS入侵防御、病毒查杀、恶意 URL 过滤、Web 应用防护、威胁情报；支持基于IPv4/IPv6的一体化安全策略：在一条策略中可基于设备接口/安全域、源/目的IP地址、服务、应用、用户、时间等属性；</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业务插槽≥4个；本次每台机器实配置双主控引擎和千兆电口≥16个，SFP千兆光口≥24个，SFP+万兆光口≥24个，40G QSFP光接口≥4个、双交流电源；（提供官网链接和设备外观截图证明）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#2.交换容量≥100Tbps，包转发率≥48000Mpps；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#3.支持静态路由、RIP v1/v2、OSPF、BGP、支持策略路由；支持DHCP Snooping、DHCP Option 82、支持IEEE 802.1x认证；支持RSPAN（远程交换端口分析）功能，即远程端口镜像，突破了镜像源和目的端口必须处于同一交换机的限制，使镜像源端口和镜像目的端口可以在不同的网络设备上，从而方便网管人员对远程交换机设备进行管理。在远程镜像的vlan上不能</w:t>
            </w:r>
            <w:r>
              <w:rPr>
                <w:rFonts w:hint="eastAsia" w:ascii="宋体" w:hAnsi="宋体" w:cs="宋体"/>
                <w:color w:val="auto"/>
                <w:szCs w:val="21"/>
                <w:highlight w:val="none"/>
                <w:lang w:eastAsia="zh-CN" w:bidi="ar"/>
              </w:rPr>
              <w:t xml:space="preserve">进行</w:t>
            </w:r>
            <w:r>
              <w:rPr>
                <w:rFonts w:hint="eastAsia" w:ascii="宋体" w:hAnsi="宋体" w:cs="宋体"/>
                <w:color w:val="auto"/>
                <w:szCs w:val="21"/>
                <w:highlight w:val="none"/>
                <w:lang w:bidi="ar"/>
              </w:rPr>
              <w:t xml:space="preserve">业务流的传输。</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（含配套提供SFP+万兆光模块4个、SFP千兆光模块14个）</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六、施工集成</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9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含破除恢复、施工器械、路段标识标牌标线、隔离减速装置、智能前端配套设备相关施工、安装、调试、综合布线等。</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（二）《采购清单及技术参数要求》技术参数说明如下：</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1.标注“★”的为</w:t>
      </w:r>
      <w:r>
        <w:rPr>
          <w:rFonts w:hint="eastAsia" w:ascii="宋体" w:hAnsi="宋体" w:cs="宋体"/>
          <w:bCs/>
          <w:color w:val="auto"/>
          <w:sz w:val="24"/>
          <w:szCs w:val="24"/>
          <w:highlight w:val="none"/>
          <w:lang w:val="en-US" w:eastAsia="zh-CN"/>
        </w:rPr>
        <w:t xml:space="preserve">实质性响应要求</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不响应按无效标处理</w:t>
      </w:r>
      <w:r>
        <w:rPr>
          <w:rFonts w:hint="eastAsia" w:ascii="宋体" w:hAnsi="宋体" w:cs="宋体"/>
          <w:bCs/>
          <w:color w:val="auto"/>
          <w:sz w:val="24"/>
          <w:szCs w:val="24"/>
          <w:highlight w:val="none"/>
        </w:rPr>
        <w:t xml:space="preserve">。</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.标注“●”的为核心产品，不同投标人核心产品标的品牌相同按同品牌投标人处理。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详见投标人须知18.5条）</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标注“▲”的技术参数为重要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.标注“</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”的技术参数，投标人需提供产品功能演示视频，投标人提交的产品演示视频（含功能演示、参数实测、操作展示等），需与实际所投产品技术参数、功能一致。</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标注“＃”号标记的技术参数为一般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.投标人应当对《中小企业声明函》真实性负责，投标人出具的《中小企业声明函》应当对本次采购标的逐一列明制造商且应当与明细报价表内容相对应。</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.除特别标注尺寸偏差、大于、大于等于、小于及小于等于之外，其他固定尺寸允许偏差±2%。</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10.本次采购不包含后端大模型算力设备。投标人应确保系统具备与第三方算力设备对接的标准接口能力。</w:t>
      </w:r>
      <w:r/>
    </w:p>
    <w:p>
      <w:pPr>
        <w:ind w:firstLine="482"/>
        <w:spacing w:line="48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五、项目要求</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（一）供货要求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须提供主要产品生产厂家供货证明书。投标人所供货物若与标书上列明的设备的型号、技术指标等不相符，有造假现象的，采购人有权拒收货物，投标人应承担由此给采购人带来的损失。</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（二）质量保证</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保证提供的货物经过正确安装、正常使用和保养条件下，在其使用寿命内应具有满意的性能。货物最终验收后，在售后服务期内，中标人应对由于设计、工艺或材料的缺陷以及其他由于生产厂家或中标人的原因而发生的任何不足或故障负责，费用由中标人负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（2）根据当地法定检验机构的检验结果或者在售后服务期内，如果货物的质量或规格型号与合同不符，或证明货物是有缺陷的，包括潜在的缺陷或使用不符合要求的材料等，采购人有权向中标人发出索赔通知。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（3）中标人在收到通知后，应在合同所附服务承诺约定的时间内维修、更换有缺陷的货物或部件。</w:t>
      </w:r>
      <w:r/>
    </w:p>
    <w:p>
      <w:pPr>
        <w:ind w:firstLine="480"/>
        <w:spacing w:line="480" w:lineRule="exact"/>
        <w:rPr>
          <w:rFonts w:ascii="宋体" w:hAnsi="宋体" w:cs="宋体"/>
          <w:b/>
          <w:bCs/>
          <w:iCs/>
          <w:color w:val="auto"/>
          <w:sz w:val="24"/>
          <w:szCs w:val="24"/>
          <w:highlight w:val="none"/>
        </w:rPr>
      </w:pPr>
      <w:r>
        <w:rPr>
          <w:rFonts w:hint="eastAsia" w:ascii="宋体" w:hAnsi="宋体" w:cs="宋体"/>
          <w:color w:val="auto"/>
          <w:sz w:val="24"/>
          <w:szCs w:val="24"/>
          <w:highlight w:val="none"/>
        </w:rPr>
        <w:t xml:space="preserve">（4）如果中标人在收到通知后，在合同所附服务承诺约定的时间内没有弥补缺陷，采购人可采取必要的补救措施，但风险和费用将由中标人承担。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（三）货物的包装、发运及运输</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（2）使用说明书、质量检验证明书、随配附件和工具以及清单一并附于货物内。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（3）中标人在货物发运手续办理完毕后24小时内或货到采购人48小时前通知采购人，以准备接货。</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（4）货物在交付采购人前发生的风险均由中标人负责。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（5）货物在规定的交付期限内由中标人送达采购人指定的地点视为交付，中标人同时需通知采购人货物已送达。</w:t>
      </w:r>
      <w:r/>
    </w:p>
    <w:p>
      <w:pPr>
        <w:ind w:firstLine="482"/>
        <w:spacing w:line="480" w:lineRule="exact"/>
        <w:rPr>
          <w:rFonts w:ascii="宋体" w:hAnsi="宋体" w:cs="宋体"/>
          <w:b/>
          <w:bCs/>
          <w:iCs/>
          <w:color w:val="auto"/>
          <w:sz w:val="24"/>
          <w:szCs w:val="24"/>
          <w:highlight w:val="none"/>
        </w:rPr>
      </w:pPr>
      <w:r>
        <w:rPr>
          <w:rFonts w:hint="eastAsia" w:ascii="宋体" w:hAnsi="宋体" w:cs="宋体"/>
          <w:b/>
          <w:bCs/>
          <w:iCs/>
          <w:color w:val="auto"/>
          <w:sz w:val="24"/>
          <w:szCs w:val="24"/>
          <w:highlight w:val="none"/>
        </w:rPr>
        <w:t xml:space="preserve">（四）安装要求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可提前自行踏勘现场，结合项目现场和采购人要求，充分考虑施工、安装涉及的全部事务及费用、相关辅材等。以上相关配件辅材，因考虑不全造成遗漏，均由中标人负责，视同中标人主动让利，不再另计。</w:t>
      </w:r>
      <w:r/>
    </w:p>
    <w:p>
      <w:pPr>
        <w:pStyle w:val="1211"/>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施工注意事项：中标人必须注意施工、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（五）验收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（1）验收标准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按照招标文件、投标文件及相关标准实施。有国家标准的应符合国家标准，无国家标准的应符合行业标准、地方标准或者其他标准、规范，并满足招标文件要求。验收情况作为支付货款的依据。如有质疑，以相关质量技术检验检测机构的检验结果为准，如产生检验费用，则该费用由过失方承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2.采购人对中标人提供的货物在使用前，中标人需负责培训采购人的使用操作人员，直到符合技术要求；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3.验收前中标人必须确保项目设备、功能完全满足国家行业有关质量标准。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人按约定将货物送至采购人指定地点并安装调试完毕，中标人向采购人提交项目初验技术资料以及初验申请单，采购人收到申请后3个工作日内组织初验并按照合同约定以及投标文件中的产品技术标准进行验收无问题后签署初验单。</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（六）节能、环保产品政策</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（七）商品包装、快递包装政府采购需求标准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（八）采购本国货物、工程和服务</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政府采购应当采购本国货物、工程和服务，但有《中华人民共和国政府采购法》第十条规定情形的除外。</w:t>
      </w:r>
      <w:r/>
    </w:p>
    <w:p>
      <w:pPr>
        <w:numPr>
          <w:ilvl w:val="0"/>
          <w:numId w:val="0"/>
        </w:numPr>
        <w:ind w:firstLine="482"/>
        <w:spacing w:line="480" w:lineRule="exact"/>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cs="宋体"/>
          <w:b/>
          <w:bCs/>
          <w:color w:val="auto"/>
          <w:sz w:val="24"/>
          <w:szCs w:val="24"/>
          <w:highlight w:val="none"/>
          <w:lang w:val="en-US" w:eastAsia="zh-CN"/>
        </w:rPr>
        <w:t xml:space="preserve">人员要求</w:t>
      </w:r>
      <w:r/>
    </w:p>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供应商需成立项目管理小组，并组建不少于3人的项目团队，供应商委派项目负责人及成员具备相关安防设备组网，AI系统调试，网络搭建，平台对接等技术能力，配备如下：</w:t>
      </w:r>
      <w:r/>
    </w:p>
    <w:p>
      <w:pPr>
        <w:ind w:firstLine="480"/>
        <w:spacing w:line="48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项目负责人1名，具备丰富的项目管理经验，负责项目的总体实施工作，建立沟通联系，把控项目总体进度，计划制定等。</w:t>
      </w:r>
      <w:r/>
    </w:p>
    <w:p>
      <w:pPr>
        <w:ind w:firstLine="480"/>
        <w:spacing w:line="480" w:lineRule="exact"/>
        <w:rPr>
          <w:rFonts w:hint="eastAsia" w:ascii="宋体" w:hAnsi="宋体" w:cs="宋体"/>
          <w:b/>
          <w:color w:val="auto"/>
          <w:sz w:val="24"/>
          <w:szCs w:val="24"/>
          <w:highlight w:val="none"/>
        </w:rPr>
      </w:pPr>
      <w:r>
        <w:rPr>
          <w:rFonts w:hint="default"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项目组其他成员2名，负责安防设备的安装调试，平台对接等技术工作。</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六、项目实施要求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投标人针对本项目提供详细的项目实施方案，内容包括但不限于：质量保证方案、培训及技术支持方案等。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（一）质量保障要求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投标人针对本项目提供详细的质量保证方案，内容包括但不限于：</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（1）详细的质量保障方案，包括但不限于质量保证体系、质量方针和目标、质量管理措施、质量控制措施等方面的内容。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（2）详细的施工进度保障方案，包括但不限于一份详尽的项目进度计划，有明确的时间节点和进度安排，展示项目各阶段的起止时间、关键过程等，且要充分考虑天气影响，避免影响工期。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（3）详细的现场管理要求，包括但不限于现场管理策略、安全生产措施、环境保护措施以及日常现场管理流程等。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（二）培训及技术支持要求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根据日常运行和维护工作情况，投标人结合用户实际情况，在安装过程中或安装结束后，对采购人工程师和操作人员进行现场维修、保养、操作培训并提供快捷操作指南（塑胶封好，挂在设备上）。</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同时投标人需制定适合用户详细、操作性强的培训方案，内容包含但不限于培训目的、培训时间、培训内容、培训对象、培训地点、培训方式及课时安排、培训教材、培训师资等。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（1）培训目的：通过对用户的培训，使其对设备的使用、操作、维护进行培训，并提供安装使用维护说明书，以确保使用单位能够对设备有足够的了解，能够独立进行日常操作、管理和维护。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（3）培训内容：包括但不限于安全知识学习、产品具有的功能学习、产品体系架构学习、安装、调试、操作的培训、产品的日常维护学习、产品的故障紧急处理。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（4）培训对象：本次采购的产品使用者。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（5）培训地点：同交货地点。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（6）培训方式及课时安排：现场培训或线上培训、至少2课时，每课时至少30分钟。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（7）培训教材：免费提供培训教材纸质版或电子版（含使用手册）等。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（8）培训师资：投标人须委派专业技术人员对用户进行培训。</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七、设备安装要求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投标人针对本项目提供详细的设备安装方案，包括但不限于：</w:t>
      </w:r>
      <w:r/>
    </w:p>
    <w:p>
      <w:pPr>
        <w:numPr>
          <w:ilvl w:val="0"/>
          <w:numId w:val="5"/>
        </w:num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交通安全设施安装规划方案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结合城区学校出入口道路及护学岗现状，提供标志标牌、标线、护栏、防撞柱、减速设施、护学岗监控点位等设施的安装规划方案。方案需包含采购清单内标识标牌标线和隔离减速装置的平面规划设计图；护学岗监控点位规划设计图；满足现场布设、安全防护及智能覆盖要求。安装要做到垂直、水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牢固、金属切割部位要进行防锈处理</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w:t>
      </w:r>
      <w:r/>
    </w:p>
    <w:p>
      <w:pPr>
        <w:numPr>
          <w:ilvl w:val="0"/>
          <w:numId w:val="5"/>
        </w:numPr>
        <w:ind w:left="0"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AI系统</w:t>
      </w:r>
      <w:r>
        <w:rPr>
          <w:rFonts w:hint="eastAsia" w:ascii="宋体" w:hAnsi="宋体" w:cs="宋体"/>
          <w:color w:val="auto"/>
          <w:sz w:val="24"/>
          <w:szCs w:val="24"/>
          <w:highlight w:val="none"/>
          <w:lang w:val="en-US" w:eastAsia="zh-CN"/>
        </w:rPr>
        <w:t xml:space="preserve">接入</w:t>
      </w:r>
      <w:r>
        <w:rPr>
          <w:rFonts w:hint="eastAsia" w:ascii="宋体" w:hAnsi="宋体" w:cs="宋体"/>
          <w:color w:val="auto"/>
          <w:sz w:val="24"/>
          <w:szCs w:val="24"/>
          <w:highlight w:val="none"/>
        </w:rPr>
        <w:t xml:space="preserve">方案，内容包含但不限于：①对使用场景及AI巡检内容项的理解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rPr>
        <w:t xml:space="preserve">对AI巡检项与现有校园安全平台实现巡检报警功能流程的具体描述，确保实际落地后可以形成有效的业务闭环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基于对AI巡检的理解与对安防行业的理解，提供具体的平台对接方案，方案内容包含AI巡检系统的接口项及功能描述，AI巡检系统对接平台的接口数据，报警交互内容描述等。</w:t>
      </w:r>
      <w:r/>
    </w:p>
    <w:p>
      <w:pPr>
        <w:numPr>
          <w:ilvl w:val="0"/>
          <w:numId w:val="0"/>
        </w:num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现有的泗洪县数字化校园管理中心平台</w:t>
      </w:r>
      <w:r>
        <w:rPr>
          <w:rFonts w:hint="eastAsia" w:ascii="宋体" w:hAnsi="宋体" w:cs="宋体"/>
          <w:color w:val="auto"/>
          <w:sz w:val="24"/>
          <w:szCs w:val="24"/>
          <w:highlight w:val="none"/>
        </w:rPr>
        <w:t xml:space="preserve">，采用B/S及C/S架构，具备视频预览，录像回放，报警事件接入，智能AI算法接入等功能，支撑教育局日常基于视频监控层面，AI预警层面等业务应用。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网络接入</w:t>
      </w:r>
      <w:r>
        <w:rPr>
          <w:rFonts w:hint="eastAsia" w:ascii="宋体" w:hAnsi="宋体" w:cs="宋体"/>
          <w:color w:val="auto"/>
          <w:sz w:val="24"/>
          <w:szCs w:val="24"/>
          <w:highlight w:val="none"/>
        </w:rPr>
        <w:t xml:space="preserve">方案: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①网络设备平台接入方案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提供的网络设备能够接入现有的网络资源管理平台并提供切实可行的网络设备平台接入方案。方案内容</w:t>
      </w:r>
      <w:r>
        <w:rPr>
          <w:rFonts w:hint="eastAsia" w:ascii="宋体" w:hAnsi="宋体" w:cs="宋体"/>
          <w:color w:val="auto"/>
          <w:sz w:val="24"/>
          <w:szCs w:val="24"/>
          <w:highlight w:val="none"/>
          <w:lang w:val="en-US" w:eastAsia="zh-CN"/>
        </w:rPr>
        <w:t xml:space="preserve">包括但不限于</w:t>
      </w:r>
      <w:r>
        <w:rPr>
          <w:rFonts w:hint="eastAsia" w:ascii="宋体" w:hAnsi="宋体" w:cs="宋体"/>
          <w:color w:val="auto"/>
          <w:sz w:val="24"/>
          <w:szCs w:val="24"/>
          <w:highlight w:val="none"/>
        </w:rPr>
        <w:t xml:space="preserve">网管平台兼容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云管平台兼容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接入配置步骤、设备信息同步规则、权限划分设置、日常运维对接流程等内容</w:t>
      </w:r>
      <w:r>
        <w:rPr>
          <w:rFonts w:hint="eastAsia" w:ascii="宋体" w:hAnsi="宋体" w:cs="宋体"/>
          <w:color w:val="auto"/>
          <w:sz w:val="24"/>
          <w:szCs w:val="24"/>
          <w:highlight w:val="none"/>
        </w:rPr>
        <w:t xml:space="preserve">。(现有网管平台1套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云管平台1套)</w:t>
      </w:r>
      <w:r/>
    </w:p>
    <w:p>
      <w:pPr>
        <w:ind w:firstLine="48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现有的网管</w:t>
      </w:r>
      <w:r>
        <w:rPr>
          <w:rFonts w:hint="default" w:ascii="宋体" w:hAnsi="宋体" w:cs="宋体"/>
          <w:color w:val="auto"/>
          <w:sz w:val="24"/>
          <w:szCs w:val="24"/>
          <w:highlight w:val="none"/>
          <w:lang w:val="en-US" w:eastAsia="zh-CN"/>
        </w:rPr>
        <w:t xml:space="preserve">平台为教育城域网本地核心网管平台，支持SNMP V1/V2C/V3、SSH、SFTP等主流管理协议，实现对城域网内的网络设备进行统一管理，对网络设备的基础信息、关键指标、接口流量进行监控采集</w:t>
      </w:r>
      <w:r>
        <w:rPr>
          <w:rFonts w:hint="eastAsia" w:ascii="宋体" w:hAnsi="宋体" w:cs="宋体"/>
          <w:color w:val="auto"/>
          <w:sz w:val="24"/>
          <w:szCs w:val="24"/>
          <w:highlight w:val="none"/>
          <w:lang w:val="en-US" w:eastAsia="zh-CN"/>
        </w:rPr>
        <w:t xml:space="preserve">。</w:t>
      </w:r>
      <w:r/>
    </w:p>
    <w:p>
      <w:pPr>
        <w:ind w:firstLine="48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现有</w:t>
      </w:r>
      <w:r>
        <w:rPr>
          <w:rFonts w:hint="default" w:ascii="宋体" w:hAnsi="宋体" w:cs="宋体"/>
          <w:color w:val="auto"/>
          <w:sz w:val="24"/>
          <w:szCs w:val="24"/>
          <w:highlight w:val="none"/>
          <w:lang w:val="en-US" w:eastAsia="zh-CN"/>
        </w:rPr>
        <w:t xml:space="preserve">云管平台承担全网设备云端远程运维、批量管理、智能调度、异地运维等核心功能，支持DCN全系列设备自动上线、云端纳管、策略下发等。统一配置全局无线网络，对全局设备进行统一升级，用户身份统一认证，统一下发认证页面。可以根据组织结构不同建立不同管理级别，由总部管理员进行级别的划分。</w:t>
      </w:r>
      <w:r/>
    </w:p>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②汇聚交换机虚拟化集群方案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为确保采购设备的兼容性，要求</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所投交换机必须能够与采购人现有的教育城域网汇聚交换机组建虚拟化集群并提供切实可行的汇聚交换机虚拟化集群方案。方案内容</w:t>
      </w:r>
      <w:r>
        <w:rPr>
          <w:rFonts w:hint="eastAsia" w:ascii="宋体" w:hAnsi="宋体" w:cs="宋体"/>
          <w:color w:val="auto"/>
          <w:sz w:val="24"/>
          <w:szCs w:val="24"/>
          <w:highlight w:val="none"/>
          <w:lang w:val="en-US" w:eastAsia="zh-CN"/>
        </w:rPr>
        <w:t xml:space="preserve">包括但不限于网络拓扑、IP地址规划、虚拟化集群配置步骤等。</w:t>
      </w:r>
      <w:r/>
    </w:p>
    <w:p>
      <w:pPr>
        <w:ind w:firstLine="480"/>
        <w:spacing w:line="480" w:lineRule="exact"/>
        <w:rPr>
          <w:rFonts w:hint="eastAsia"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当前教育城域网汇聚层部署神州数码DCRS-7604E模块化核心路由交换机，承担城域网数据转发、路由调度、区域网络汇聚核心</w:t>
      </w:r>
      <w:r>
        <w:rPr>
          <w:rFonts w:hint="eastAsia" w:ascii="宋体" w:hAnsi="宋体" w:cs="宋体"/>
          <w:color w:val="auto"/>
          <w:sz w:val="24"/>
          <w:szCs w:val="24"/>
          <w:highlight w:val="none"/>
          <w:lang w:val="en-US" w:eastAsia="zh-CN"/>
        </w:rPr>
        <w:t xml:space="preserve">功能。</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采购方现有设备详细情况见附件1</w:t>
      </w:r>
      <w:r>
        <w:rPr>
          <w:rFonts w:hint="eastAsia" w:ascii="宋体" w:hAnsi="宋体" w:cs="宋体"/>
          <w:color w:val="auto"/>
          <w:sz w:val="24"/>
          <w:szCs w:val="24"/>
          <w:highlight w:val="none"/>
        </w:rPr>
        <w:t xml:space="preserve">)</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八、售后服务要求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运行维护期为三年（自验收合格之日起计算），运行维护期内所有设施设备的更换、维修均为免费（包括非故意人为损坏），监测设备费用、网络使用费用以及相关配件的维修、保养费用由中标人免费提供，所有服务产生的费用均不再收取；服务期满后，中标人保证零配件的供给，按投标文件承诺的折扣予以保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2.售后服务保障不力的，采购人有权终止合同，停止支付项目相关费用。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3.提供定期现场巡检和回访。</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故障及时响应。成立专门的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九、演示要求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1.采购清单中技术要求前标有“</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”的技术参数（共2条），投标人需提供产品功能演示视频，投标人提交的产品演示视频（含功能演示、参数实测、操作展示等），需与实际所投产品技术参数、功能一致。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十、报价要求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pStyle w:val="1020"/>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2.供应商报价时应充分考虑所有可能影响到报价的因素，一旦招标结束最终成交，总价将包定，不予调整。如发生漏、缺、少项，都将被认为是成交供应商的报价让利行为，损失</w:t>
      </w:r>
      <w:r>
        <w:rPr>
          <w:rFonts w:hint="eastAsia" w:ascii="宋体" w:hAnsi="宋体" w:cs="宋体"/>
          <w:color w:val="auto"/>
          <w:sz w:val="24"/>
          <w:szCs w:val="24"/>
          <w:highlight w:val="none"/>
          <w:lang w:eastAsia="zh-CN"/>
        </w:rPr>
        <w:t xml:space="preserve">自负</w:t>
      </w:r>
      <w:r>
        <w:rPr>
          <w:rFonts w:hint="eastAsia" w:ascii="宋体" w:hAnsi="宋体" w:cs="宋体"/>
          <w:color w:val="auto"/>
          <w:sz w:val="24"/>
          <w:szCs w:val="24"/>
          <w:highlight w:val="none"/>
        </w:rPr>
        <w:t xml:space="preserve">。</w:t>
      </w:r>
      <w:r/>
    </w:p>
    <w:p>
      <w:pPr>
        <w:pStyle w:val="1021"/>
        <w:rPr>
          <w:rFonts w:ascii="宋体" w:hAnsi="宋体" w:cs="宋体"/>
          <w:color w:val="auto"/>
          <w:sz w:val="24"/>
          <w:szCs w:val="24"/>
          <w:highlight w:val="none"/>
        </w:rPr>
      </w:pPr>
      <w:r>
        <w:rPr>
          <w:rFonts w:ascii="宋体" w:hAnsi="宋体" w:cs="宋体"/>
          <w:color w:val="auto"/>
          <w:sz w:val="24"/>
          <w:szCs w:val="24"/>
          <w:highlight w:val="none"/>
        </w:rPr>
      </w:r>
      <w:r/>
    </w:p>
    <w:p>
      <w:pPr>
        <w:pStyle w:val="1020"/>
        <w:rPr>
          <w:rFonts w:ascii="宋体" w:hAnsi="宋体" w:cs="宋体"/>
          <w:color w:val="auto"/>
          <w:sz w:val="24"/>
          <w:szCs w:val="24"/>
          <w:highlight w:val="none"/>
        </w:rPr>
      </w:pPr>
      <w:r>
        <w:rPr>
          <w:rFonts w:ascii="宋体" w:hAnsi="宋体" w:cs="宋体"/>
          <w:color w:val="auto"/>
          <w:sz w:val="24"/>
          <w:szCs w:val="24"/>
          <w:highlight w:val="none"/>
        </w:rPr>
      </w:r>
      <w:r/>
    </w:p>
    <w:p>
      <w:pPr>
        <w:pStyle w:val="1021"/>
        <w:rPr>
          <w:rFonts w:ascii="宋体" w:hAnsi="宋体" w:cs="宋体"/>
          <w:color w:val="auto"/>
          <w:sz w:val="24"/>
          <w:szCs w:val="24"/>
          <w:highlight w:val="none"/>
        </w:rPr>
      </w:pPr>
      <w:r>
        <w:rPr>
          <w:rFonts w:ascii="宋体" w:hAnsi="宋体" w:cs="宋体"/>
          <w:color w:val="auto"/>
          <w:sz w:val="24"/>
          <w:szCs w:val="24"/>
          <w:highlight w:val="none"/>
        </w:rPr>
      </w:r>
      <w:r/>
    </w:p>
    <w:p>
      <w:pPr>
        <w:pStyle w:val="1020"/>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759"/>
        <w:jc w:val="center"/>
        <w:spacing w:before="200"/>
        <w:rPr>
          <w:rFonts w:ascii="Calibri" w:hAnsi="Calibri" w:eastAsia="宋体" w:cs="Times New Roman"/>
          <w:b/>
          <w:color w:val="auto"/>
          <w:sz w:val="44"/>
          <w:szCs w:val="44"/>
          <w:highlight w:val="none"/>
        </w:rPr>
      </w:pPr>
      <w:r/>
      <w:bookmarkStart w:id="121" w:name="_Toc81575169"/>
      <w:r/>
      <w:bookmarkStart w:id="122" w:name="_Toc31499"/>
      <w:r/>
      <w:bookmarkStart w:id="123" w:name="_Toc81575206"/>
      <w:r/>
      <w:bookmarkStart w:id="124" w:name="_Toc2513"/>
      <w:r/>
      <w:bookmarkStart w:id="125" w:name="_Toc22098"/>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21"/>
      <w:r/>
      <w:bookmarkEnd w:id="122"/>
      <w:r/>
      <w:bookmarkEnd w:id="123"/>
      <w:r/>
      <w:bookmarkEnd w:id="124"/>
      <w:r/>
      <w:bookmarkEnd w:id="125"/>
      <w:r/>
      <w:bookmarkStart w:id="126" w:name="_Toc20823315"/>
      <w:r/>
      <w:bookmarkStart w:id="127" w:name="_Toc513029243"/>
      <w:r/>
      <w:bookmarkStart w:id="128" w:name="_Toc16938559"/>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pStyle w:val="797"/>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797"/>
        <w:jc w:val="center"/>
        <w:rPr>
          <w:rFonts w:ascii="宋体" w:hAnsi="宋体" w:eastAsia="宋体" w:cs="宋体"/>
          <w:b/>
          <w:bCs/>
          <w:color w:val="auto"/>
          <w:spacing w:val="-20"/>
          <w:highlight w:val="none"/>
          <w:lang w:eastAsia="zh-CN"/>
        </w:rPr>
      </w:pPr>
      <w:r/>
      <w:bookmarkStart w:id="129" w:name="_Hlk187856708"/>
      <w:r/>
      <w:r/>
    </w:p>
    <w:p>
      <w:pPr>
        <w:pStyle w:val="797"/>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财政部 政府采购货物买卖合同（试行）</w:t>
      </w:r>
      <w:r/>
    </w:p>
    <w:p>
      <w:pPr>
        <w:pStyle w:val="797"/>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hint="eastAsia" w:ascii="宋体" w:hAnsi="宋体"/>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szCs w:val="32"/>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rPr>
          <w:rFonts w:ascii="黑体" w:hAnsi="黑体"/>
          <w:b/>
          <w:color w:val="auto"/>
          <w:sz w:val="28"/>
          <w:szCs w:val="28"/>
          <w:highlight w:val="none"/>
        </w:rPr>
      </w:pPr>
      <w:r>
        <w:rPr>
          <w:rFonts w:ascii="黑体" w:hAnsi="黑体"/>
          <w:b/>
          <w:color w:val="auto"/>
          <w:sz w:val="28"/>
          <w:szCs w:val="28"/>
          <w:highlight w:val="none"/>
        </w:rPr>
      </w:r>
      <w:r/>
    </w:p>
    <w:p>
      <w:pPr>
        <w:pStyle w:val="760"/>
        <w:jc w:val="center"/>
        <w:spacing w:line="400" w:lineRule="exact"/>
        <w:rPr>
          <w:rFonts w:hint="eastAsia" w:ascii="黑体" w:hAnsi="黑体"/>
          <w:b w:val="0"/>
          <w:color w:val="auto"/>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b w:val="0"/>
          <w:color w:val="auto"/>
          <w:szCs w:val="32"/>
          <w:highlight w:val="none"/>
        </w:rPr>
      </w:r>
      <w:r/>
    </w:p>
    <w:p>
      <w:pPr>
        <w:pStyle w:val="760"/>
        <w:jc w:val="center"/>
        <w:spacing w:line="400" w:lineRule="exact"/>
        <w:rPr>
          <w:rFonts w:ascii="黑体" w:hAnsi="华文中宋"/>
          <w:b w:val="0"/>
          <w:color w:val="auto"/>
          <w:szCs w:val="32"/>
          <w:highlight w:val="none"/>
        </w:rPr>
      </w:pPr>
      <w:r/>
      <w:bookmarkStart w:id="174" w:name="_GoBack"/>
      <w:r/>
      <w:bookmarkEnd w:id="174"/>
      <w:r>
        <w:rPr>
          <w:rFonts w:hint="eastAsia" w:ascii="黑体" w:hAnsi="黑体"/>
          <w:b w:val="0"/>
          <w:color w:val="auto"/>
          <w:szCs w:val="32"/>
          <w:highlight w:val="none"/>
        </w:rPr>
        <w:t xml:space="preserve">第一节 </w:t>
      </w:r>
      <w:r>
        <w:rPr>
          <w:rFonts w:hint="eastAsia" w:ascii="黑体" w:hAnsi="华文中宋"/>
          <w:b w:val="0"/>
          <w:color w:val="auto"/>
          <w:szCs w:val="32"/>
          <w:highlight w:val="none"/>
        </w:rPr>
        <w:t xml:space="preserve">政府采购合同协议书</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（采购人、受采购人委托签订合同的单位或采购文件约定的合同甲方）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bookmarkStart w:id="130" w:name="_Hlk187832913"/>
      <w:r>
        <w:rPr>
          <w:rFonts w:hint="eastAsia" w:ascii="宋体" w:hAnsi="宋体"/>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0"/>
      <w:r/>
      <w:r/>
    </w:p>
    <w:p>
      <w:pPr>
        <w:ind w:firstLine="482"/>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1.项目信息</w:t>
      </w:r>
      <w:r/>
    </w:p>
    <w:p>
      <w:pPr>
        <w:ind w:firstLine="480"/>
        <w:spacing w:line="400" w:lineRule="exact"/>
        <w:rPr>
          <w:rFonts w:ascii="Times New Roman" w:hAnsi="Times New Roman"/>
          <w:color w:val="auto"/>
          <w:sz w:val="24"/>
          <w:szCs w:val="24"/>
          <w:highlight w:val="none"/>
          <w:u w:val="single"/>
        </w:rPr>
      </w:pPr>
      <w:r/>
      <w:bookmarkStart w:id="131" w:name="_Hlk187833240"/>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firstLine="1185"/>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（2）采购计划编号：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采购标的及数量（台/套/个/架/组等）：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采购标的的技术要求、商务要求具体见附件。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涉及信息类产品，请填写该产品关键部件的品牌、型号：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标的名称：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auto"/>
          <w:sz w:val="24"/>
          <w:szCs w:val="24"/>
          <w:highlight w:val="none"/>
        </w:rPr>
      </w:pPr>
      <w:r>
        <w:rPr>
          <w:rFonts w:ascii="Segoe UI Symbol" w:hAnsi="Segoe UI Symbol" w:cs="Segoe UI Symbol"/>
          <w:color w:val="auto"/>
          <w:sz w:val="24"/>
          <w:szCs w:val="24"/>
          <w:highlight w:val="none"/>
        </w:rPr>
        <w:t xml:space="preserve">②</w:t>
      </w:r>
      <w:r>
        <w:rPr>
          <w:rFonts w:ascii="Times New Roman" w:hAnsi="Times New Roman"/>
          <w:color w:val="auto"/>
          <w:sz w:val="24"/>
          <w:szCs w:val="24"/>
          <w:highlight w:val="none"/>
        </w:rPr>
        <w:t xml:space="preserve">涉及车辆采购，请填写是否属于新能源汽车：</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数量：     金额：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分散采购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竞争性磋商</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单一来源</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框架协议</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（注：在框架协议采购的第二阶段，可选择使用该合同文本）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（6）中标采购标的制造商是否为中小企业：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中标采购标的制造商是否为残疾人福利性单位：</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中标采购标的制造商是否为监狱企业：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分包主要内容：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小微型企业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残疾人福利性单位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监狱企业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（8）中标（成交）供应商是否为外商投资企业：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外商投资企业类型：</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全部由外国投资者投资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部分由外国投资者投资</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（9）是否涉及进口产品：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金额：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国别：         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（10）是否涉及节能产品：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是，《节能产品政府采购品目清单》的底级品目名称：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是否涉及环境标志产品：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是，《环境标志产品政府采购品目清单》的底级品目名称：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是否涉及绿色产品：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是，绿色产品政府采购相关政策确定的底级品目名称：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不涉及</w:t>
      </w:r>
      <w:bookmarkEnd w:id="131"/>
      <w:r/>
      <w:r/>
    </w:p>
    <w:p>
      <w:pPr>
        <w:ind w:left="482"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2.合同金额</w:t>
      </w:r>
      <w:r/>
    </w:p>
    <w:p>
      <w:pPr>
        <w:ind w:firstLine="480"/>
        <w:spacing w:line="400" w:lineRule="exact"/>
        <w:rPr>
          <w:rFonts w:ascii="宋体" w:hAnsi="宋体"/>
          <w:color w:val="auto"/>
          <w:sz w:val="24"/>
          <w:szCs w:val="24"/>
          <w:highlight w:val="none"/>
        </w:rPr>
      </w:pPr>
      <w:r/>
      <w:bookmarkStart w:id="132" w:name="_Hlk187833021"/>
      <w:r>
        <w:rPr>
          <w:rFonts w:hint="eastAsia" w:ascii="宋体" w:hAnsi="宋体"/>
          <w:color w:val="auto"/>
          <w:sz w:val="24"/>
          <w:szCs w:val="24"/>
          <w:highlight w:val="none"/>
        </w:rPr>
        <w:t xml:space="preserve">（1）合同金额小写：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bookmarkEnd w:id="132"/>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（注：固定单价合同应填写单价和最高限价）</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本合同价格包括但不限于全部软硬件设备费、人工费、材料、机械、安装、管理、维护、工具、保险、利润、售后服务、税金、安全、政策性文件规定及合同包含的所有风险、责任等各项应有费用，甲方不再支付其他任何费用；</w:t>
      </w:r>
      <w:r/>
    </w:p>
    <w:p>
      <w:pPr>
        <w:ind w:firstLine="480"/>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2.根据现行税法对乙方征收的与本合同有关的一切税费均由乙方承担</w:t>
      </w:r>
      <w:r>
        <w:rPr>
          <w:rFonts w:hint="eastAsia" w:ascii="宋体" w:hAnsi="宋体" w:cs="宋体"/>
          <w:bCs/>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（2）合同定价方式（采用组合定价方式的，可以勾选多项）：</w:t>
      </w:r>
      <w:r/>
    </w:p>
    <w:p>
      <w:pPr>
        <w:ind w:firstLine="480"/>
        <w:spacing w:line="400" w:lineRule="exact"/>
        <w:rPr>
          <w:rFonts w:ascii="宋体" w:hAnsi="宋体"/>
          <w:color w:val="auto"/>
          <w:sz w:val="24"/>
          <w:szCs w:val="24"/>
          <w:highlight w:val="none"/>
        </w:rPr>
      </w:pP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rPr>
          <w:rFonts w:hint="eastAsia" w:ascii="宋体" w:hAnsi="宋体"/>
          <w:color w:val="auto"/>
          <w:sz w:val="24"/>
          <w:szCs w:val="24"/>
          <w:highlight w:val="none"/>
          <w:u w:val="single"/>
        </w:rPr>
        <w:t xml:space="preserve">       </w:t>
      </w:r>
      <w:r/>
    </w:p>
    <w:p>
      <w:pPr>
        <w:pStyle w:val="1149"/>
        <w:ind w:left="0" w:firstLine="480"/>
        <w:spacing w:line="400" w:lineRule="exact"/>
        <w:rPr>
          <w:color w:val="auto"/>
          <w:highlight w:val="none"/>
          <w:lang w:eastAsia="zh-CN"/>
        </w:rPr>
      </w:pPr>
      <w:r>
        <w:rPr>
          <w:rFonts w:hint="eastAsia" w:ascii="宋体" w:hAnsi="宋体"/>
          <w:color w:val="auto"/>
          <w:highlight w:val="none"/>
          <w:lang w:eastAsia="zh-CN"/>
        </w:rPr>
        <w:t xml:space="preserve">（3）付款方式（按项目实际勾选填写）：</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480"/>
        <w:spacing w:line="400" w:lineRule="exact"/>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bookmarkStart w:id="133" w:name="_Hlk187834001"/>
      <w:r>
        <w:rPr>
          <w:rFonts w:hint="eastAsia" w:ascii="宋体" w:hAnsi="宋体" w:cs="Courier New"/>
          <w:color w:val="auto"/>
          <w:sz w:val="24"/>
          <w:szCs w:val="24"/>
          <w:highlight w:val="none"/>
        </w:rPr>
        <w:t xml:space="preserve">（应明确分期支付合同款项的各期比例和支付条件，各期支付条件应与分期履约验收情况挂钩）</w:t>
      </w:r>
      <w:bookmarkEnd w:id="133"/>
      <w:r/>
      <w:r/>
    </w:p>
    <w:p>
      <w:pPr>
        <w:pStyle w:val="881"/>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预付款：签订合同后，自收到供应商发票后10个工作日内采购人支付合同总价款的30%； </w:t>
      </w:r>
      <w:r/>
    </w:p>
    <w:p>
      <w:pPr>
        <w:pStyle w:val="881"/>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进度款：全部设备安装调试完毕经验收合格且收到供应商发票后10个工作日内付至合同价款的100%。</w:t>
      </w:r>
      <w:r/>
    </w:p>
    <w:p>
      <w:pPr>
        <w:pStyle w:val="881"/>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pStyle w:val="881"/>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(1)可以采用数字人民币支付。</w:t>
      </w:r>
      <w:r/>
    </w:p>
    <w:p>
      <w:pPr>
        <w:pStyle w:val="881"/>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(2)资金支付的时间:收到乙方发票后10个工作日内。</w:t>
      </w:r>
      <w:r/>
    </w:p>
    <w:p>
      <w:pPr>
        <w:pStyle w:val="881"/>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(3)资金支付的条件:满足相应阶段的要求且收到乙方发票。</w:t>
      </w:r>
      <w:r/>
    </w:p>
    <w:p>
      <w:pPr>
        <w:ind w:firstLine="480"/>
        <w:spacing w:line="400" w:lineRule="exact"/>
        <w:rPr>
          <w:rFonts w:ascii="宋体" w:hAnsi="宋体" w:cs="Courier New"/>
          <w:color w:val="auto"/>
          <w:sz w:val="24"/>
          <w:szCs w:val="24"/>
          <w:highlight w:val="none"/>
        </w:rPr>
      </w:pPr>
      <w:r>
        <w:rPr>
          <w:rFonts w:hint="eastAsia" w:ascii="宋体" w:hAnsi="宋体" w:cs="宋体"/>
          <w:color w:val="auto"/>
          <w:sz w:val="24"/>
          <w:highlight w:val="none"/>
        </w:rPr>
        <w:t xml:space="preserve">(4)在签订合同时，乙方明确表示无需预付款或者主动要求降低预付款比例的，甲方可不适用前述规定。</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p>
    <w:p>
      <w:pPr>
        <w:ind w:firstLine="480"/>
        <w:spacing w:line="400" w:lineRule="exact"/>
        <w:rPr>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ind w:left="482"/>
        <w:spacing w:line="400" w:lineRule="exact"/>
        <w:rPr>
          <w:rFonts w:ascii="Times New Roman" w:hAnsi="Times New Roman"/>
          <w:b/>
          <w:color w:val="auto"/>
          <w:sz w:val="24"/>
          <w:szCs w:val="24"/>
          <w:highlight w:val="none"/>
          <w:u w:val="single"/>
        </w:rPr>
      </w:pPr>
      <w:r/>
      <w:bookmarkStart w:id="134" w:name="_Hlk187834132"/>
      <w:r>
        <w:rPr>
          <w:rFonts w:ascii="Times New Roman" w:hAnsi="Times New Roman"/>
          <w:b/>
          <w:color w:val="auto"/>
          <w:sz w:val="24"/>
          <w:szCs w:val="24"/>
          <w:highlight w:val="none"/>
        </w:rPr>
        <w:t xml:space="preserve">3.合同履行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（1）起始日期：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日，完成日期：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（2）履约地点</w:t>
      </w:r>
      <w:r>
        <w:rPr>
          <w:rFonts w:ascii="Times New Roman" w:hAnsi="Times New Roman"/>
          <w:bCs/>
          <w:color w:val="auto"/>
          <w:sz w:val="24"/>
          <w:szCs w:val="24"/>
          <w:highlight w:val="none"/>
        </w:rPr>
        <w:t xml:space="preserve">：</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（3）履约担保：</w:t>
      </w:r>
      <w:bookmarkStart w:id="135" w:name="_Hlk187834600"/>
      <w:r>
        <w:rPr>
          <w:rFonts w:ascii="Times New Roman" w:hAnsi="Times New Roman"/>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否(备注：选择否删除以下履约保证金相关条款，招标文件定稿后该备注删除。）</w:t>
      </w:r>
      <w:bookmarkEnd w:id="135"/>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3.1履约保证金提交形式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履约保证金应在中标公告发布之日起7日历天内提交。除银行电汇、网上银行、数字人民币外，乙方还可选用银行保函、担保公司的保证担保或保险公司的保证保险等多种形式向甲方缴纳。</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3.2履约保证金提交金额</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按采购合同总价的2%提交。</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支持和鼓励乙方使用江苏政府采购电子履约保函（保险）代替缴纳履约保证金，乙方如使用江苏政府采购电子履约保函（保险）的，可按采购合同总价的 1.2 %（履约保证金原提交金额的6折）提交。办理流程、偿付等内容见江苏政府采购网“保险保函”模块。</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3.3履约保证金退还方式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3.4履约保证金退还条件，按以下第 a 方式执行：</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a、货物类项目，项目验收合格，出具验收报告及履约保证金收据申请退付；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b、服务类项目，项目履约期满评价合格，出具履约评价报告及履约保证金收据申请退付；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c、工程类项目，项目完工验收合格，出具完工证明及履约保证金收据申请退付；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3.5履约保证金退还时间</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甲方收到乙方退付申请后5个工作日内退还。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3.6履约保证金不予退还情形</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除不可抗力外，乙方不履行与甲方订立的采购合同的，履约保证金不予退还，给甲方造成的损失超过履约保证金数额的，还应对超过部分予以赔偿。</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3.7逾期退还履约保证金违约责任</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3.8如乙方未在规定时间内缴纳履约保证金，视为虚假承诺，甲方有权报请财政部门进行处理。</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（4）分期履行要求：</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u w:val="single"/>
        </w:rPr>
      </w:pPr>
      <w:r>
        <w:rPr>
          <w:rFonts w:ascii="Times New Roman" w:hAnsi="Times New Roman"/>
          <w:bCs/>
          <w:color w:val="auto"/>
          <w:sz w:val="24"/>
          <w:szCs w:val="24"/>
          <w:highlight w:val="none"/>
        </w:rPr>
        <w:t xml:space="preserve">（5）风险处置措施和替代方案：</w:t>
      </w:r>
      <w:r>
        <w:rPr>
          <w:rFonts w:ascii="Times New Roman" w:hAnsi="Times New Roman"/>
          <w:color w:val="auto"/>
          <w:sz w:val="24"/>
          <w:szCs w:val="24"/>
          <w:highlight w:val="none"/>
          <w:u w:val="single"/>
        </w:rPr>
        <w:t xml:space="preserve">                                           </w:t>
      </w:r>
      <w:bookmarkEnd w:id="134"/>
      <w:r/>
      <w:r/>
    </w:p>
    <w:p>
      <w:pPr>
        <w:ind w:left="482"/>
        <w:spacing w:line="400" w:lineRule="exact"/>
        <w:rPr>
          <w:rFonts w:ascii="宋体" w:hAnsi="宋体"/>
          <w:b/>
          <w:color w:val="auto"/>
          <w:sz w:val="24"/>
          <w:szCs w:val="24"/>
          <w:highlight w:val="none"/>
        </w:rPr>
      </w:pPr>
      <w:r/>
      <w:bookmarkStart w:id="136" w:name="_Hlk187834828"/>
      <w:r>
        <w:rPr>
          <w:rFonts w:hint="eastAsia" w:ascii="宋体" w:hAnsi="宋体"/>
          <w:b/>
          <w:color w:val="auto"/>
          <w:sz w:val="24"/>
          <w:szCs w:val="24"/>
          <w:highlight w:val="none"/>
        </w:rPr>
        <w:t xml:space="preserve">4.合同验收</w:t>
      </w:r>
      <w:r/>
    </w:p>
    <w:p>
      <w:pPr>
        <w:numPr>
          <w:ilvl w:val="0"/>
          <w:numId w:val="6"/>
        </w:num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委托第三方组织</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主体：</w:t>
      </w:r>
      <w:r>
        <w:rPr>
          <w:rFonts w:ascii="Times New Roman" w:hAnsi="Times New Roman"/>
          <w:bCs/>
          <w:color w:val="auto"/>
          <w:sz w:val="24"/>
          <w:szCs w:val="24"/>
          <w:highlight w:val="none"/>
          <w:u w:val="single"/>
        </w:rPr>
        <w:t xml:space="preserve">                  </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是，抽查比例：</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w:t>
      </w:r>
      <w:r>
        <w:rPr>
          <w:rFonts w:ascii="Times New Roman" w:hAnsi="Times New Roman"/>
          <w:bCs/>
          <w:color w:val="auto"/>
          <w:sz w:val="24"/>
          <w:szCs w:val="24"/>
          <w:highlight w:val="none"/>
          <w:u w:val="single"/>
        </w:rPr>
        <w:t xml:space="preserve">（应明确对被破坏的检测产品的处理方式）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验收组织的其他事项：</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（2）履约验收时间：</w:t>
      </w:r>
      <w:r>
        <w:rPr>
          <w:rFonts w:ascii="Times New Roman" w:hAnsi="Times New Roman"/>
          <w:bCs/>
          <w:color w:val="auto"/>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（3）履约验收方式：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一次性验收 </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分期/分项验收：</w:t>
      </w:r>
      <w:r>
        <w:rPr>
          <w:rFonts w:ascii="Times New Roman" w:hAnsi="Times New Roman"/>
          <w:bCs/>
          <w:color w:val="auto"/>
          <w:sz w:val="24"/>
          <w:szCs w:val="24"/>
          <w:highlight w:val="none"/>
          <w:u w:val="single"/>
        </w:rPr>
        <w:t xml:space="preserve">（应明确分期</w:t>
      </w:r>
      <w:r>
        <w:rPr>
          <w:rFonts w:ascii="Times New Roman" w:hAnsi="Times New Roman"/>
          <w:bCs/>
          <w:color w:val="auto"/>
          <w:sz w:val="24"/>
          <w:szCs w:val="24"/>
          <w:highlight w:val="none"/>
          <w:u w:val="single"/>
          <w:lang w:val="en"/>
        </w:rPr>
        <w:t xml:space="preserve">/分项验收的工作安排</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（4）履约验收程序：</w:t>
      </w:r>
      <w:r/>
    </w:p>
    <w:p>
      <w:pPr>
        <w:ind w:firstLine="480"/>
        <w:spacing w:line="400" w:lineRule="exact"/>
        <w:rPr>
          <w:rFonts w:ascii="Times New Roman" w:hAnsi="Times New Roman"/>
          <w:bCs/>
          <w:color w:val="auto"/>
          <w:sz w:val="24"/>
          <w:szCs w:val="24"/>
          <w:highlight w:val="none"/>
          <w:u w:val="single"/>
        </w:rPr>
      </w:pPr>
      <w:r>
        <w:rPr>
          <w:rFonts w:hint="eastAsia" w:ascii="Times New Roman" w:hAnsi="Times New Roman"/>
          <w:bCs/>
          <w:color w:val="auto"/>
          <w:sz w:val="24"/>
          <w:szCs w:val="24"/>
          <w:highlight w:val="none"/>
        </w:rPr>
        <w:t xml:space="preserve">履约验收条件达到时，采购人在5个工作日内启动履约验收工作，并向供应商发出《政府采购履约验收通知单》。</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（5）履约验收的内容：</w:t>
      </w:r>
      <w:r>
        <w:rPr>
          <w:rFonts w:ascii="Times New Roman" w:hAnsi="Times New Roman"/>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（6）履约验收标准：</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（8）履约验收其他事项：</w:t>
      </w:r>
      <w:r>
        <w:rPr>
          <w:rFonts w:ascii="Times New Roman" w:hAnsi="Times New Roman"/>
          <w:bCs/>
          <w:color w:val="auto"/>
          <w:sz w:val="24"/>
          <w:szCs w:val="24"/>
          <w:highlight w:val="none"/>
          <w:u w:val="single"/>
        </w:rPr>
        <w:t xml:space="preserve">      （产权过户登记等）          </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5.组成合同的文件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（1）政府采购合同协议书及其变更、补充协议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（2）政府采购合同专用条款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（3）政府采购合同通用条款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（4）中标通知书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（5）投标文件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（6）采购文件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（7）有关技术文件，图纸</w:t>
      </w:r>
      <w:r/>
    </w:p>
    <w:p>
      <w:pPr>
        <w:pStyle w:val="1199"/>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生效。</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w:t>
      </w:r>
      <w:r>
        <w:rPr>
          <w:rFonts w:hint="eastAsia" w:ascii="宋体" w:hAnsi="宋体"/>
          <w:b/>
          <w:bCs/>
          <w:color w:val="auto"/>
          <w:sz w:val="24"/>
          <w:szCs w:val="24"/>
          <w:highlight w:val="none"/>
        </w:rPr>
        <w:t xml:space="preserve">纸质合同和双方在“苏采云”系统签订的电子合同</w:t>
      </w:r>
      <w:r>
        <w:rPr>
          <w:rFonts w:hint="eastAsia" w:ascii="宋体" w:hAnsi="宋体"/>
          <w:color w:val="auto"/>
          <w:sz w:val="24"/>
          <w:szCs w:val="24"/>
          <w:highlight w:val="none"/>
        </w:rPr>
        <w:t xml:space="preserve">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bookmarkEnd w:id="136"/>
      <w:r/>
      <w:r/>
    </w:p>
    <w:p>
      <w:pPr>
        <w:ind w:firstLine="480"/>
        <w:spacing w:line="400" w:lineRule="exact"/>
        <w:rPr>
          <w:color w:val="auto"/>
          <w:sz w:val="24"/>
          <w:szCs w:val="24"/>
          <w:highlight w:val="none"/>
        </w:rPr>
      </w:pPr>
      <w:r/>
      <w:bookmarkStart w:id="137" w:name="_Hlk187835227"/>
      <w:r>
        <w:rPr>
          <w:rFonts w:hint="eastAsia" w:ascii="宋体" w:hAnsi="宋体"/>
          <w:color w:val="auto"/>
          <w:sz w:val="24"/>
          <w:szCs w:val="24"/>
          <w:highlight w:val="none"/>
        </w:rPr>
        <w:t xml:space="preserve">附件：具体标的及其技术要求和商务要求、联合协议、分包意向协议等</w:t>
      </w:r>
      <w:r/>
    </w:p>
    <w:p>
      <w:pPr>
        <w:spacing w:line="400" w:lineRule="exact"/>
        <w:rPr>
          <w:color w:val="auto"/>
          <w:sz w:val="24"/>
          <w:szCs w:val="24"/>
          <w:highlight w:val="none"/>
        </w:rPr>
      </w:pPr>
      <w:r>
        <w:rPr>
          <w:color w:val="auto"/>
          <w:sz w:val="24"/>
          <w:szCs w:val="24"/>
          <w:highlight w:val="none"/>
        </w:rPr>
      </w:r>
      <w:r/>
    </w:p>
    <w:tbl>
      <w:tblPr>
        <w:tblStyle w:val="70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224"/>
        <w:gridCol w:w="1122"/>
        <w:gridCol w:w="2976"/>
      </w:tblGrid>
      <w:tr>
        <w:trPr>
          <w:trHeight w:val="490"/>
        </w:trPr>
        <w:tc>
          <w:tcPr>
            <w:gridSpan w:val="2"/>
            <w:tcW w:w="474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（供应商）</w:t>
            </w:r>
            <w:r/>
          </w:p>
        </w:tc>
      </w:tr>
      <w:tr>
        <w:trPr>
          <w:trHeight w:val="917"/>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ind w:firstLine="115"/>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43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259"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拥有者性别</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开户名称</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开户银行</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银行账号</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586"/>
        </w:trPr>
        <w:tc>
          <w:tcPr>
            <w:gridSpan w:val="4"/>
            <w:tcW w:w="9263" w:type="dxa"/>
            <w:vAlign w:val="center"/>
            <w:textDirection w:val="lrTb"/>
            <w:noWrap w:val="false"/>
          </w:tcPr>
          <w:p>
            <w:pPr>
              <w:pStyle w:val="798"/>
              <w:spacing w:before="120" w:line="360" w:lineRule="auto"/>
              <w:rPr>
                <w:rFonts w:ascii="宋体" w:hAnsi="宋体" w:eastAsia="宋体"/>
                <w:color w:val="auto"/>
                <w:spacing w:val="20"/>
                <w:sz w:val="24"/>
                <w:szCs w:val="24"/>
                <w:highlight w:val="none"/>
              </w:rPr>
            </w:pPr>
            <w:r>
              <w:rPr>
                <w:rFonts w:hint="eastAsia" w:ascii="宋体" w:hAnsi="宋体" w:eastAsia="宋体"/>
                <w:color w:val="auto"/>
                <w:sz w:val="24"/>
                <w:szCs w:val="24"/>
                <w:highlight w:val="none"/>
              </w:rPr>
              <w:t xml:space="preserve">注：涉及联合体或其他合同主体的信息应按上表格式加列。</w:t>
            </w:r>
            <w:bookmarkEnd w:id="137"/>
            <w:r/>
            <w:r/>
          </w:p>
        </w:tc>
      </w:tr>
    </w:tbl>
    <w:p>
      <w:pPr>
        <w:rPr>
          <w:color w:val="auto"/>
          <w:highlight w:val="none"/>
        </w:rPr>
      </w:pPr>
      <w:r>
        <w:rPr>
          <w:color w:val="auto"/>
          <w:highlight w:val="none"/>
        </w:rPr>
      </w:r>
      <w:r/>
    </w:p>
    <w:p>
      <w:pPr>
        <w:rPr>
          <w:color w:val="auto"/>
          <w:highlight w:val="none"/>
        </w:rPr>
      </w:pPr>
      <w:r>
        <w:rPr>
          <w:color w:val="auto"/>
          <w:highlight w:val="none"/>
        </w:rPr>
      </w:r>
      <w:r/>
    </w:p>
    <w:p>
      <w:pPr>
        <w:pStyle w:val="760"/>
        <w:jc w:val="center"/>
        <w:spacing w:line="400" w:lineRule="exact"/>
        <w:rPr>
          <w:rFonts w:ascii="黑体" w:hAnsi="黑体"/>
          <w:b w:val="0"/>
          <w:color w:val="auto"/>
          <w:szCs w:val="32"/>
          <w:highlight w:val="none"/>
        </w:rPr>
      </w:pPr>
      <w:r>
        <w:rPr>
          <w:rFonts w:hint="eastAsia" w:ascii="黑体" w:hAnsi="黑体"/>
          <w:b w:val="0"/>
          <w:color w:val="auto"/>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1. </w:t>
      </w:r>
      <w:r>
        <w:rPr>
          <w:rFonts w:ascii="Times New Roman" w:hAnsi="Times New Roman"/>
          <w:b/>
          <w:bCs/>
          <w:color w:val="auto"/>
          <w:sz w:val="24"/>
          <w:szCs w:val="24"/>
          <w:highlight w:val="none"/>
        </w:rPr>
        <w:t xml:space="preserve">定义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1.1合同当事人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（3）其他合同主体是指除采购人和供应商以外，</w:t>
      </w:r>
      <w:r>
        <w:rPr>
          <w:rFonts w:ascii="Times New Roman" w:hAnsi="Times New Roman"/>
          <w:bCs/>
          <w:color w:val="auto"/>
          <w:sz w:val="24"/>
          <w:szCs w:val="24"/>
          <w:highlight w:val="none"/>
        </w:rPr>
        <w:t xml:space="preserve">依法参与合同缔结或履行，享有权利、承担义务的合同当事人</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1.2本合同下列术语应解释为：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（1）“合同”系指</w:t>
      </w:r>
      <w:r>
        <w:rPr>
          <w:rFonts w:ascii="Times New Roman" w:hAnsi="Times New Roman"/>
          <w:bCs/>
          <w:color w:val="auto"/>
          <w:sz w:val="24"/>
          <w:szCs w:val="24"/>
          <w:highlight w:val="none"/>
        </w:rPr>
        <w:t xml:space="preserve">合同当事人意思表示达成一致的任何协议，包括签署的</w:t>
      </w:r>
      <w:r>
        <w:rPr>
          <w:rFonts w:ascii="Times New Roman" w:hAnsi="Times New Roman"/>
          <w:color w:val="auto"/>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宋体" w:hAnsi="宋体"/>
          <w:color w:val="auto"/>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备品备件、工具、手册及</w:t>
      </w:r>
      <w:r>
        <w:rPr>
          <w:rFonts w:ascii="宋体" w:hAnsi="宋体"/>
          <w:color w:val="auto"/>
          <w:sz w:val="24"/>
          <w:szCs w:val="24"/>
          <w:highlight w:val="none"/>
          <w:lang w:val="en"/>
        </w:rPr>
        <w:t xml:space="preserve">其他</w:t>
      </w:r>
      <w:r>
        <w:rPr>
          <w:rFonts w:ascii="宋体" w:hAnsi="宋体"/>
          <w:color w:val="auto"/>
          <w:sz w:val="24"/>
          <w:szCs w:val="24"/>
          <w:highlight w:val="none"/>
        </w:rPr>
        <w:t xml:space="preserve">技术资料</w:t>
      </w:r>
      <w:r>
        <w:rPr>
          <w:rFonts w:ascii="Times New Roman" w:hAnsi="Times New Roman"/>
          <w:color w:val="auto"/>
          <w:sz w:val="24"/>
          <w:szCs w:val="24"/>
          <w:highlight w:val="none"/>
        </w:rPr>
        <w:t xml:space="preserve">和材料等。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（4）“相关服务”系指根据合同规定，乙方应提供的与货物有关的技术、管理和</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（7）其他术语解释，见【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numPr>
          <w:ilvl w:val="0"/>
          <w:numId w:val="7"/>
        </w:numPr>
        <w:ind w:firstLine="482"/>
        <w:spacing w:line="400" w:lineRule="exact"/>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合同标的及金额</w:t>
      </w:r>
      <w:r/>
    </w:p>
    <w:p>
      <w:pPr>
        <w:ind w:firstLine="480"/>
        <w:spacing w:line="400" w:lineRule="exact"/>
        <w:rPr>
          <w:rFonts w:ascii="Times New Roman" w:hAnsi="Times New Roman"/>
          <w:b/>
          <w:bCs/>
          <w:i/>
          <w:iCs/>
          <w:color w:val="auto"/>
          <w:sz w:val="24"/>
          <w:szCs w:val="24"/>
          <w:highlight w:val="none"/>
        </w:rPr>
      </w:pPr>
      <w:r>
        <w:rPr>
          <w:rFonts w:ascii="Times New Roman" w:hAnsi="Times New Roman"/>
          <w:color w:val="auto"/>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任何费用。</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3. 履行合同的时间、地点和方式</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4. 甲方的权利和义务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auto"/>
          <w:sz w:val="24"/>
          <w:szCs w:val="24"/>
          <w:highlight w:val="none"/>
        </w:rPr>
      </w:pPr>
      <w:r>
        <w:rPr>
          <w:rFonts w:ascii="Times New Roman" w:hAnsi="Times New Roman"/>
          <w:color w:val="auto"/>
          <w:sz w:val="24"/>
          <w:szCs w:val="24"/>
          <w:highlight w:val="none"/>
        </w:rPr>
        <w:t xml:space="preserve">4.4 甲方应当按照合同约定及时对交付的货物进行验收，未在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4.6 国家法律法规规定及</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约定应由甲方承担的其他义务和责任。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5. 乙方的权利和义务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5.3乙方有权根据合同约定向甲方收取合同价款。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5.4国家法律法规规定及</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约定应由乙方承担的其他义务和责任。</w:t>
      </w:r>
      <w:r/>
    </w:p>
    <w:p>
      <w:pPr>
        <w:numPr>
          <w:ilvl w:val="0"/>
          <w:numId w:val="8"/>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 甲乙双方应当按照</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7. 货物包装、运输、保险和交付要求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本合同</w:t>
      </w:r>
      <w:r>
        <w:rPr>
          <w:rFonts w:ascii="Times New Roman" w:hAnsi="Times New Roman"/>
          <w:bCs/>
          <w:color w:val="auto"/>
          <w:sz w:val="24"/>
          <w:szCs w:val="24"/>
          <w:highlight w:val="none"/>
        </w:rPr>
        <w:t xml:space="preserve">涉及商品包装、快递包装的，</w:t>
      </w:r>
      <w:r>
        <w:rPr>
          <w:rFonts w:ascii="Times New Roman" w:hAnsi="Times New Roman"/>
          <w:color w:val="auto"/>
          <w:sz w:val="24"/>
          <w:szCs w:val="24"/>
          <w:highlight w:val="none"/>
        </w:rPr>
        <w:t xml:space="preserve">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包装应适应远距离运输、防潮、防震、防锈和防野蛮装卸等要求，确保货物安全无损地运抵</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约定的</w:t>
      </w:r>
      <w:r>
        <w:rPr>
          <w:rFonts w:ascii="Times New Roman" w:hAnsi="Times New Roman"/>
          <w:color w:val="auto"/>
          <w:sz w:val="24"/>
          <w:szCs w:val="24"/>
          <w:highlight w:val="none"/>
        </w:rPr>
        <w:t xml:space="preserve">指定现场。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7.2 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货物保险要求按</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规定执行</w:t>
      </w:r>
      <w:r>
        <w:rPr>
          <w:rFonts w:ascii="Times New Roman" w:hAnsi="Times New Roman"/>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7.5 乙方在运输到达之前应提前通知甲方，并提示货物运输装卸的注意事项，甲方配合乙方做好货物的接收工作。</w:t>
      </w:r>
      <w:r/>
    </w:p>
    <w:p>
      <w:pPr>
        <w:pStyle w:val="1199"/>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8. 质量标准和保证</w:t>
      </w:r>
      <w:r/>
    </w:p>
    <w:p>
      <w:pPr>
        <w:pStyle w:val="803"/>
        <w:ind w:firstLine="480"/>
        <w:spacing w:line="400" w:lineRule="exact"/>
        <w:rPr>
          <w:rFonts w:ascii="Times New Roman" w:hAnsi="Times New Roman" w:cs="Times New Roman"/>
          <w:b/>
          <w:color w:val="auto"/>
          <w:sz w:val="24"/>
          <w:szCs w:val="24"/>
          <w:highlight w:val="none"/>
        </w:rPr>
      </w:pPr>
      <w:r>
        <w:rPr>
          <w:rFonts w:ascii="Times New Roman" w:hAnsi="Times New Roman" w:cs="Times New Roman"/>
          <w:color w:val="auto"/>
          <w:sz w:val="24"/>
          <w:szCs w:val="24"/>
          <w:highlight w:val="none"/>
        </w:rPr>
        <w:t xml:space="preserve">8.1 质量标准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3"/>
        <w:ind w:firstLine="480"/>
        <w:spacing w:line="4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（2）采用中华人民共和国法定计量单位。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保证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（3）乙方收到通知后，应在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9. 权利瑕疵担保</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 乙方保证对其出售的货物享有合法的权利。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9.2 乙方保证在交付的货物上不存在抵押权等担保物权。</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10. 知识产权保护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11. 保密义务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12. 合同价款支付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color w:val="auto"/>
          <w:sz w:val="24"/>
          <w:szCs w:val="24"/>
          <w:highlight w:val="none"/>
        </w:rPr>
        <w:t xml:space="preserve">延迟</w:t>
      </w:r>
      <w:r>
        <w:rPr>
          <w:rFonts w:ascii="Times New Roman" w:hAnsi="Times New Roman"/>
          <w:color w:val="auto"/>
          <w:sz w:val="24"/>
          <w:szCs w:val="24"/>
          <w:highlight w:val="none"/>
        </w:rPr>
        <w:t xml:space="preserve">付款，不得将采购文件和合同中未规定的义务作为向乙方付款的条件。具体合同价款支付时间在【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13. 履约保证金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13.2 如果乙方出现</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甲方在项目通过验收后按照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规定的时间内将履约保证金退还乙方；逾期退还的，乙方</w:t>
      </w:r>
      <w:r>
        <w:rPr>
          <w:rFonts w:hint="eastAsia" w:ascii="Times New Roman" w:hAnsi="Times New Roman"/>
          <w:color w:val="auto"/>
          <w:sz w:val="24"/>
          <w:szCs w:val="24"/>
          <w:highlight w:val="none"/>
        </w:rPr>
        <w:t xml:space="preserve">可以</w:t>
      </w:r>
      <w:r>
        <w:rPr>
          <w:rFonts w:ascii="Times New Roman" w:hAnsi="Times New Roman"/>
          <w:color w:val="auto"/>
          <w:sz w:val="24"/>
          <w:szCs w:val="24"/>
          <w:highlight w:val="none"/>
        </w:rPr>
        <w:t xml:space="preserve">要求甲方支付违约金，违约金按照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规定支付。</w:t>
      </w:r>
      <w:r/>
    </w:p>
    <w:p>
      <w:pPr>
        <w:ind w:firstLine="482"/>
        <w:spacing w:line="400" w:lineRule="exact"/>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14. </w:t>
      </w:r>
      <w:r>
        <w:rPr>
          <w:rFonts w:ascii="Times New Roman" w:hAnsi="Times New Roman"/>
          <w:b/>
          <w:color w:val="auto"/>
          <w:sz w:val="24"/>
          <w:szCs w:val="24"/>
          <w:highlight w:val="none"/>
        </w:rPr>
        <w:t xml:space="preserve">售后服务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（1）货物的现场移动、安装、调试、启动监督及技术支持；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（2）提供货物组装和维修所需的专用工具和辅助材料；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（4）在制造商所在地或指定现场就货物的安装、启动、运营、维护、废弃处置等对甲方操作人员进行培训；</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（5）依照法律、行政法规的规定或者按照</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规定由乙方提供的其他服务。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15. 违约责任</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15.1质量瑕疵的违约责任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乙方提供的产品不符合合同约定的质量标准或存在产品质量缺陷，甲方有权要求乙方根据</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要求</w:t>
      </w:r>
      <w:r>
        <w:rPr>
          <w:rFonts w:ascii="Times New Roman" w:hAnsi="Times New Roman"/>
          <w:color w:val="auto"/>
          <w:sz w:val="24"/>
          <w:szCs w:val="24"/>
          <w:highlight w:val="none"/>
        </w:rPr>
        <w:t xml:space="preserve">及时修理、重作、更换，并承担由此给甲方造成的损失。</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15.2 迟延交货的违约责任</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15.3 迟延支付的违约责任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甲方存在迟延支付乙方合同款项的，应当承担</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规定的逾期付款利息。</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15.4其他违约责任根据项目实际需要按</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规定执行。</w:t>
      </w:r>
      <w:r/>
    </w:p>
    <w:p>
      <w:pPr>
        <w:numPr>
          <w:ilvl w:val="0"/>
          <w:numId w:val="9"/>
        </w:num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合同变更、中止与终止</w:t>
      </w:r>
      <w:r/>
    </w:p>
    <w:p>
      <w:pPr>
        <w:ind w:left="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16.1合同的变更</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16.2合同的中止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9"/>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16.3合同的终止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199"/>
        <w:ind w:firstLine="480"/>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16.4 </w:t>
      </w:r>
      <w:r>
        <w:rPr>
          <w:rFonts w:ascii="Times New Roman" w:hAnsi="Times New Roman" w:eastAsia="宋体" w:cs="Times New Roman"/>
          <w:color w:val="auto"/>
          <w:sz w:val="24"/>
          <w:szCs w:val="24"/>
          <w:highlight w:val="none"/>
        </w:rPr>
        <w:t xml:space="preserve">涉及国家利益、社会公共利益的情形</w:t>
      </w:r>
      <w:r/>
    </w:p>
    <w:p>
      <w:pPr>
        <w:pStyle w:val="1199"/>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17. 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18. 不可抗力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19. 解决争议的方法</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19.2 选择仲裁的，应在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中明确仲裁机构及仲裁地；通过诉讼方式解决的，可以在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中进一步约定选择与争议有实际联系的地点的人民法院管辖，但管辖法院的约定不得违反级别管辖和专属管辖的规定。</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auto"/>
          <w:sz w:val="24"/>
          <w:szCs w:val="24"/>
          <w:highlight w:val="none"/>
        </w:rPr>
      </w:pPr>
      <w:r>
        <w:rPr>
          <w:rFonts w:ascii="Times New Roman" w:hAnsi="Times New Roman"/>
          <w:b/>
          <w:color w:val="auto"/>
          <w:sz w:val="24"/>
          <w:szCs w:val="24"/>
          <w:highlight w:val="none"/>
        </w:rPr>
        <w:t xml:space="preserve">20. 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20.1 </w:t>
      </w:r>
      <w:r>
        <w:rPr>
          <w:rFonts w:ascii="Times New Roman" w:hAnsi="Times New Roman"/>
          <w:color w:val="auto"/>
          <w:sz w:val="24"/>
          <w:szCs w:val="24"/>
          <w:highlight w:val="none"/>
          <w:lang w:val="en-GB"/>
        </w:rPr>
        <w:t xml:space="preserve">本合同按照规定执行政府采购政策。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20.2 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21. 法律适用</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 本合同的订立、生效、解释、履行及与本合同有关的争议解决，均适用法律、行政法规。</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22. 通知</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199"/>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22.4通知以送达之日或通知书中规定的生效之日起生效，两者中以较迟之日为准。</w:t>
      </w:r>
      <w:r/>
    </w:p>
    <w:p>
      <w:pPr>
        <w:numPr>
          <w:ilvl w:val="0"/>
          <w:numId w:val="10"/>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合同未尽事项</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23.1合同未尽事项见</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23.2 合同附件与合同正文具有同等的法律效力。</w:t>
      </w:r>
      <w:r/>
    </w:p>
    <w:p>
      <w:pPr>
        <w:spacing w:line="400" w:lineRule="exact"/>
        <w:rPr>
          <w:rFonts w:ascii="黑体" w:hAnsi="华文中宋" w:eastAsia="黑体"/>
          <w:color w:val="auto"/>
          <w:sz w:val="24"/>
          <w:szCs w:val="24"/>
          <w:highlight w:val="none"/>
        </w:rPr>
      </w:pPr>
      <w:r>
        <w:rPr>
          <w:rFonts w:ascii="黑体" w:hAnsi="华文中宋" w:eastAsia="黑体"/>
          <w:color w:val="auto"/>
          <w:sz w:val="24"/>
          <w:szCs w:val="24"/>
          <w:highlight w:val="none"/>
        </w:rPr>
      </w:r>
      <w:r/>
    </w:p>
    <w:p>
      <w:pPr>
        <w:pStyle w:val="760"/>
        <w:jc w:val="center"/>
        <w:rPr>
          <w:rFonts w:ascii="黑体" w:hAnsi="华文中宋"/>
          <w:b w:val="0"/>
          <w:color w:val="auto"/>
          <w:szCs w:val="32"/>
          <w:highlight w:val="none"/>
        </w:rPr>
      </w:pPr>
      <w:r>
        <w:rPr>
          <w:rFonts w:hint="eastAsia" w:ascii="黑体" w:hAnsi="华文中宋"/>
          <w:b w:val="0"/>
          <w:color w:val="auto"/>
          <w:szCs w:val="32"/>
          <w:highlight w:val="none"/>
        </w:rPr>
        <w:t xml:space="preserve">第三节 政府采购合同专用条款</w:t>
      </w:r>
      <w:r/>
    </w:p>
    <w:tbl>
      <w:tblPr>
        <w:tblStyle w:val="705"/>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012"/>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见招标文件</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收到验收申请后5个工作日</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6012" w:type="dxa"/>
            <w:vAlign w:val="center"/>
            <w:textDirection w:val="lrTb"/>
            <w:noWrap w:val="false"/>
          </w:tcPr>
          <w:p>
            <w:pPr>
              <w:jc w:val="left"/>
              <w:rPr>
                <w:color w:val="auto"/>
                <w:highlight w:val="none"/>
              </w:rPr>
            </w:pPr>
            <w:r>
              <w:rPr>
                <w:rFonts w:hint="eastAsia" w:ascii="宋体" w:hAnsi="宋体" w:cs="宋体"/>
                <w:color w:val="auto"/>
                <w:sz w:val="24"/>
                <w:szCs w:val="24"/>
                <w:highlight w:val="none"/>
              </w:rPr>
              <w:t xml:space="preserve">根据采购人要求。</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无</w:t>
            </w:r>
            <w:r/>
          </w:p>
        </w:tc>
      </w:tr>
      <w:tr>
        <w:trPr>
          <w:trHeight w:val="665"/>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货物在交付甲方前发生的风险均由乙方负责</w:t>
            </w:r>
            <w:r/>
          </w:p>
        </w:tc>
      </w:tr>
      <w:tr>
        <w:trPr>
          <w:trHeight w:val="258"/>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3年。一年内发现设备缺陷等质量问题，乙方负责无条件维修或调换；乙方货物经过双方检验认可后，签署验收报告，按国家及相关部门的 “三包”要求（特别要求的按特别要求执行），免费维护期自货物最终交付验收合格之日起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601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售后服务期内</w:t>
            </w:r>
            <w:r>
              <w:rPr>
                <w:rFonts w:hint="eastAsia" w:ascii="宋体" w:hAnsi="宋体"/>
                <w:color w:val="auto"/>
                <w:highlight w:val="none"/>
              </w:rPr>
              <w:t xml:space="preserve">，应在接到故障通知2小时内作出有效响应，如需现场解决，到达现场时间不超过8小时，特殊情况下不超过24小时内到达现场免费予以排除故障、修复或更换零部件。确保甲方能正常开展工作，设备在设计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olor w:val="auto"/>
                <w:highlight w:val="none"/>
                <w:lang w:eastAsia="zh-CN"/>
              </w:rPr>
              <w:t xml:space="preserve">使用</w:t>
            </w:r>
            <w:r>
              <w:rPr>
                <w:rFonts w:hint="eastAsia" w:ascii="宋体" w:hAnsi="宋体"/>
                <w:color w:val="auto"/>
                <w:highlight w:val="none"/>
              </w:rPr>
              <w:t xml:space="preserve">周期内，保证更换到原厂配件。如3个工作日内不能修复必须提供备用机使用，确保甲方能正常开展工作。</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jc w:val="left"/>
              <w:rPr>
                <w:rFonts w:ascii="宋体" w:hAnsi="宋体"/>
                <w:color w:val="auto"/>
                <w:szCs w:val="21"/>
                <w:highlight w:val="none"/>
              </w:rPr>
            </w:pPr>
            <w:r>
              <w:rPr>
                <w:rFonts w:hint="eastAsia" w:ascii="宋体" w:hAnsi="宋体"/>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1199"/>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预付款：签订合同后，自收到供应商发票后10个工作日内采购人支付合同总价款的30%； </w:t>
            </w:r>
            <w:r/>
          </w:p>
          <w:p>
            <w:pPr>
              <w:jc w:val="left"/>
              <w:rPr>
                <w:rFonts w:ascii="宋体" w:hAnsi="宋体"/>
                <w:color w:val="auto"/>
                <w:szCs w:val="21"/>
                <w:highlight w:val="none"/>
              </w:rPr>
            </w:pPr>
            <w:r>
              <w:rPr>
                <w:rFonts w:hint="eastAsia" w:ascii="宋体" w:hAnsi="宋体"/>
                <w:color w:val="auto"/>
                <w:szCs w:val="21"/>
                <w:highlight w:val="none"/>
              </w:rPr>
              <w:t xml:space="preserve">进度款：全部设备安装调试完毕经验收合格且收到供应商发票后10个工作日内付至合同价款的100%。</w:t>
            </w:r>
            <w:r/>
          </w:p>
          <w:p>
            <w:pPr>
              <w:jc w:val="left"/>
              <w:rPr>
                <w:rFonts w:ascii="宋体" w:hAnsi="宋体"/>
                <w:color w:val="auto"/>
                <w:szCs w:val="21"/>
                <w:highlight w:val="none"/>
              </w:rPr>
            </w:pPr>
            <w:r>
              <w:rPr>
                <w:rFonts w:hint="eastAsia" w:ascii="宋体" w:hAnsi="宋体"/>
                <w:color w:val="auto"/>
                <w:szCs w:val="21"/>
                <w:highlight w:val="none"/>
              </w:rPr>
              <w:t xml:space="preserve">备注:</w:t>
            </w:r>
            <w:r/>
          </w:p>
          <w:p>
            <w:pPr>
              <w:jc w:val="left"/>
              <w:rPr>
                <w:rFonts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ascii="宋体" w:hAnsi="宋体"/>
                <w:color w:val="auto"/>
                <w:szCs w:val="21"/>
                <w:highlight w:val="none"/>
              </w:rPr>
            </w:pPr>
            <w:r>
              <w:rPr>
                <w:rFonts w:hint="eastAsia" w:ascii="宋体" w:hAnsi="宋体"/>
                <w:color w:val="auto"/>
                <w:szCs w:val="21"/>
                <w:highlight w:val="none"/>
              </w:rPr>
              <w:t xml:space="preserve">(4)在签订合同时，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明确表示无需预付款或者主动要求降低预付款比例的，甲方可不适用前述规定。</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6012" w:type="dxa"/>
            <w:vAlign w:val="center"/>
            <w:textDirection w:val="lrTb"/>
            <w:noWrap w:val="false"/>
          </w:tcPr>
          <w:p>
            <w:pPr>
              <w:jc w:val="left"/>
              <w:rPr>
                <w:rFonts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rPr>
              <w:t xml:space="preserve">甲方</w:t>
            </w:r>
            <w:r>
              <w:rPr>
                <w:rFonts w:hint="eastAsia" w:ascii="宋体" w:hAnsi="宋体"/>
                <w:color w:val="auto"/>
                <w:highlight w:val="none"/>
                <w:lang w:val="zh-CN"/>
              </w:rPr>
              <w:t xml:space="preserve">收到</w:t>
            </w:r>
            <w:r>
              <w:rPr>
                <w:rFonts w:hint="eastAsia" w:ascii="宋体" w:hAnsi="宋体"/>
                <w:color w:val="auto"/>
                <w:highlight w:val="none"/>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货物交付前应试运行，试运行时间包含在项目供货期内，试运行结束后乙方应当提交试运行报告作为验收资料组成，项目运行维护期3年</w:t>
            </w:r>
            <w:r>
              <w:rPr>
                <w:rFonts w:hint="eastAsia"/>
                <w:color w:val="auto"/>
                <w:highlight w:val="none"/>
              </w:rPr>
              <w:t xml:space="preserve">（自货物最终交付验收合格后起算）</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6012"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（2）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泗洪县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bookmarkEnd w:id="126"/>
            <w:r/>
            <w:bookmarkEnd w:id="127"/>
            <w:r/>
            <w:bookmarkEnd w:id="128"/>
            <w:r/>
            <w:r/>
          </w:p>
        </w:tc>
        <w:tc>
          <w:tcPr>
            <w:tcW w:w="6012"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jc w:val="center"/>
        <w:keepLines/>
        <w:keepNext/>
        <w:pageBreakBefore/>
        <w:rPr>
          <w:b/>
          <w:color w:val="auto"/>
          <w:sz w:val="44"/>
          <w:szCs w:val="44"/>
          <w:highlight w:val="none"/>
        </w:rPr>
        <w:outlineLvl w:val="0"/>
      </w:pPr>
      <w:r/>
      <w:bookmarkStart w:id="138" w:name="_Toc12937"/>
      <w:r/>
      <w:bookmarkStart w:id="139" w:name="_Toc22853"/>
      <w:r/>
      <w:bookmarkStart w:id="140" w:name="_Toc19649"/>
      <w:r/>
      <w:bookmarkStart w:id="141" w:name="_Toc81575170"/>
      <w:r/>
      <w:bookmarkStart w:id="142" w:name="_Toc81575207"/>
      <w:r/>
      <w:bookmarkStart w:id="143" w:name="_Toc9003"/>
      <w:r>
        <w:rPr>
          <w:rFonts w:hint="eastAsia"/>
          <w:b/>
          <w:color w:val="auto"/>
          <w:sz w:val="44"/>
          <w:szCs w:val="44"/>
          <w:highlight w:val="none"/>
        </w:rPr>
        <w:t xml:space="preserve">第六章  投标文件格式</w:t>
      </w:r>
      <w:bookmarkEnd w:id="138"/>
      <w:r/>
      <w:bookmarkEnd w:id="139"/>
      <w:r/>
      <w:bookmarkEnd w:id="140"/>
      <w:r/>
      <w:bookmarkEnd w:id="141"/>
      <w:r/>
      <w:bookmarkEnd w:id="142"/>
      <w:r/>
      <w:bookmarkEnd w:id="143"/>
      <w:r/>
      <w:r/>
    </w:p>
    <w:p>
      <w:pPr>
        <w:rPr>
          <w:color w:val="auto"/>
          <w:highlight w:val="none"/>
        </w:rPr>
      </w:pPr>
      <w:r/>
      <w:bookmarkStart w:id="144" w:name="EB819316f773b24a75aef829f9b72900c0"/>
      <w:r/>
      <w:r/>
    </w:p>
    <w:p>
      <w:pPr>
        <w:rPr>
          <w:rFonts w:ascii="Times New Roman" w:hAnsi="Times New Roman"/>
          <w:b/>
          <w:color w:val="auto"/>
          <w:sz w:val="72"/>
          <w:highlight w:val="none"/>
        </w:rPr>
      </w:pPr>
      <w:r/>
      <w:bookmarkStart w:id="14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5"/>
      <w:r/>
      <w:r/>
    </w:p>
    <w:p>
      <w:pPr>
        <w:pStyle w:val="1024"/>
        <w:rPr>
          <w:rFonts w:ascii="宋体" w:hAnsi="宋体" w:eastAsia="宋体" w:cs="宋体"/>
          <w:color w:val="auto"/>
          <w:highlight w:val="none"/>
        </w:rPr>
      </w:pPr>
      <w:r>
        <w:rPr>
          <w:rFonts w:ascii="宋体" w:hAnsi="宋体" w:eastAsia="宋体" w:cs="宋体"/>
          <w:color w:val="auto"/>
          <w:highlight w:val="none"/>
        </w:rPr>
      </w:r>
      <w:bookmarkEnd w:id="144"/>
      <w:r/>
    </w:p>
    <w:p>
      <w:pPr>
        <w:pStyle w:val="1024"/>
        <w:rPr>
          <w:rFonts w:ascii="宋体" w:hAnsi="宋体" w:eastAsia="宋体" w:cs="宋体"/>
          <w:color w:val="auto"/>
          <w:highlight w:val="none"/>
        </w:rPr>
      </w:pPr>
      <w:r>
        <w:rPr>
          <w:rFonts w:ascii="宋体" w:hAnsi="宋体" w:eastAsia="宋体" w:cs="宋体"/>
          <w:color w:val="auto"/>
          <w:highlight w:val="none"/>
        </w:rPr>
      </w:r>
      <w:r/>
    </w:p>
    <w:p>
      <w:pPr>
        <w:pStyle w:val="1024"/>
        <w:rPr>
          <w:rFonts w:ascii="宋体" w:hAnsi="宋体" w:eastAsia="宋体" w:cs="宋体"/>
          <w:color w:val="auto"/>
          <w:highlight w:val="none"/>
        </w:rPr>
      </w:pPr>
      <w:r>
        <w:rPr>
          <w:rFonts w:ascii="宋体" w:hAnsi="宋体" w:eastAsia="宋体" w:cs="宋体"/>
          <w:color w:val="auto"/>
          <w:highlight w:val="none"/>
        </w:rPr>
      </w:r>
      <w:r/>
    </w:p>
    <w:p>
      <w:pPr>
        <w:pStyle w:val="1024"/>
        <w:rPr>
          <w:rFonts w:ascii="宋体" w:hAnsi="宋体" w:eastAsia="宋体" w:cs="宋体"/>
          <w:color w:val="auto"/>
          <w:highlight w:val="none"/>
        </w:rPr>
      </w:pPr>
      <w:r>
        <w:rPr>
          <w:rFonts w:ascii="宋体" w:hAnsi="宋体" w:eastAsia="宋体" w:cs="宋体"/>
          <w:color w:val="auto"/>
          <w:highlight w:val="none"/>
        </w:rPr>
      </w:r>
      <w:r/>
    </w:p>
    <w:p>
      <w:pPr>
        <w:pStyle w:val="1024"/>
        <w:rPr>
          <w:rFonts w:ascii="宋体" w:hAnsi="宋体" w:eastAsia="宋体" w:cs="宋体"/>
          <w:color w:val="auto"/>
          <w:highlight w:val="none"/>
        </w:rPr>
      </w:pPr>
      <w:r>
        <w:rPr>
          <w:rFonts w:ascii="宋体" w:hAnsi="宋体" w:eastAsia="宋体" w:cs="宋体"/>
          <w:color w:val="auto"/>
          <w:highlight w:val="none"/>
        </w:rPr>
      </w:r>
      <w:r/>
    </w:p>
    <w:p>
      <w:pPr>
        <w:pStyle w:val="1024"/>
        <w:rPr>
          <w:rFonts w:ascii="宋体" w:hAnsi="宋体" w:eastAsia="宋体" w:cs="宋体"/>
          <w:color w:val="auto"/>
          <w:highlight w:val="none"/>
        </w:rPr>
      </w:pPr>
      <w:r>
        <w:rPr>
          <w:rFonts w:ascii="宋体" w:hAnsi="宋体" w:eastAsia="宋体" w:cs="宋体"/>
          <w:color w:val="auto"/>
          <w:highlight w:val="none"/>
        </w:rPr>
      </w:r>
      <w:r/>
    </w:p>
    <w:p>
      <w:pPr>
        <w:pStyle w:val="1024"/>
        <w:rPr>
          <w:rFonts w:ascii="宋体" w:hAnsi="宋体" w:eastAsia="宋体" w:cs="宋体"/>
          <w:color w:val="auto"/>
          <w:highlight w:val="none"/>
        </w:rPr>
      </w:pPr>
      <w:r>
        <w:rPr>
          <w:rFonts w:ascii="宋体" w:hAnsi="宋体" w:eastAsia="宋体" w:cs="宋体"/>
          <w:color w:val="auto"/>
          <w:highlight w:val="none"/>
        </w:rPr>
      </w:r>
      <w:r/>
    </w:p>
    <w:p>
      <w:pPr>
        <w:pStyle w:val="1024"/>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24"/>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24"/>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ascii="Times New Roman" w:hAnsi="Times New Roman"/>
          <w:color w:val="auto"/>
          <w:sz w:val="28"/>
          <w:szCs w:val="28"/>
          <w:highlight w:val="none"/>
        </w:rPr>
      </w:pPr>
      <w:r/>
      <w:bookmarkStart w:id="146" w:name="_Toc20577"/>
      <w:r/>
      <w:bookmarkStart w:id="147" w:name="_Toc26005"/>
      <w:r>
        <w:rPr>
          <w:rFonts w:hint="eastAsia" w:ascii="Times New Roman" w:hAnsi="Times New Roman"/>
          <w:color w:val="auto"/>
          <w:sz w:val="28"/>
          <w:szCs w:val="28"/>
          <w:highlight w:val="none"/>
        </w:rPr>
        <w:t xml:space="preserve">一、投标人响应承诺函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二、投标人基本情况</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三、满足特定资格要求的证明文件（如果设置特定资格要求，则需要提供）</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六、投标分项报价表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七、中小微企业声明函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八、技术要求响应及偏离表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九、项目组成员</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十、企业业绩</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十一、项目实施方案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十二、设备安装方案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十三、售后服务方案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十四、关于符合本国产品标准的声明函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十五、演示</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十六、投标所需其他材料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34"/>
        <w:rPr>
          <w:b w:val="0"/>
          <w:bCs/>
          <w:color w:val="auto"/>
          <w:highlight w:val="none"/>
        </w:rPr>
        <w:outlineLvl w:val="1"/>
      </w:pPr>
      <w:r/>
      <w:bookmarkStart w:id="148" w:name="_Toc8978"/>
      <w:r>
        <w:rPr>
          <w:rFonts w:hint="eastAsia"/>
          <w:b w:val="0"/>
          <w:bCs/>
          <w:color w:val="auto"/>
          <w:highlight w:val="none"/>
        </w:rPr>
        <w:t xml:space="preserve">一</w:t>
      </w:r>
      <w:r>
        <w:rPr>
          <w:b w:val="0"/>
          <w:bCs/>
          <w:color w:val="auto"/>
          <w:highlight w:val="none"/>
        </w:rPr>
        <w:t xml:space="preserve">、投标函</w:t>
      </w:r>
      <w:bookmarkEnd w:id="146"/>
      <w:r/>
      <w:bookmarkEnd w:id="147"/>
      <w:r/>
      <w:bookmarkEnd w:id="148"/>
      <w:r/>
      <w:r/>
    </w:p>
    <w:p>
      <w:pPr>
        <w:pStyle w:val="103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3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35"/>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35"/>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四、如果我方的投标文件被接受，我方将按照《中华人民共和国民法典（第三编合同）》及其他有关法律、法规的规定，按期、按质、按量交付采购单位，全面做到履约守信；</w:t>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六、我方同意采购人、采购代理机构将本函上网公开。</w:t>
      </w:r>
      <w:r/>
    </w:p>
    <w:p>
      <w:pPr>
        <w:pStyle w:val="1035"/>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35"/>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3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35"/>
        <w:ind w:firstLine="480"/>
        <w:rPr>
          <w:rFonts w:ascii="宋体" w:hAnsi="宋体"/>
          <w:color w:val="auto"/>
          <w:sz w:val="24"/>
          <w:szCs w:val="24"/>
          <w:highlight w:val="none"/>
        </w:rPr>
      </w:pPr>
      <w:r>
        <w:rPr>
          <w:rFonts w:ascii="宋体" w:hAnsi="宋体"/>
          <w:color w:val="auto"/>
          <w:sz w:val="24"/>
          <w:szCs w:val="24"/>
          <w:highlight w:val="none"/>
        </w:rPr>
      </w:r>
      <w:r/>
    </w:p>
    <w:p>
      <w:pPr>
        <w:pStyle w:val="1035"/>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4"/>
        <w:spacing w:line="440" w:lineRule="exact"/>
        <w:rPr>
          <w:rFonts w:ascii="宋体" w:eastAsia="宋体" w:cs="宋体"/>
          <w:color w:val="auto"/>
          <w:highlight w:val="none"/>
        </w:rPr>
        <w:outlineLvl w:val="1"/>
      </w:pPr>
      <w:r>
        <w:rPr>
          <w:rFonts w:hint="eastAsia" w:ascii="宋体" w:eastAsia="宋体" w:cs="宋体"/>
          <w:b/>
          <w:color w:val="auto"/>
          <w:highlight w:val="none"/>
        </w:rPr>
        <w:t xml:space="preserve">二、投标人基本情况</w:t>
      </w:r>
      <w:r/>
    </w:p>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投标人基本情况表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投标人名称</w:t>
            </w:r>
            <w:r/>
          </w:p>
        </w:tc>
        <w:tc>
          <w:tcPr>
            <w:gridSpan w:val="3"/>
            <w:tcW w:w="699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法定代表人</w:t>
            </w:r>
            <w:r/>
          </w:p>
        </w:tc>
        <w:tc>
          <w:tcPr>
            <w:tcW w:w="311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注册地区</w:t>
            </w:r>
            <w:r/>
          </w:p>
        </w:tc>
        <w:tc>
          <w:tcPr>
            <w:tcW w:w="2604"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地址</w:t>
            </w:r>
            <w:r/>
          </w:p>
        </w:tc>
        <w:tc>
          <w:tcPr>
            <w:tcW w:w="311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邮政编码</w:t>
            </w:r>
            <w:r/>
          </w:p>
        </w:tc>
        <w:tc>
          <w:tcPr>
            <w:tcW w:w="2604"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成立时间</w:t>
            </w:r>
            <w:r/>
          </w:p>
        </w:tc>
        <w:tc>
          <w:tcPr>
            <w:tcW w:w="311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单位性质</w:t>
            </w:r>
            <w:r/>
          </w:p>
        </w:tc>
        <w:tc>
          <w:tcPr>
            <w:tcW w:w="2604"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注册号或社会信用代码</w:t>
            </w:r>
            <w:r/>
          </w:p>
        </w:tc>
        <w:tc>
          <w:tcPr>
            <w:tcW w:w="311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注册资本（万元）</w:t>
            </w:r>
            <w:r/>
          </w:p>
        </w:tc>
        <w:tc>
          <w:tcPr>
            <w:tcW w:w="2604"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投标人类别</w:t>
            </w:r>
            <w:r/>
          </w:p>
        </w:tc>
        <w:tc>
          <w:tcPr>
            <w:gridSpan w:val="3"/>
            <w:tcW w:w="699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开户银行</w:t>
            </w:r>
            <w:r/>
          </w:p>
        </w:tc>
        <w:tc>
          <w:tcPr>
            <w:tcW w:w="311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账号</w:t>
            </w:r>
            <w:r/>
          </w:p>
        </w:tc>
        <w:tc>
          <w:tcPr>
            <w:tcW w:w="2604"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联系人</w:t>
            </w:r>
            <w:r/>
          </w:p>
        </w:tc>
        <w:tc>
          <w:tcPr>
            <w:tcW w:w="3118"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联系电话</w:t>
            </w:r>
            <w:r/>
          </w:p>
        </w:tc>
        <w:tc>
          <w:tcPr>
            <w:tcW w:w="2604" w:type="dxa"/>
            <w:vAlign w:val="center"/>
            <w:textDirection w:val="lrTb"/>
            <w:noWrap/>
          </w:tcPr>
          <w:p>
            <w:pPr>
              <w:pStyle w:val="1020"/>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046"/>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经营范围</w:t>
            </w:r>
            <w:r/>
          </w:p>
        </w:tc>
        <w:tc>
          <w:tcPr>
            <w:gridSpan w:val="3"/>
            <w:tcW w:w="6998" w:type="dxa"/>
            <w:textDirection w:val="lrTb"/>
            <w:noWrap/>
          </w:tcPr>
          <w:p>
            <w:pPr>
              <w:pStyle w:val="1020"/>
              <w:ind w:firstLine="1432"/>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134"/>
        </w:trPr>
        <w:tc>
          <w:tcPr>
            <w:tcW w:w="1526" w:type="dxa"/>
            <w:vAlign w:val="center"/>
            <w:textDirection w:val="lrTb"/>
            <w:noWrap/>
          </w:tcPr>
          <w:p>
            <w:pPr>
              <w:pStyle w:val="1020"/>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备注</w:t>
            </w:r>
            <w:r/>
          </w:p>
        </w:tc>
        <w:tc>
          <w:tcPr>
            <w:gridSpan w:val="3"/>
            <w:tcW w:w="6998" w:type="dxa"/>
            <w:vAlign w:val="center"/>
            <w:textDirection w:val="lrTb"/>
            <w:noWrap/>
          </w:tcPr>
          <w:p>
            <w:pPr>
              <w:pStyle w:val="1020"/>
              <w:spacing w:line="440" w:lineRule="exact"/>
              <w:rPr>
                <w:rFonts w:ascii="宋体" w:cs="宋体"/>
                <w:color w:val="auto"/>
                <w:sz w:val="24"/>
                <w:szCs w:val="24"/>
                <w:highlight w:val="none"/>
              </w:rPr>
            </w:pPr>
            <w:r>
              <w:rPr>
                <w:rFonts w:hint="eastAsia" w:ascii="宋体" w:cs="宋体"/>
                <w:color w:val="auto"/>
                <w:sz w:val="24"/>
                <w:szCs w:val="24"/>
                <w:highlight w:val="none"/>
              </w:rPr>
              <w:t xml:space="preserve">附营业执照</w:t>
            </w:r>
            <w:r/>
          </w:p>
        </w:tc>
      </w:tr>
    </w:tbl>
    <w:p>
      <w:pPr>
        <w:ind w:firstLine="480"/>
        <w:spacing w:line="440" w:lineRule="exact"/>
        <w:rPr>
          <w:rFonts w:ascii="宋体" w:cs="宋体"/>
          <w:color w:val="auto"/>
          <w:sz w:val="24"/>
          <w:highlight w:val="none"/>
        </w:rPr>
      </w:pPr>
      <w:r>
        <w:rPr>
          <w:rFonts w:ascii="宋体" w:cs="宋体"/>
          <w:color w:val="auto"/>
          <w:sz w:val="24"/>
          <w:highlight w:val="none"/>
        </w:rPr>
      </w:r>
      <w:r/>
    </w:p>
    <w:p>
      <w:pPr>
        <w:ind w:firstLine="480"/>
        <w:spacing w:line="440" w:lineRule="exact"/>
        <w:rPr>
          <w:rFonts w:ascii="宋体" w:cs="宋体"/>
          <w:color w:val="auto"/>
          <w:sz w:val="24"/>
          <w:highlight w:val="none"/>
        </w:rPr>
      </w:pPr>
      <w:r>
        <w:rPr>
          <w:rFonts w:ascii="宋体" w:cs="宋体"/>
          <w:color w:val="auto"/>
          <w:sz w:val="24"/>
          <w:highlight w:val="none"/>
        </w:rPr>
      </w:r>
      <w:r/>
    </w:p>
    <w:p>
      <w:pPr>
        <w:spacing w:line="440" w:lineRule="exact"/>
        <w:rPr>
          <w:rFonts w:ascii="宋体" w:cs="宋体"/>
          <w:i/>
          <w:color w:val="auto"/>
          <w:sz w:val="24"/>
          <w:highlight w:val="none"/>
          <w:u w:val="single"/>
        </w:rPr>
        <w:outlineLvl w:val="1"/>
      </w:pPr>
      <w:r>
        <w:rPr>
          <w:rFonts w:hint="eastAsia" w:ascii="宋体" w:cs="宋体"/>
          <w:b/>
          <w:color w:val="auto"/>
          <w:sz w:val="24"/>
          <w:highlight w:val="none"/>
        </w:rPr>
        <w:t xml:space="preserve">三、特定资格要求的证明文件</w:t>
      </w:r>
      <w:r/>
    </w:p>
    <w:p>
      <w:pPr>
        <w:spacing w:line="440" w:lineRule="exact"/>
        <w:rPr>
          <w:rFonts w:ascii="宋体" w:cs="宋体"/>
          <w:bCs/>
          <w:color w:val="auto"/>
          <w:sz w:val="24"/>
          <w:highlight w:val="none"/>
        </w:rPr>
      </w:pPr>
      <w:r>
        <w:rPr>
          <w:rFonts w:hint="eastAsia" w:ascii="宋体" w:cs="宋体"/>
          <w:color w:val="auto"/>
          <w:sz w:val="24"/>
          <w:highlight w:val="none"/>
        </w:rPr>
        <w:t xml:space="preserve">    如果本项目申请人的特定资格要求中要求提供的，必须提供。</w:t>
      </w:r>
      <w:r/>
    </w:p>
    <w:p>
      <w:pPr>
        <w:ind w:firstLine="420"/>
        <w:spacing w:line="440" w:lineRule="exact"/>
        <w:rPr>
          <w:rFonts w:ascii="宋体" w:cs="宋体"/>
          <w:bCs/>
          <w:color w:val="auto"/>
          <w:sz w:val="24"/>
          <w:highlight w:val="none"/>
        </w:rPr>
      </w:pPr>
      <w:r>
        <w:rPr>
          <w:rFonts w:ascii="宋体" w:cs="宋体"/>
          <w:bCs/>
          <w:color w:val="auto"/>
          <w:sz w:val="24"/>
          <w:highlight w:val="none"/>
        </w:rPr>
      </w:r>
      <w:r/>
    </w:p>
    <w:p>
      <w:pPr>
        <w:rPr>
          <w:color w:val="auto"/>
          <w:highlight w:val="none"/>
        </w:rPr>
        <w:outlineLvl w:val="1"/>
      </w:pPr>
      <w:r>
        <w:rPr>
          <w:rFonts w:hint="eastAsia"/>
          <w:color w:val="auto"/>
          <w:highlight w:val="none"/>
        </w:rPr>
        <w:br w:type="page" w:clear="all"/>
      </w:r>
      <w:bookmarkStart w:id="149" w:name="_Toc3680"/>
      <w:r/>
      <w:bookmarkStart w:id="150" w:name="_Toc29506"/>
      <w:r/>
      <w:bookmarkStart w:id="151" w:name="_Toc27409"/>
      <w:r>
        <w:rPr>
          <w:rFonts w:hint="eastAsia" w:ascii="黑体" w:hAnsi="黑体" w:eastAsia="黑体" w:cs="黑体"/>
          <w:bCs/>
          <w:color w:val="auto"/>
          <w:sz w:val="32"/>
          <w:szCs w:val="24"/>
          <w:highlight w:val="none"/>
        </w:rPr>
        <w:t xml:space="preserve">四、</w:t>
      </w:r>
      <w:bookmarkEnd w:id="149"/>
      <w:r/>
      <w:bookmarkEnd w:id="150"/>
      <w:r>
        <w:rPr>
          <w:rFonts w:hint="eastAsia" w:ascii="黑体" w:hAnsi="黑体" w:eastAsia="黑体" w:cs="黑体"/>
          <w:bCs/>
          <w:color w:val="auto"/>
          <w:sz w:val="32"/>
          <w:szCs w:val="24"/>
          <w:highlight w:val="none"/>
        </w:rPr>
        <w:t xml:space="preserve">法人授权书</w:t>
      </w:r>
      <w:bookmarkEnd w:id="151"/>
      <w:r/>
      <w:r/>
    </w:p>
    <w:p>
      <w:pPr>
        <w:pStyle w:val="1035"/>
        <w:jc w:val="center"/>
        <w:rPr>
          <w:rFonts w:ascii="方正小标宋_GBK" w:eastAsia="方正小标宋_GBK"/>
          <w:bCs/>
          <w:color w:val="auto"/>
          <w:sz w:val="32"/>
          <w:szCs w:val="32"/>
          <w:highlight w:val="none"/>
        </w:rPr>
      </w:pPr>
      <w:r/>
      <w:bookmarkStart w:id="152" w:name="OLE_LINK6"/>
      <w:r>
        <w:rPr>
          <w:rFonts w:hint="eastAsia" w:ascii="方正小标宋_GBK" w:eastAsia="方正小标宋_GBK"/>
          <w:bCs/>
          <w:color w:val="auto"/>
          <w:sz w:val="32"/>
          <w:szCs w:val="32"/>
          <w:highlight w:val="none"/>
        </w:rPr>
        <w:t xml:space="preserve">法人授权书</w:t>
      </w:r>
      <w:bookmarkEnd w:id="152"/>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采购活动的合法代理人，以本单位名义全权处理一切与该项目采购有关的事务。</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本授权书于______年____月____日起生效，特此声明。</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被授权人联系电话：（手机）</w:t>
      </w:r>
      <w:r>
        <w:rPr>
          <w:rFonts w:hint="eastAsia" w:ascii="宋体" w:hAnsi="宋体" w:cs="宋体"/>
          <w:color w:val="auto"/>
          <w:sz w:val="24"/>
          <w:highlight w:val="none"/>
          <w:u w:val="single"/>
        </w:rPr>
        <w:t xml:space="preserve">          </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授权单位名称：</w:t>
      </w:r>
      <w:r>
        <w:rPr>
          <w:rFonts w:hint="eastAsia" w:ascii="宋体" w:hAnsi="宋体" w:cs="宋体"/>
          <w:color w:val="auto"/>
          <w:sz w:val="24"/>
          <w:highlight w:val="none"/>
          <w:u w:val="single"/>
        </w:rPr>
        <w:t xml:space="preserve">（加盖CA电子公章）</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单位地址：</w:t>
      </w:r>
      <w:r>
        <w:rPr>
          <w:rFonts w:hint="eastAsia" w:ascii="宋体" w:hAnsi="宋体" w:cs="宋体"/>
          <w:color w:val="auto"/>
          <w:sz w:val="24"/>
          <w:highlight w:val="none"/>
          <w:u w:val="single"/>
        </w:rPr>
        <w:t xml:space="preserve">                  </w:t>
      </w:r>
      <w:r/>
    </w:p>
    <w:p>
      <w:pPr>
        <w:spacing w:line="55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p>
    <w:p>
      <w:pPr>
        <w:pStyle w:val="1037"/>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ind w:firstLine="480"/>
        <w:spacing w:line="49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p>
    <w:p>
      <w:pPr>
        <w:pStyle w:val="1040"/>
        <w:rPr>
          <w:color w:val="auto"/>
          <w:highlight w:val="none"/>
        </w:rPr>
        <w:outlineLvl w:val="1"/>
      </w:pPr>
      <w:r>
        <w:rPr>
          <w:color w:val="auto"/>
          <w:highlight w:val="none"/>
        </w:rPr>
        <w:br w:type="page" w:clear="all"/>
      </w:r>
      <w:bookmarkStart w:id="153" w:name="_Toc30543"/>
      <w:r/>
      <w:bookmarkStart w:id="154" w:name="_Toc27199"/>
      <w:r/>
      <w:bookmarkStart w:id="155" w:name="_Toc13550"/>
      <w:r>
        <w:rPr>
          <w:rFonts w:hint="eastAsia"/>
          <w:b w:val="0"/>
          <w:bCs/>
          <w:color w:val="auto"/>
          <w:highlight w:val="none"/>
        </w:rPr>
        <w:t xml:space="preserve">五</w:t>
      </w:r>
      <w:r>
        <w:rPr>
          <w:b w:val="0"/>
          <w:bCs/>
          <w:color w:val="auto"/>
          <w:highlight w:val="none"/>
        </w:rPr>
        <w:t xml:space="preserve">、开标一览表</w:t>
      </w:r>
      <w:bookmarkEnd w:id="153"/>
      <w:r/>
      <w:bookmarkEnd w:id="154"/>
      <w:r/>
      <w:bookmarkEnd w:id="155"/>
      <w:r/>
      <w:r/>
    </w:p>
    <w:p>
      <w:pPr>
        <w:pStyle w:val="1041"/>
        <w:rPr>
          <w:rFonts w:ascii="宋体" w:hAnsi="宋体" w:eastAsia="宋体" w:cs="宋体"/>
          <w:color w:val="auto"/>
          <w:highlight w:val="none"/>
        </w:rPr>
      </w:pPr>
      <w:r>
        <w:rPr>
          <w:rFonts w:ascii="宋体" w:hAnsi="宋体" w:eastAsia="宋体" w:cs="宋体"/>
          <w:color w:val="auto"/>
          <w:highlight w:val="none"/>
        </w:rPr>
      </w:r>
      <w:r/>
    </w:p>
    <w:p>
      <w:pPr>
        <w:pStyle w:val="1041"/>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9400"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          </w:t>
            </w:r>
            <w:r>
              <w:rPr>
                <w:rFonts w:ascii="宋体" w:hAnsi="宋体" w:cs="宋体"/>
                <w:color w:val="auto"/>
                <w:sz w:val="24"/>
                <w:szCs w:val="24"/>
                <w:highlight w:val="none"/>
              </w:rPr>
              <w:t xml:space="preserve">（人民币：元）</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总价（大写）：</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（人民币：元）</w:t>
            </w:r>
            <w:r/>
          </w:p>
        </w:tc>
      </w:tr>
      <w:tr>
        <w:trPr/>
        <w:tc>
          <w:tcPr>
            <w:tcW w:w="9400" w:type="dxa"/>
            <w:textDirection w:val="lrTb"/>
            <w:noWrap w:val="false"/>
          </w:tcPr>
          <w:p>
            <w:pPr>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运行维护期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年</w:t>
            </w:r>
            <w:r/>
          </w:p>
        </w:tc>
      </w:tr>
    </w:tbl>
    <w:p>
      <w:pP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6"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6"/>
      <w:r/>
      <w:r/>
    </w:p>
    <w:p>
      <w:pPr>
        <w:pStyle w:val="1043"/>
        <w:rPr>
          <w:color w:val="auto"/>
          <w:highlight w:val="none"/>
        </w:rPr>
        <w:outlineLvl w:val="1"/>
      </w:pPr>
      <w:r>
        <w:rPr>
          <w:color w:val="auto"/>
          <w:highlight w:val="none"/>
        </w:rPr>
        <w:br w:type="page" w:clear="all"/>
      </w:r>
      <w:bookmarkStart w:id="157" w:name="_Toc26543"/>
      <w:r/>
      <w:bookmarkStart w:id="158" w:name="_Toc956"/>
      <w:r/>
      <w:bookmarkStart w:id="159" w:name="_Toc12614"/>
      <w:r>
        <w:rPr>
          <w:rFonts w:hint="eastAsia"/>
          <w:color w:val="auto"/>
          <w:highlight w:val="none"/>
        </w:rPr>
        <w:t xml:space="preserve">六</w:t>
      </w:r>
      <w:r>
        <w:rPr>
          <w:b w:val="0"/>
          <w:bCs/>
          <w:color w:val="auto"/>
          <w:highlight w:val="none"/>
        </w:rPr>
        <w:t xml:space="preserve">、</w:t>
      </w:r>
      <w:bookmarkEnd w:id="157"/>
      <w:r/>
      <w:bookmarkEnd w:id="158"/>
      <w:r>
        <w:rPr>
          <w:rFonts w:hint="eastAsia"/>
          <w:b w:val="0"/>
          <w:bCs/>
          <w:color w:val="auto"/>
          <w:highlight w:val="none"/>
        </w:rPr>
        <w:t xml:space="preserve">分项报价表</w:t>
      </w:r>
      <w:bookmarkEnd w:id="159"/>
      <w:r/>
      <w:r/>
    </w:p>
    <w:p>
      <w:pPr>
        <w:pStyle w:val="103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tbl>
      <w:tblPr>
        <w:tblStyle w:val="70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pct"/>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88"/>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96"/>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u w:val="single"/>
              </w:rPr>
            </w:pPr>
            <w:r>
              <w:rPr>
                <w:rFonts w:ascii="宋体" w:hAnsi="宋体"/>
                <w:color w:val="auto"/>
                <w:sz w:val="24"/>
                <w:szCs w:val="24"/>
                <w:highlight w:val="none"/>
                <w:u w:val="singl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gridSpan w:val="3"/>
            <w:tcW w:w="1155" w:type="pct"/>
            <w:vAlign w:val="center"/>
            <w:textDirection w:val="lrTb"/>
            <w:noWrap w:val="false"/>
          </w:tcPr>
          <w:p>
            <w:pPr>
              <w:pStyle w:val="1131"/>
              <w:jc w:val="left"/>
              <w:spacing w:line="500" w:lineRule="exact"/>
              <w:rPr>
                <w:rFonts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3844" w:type="pct"/>
            <w:vAlign w:val="center"/>
            <w:textDirection w:val="lrTb"/>
            <w:noWrap w:val="false"/>
          </w:tcPr>
          <w:p>
            <w:pPr>
              <w:pStyle w:val="1131"/>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31"/>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r>
        <w:trPr>
          <w:cantSplit/>
          <w:trHeight w:val="677"/>
        </w:trPr>
        <w:tc>
          <w:tcPr>
            <w:gridSpan w:val="10"/>
            <w:tcW w:w="5000" w:type="pct"/>
            <w:vAlign w:val="center"/>
            <w:textDirection w:val="lrTb"/>
            <w:noWrap w:val="false"/>
          </w:tcPr>
          <w:p>
            <w:pPr>
              <w:pStyle w:val="1131"/>
              <w:jc w:val="left"/>
              <w:spacing w:line="500" w:lineRule="exact"/>
              <w:rPr>
                <w:rFonts w:ascii="宋体" w:hAnsi="宋体"/>
                <w:b/>
                <w:bCs/>
                <w:color w:val="auto"/>
                <w:sz w:val="24"/>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备注：1.“投标总报价”数额应当与“开标一览表”中“投标总报价”数额一致。</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3.投标人需认真填写本表，尤其注意设备品牌型号的准确填写。投标人须提供所供设备产品品牌、规格型号、</w:t>
      </w:r>
      <w:r>
        <w:rPr>
          <w:rFonts w:hint="eastAsia" w:ascii="宋体" w:hAnsi="宋体" w:cs="宋体"/>
          <w:bCs/>
          <w:color w:val="auto"/>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4.符合报价折扣情形的请将此表填报上传至“企业报价折扣证明”一栏中。</w:t>
      </w:r>
      <w:r/>
    </w:p>
    <w:p>
      <w:pPr>
        <w:spacing w:line="400" w:lineRule="exact"/>
        <w:rPr>
          <w:rFonts w:ascii="仿宋" w:hAnsi="仿宋" w:eastAsia="仿宋" w:cs="仿宋"/>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24"/>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r/>
    </w:p>
    <w:p>
      <w:pPr>
        <w:pStyle w:val="856"/>
        <w:rPr>
          <w:rFonts w:ascii="仿宋" w:hAnsi="仿宋" w:eastAsia="仿宋" w:cs="仿宋"/>
          <w:color w:val="auto"/>
          <w:szCs w:val="32"/>
          <w:highlight w:val="none"/>
        </w:rPr>
        <w:outlineLvl w:val="1"/>
      </w:pPr>
      <w:r>
        <w:rPr>
          <w:rFonts w:hint="eastAsia" w:ascii="仿宋" w:hAnsi="仿宋" w:eastAsia="仿宋" w:cs="仿宋"/>
          <w:color w:val="auto"/>
          <w:highlight w:val="none"/>
        </w:rPr>
        <w:t xml:space="preserve">七、中小微企业声明函</w:t>
      </w:r>
      <w:r/>
    </w:p>
    <w:p>
      <w:pPr>
        <w:ind w:firstLine="360"/>
        <w:jc w:val="center"/>
        <w:spacing w:line="560" w:lineRule="exact"/>
        <w:rPr>
          <w:rFonts w:ascii="仿宋" w:hAnsi="仿宋" w:eastAsia="仿宋" w:cs="仿宋"/>
          <w:color w:val="auto"/>
          <w:sz w:val="24"/>
          <w:highlight w:val="none"/>
        </w:rPr>
      </w:pPr>
      <w:r>
        <w:rPr>
          <w:rFonts w:hint="eastAsia" w:ascii="仿宋" w:hAnsi="仿宋" w:eastAsia="仿宋" w:cs="仿宋"/>
          <w:b/>
          <w:color w:val="auto"/>
          <w:sz w:val="32"/>
          <w:szCs w:val="24"/>
          <w:highlight w:val="none"/>
        </w:rPr>
        <w:t xml:space="preserve">中小微企业声明函（货物）</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泗洪县教育局（单位名称）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rPr>
        <w:t xml:space="preserve">  JSZC-321324-JSCW-G2026-00</w:t>
      </w:r>
      <w:r>
        <w:rPr>
          <w:rFonts w:hint="eastAsia" w:ascii="仿宋" w:hAnsi="仿宋" w:eastAsia="仿宋" w:cs="仿宋"/>
          <w:color w:val="auto"/>
          <w:sz w:val="24"/>
          <w:szCs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泗洪县城区学校门口交通安全设施建设项目（采购包号：JSZC-321324-JSCW-G2026-00</w:t>
      </w:r>
      <w:r>
        <w:rPr>
          <w:rFonts w:hint="eastAsia" w:ascii="仿宋" w:hAnsi="仿宋" w:eastAsia="仿宋" w:cs="仿宋"/>
          <w:color w:val="auto"/>
          <w:sz w:val="24"/>
          <w:szCs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人行横道标志牌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路面凸起标志牌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调头标志牌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学校区域限速牌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机非分离组合标志牌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靠右行驶标志牌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震荡标线</w:t>
      </w:r>
      <w:r>
        <w:rPr>
          <w:rFonts w:hint="eastAsia" w:ascii="仿宋" w:hAnsi="仿宋" w:eastAsia="仿宋" w:cs="仿宋"/>
          <w:color w:val="auto"/>
          <w:sz w:val="24"/>
          <w:szCs w:val="24"/>
          <w:highlight w:val="none"/>
          <w:u w:val="single"/>
        </w:rPr>
        <w:t xml:space="preserve">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u w:val="single"/>
        </w:rPr>
        <w:t xml:space="preserve"> 隔离护栏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u w:val="single"/>
        </w:rPr>
        <w:t xml:space="preserve"> 防撞柱</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u w:val="single"/>
        </w:rPr>
        <w:t xml:space="preserve"> 移动护栏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u w:val="single"/>
        </w:rPr>
        <w:t xml:space="preserve"> 移动信号灯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u w:val="single"/>
        </w:rPr>
        <w:t xml:space="preserve"> 反光背心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u w:val="single"/>
        </w:rPr>
        <w:t xml:space="preserve"> 指挥棒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u w:val="single"/>
        </w:rPr>
        <w:t xml:space="preserve"> 宣传喇叭</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便携式</w:t>
      </w:r>
      <w:r>
        <w:rPr>
          <w:rFonts w:hint="eastAsia" w:ascii="仿宋" w:hAnsi="仿宋" w:eastAsia="仿宋" w:cs="仿宋"/>
          <w:color w:val="auto"/>
          <w:sz w:val="24"/>
          <w:szCs w:val="24"/>
          <w:highlight w:val="none"/>
          <w:u w:val="single"/>
        </w:rPr>
        <w:t xml:space="preserve">布控球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u w:val="single"/>
        </w:rPr>
        <w:t xml:space="preserve"> 枪球一体机</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u w:val="single"/>
        </w:rPr>
        <w:t xml:space="preserve"> 设备箱及配套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u w:val="single"/>
        </w:rPr>
        <w:t xml:space="preserve"> 电源线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u w:val="single"/>
        </w:rPr>
        <w:t xml:space="preserve"> 网线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u w:val="single"/>
        </w:rPr>
        <w:t xml:space="preserve"> 挑臂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u w:val="single"/>
        </w:rPr>
        <w:t xml:space="preserve"> 辅材</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u w:val="single"/>
        </w:rPr>
        <w:t xml:space="preserve"> AI融合巡检一体化系统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u w:val="single"/>
        </w:rPr>
        <w:t xml:space="preserve"> 安全网关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u w:val="single"/>
        </w:rPr>
        <w:t xml:space="preserve"> 交换机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highlight w:val="none"/>
        </w:rPr>
        <w:t xml:space="preserve">。</w:t>
      </w:r>
      <w:r/>
    </w:p>
    <w:p>
      <w:pPr>
        <w:ind w:right="180" w:firstLine="360"/>
        <w:jc w:val="righ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   年  月  日</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w:t>
      </w:r>
      <w:r>
        <w:rPr>
          <w:rFonts w:hint="eastAsia" w:ascii="仿宋" w:hAnsi="仿宋" w:eastAsia="仿宋" w:cs="仿宋"/>
          <w:color w:val="auto"/>
          <w:sz w:val="24"/>
          <w:highlight w:val="none"/>
          <w:lang w:eastAsia="zh-CN"/>
        </w:rPr>
        <w:t xml:space="preserve">接受</w:t>
      </w:r>
      <w:r>
        <w:rPr>
          <w:rFonts w:hint="eastAsia" w:ascii="仿宋" w:hAnsi="仿宋" w:eastAsia="仿宋" w:cs="仿宋"/>
          <w:color w:val="auto"/>
          <w:sz w:val="24"/>
          <w:highlight w:val="none"/>
        </w:rPr>
        <w:t xml:space="preserve">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ind w:firstLine="241"/>
        <w:jc w:val="center"/>
        <w:spacing w:line="55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highlight w:val="none"/>
        </w:rPr>
        <w:t xml:space="preserve"> </w:t>
      </w:r>
      <w:r>
        <w:rPr>
          <w:rFonts w:hint="eastAsia" w:ascii="仿宋" w:hAnsi="仿宋" w:eastAsia="仿宋" w:cs="仿宋"/>
          <w:b/>
          <w:color w:val="auto"/>
          <w:sz w:val="32"/>
          <w:szCs w:val="24"/>
          <w:highlight w:val="none"/>
        </w:rPr>
        <w:t xml:space="preserve">中小微企业声明函（服务/工程类项目）</w:t>
      </w:r>
      <w:r/>
    </w:p>
    <w:p>
      <w:pPr>
        <w:pStyle w:val="1051"/>
        <w:rPr>
          <w:rFonts w:ascii="宋体" w:hAnsi="宋体" w:cs="宋体"/>
          <w:b/>
          <w:color w:val="auto"/>
          <w:sz w:val="32"/>
          <w:szCs w:val="32"/>
          <w:highlight w:val="none"/>
        </w:rPr>
      </w:pPr>
      <w:r>
        <w:rPr>
          <w:rFonts w:ascii="宋体" w:hAnsi="宋体" w:cs="宋体"/>
          <w:b/>
          <w:color w:val="auto"/>
          <w:sz w:val="32"/>
          <w:szCs w:val="32"/>
          <w:highlight w:val="none"/>
        </w:rPr>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auto"/>
          <w:sz w:val="24"/>
          <w:highlight w:val="none"/>
          <w:u w:val="single"/>
        </w:rPr>
        <w:t xml:space="preserve">JSZC-321324-JSCW-G2026-00</w:t>
      </w:r>
      <w:r>
        <w:rPr>
          <w:rFonts w:hint="eastAsia" w:ascii="仿宋" w:hAnsi="仿宋" w:eastAsia="仿宋" w:cs="仿宋"/>
          <w:color w:val="auto"/>
          <w:sz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采购包号：</w:t>
      </w:r>
      <w:r>
        <w:rPr>
          <w:rFonts w:hint="eastAsia" w:ascii="仿宋" w:hAnsi="仿宋" w:eastAsia="仿宋" w:cs="仿宋"/>
          <w:color w:val="auto"/>
          <w:sz w:val="24"/>
          <w:highlight w:val="none"/>
          <w:u w:val="single"/>
        </w:rPr>
        <w:t xml:space="preserve">JSZC-321324-JSCW-G2026-00</w:t>
      </w:r>
      <w:r>
        <w:rPr>
          <w:rFonts w:hint="eastAsia" w:ascii="仿宋" w:hAnsi="仿宋" w:eastAsia="仿宋" w:cs="仿宋"/>
          <w:color w:val="auto"/>
          <w:sz w:val="24"/>
          <w:highlight w:val="none"/>
          <w:u w:val="single"/>
          <w:lang w:val="en-US" w:eastAsia="zh-CN"/>
        </w:rPr>
        <w:t xml:space="preserve">24</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highlight w:val="none"/>
          <w:u w:val="single"/>
        </w:rPr>
        <w:t xml:space="preserve">泗洪县城区学校门口交通安全设施建设项目</w:t>
      </w:r>
      <w:r>
        <w:rPr>
          <w:rFonts w:hint="eastAsia" w:ascii="仿宋" w:hAnsi="仿宋" w:eastAsia="仿宋" w:cs="仿宋"/>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硬化路面取芯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人行横道线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禁停网状线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清洗旧标线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立杆杆件、预埋件、基础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施工集成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1"/>
        <w:ind w:left="543"/>
        <w:jc w:val="lef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650"/>
        <w:spacing w:line="400" w:lineRule="atLeast"/>
        <w:rPr>
          <w:rFonts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日</w:t>
      </w:r>
      <w:r/>
    </w:p>
    <w:p>
      <w:pPr>
        <w:ind w:firstLine="3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w:t>
      </w:r>
      <w:r>
        <w:rPr>
          <w:rFonts w:hint="eastAsia" w:ascii="仿宋" w:hAnsi="仿宋" w:eastAsia="仿宋" w:cs="仿宋"/>
          <w:color w:val="auto"/>
          <w:sz w:val="24"/>
          <w:highlight w:val="none"/>
          <w:lang w:eastAsia="zh-CN"/>
        </w:rPr>
        <w:t xml:space="preserve">接受</w:t>
      </w:r>
      <w:r>
        <w:rPr>
          <w:rFonts w:hint="eastAsia" w:ascii="仿宋" w:hAnsi="仿宋" w:eastAsia="仿宋" w:cs="仿宋"/>
          <w:color w:val="auto"/>
          <w:sz w:val="24"/>
          <w:highlight w:val="none"/>
        </w:rPr>
        <w:t xml:space="preserve">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br w:type="page" w:clear="all"/>
      </w:r>
      <w:bookmarkStart w:id="160" w:name="_Toc158133337"/>
      <w:r/>
      <w:bookmarkStart w:id="161" w:name="_Toc158125008"/>
      <w:r/>
      <w:bookmarkStart w:id="162" w:name="_Toc158281568"/>
      <w:r/>
      <w:bookmarkStart w:id="163" w:name="_Toc18617"/>
      <w:r/>
      <w:r/>
    </w:p>
    <w:p>
      <w:pPr>
        <w:jc w:val="center"/>
        <w:spacing w:line="360" w:lineRule="auto"/>
        <w:rPr>
          <w:rFonts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残疾人福利性单位声明函</w:t>
      </w:r>
      <w:bookmarkEnd w:id="160"/>
      <w:r/>
      <w:bookmarkEnd w:id="161"/>
      <w:r/>
      <w:bookmarkEnd w:id="162"/>
      <w:r/>
      <w:bookmarkEnd w:id="163"/>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highlight w:val="none"/>
          <w:u w:val="single"/>
        </w:rPr>
        <w:t xml:space="preserve">项目编号为：        </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u w:val="single"/>
        </w:rPr>
        <w:t xml:space="preserve">（项目名称：    ）</w:t>
      </w:r>
      <w:r>
        <w:rPr>
          <w:rFonts w:hint="eastAsia" w:ascii="仿宋" w:hAnsi="仿宋" w:eastAsia="仿宋" w:cs="仿宋"/>
          <w:color w:val="auto"/>
          <w:sz w:val="24"/>
          <w:highlight w:val="none"/>
          <w:u w:val="single"/>
        </w:rPr>
        <w:t xml:space="preserve">（采购包号：    ）</w:t>
      </w:r>
      <w:r>
        <w:rPr>
          <w:rFonts w:hint="eastAsia" w:ascii="仿宋" w:hAnsi="仿宋" w:eastAsia="仿宋" w:cs="仿宋"/>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 非专门面向中小微型企业采购的项目，供应商如不提供此声明函，价格将不做相应扣除。</w:t>
      </w:r>
      <w:r/>
    </w:p>
    <w:p>
      <w:pPr>
        <w:ind w:firstLine="624"/>
        <w:spacing w:line="360" w:lineRule="auto"/>
        <w:rPr>
          <w:rFonts w:ascii="仿宋" w:hAnsi="仿宋" w:eastAsia="仿宋" w:cs="仿宋"/>
          <w:color w:val="auto"/>
          <w:spacing w:val="6"/>
          <w:sz w:val="30"/>
          <w:szCs w:val="30"/>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pStyle w:val="1179"/>
        <w:spacing w:line="360" w:lineRule="auto"/>
        <w:rPr>
          <w:rFonts w:ascii="仿宋" w:hAnsi="仿宋" w:eastAsia="仿宋" w:cs="仿宋"/>
          <w:color w:val="auto"/>
          <w:highlight w:val="none"/>
        </w:rPr>
      </w:pPr>
      <w:r>
        <w:rPr>
          <w:rFonts w:ascii="仿宋" w:hAnsi="仿宋" w:eastAsia="仿宋" w:cs="仿宋"/>
          <w:color w:val="auto"/>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年___月___日</w:t>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pStyle w:val="105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440" w:lineRule="exact"/>
        <w:rPr>
          <w:rFonts w:asci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auto"/>
          <w:sz w:val="24"/>
          <w:highlight w:val="none"/>
        </w:rPr>
      </w:r>
      <w:r/>
    </w:p>
    <w:p>
      <w:pPr>
        <w:jc w:val="left"/>
        <w:spacing w:line="440" w:lineRule="exact"/>
        <w:rPr>
          <w:rFonts w:ascii="宋体" w:cs="宋体"/>
          <w:b/>
          <w:color w:val="auto"/>
          <w:sz w:val="24"/>
          <w:highlight w:val="none"/>
        </w:rPr>
        <w:outlineLvl w:val="1"/>
      </w:pPr>
      <w:r>
        <w:rPr>
          <w:rFonts w:hint="eastAsia" w:ascii="宋体" w:cs="宋体"/>
          <w:b/>
          <w:color w:val="auto"/>
          <w:sz w:val="24"/>
          <w:highlight w:val="none"/>
        </w:rPr>
        <w:t xml:space="preserve">八、响应及偏离表</w:t>
      </w:r>
      <w:r/>
    </w:p>
    <w:p>
      <w:pPr>
        <w:ind w:firstLine="1446"/>
        <w:rPr>
          <w:rFonts w:asci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rPr>
        <w:t xml:space="preserve">实质性要求响应及偏离表（采购包号：）</w:t>
      </w:r>
      <w:r/>
    </w:p>
    <w:tbl>
      <w:tblPr>
        <w:tblStyle w:val="70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1.投标人必须对技术要求和商务要求中的实质性要求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rPr>
          <w:rFonts w:hint="eastAsia" w:asci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3.投标人未对实质性要求逐条作出明确响应的，或未按招标文件要求提供证明材料的，该采购包作无效标处理。</w:t>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技术要求响应及偏离表（采购包号：）</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1.投标人需对技术要求（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宋体" w:cs="宋体"/>
          <w:color w:val="auto"/>
          <w:sz w:val="24"/>
          <w:highlight w:val="none"/>
        </w:rPr>
      </w:pPr>
      <w:r>
        <w:rPr>
          <w:rFonts w:hint="eastAsia" w:ascii="宋体" w:cs="宋体"/>
          <w:color w:val="auto"/>
          <w:sz w:val="24"/>
          <w:highlight w:val="none"/>
        </w:rPr>
        <w:t xml:space="preserve">2.如果招标文件要求提供证明材料，投标人需将证明材料列于该表之下。</w:t>
      </w:r>
      <w:r/>
    </w:p>
    <w:p>
      <w:pPr>
        <w:spacing w:line="400" w:lineRule="exact"/>
        <w:rPr>
          <w:rFonts w:ascii="宋体" w:cs="宋体"/>
          <w:color w:val="auto"/>
          <w:sz w:val="24"/>
          <w:highlight w:val="none"/>
        </w:rPr>
      </w:pPr>
      <w:r>
        <w:rPr>
          <w:rFonts w:ascii="宋体" w:cs="宋体"/>
          <w:color w:val="auto"/>
          <w:sz w:val="24"/>
          <w:highlight w:val="none"/>
        </w:rPr>
      </w:r>
      <w:r/>
    </w:p>
    <w:p>
      <w:pPr>
        <w:pStyle w:val="1069"/>
        <w:rPr>
          <w:rFonts w:ascii="宋体" w:eastAsia="宋体" w:cs="宋体"/>
          <w:color w:val="auto"/>
          <w:highlight w:val="none"/>
        </w:rPr>
      </w:pPr>
      <w:r>
        <w:rPr>
          <w:rFonts w:ascii="宋体" w:eastAsia="宋体" w:cs="宋体"/>
          <w:color w:val="auto"/>
          <w:highlight w:val="none"/>
        </w:rPr>
      </w:r>
      <w:r/>
    </w:p>
    <w:p>
      <w:pPr>
        <w:jc w:val="left"/>
        <w:spacing w:line="360" w:lineRule="auto"/>
        <w:rPr>
          <w:rFonts w:ascii="宋体" w:cs="宋体"/>
          <w:b/>
          <w:color w:val="auto"/>
          <w:sz w:val="32"/>
          <w:highlight w:val="none"/>
        </w:rPr>
      </w:pPr>
      <w:r>
        <w:rPr>
          <w:rFonts w:ascii="宋体" w:cs="宋体"/>
          <w:b/>
          <w:color w:val="auto"/>
          <w:sz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商务要求响应及偏离表（采购包号：    ）</w:t>
      </w:r>
      <w:r/>
    </w:p>
    <w:tbl>
      <w:tblPr>
        <w:tblStyle w:val="70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1.投标人需对商务要求（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Times New Roman" w:hAnsi="Times New Roman"/>
          <w:color w:val="auto"/>
          <w:sz w:val="24"/>
          <w:szCs w:val="21"/>
          <w:highlight w:val="none"/>
        </w:rPr>
      </w:pPr>
      <w:r>
        <w:rPr>
          <w:rFonts w:hint="eastAsia" w:ascii="宋体" w:cs="宋体"/>
          <w:color w:val="auto"/>
          <w:sz w:val="24"/>
          <w:highlight w:val="none"/>
        </w:rPr>
        <w:t xml:space="preserve">2.如果招标文件要求提供证明材料，投标人需将证明材料列于该表之下。</w:t>
      </w:r>
      <w:r/>
    </w:p>
    <w:p>
      <w:pPr>
        <w:rPr>
          <w:rFonts w:ascii="宋体" w:hAnsi="宋体" w:cs="宋体"/>
          <w:color w:val="auto"/>
          <w:highlight w:val="none"/>
        </w:rPr>
      </w:pPr>
      <w:r>
        <w:rPr>
          <w:rFonts w:hint="eastAsia" w:ascii="宋体" w:hAnsi="宋体" w:cs="宋体"/>
          <w:bCs/>
          <w:color w:val="auto"/>
          <w:highlight w:val="none"/>
        </w:rPr>
        <w:br w:type="page" w:clear="all"/>
      </w:r>
      <w:r/>
    </w:p>
    <w:p>
      <w:pPr>
        <w:pStyle w:val="760"/>
        <w:rPr>
          <w:rFonts w:ascii="宋体" w:hAnsi="宋体" w:eastAsia="宋体" w:cs="宋体"/>
          <w:color w:val="auto"/>
          <w:highlight w:val="none"/>
        </w:rPr>
      </w:pPr>
      <w:r/>
      <w:bookmarkStart w:id="164" w:name="_Toc15871"/>
      <w:r/>
      <w:bookmarkStart w:id="165" w:name="_Toc25337"/>
      <w:r>
        <w:rPr>
          <w:rFonts w:hint="eastAsia" w:ascii="宋体" w:hAnsi="宋体" w:eastAsia="宋体" w:cs="宋体"/>
          <w:bCs/>
          <w:color w:val="auto"/>
          <w:highlight w:val="none"/>
        </w:rPr>
        <w:t xml:space="preserve">九、项目组人员</w:t>
      </w:r>
      <w:r/>
    </w:p>
    <w:tbl>
      <w:tblPr>
        <w:tblStyle w:val="70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39"/>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39"/>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39"/>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39"/>
              <w:ind w:firstLine="280"/>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39"/>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39"/>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198"/>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39"/>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注：如投标人中标，项目组成员按本表承诺人员操作，不得随意更换。按招标文件要求附相关人员证书。</w:t>
      </w:r>
      <w:bookmarkStart w:id="166" w:name="_格式2__法定代表人授权书"/>
      <w:r/>
      <w:bookmarkEnd w:id="166"/>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pStyle w:val="1069"/>
        <w:ind w:left="210"/>
        <w:rPr>
          <w:rFonts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十、企业业绩</w:t>
      </w:r>
      <w:bookmarkEnd w:id="164"/>
      <w:r/>
      <w:bookmarkEnd w:id="165"/>
      <w:r/>
      <w:r/>
    </w:p>
    <w:p>
      <w:pPr>
        <w:pStyle w:val="1077"/>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7"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月</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日以来承担</w:t>
      </w:r>
      <w:r/>
    </w:p>
    <w:p>
      <w:pPr>
        <w:pStyle w:val="1077"/>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7"/>
      <w:r/>
      <w:r/>
    </w:p>
    <w:tbl>
      <w:tblPr>
        <w:tblStyle w:val="70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7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07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07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07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7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077"/>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w:t>
      </w:r>
      <w:r>
        <w:rPr>
          <w:rFonts w:ascii="宋体" w:hAnsi="宋体"/>
          <w:bCs/>
          <w:color w:val="auto"/>
          <w:highlight w:val="none"/>
        </w:rPr>
        <w:br w:type="page" w:clear="all"/>
      </w:r>
      <w:bookmarkStart w:id="168" w:name="_Toc9275"/>
      <w:r/>
      <w:bookmarkStart w:id="169" w:name="_Toc26048"/>
      <w:r>
        <w:rPr>
          <w:rFonts w:hint="eastAsia" w:ascii="宋体" w:hAnsi="黑体" w:eastAsia="黑体" w:cs="黑体"/>
          <w:color w:val="auto"/>
          <w:sz w:val="32"/>
          <w:szCs w:val="32"/>
          <w:highlight w:val="none"/>
        </w:rPr>
        <w:t xml:space="preserve">十一、项目实施方案</w:t>
      </w:r>
      <w:r/>
    </w:p>
    <w:p>
      <w:pPr>
        <w:spacing w:line="480" w:lineRule="exact"/>
        <w:rPr>
          <w:color w:val="auto"/>
          <w:sz w:val="24"/>
          <w:szCs w:val="24"/>
          <w:highlight w:val="none"/>
        </w:rPr>
        <w:outlineLvl w:val="1"/>
      </w:pPr>
      <w:r>
        <w:rPr>
          <w:rFonts w:hint="eastAsia"/>
          <w:color w:val="auto"/>
          <w:sz w:val="24"/>
          <w:szCs w:val="24"/>
          <w:highlight w:val="none"/>
        </w:rPr>
        <w:t xml:space="preserve">根据评分办法自行编制</w:t>
      </w:r>
      <w:r/>
    </w:p>
    <w:p>
      <w:pPr>
        <w:spacing w:line="480" w:lineRule="exact"/>
        <w:rPr>
          <w:color w:val="auto"/>
          <w:sz w:val="24"/>
          <w:szCs w:val="24"/>
          <w:highlight w:val="none"/>
        </w:rPr>
        <w:outlineLvl w:val="1"/>
      </w:pPr>
      <w:r>
        <w:rPr>
          <w:color w:val="auto"/>
          <w:sz w:val="24"/>
          <w:szCs w:val="24"/>
          <w:highlight w:val="none"/>
        </w:rPr>
      </w:r>
      <w:r/>
    </w:p>
    <w:p>
      <w:pPr>
        <w:spacing w:line="480" w:lineRule="exact"/>
        <w:rPr>
          <w:color w:val="auto"/>
          <w:sz w:val="24"/>
          <w:szCs w:val="24"/>
          <w:highlight w:val="none"/>
        </w:rPr>
        <w:outlineLvl w:val="1"/>
      </w:pPr>
      <w:r>
        <w:rPr>
          <w:color w:val="auto"/>
          <w:sz w:val="24"/>
          <w:szCs w:val="24"/>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十二、设备安装方案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十三、售后服务方案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cs="宋体"/>
          <w:b/>
          <w:color w:val="auto"/>
          <w:sz w:val="24"/>
          <w:szCs w:val="24"/>
          <w:highlight w:val="none"/>
        </w:rPr>
        <w:outlineLvl w:val="1"/>
      </w:pPr>
      <w:r>
        <w:rPr>
          <w:rFonts w:hint="eastAsia" w:ascii="宋体" w:cs="宋体"/>
          <w:b/>
          <w:color w:val="auto"/>
          <w:sz w:val="24"/>
          <w:szCs w:val="24"/>
          <w:highlight w:val="none"/>
        </w:rPr>
        <w:t xml:space="preserve">十四、关于符合本国产品标准的声明函（采购包号：**）</w:t>
      </w:r>
      <w:r/>
    </w:p>
    <w:p>
      <w:pPr>
        <w:spacing w:line="480" w:lineRule="exact"/>
        <w:rPr>
          <w:rFonts w:ascii="宋体" w:hAnsi="宋体" w:eastAsia="黑体" w:cs="黑体"/>
          <w:color w:val="auto"/>
          <w:sz w:val="32"/>
          <w:szCs w:val="32"/>
          <w:highlight w:val="none"/>
        </w:rPr>
      </w:pPr>
      <w:r>
        <w:rPr>
          <w:rFonts w:ascii="宋体" w:hAnsi="宋体" w:eastAsia="黑体" w:cs="黑体"/>
          <w:color w:val="auto"/>
          <w:sz w:val="32"/>
          <w:szCs w:val="32"/>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jc w:val="left"/>
        <w:spacing w:line="480" w:lineRule="exact"/>
        <w:widowControl/>
        <w:rPr>
          <w:rFonts w:ascii="宋体" w:cs="宋体"/>
          <w:color w:val="auto"/>
          <w:sz w:val="24"/>
          <w:szCs w:val="24"/>
          <w:highlight w:val="none"/>
          <w:shd w:val="clear" w:color="auto" w:fill="ffffff"/>
        </w:rPr>
      </w:pPr>
      <w:r>
        <w:rPr>
          <w:rStyle w:val="1215"/>
          <w:rFonts w:hint="eastAsia" w:ascii="宋体" w:cs="宋体"/>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，生产厂为</w:t>
      </w:r>
      <w:r>
        <w:rPr>
          <w:rStyle w:val="1215"/>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15"/>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Fonts w:hint="eastAsia" w:ascii="宋体" w:cs="宋体"/>
          <w:color w:val="auto"/>
          <w:sz w:val="24"/>
          <w:szCs w:val="24"/>
          <w:highlight w:val="none"/>
          <w:u w:val="single"/>
          <w:shd w:val="clear" w:color="auto" w:fill="ffffff"/>
        </w:rPr>
        <w:t xml:space="preserve"> </w:t>
      </w:r>
      <w:r>
        <w:rPr>
          <w:rStyle w:val="1215"/>
          <w:rFonts w:hint="eastAsia" w:ascii="宋体" w:cs="宋体"/>
          <w:strike/>
          <w:color w:val="auto"/>
          <w:sz w:val="24"/>
          <w:szCs w:val="24"/>
          <w:highlight w:val="none"/>
          <w:u w:val="single"/>
          <w:shd w:val="clear" w:color="auto" w:fill="ffffff"/>
        </w:rPr>
        <w:t xml:space="preserve">（产品名称1）</w:t>
      </w:r>
      <w:r>
        <w:rPr>
          <w:rStyle w:val="1215"/>
          <w:rFonts w:hint="eastAsia" w:ascii="宋体" w:cs="宋体"/>
          <w:color w:val="auto"/>
          <w:sz w:val="24"/>
          <w:szCs w:val="24"/>
          <w:highlight w:val="none"/>
          <w:u w:val="single"/>
          <w:shd w:val="clear" w:color="auto" w:fill="ffffff"/>
        </w:rPr>
        <w:t xml:space="preserve"> </w:t>
      </w:r>
      <w:r>
        <w:rPr>
          <w:rFonts w:hint="eastAsia" w:ascii="宋体" w:cs="宋体"/>
          <w:color w:val="auto"/>
          <w:sz w:val="24"/>
          <w:szCs w:val="24"/>
          <w:highlight w:val="none"/>
          <w:shd w:val="clear" w:color="auto" w:fill="ffffff"/>
        </w:rPr>
        <w:t xml:space="preserve">的中国境内生产的组件成本占比≥</w:t>
      </w:r>
      <w:r>
        <w:rPr>
          <w:rStyle w:val="1215"/>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15"/>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15"/>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15"/>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15"/>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w:t>
      </w:r>
      <w:r>
        <w:rPr>
          <w:rStyle w:val="1215"/>
          <w:rFonts w:hint="eastAsia" w:ascii="宋体" w:cs="宋体"/>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，生产厂为</w:t>
      </w:r>
      <w:r>
        <w:rPr>
          <w:rStyle w:val="1215"/>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15"/>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Style w:val="1215"/>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的中国境内生产的组件成本占比≥</w:t>
      </w:r>
      <w:r>
        <w:rPr>
          <w:rStyle w:val="1215"/>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15"/>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15"/>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15"/>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15"/>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cs="宋体"/>
          <w:color w:val="auto"/>
          <w:sz w:val="24"/>
          <w:szCs w:val="24"/>
          <w:highlight w:val="none"/>
        </w:rPr>
      </w:pPr>
      <w:r>
        <w:rPr>
          <w:rFonts w:ascii="宋体" w:cs="宋体"/>
          <w:color w:val="auto"/>
          <w:sz w:val="24"/>
          <w:szCs w:val="24"/>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公司（单位）名称（盖章）：　        </w:t>
      </w:r>
      <w:r/>
    </w:p>
    <w:p>
      <w:pPr>
        <w:ind w:firstLine="480"/>
        <w:jc w:val="center"/>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                                日期：　   年　  月　  日         </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1.产品如有型号，请在“产品名称”栏一并填写。</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2.生产厂名与厂址应与生产厂营业执照载明的相关信息保持一致。</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4.该产品的关键组件要求实施前，“关键组件”栏可不填，下同。</w:t>
      </w:r>
      <w:r/>
    </w:p>
    <w:p>
      <w:pPr>
        <w:ind w:firstLine="480"/>
        <w:jc w:val="left"/>
        <w:spacing w:line="480" w:lineRule="exact"/>
        <w:widowControl/>
        <w:rPr>
          <w:rFonts w:ascii="宋体" w:cs="宋体"/>
          <w:color w:val="auto"/>
          <w:sz w:val="24"/>
          <w:szCs w:val="24"/>
          <w:highlight w:val="none"/>
          <w:shd w:val="clear" w:color="auto" w:fill="ffffff"/>
        </w:rPr>
      </w:pPr>
      <w:r>
        <w:rPr>
          <w:rFonts w:hint="eastAsia" w:ascii="宋体" w:cs="宋体"/>
          <w:color w:val="auto"/>
          <w:sz w:val="24"/>
          <w:szCs w:val="24"/>
          <w:highlight w:val="none"/>
          <w:shd w:val="clear" w:color="auto" w:fill="ffffff"/>
        </w:rPr>
        <w:t xml:space="preserve">5.该产品的关键工序要求实施前，“关键工序”栏可不填，下同。</w:t>
      </w:r>
      <w:r/>
    </w:p>
    <w:p>
      <w:pPr>
        <w:pStyle w:val="856"/>
        <w:ind w:firstLine="480"/>
        <w:spacing w:line="440" w:lineRule="exact"/>
        <w:rPr>
          <w:rFonts w:ascii="宋体" w:eastAsia="宋体" w:cs="宋体"/>
          <w:b w:val="0"/>
          <w:color w:val="auto"/>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auto"/>
          <w:sz w:val="24"/>
          <w:highlight w:val="none"/>
          <w:shd w:val="clear" w:color="auto" w:fill="ffffff"/>
        </w:rPr>
        <w:t xml:space="preserve">6.用线划除的地方无需填写。</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十五、演示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演示要求</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上传视频演示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（1）投标人需按照招标文件规定的演示内容制作演示视频文件，视频文件的格式为</w:t>
      </w:r>
      <w:r>
        <w:rPr>
          <w:rFonts w:ascii="宋体" w:hAnsi="宋体" w:cs="宋体"/>
          <w:color w:val="auto"/>
          <w:sz w:val="22"/>
          <w:highlight w:val="none"/>
        </w:rPr>
        <w:t xml:space="preserve">*</w:t>
      </w:r>
      <w:r>
        <w:rPr>
          <w:rFonts w:hint="eastAsia" w:ascii="宋体" w:hAnsi="宋体" w:cs="宋体"/>
          <w:color w:val="auto"/>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（2）演示内容如下：</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③……</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十六、投标所需其他材料</w:t>
      </w:r>
      <w:bookmarkEnd w:id="168"/>
      <w:r/>
      <w:bookmarkEnd w:id="169"/>
      <w:r/>
      <w:r/>
    </w:p>
    <w:p>
      <w:pPr>
        <w:pStyle w:val="1081"/>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56"/>
        <w:jc w:val="center"/>
        <w:rPr>
          <w:rFonts w:ascii="仿宋" w:hAnsi="仿宋" w:eastAsia="仿宋" w:cs="仿宋"/>
          <w:bCs/>
          <w:color w:val="auto"/>
          <w:sz w:val="24"/>
          <w:highlight w:val="none"/>
        </w:rPr>
        <w:sectPr>
          <w:footnotePr/>
          <w:endnotePr/>
          <w:type w:val="nextPage"/>
          <w:pgSz w:w="11906" w:h="16838" w:orient="portrait"/>
          <w:pgMar w:top="1440" w:right="1304" w:bottom="1440" w:left="1418" w:header="851" w:footer="992" w:gutter="0"/>
          <w:pgNumType w:start="1"/>
          <w:cols w:num="1" w:sep="0" w:space="1701" w:equalWidth="1"/>
          <w:docGrid w:linePitch="360"/>
        </w:sectPr>
        <w:outlineLvl w:val="1"/>
      </w:pPr>
      <w:r>
        <w:rPr>
          <w:rFonts w:ascii="仿宋" w:hAnsi="仿宋" w:eastAsia="仿宋" w:cs="仿宋"/>
          <w:bCs/>
          <w:color w:val="auto"/>
          <w:sz w:val="24"/>
          <w:highlight w:val="none"/>
        </w:rPr>
      </w:r>
      <w:r/>
    </w:p>
    <w:p>
      <w:pPr>
        <w:pStyle w:val="856"/>
        <w:jc w:val="center"/>
        <w:rPr>
          <w:rFonts w:ascii="仿宋" w:hAnsi="仿宋" w:eastAsia="仿宋" w:cs="仿宋"/>
          <w:bCs/>
          <w:color w:val="auto"/>
          <w:sz w:val="24"/>
          <w:highlight w:val="none"/>
        </w:rPr>
        <w:outlineLvl w:val="1"/>
      </w:pPr>
      <w:r>
        <w:rPr>
          <w:rFonts w:hint="eastAsia" w:ascii="仿宋" w:hAnsi="仿宋" w:eastAsia="仿宋" w:cs="仿宋"/>
          <w:bCs/>
          <w:color w:val="auto"/>
          <w:sz w:val="24"/>
          <w:highlight w:val="none"/>
        </w:rPr>
        <w:t xml:space="preserve">分包意向协议书</w:t>
      </w:r>
      <w:r/>
    </w:p>
    <w:p>
      <w:pPr>
        <w:pStyle w:val="1157"/>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立约方：</w:t>
      </w:r>
      <w:r>
        <w:rPr>
          <w:rFonts w:ascii="仿宋" w:hAnsi="仿宋" w:eastAsia="仿宋" w:cs="仿宋"/>
          <w:color w:val="auto"/>
          <w:sz w:val="24"/>
          <w:szCs w:val="24"/>
          <w:highlight w:val="none"/>
          <w:u w:val="single"/>
        </w:rPr>
        <w:t xml:space="preserve">（甲公司全称）</w:t>
      </w:r>
      <w:r/>
    </w:p>
    <w:p>
      <w:pPr>
        <w:pStyle w:val="1157"/>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（乙公司全称）</w:t>
      </w:r>
      <w:r/>
    </w:p>
    <w:p>
      <w:pPr>
        <w:pStyle w:val="1157"/>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（……公司全称）</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（甲公司全称）、（乙公司全称）、（……公司全称）</w:t>
      </w:r>
      <w:r>
        <w:rPr>
          <w:rFonts w:ascii="仿宋" w:hAnsi="仿宋" w:eastAsia="仿宋" w:cs="仿宋"/>
          <w:color w:val="auto"/>
          <w:sz w:val="24"/>
          <w:szCs w:val="24"/>
          <w:highlight w:val="none"/>
        </w:rPr>
        <w:t xml:space="preserve">自愿达成分包意向，参加</w:t>
      </w:r>
      <w:r>
        <w:rPr>
          <w:rFonts w:ascii="仿宋" w:hAnsi="仿宋" w:eastAsia="仿宋" w:cs="仿宋"/>
          <w:color w:val="auto"/>
          <w:sz w:val="24"/>
          <w:szCs w:val="24"/>
          <w:highlight w:val="none"/>
          <w:u w:val="single"/>
        </w:rPr>
        <w:t xml:space="preserve">（采购项目名称：）（采购项目编号：）（分包号：）</w:t>
      </w:r>
      <w:r>
        <w:rPr>
          <w:rFonts w:ascii="仿宋" w:hAnsi="仿宋" w:eastAsia="仿宋" w:cs="仿宋"/>
          <w:color w:val="auto"/>
          <w:sz w:val="24"/>
          <w:szCs w:val="24"/>
          <w:highlight w:val="none"/>
        </w:rPr>
        <w:t xml:space="preserve">的响应活动。经各方充分协商一致，就项目的响应和合同实施阶段的有关事务协商一致订立意向如下：</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一、分包意向各方关系</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（甲公司全称）为投标方、（乙公司全称）、（……公司全称）</w:t>
      </w:r>
      <w:r>
        <w:rPr>
          <w:rFonts w:ascii="仿宋" w:hAnsi="仿宋" w:eastAsia="仿宋" w:cs="仿宋"/>
          <w:color w:val="auto"/>
          <w:sz w:val="24"/>
          <w:szCs w:val="24"/>
          <w:highlight w:val="none"/>
        </w:rPr>
        <w:t xml:space="preserve">为分包意向供应商，</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二、有关事项约定如下：</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1.如中标，分包供应商分别与</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签订合同书，并就中标项目分包部分向采购人负责有连带的和各自的法律责任；</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1（公司全称）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 （具体分包内容）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3.分包意向供应商</w:t>
      </w:r>
      <w:r>
        <w:rPr>
          <w:rFonts w:ascii="仿宋" w:hAnsi="仿宋" w:eastAsia="仿宋" w:cs="仿宋"/>
          <w:color w:val="auto"/>
          <w:sz w:val="24"/>
          <w:szCs w:val="24"/>
          <w:highlight w:val="none"/>
          <w:u w:val="single"/>
        </w:rPr>
        <w:t xml:space="preserve">2（公司全称）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三、接受分包的企业与分包企业之间的关系：</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1.分包意向供应商</w:t>
      </w:r>
      <w:r>
        <w:rPr>
          <w:rFonts w:ascii="仿宋" w:hAnsi="仿宋" w:eastAsia="仿宋" w:cs="仿宋"/>
          <w:color w:val="auto"/>
          <w:sz w:val="24"/>
          <w:szCs w:val="24"/>
          <w:highlight w:val="none"/>
          <w:u w:val="single"/>
        </w:rPr>
        <w:t xml:space="preserve"> 1（公司全称）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 2（公司全称）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四、如因违约过失责任而导致采购人经济损失或被索赔时，</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同意无条件优先清偿采购人的一切债务和经济赔偿。</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五、如中标，分包意向供应商不得以任何理由提出终止本意向协议。</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六、本意向书在自签署之日起生效，有效期内有效，如获中标资格，有效期延续至合同履行完毕之日。</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七、本意向书正本一式</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份，随投标文件装订</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份，（甲公司全称）及各分包意向供应商各一份。</w:t>
      </w:r>
      <w:r/>
    </w:p>
    <w:p>
      <w:pPr>
        <w:pStyle w:val="1157"/>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甲公司全称：（盖章）</w:t>
      </w:r>
      <w:r/>
    </w:p>
    <w:p>
      <w:pPr>
        <w:pStyle w:val="1157"/>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57"/>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w:t>
      </w:r>
      <w:r/>
    </w:p>
    <w:p>
      <w:pPr>
        <w:pStyle w:val="1157"/>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乙公司全称：（盖章）</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 </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年 月 日</w:t>
      </w:r>
      <w:r/>
    </w:p>
    <w:p>
      <w:pPr>
        <w:pStyle w:val="1157"/>
        <w:ind w:firstLine="400"/>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……公司全称（盖章）</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 </w:t>
      </w:r>
      <w:r/>
    </w:p>
    <w:p>
      <w:pPr>
        <w:pStyle w:val="1157"/>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pStyle w:val="1157"/>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注：</w:t>
      </w:r>
      <w:r/>
    </w:p>
    <w:p>
      <w:pPr>
        <w:pStyle w:val="1157"/>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1．各方成员应在本意向书上共同盖章确认。 </w:t>
      </w:r>
      <w:r/>
    </w:p>
    <w:p>
      <w:pPr>
        <w:ind w:firstLine="482"/>
        <w:rPr>
          <w:rFonts w:ascii="仿宋" w:hAnsi="仿宋" w:eastAsia="仿宋" w:cs="仿宋"/>
          <w:color w:val="auto"/>
          <w:sz w:val="24"/>
          <w:highlight w:val="none"/>
        </w:rPr>
      </w:pPr>
      <w:r>
        <w:rPr>
          <w:rFonts w:hint="eastAsia" w:ascii="仿宋" w:hAnsi="仿宋" w:eastAsia="仿宋" w:cs="仿宋"/>
          <w:b/>
          <w:bCs/>
          <w:color w:val="auto"/>
          <w:sz w:val="24"/>
          <w:szCs w:val="24"/>
          <w:highlight w:val="none"/>
        </w:rPr>
        <w:t xml:space="preserve">2.本意向书内容将作为签订合同的附件之一。</w:t>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4"/>
        <w:ind w:firstLine="0"/>
        <w:spacing w:line="440" w:lineRule="exact"/>
        <w:rPr>
          <w:rFonts w:ascii="仿宋" w:hAnsi="仿宋" w:eastAsia="仿宋" w:cs="仿宋"/>
          <w:color w:val="auto"/>
          <w:highlight w:val="none"/>
        </w:rPr>
      </w:pPr>
      <w:r/>
      <w:bookmarkStart w:id="170" w:name="_Hlt26609389"/>
      <w:r/>
      <w:bookmarkEnd w:id="170"/>
      <w:r/>
      <w:bookmarkStart w:id="171" w:name="_Hlt26955066"/>
      <w:r/>
      <w:bookmarkEnd w:id="171"/>
      <w:r/>
      <w:bookmarkStart w:id="172" w:name="_Toc462564146"/>
      <w:r/>
      <w:bookmarkEnd w:id="172"/>
      <w:r/>
      <w:bookmarkStart w:id="173" w:name="_Hlt26671374"/>
      <w:r/>
      <w:bookmarkEnd w:id="173"/>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24"/>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24"/>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16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4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next w:val="694"/>
    <w:uiPriority w:val="99"/>
    <w:qFormat/>
    <w:pPr>
      <w:ind w:firstLine="420"/>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Body Text"/>
    <w:basedOn w:val="694"/>
    <w:next w:val="707"/>
    <w:uiPriority w:val="0"/>
    <w:qFormat/>
    <w:rPr>
      <w:rFonts w:ascii="楷体_GB2312" w:hAnsi="Arial" w:eastAsia="楷体_GB2312"/>
      <w:sz w:val="28"/>
      <w:szCs w:val="28"/>
    </w:rPr>
  </w:style>
  <w:style w:type="paragraph" w:styleId="710">
    <w:name w:val="Body Text Indent"/>
    <w:basedOn w:val="694"/>
    <w:next w:val="694"/>
    <w:uiPriority w:val="0"/>
    <w:qFormat/>
    <w:pPr>
      <w:ind w:firstLine="645"/>
    </w:pPr>
    <w:rPr>
      <w:rFonts w:ascii="楷体_GB2312" w:eastAsia="楷体_GB2312"/>
      <w:sz w:val="32"/>
      <w:szCs w:val="32"/>
    </w:rPr>
  </w:style>
  <w:style w:type="paragraph" w:styleId="711">
    <w:name w:val="toc 5"/>
    <w:basedOn w:val="694"/>
    <w:next w:val="694"/>
    <w:uiPriority w:val="39"/>
    <w:unhideWhenUsed/>
    <w:qFormat/>
    <w:pPr>
      <w:ind w:left="1134"/>
      <w:spacing w:after="57"/>
    </w:pPr>
  </w:style>
  <w:style w:type="paragraph" w:styleId="712">
    <w:name w:val="toc 3"/>
    <w:basedOn w:val="694"/>
    <w:next w:val="694"/>
    <w:uiPriority w:val="39"/>
    <w:unhideWhenUsed/>
    <w:qFormat/>
    <w:pPr>
      <w:ind w:left="567"/>
      <w:spacing w:after="57"/>
    </w:pPr>
  </w:style>
  <w:style w:type="paragraph" w:styleId="713">
    <w:name w:val="toc 8"/>
    <w:basedOn w:val="694"/>
    <w:next w:val="694"/>
    <w:uiPriority w:val="39"/>
    <w:unhideWhenUsed/>
    <w:qFormat/>
    <w:pPr>
      <w:ind w:left="1984"/>
      <w:spacing w:after="57"/>
    </w:pPr>
  </w:style>
  <w:style w:type="paragraph" w:styleId="714">
    <w:name w:val="endnote text"/>
    <w:basedOn w:val="694"/>
    <w:uiPriority w:val="99"/>
    <w:semiHidden/>
    <w:unhideWhenUsed/>
    <w:qFormat/>
    <w:rPr>
      <w:sz w:val="20"/>
    </w:rPr>
  </w:style>
  <w:style w:type="paragraph" w:styleId="715">
    <w:name w:val="Footer"/>
    <w:basedOn w:val="694"/>
    <w:uiPriority w:val="99"/>
    <w:unhideWhenUsed/>
    <w:qFormat/>
    <w:pPr>
      <w:tabs>
        <w:tab w:val="center" w:pos="7143" w:leader="none"/>
        <w:tab w:val="right" w:pos="14287" w:leader="none"/>
      </w:tabs>
    </w:pPr>
  </w:style>
  <w:style w:type="paragraph" w:styleId="716">
    <w:name w:val="Header"/>
    <w:basedOn w:val="694"/>
    <w:uiPriority w:val="99"/>
    <w:unhideWhenUsed/>
    <w:qFormat/>
    <w:pPr>
      <w:tabs>
        <w:tab w:val="center" w:pos="7143" w:leader="none"/>
        <w:tab w:val="right" w:pos="14287" w:leader="none"/>
      </w:tabs>
    </w:pPr>
  </w:style>
  <w:style w:type="paragraph" w:styleId="717">
    <w:name w:val="toc 1"/>
    <w:basedOn w:val="694"/>
    <w:next w:val="694"/>
    <w:uiPriority w:val="39"/>
    <w:unhideWhenUsed/>
    <w:qFormat/>
    <w:pPr>
      <w:spacing w:after="57"/>
    </w:pPr>
  </w:style>
  <w:style w:type="paragraph" w:styleId="718">
    <w:name w:val="toc 4"/>
    <w:basedOn w:val="694"/>
    <w:next w:val="694"/>
    <w:uiPriority w:val="39"/>
    <w:unhideWhenUsed/>
    <w:qFormat/>
    <w:pPr>
      <w:ind w:left="850"/>
      <w:spacing w:after="57"/>
    </w:pPr>
  </w:style>
  <w:style w:type="paragraph" w:styleId="719">
    <w:name w:val="Subtitle"/>
    <w:basedOn w:val="694"/>
    <w:next w:val="694"/>
    <w:uiPriority w:val="11"/>
    <w:qFormat/>
    <w:pPr>
      <w:spacing w:before="200" w:after="200"/>
    </w:pPr>
    <w:rPr>
      <w:sz w:val="24"/>
      <w:szCs w:val="24"/>
    </w:rPr>
  </w:style>
  <w:style w:type="paragraph" w:styleId="720">
    <w:name w:val="footnote text"/>
    <w:basedOn w:val="694"/>
    <w:uiPriority w:val="99"/>
    <w:semiHidden/>
    <w:unhideWhenUsed/>
    <w:qFormat/>
    <w:pPr>
      <w:spacing w:after="40"/>
    </w:pPr>
    <w:rPr>
      <w:sz w:val="18"/>
    </w:rPr>
  </w:style>
  <w:style w:type="paragraph" w:styleId="721">
    <w:name w:val="toc 6"/>
    <w:basedOn w:val="694"/>
    <w:next w:val="694"/>
    <w:uiPriority w:val="39"/>
    <w:unhideWhenUsed/>
    <w:qFormat/>
    <w:pPr>
      <w:ind w:left="1417"/>
      <w:spacing w:after="57"/>
    </w:pPr>
  </w:style>
  <w:style w:type="paragraph" w:styleId="722">
    <w:name w:val="table of figures"/>
    <w:basedOn w:val="694"/>
    <w:next w:val="694"/>
    <w:uiPriority w:val="99"/>
    <w:unhideWhenUsed/>
    <w:qFormat/>
  </w:style>
  <w:style w:type="paragraph" w:styleId="723">
    <w:name w:val="toc 2"/>
    <w:basedOn w:val="694"/>
    <w:next w:val="694"/>
    <w:uiPriority w:val="39"/>
    <w:unhideWhenUsed/>
    <w:qFormat/>
    <w:pPr>
      <w:ind w:left="283"/>
      <w:spacing w:after="57"/>
    </w:pPr>
  </w:style>
  <w:style w:type="paragraph" w:styleId="724">
    <w:name w:val="toc 9"/>
    <w:basedOn w:val="694"/>
    <w:next w:val="694"/>
    <w:uiPriority w:val="39"/>
    <w:unhideWhenUsed/>
    <w:qFormat/>
    <w:pPr>
      <w:ind w:left="2268"/>
      <w:spacing w:after="57"/>
    </w:pPr>
  </w:style>
  <w:style w:type="paragraph" w:styleId="725">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94"/>
    <w:next w:val="710"/>
    <w:uiPriority w:val="10"/>
    <w:qFormat/>
    <w:pPr>
      <w:contextualSpacing/>
      <w:spacing w:before="300" w:after="200"/>
    </w:pPr>
    <w:rPr>
      <w:sz w:val="48"/>
      <w:szCs w:val="48"/>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table" w:styleId="732"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paragraph" w:styleId="752" w:customStyle="1">
    <w:name w:val="正文文本11"/>
    <w:basedOn w:val="753"/>
    <w:next w:val="754"/>
    <w:uiPriority w:val="0"/>
    <w:qFormat/>
    <w:pPr>
      <w:spacing w:after="120"/>
    </w:pPr>
  </w:style>
  <w:style w:type="paragraph" w:styleId="753" w:customStyle="1">
    <w:name w:val="正文12"/>
    <w:next w:val="75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4" w:customStyle="1">
    <w:name w:val="正文缩进1"/>
    <w:basedOn w:val="694"/>
    <w:next w:val="694"/>
    <w:uiPriority w:val="0"/>
    <w:qFormat/>
    <w:pPr>
      <w:ind w:firstLine="420"/>
      <w:jc w:val="left"/>
    </w:pPr>
    <w:rPr>
      <w:rFonts w:ascii="宋体"/>
      <w:sz w:val="24"/>
    </w:rPr>
  </w:style>
  <w:style w:type="paragraph" w:styleId="755">
    <w:name w:val="List Paragraph"/>
    <w:basedOn w:val="694"/>
    <w:uiPriority w:val="34"/>
    <w:qFormat/>
    <w:pPr>
      <w:contextualSpacing/>
      <w:ind w:left="720"/>
    </w:pPr>
  </w:style>
  <w:style w:type="paragraph" w:styleId="756">
    <w:name w:val="No Spacing"/>
    <w:uiPriority w:val="1"/>
    <w:qFormat/>
    <w:rPr>
      <w:rFonts w:hint="default" w:ascii="Times New Roman" w:hAnsi="Times New Roman" w:eastAsia="宋体" w:cs="Times New Roman"/>
      <w:lang w:val="en-US" w:eastAsia="zh-CN" w:bidi="ar-SA"/>
    </w:rPr>
  </w:style>
  <w:style w:type="paragraph" w:styleId="757">
    <w:name w:val="Quote"/>
    <w:basedOn w:val="694"/>
    <w:next w:val="694"/>
    <w:uiPriority w:val="29"/>
    <w:qFormat/>
    <w:pPr>
      <w:ind w:left="720" w:right="720"/>
    </w:pPr>
    <w:rPr>
      <w:i/>
    </w:rPr>
  </w:style>
  <w:style w:type="paragraph" w:styleId="758">
    <w:name w:val="Intense Quote"/>
    <w:basedOn w:val="694"/>
    <w:next w:val="6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9" w:customStyle="1">
    <w:name w:val="标题 11"/>
    <w:basedOn w:val="694"/>
    <w:next w:val="694"/>
    <w:link w:val="778"/>
    <w:uiPriority w:val="0"/>
    <w:qFormat/>
    <w:pPr>
      <w:keepLines/>
      <w:keepNext/>
      <w:spacing w:before="480" w:after="200"/>
      <w:outlineLvl w:val="0"/>
    </w:pPr>
    <w:rPr>
      <w:rFonts w:ascii="Arial" w:hAnsi="Arial" w:eastAsia="Arial" w:cs="Arial"/>
      <w:sz w:val="40"/>
      <w:szCs w:val="40"/>
    </w:rPr>
  </w:style>
  <w:style w:type="paragraph" w:styleId="760" w:customStyle="1">
    <w:name w:val="标题 211"/>
    <w:basedOn w:val="694"/>
    <w:next w:val="761"/>
    <w:link w:val="779"/>
    <w:uiPriority w:val="0"/>
    <w:qFormat/>
    <w:pPr>
      <w:keepLines/>
      <w:keepNext/>
      <w:spacing w:before="260" w:after="260" w:line="413" w:lineRule="auto"/>
      <w:outlineLvl w:val="1"/>
    </w:pPr>
    <w:rPr>
      <w:rFonts w:ascii="Arial" w:hAnsi="Arial" w:eastAsia="黑体"/>
      <w:b/>
      <w:sz w:val="32"/>
      <w:szCs w:val="20"/>
    </w:rPr>
  </w:style>
  <w:style w:type="paragraph" w:styleId="761" w:customStyle="1">
    <w:name w:val="正文缩进11"/>
    <w:basedOn w:val="694"/>
    <w:next w:val="694"/>
    <w:link w:val="780"/>
    <w:uiPriority w:val="0"/>
    <w:qFormat/>
    <w:pPr>
      <w:ind w:firstLine="420"/>
    </w:pPr>
    <w:rPr>
      <w:rFonts w:ascii="宋体"/>
      <w:color w:val="000000"/>
      <w:sz w:val="24"/>
      <w:szCs w:val="20"/>
    </w:rPr>
  </w:style>
  <w:style w:type="paragraph" w:styleId="762" w:customStyle="1">
    <w:name w:val="标题 311"/>
    <w:basedOn w:val="763"/>
    <w:next w:val="764"/>
    <w:link w:val="781"/>
    <w:uiPriority w:val="0"/>
    <w:qFormat/>
    <w:pPr>
      <w:keepLines/>
      <w:keepNext/>
      <w:spacing w:before="320" w:after="200"/>
      <w:outlineLvl w:val="2"/>
    </w:pPr>
    <w:rPr>
      <w:rFonts w:ascii="Arial" w:hAnsi="Arial" w:eastAsia="Arial" w:cs="Arial"/>
      <w:sz w:val="30"/>
      <w:szCs w:val="30"/>
    </w:rPr>
  </w:style>
  <w:style w:type="paragraph" w:styleId="763" w:customStyle="1">
    <w:name w:val="Normal1"/>
    <w:next w:val="762"/>
    <w:uiPriority w:val="0"/>
    <w:qFormat/>
    <w:pPr>
      <w:jc w:val="both"/>
      <w:widowControl w:val="off"/>
    </w:pPr>
    <w:rPr>
      <w:rFonts w:hint="default" w:ascii="Calibri" w:hAnsi="Calibri" w:eastAsia="宋体" w:cs="Times New Roman"/>
      <w:sz w:val="21"/>
      <w:szCs w:val="22"/>
      <w:lang w:val="en-US" w:eastAsia="zh-CN" w:bidi="ar-SA"/>
    </w:rPr>
  </w:style>
  <w:style w:type="paragraph" w:styleId="764" w:customStyle="1">
    <w:name w:val="Normal_19"/>
    <w:next w:val="765"/>
    <w:uiPriority w:val="0"/>
    <w:qFormat/>
    <w:rPr>
      <w:rFonts w:hint="default" w:ascii="黑体" w:hAnsi="黑体" w:eastAsia="黑体" w:cs="黑体"/>
      <w:b/>
      <w:sz w:val="32"/>
      <w:szCs w:val="24"/>
      <w:lang w:val="en-US" w:eastAsia="zh-CN" w:bidi="ar-SA"/>
    </w:rPr>
  </w:style>
  <w:style w:type="paragraph" w:styleId="765" w:customStyle="1">
    <w:name w:val="正文1"/>
    <w:next w:val="766"/>
    <w:uiPriority w:val="0"/>
    <w:qFormat/>
    <w:rPr>
      <w:rFonts w:hint="default" w:ascii="Times New Roman" w:hAnsi="Times New Roman" w:eastAsia="Times New Roman" w:cs="Times New Roman"/>
      <w:sz w:val="24"/>
      <w:szCs w:val="24"/>
      <w:lang w:val="en-US" w:eastAsia="zh-CN" w:bidi="ar-SA"/>
    </w:rPr>
  </w:style>
  <w:style w:type="paragraph" w:styleId="766" w:customStyle="1">
    <w:name w:val="Body Text First Indent1"/>
    <w:basedOn w:val="767"/>
    <w:uiPriority w:val="99"/>
    <w:unhideWhenUsed/>
    <w:qFormat/>
    <w:pPr>
      <w:ind w:firstLine="420"/>
    </w:pPr>
  </w:style>
  <w:style w:type="paragraph" w:styleId="767" w:customStyle="1">
    <w:name w:val="Body Text1"/>
    <w:basedOn w:val="768"/>
    <w:uiPriority w:val="99"/>
    <w:unhideWhenUsed/>
    <w:qFormat/>
    <w:pPr>
      <w:spacing w:after="120"/>
    </w:pPr>
  </w:style>
  <w:style w:type="paragraph" w:styleId="768" w:customStyle="1">
    <w:name w:val="Normal11"/>
    <w:next w:val="766"/>
    <w:uiPriority w:val="0"/>
    <w:qFormat/>
    <w:pPr>
      <w:jc w:val="both"/>
      <w:widowControl w:val="off"/>
    </w:pPr>
    <w:rPr>
      <w:rFonts w:hint="default" w:ascii="Times New Roman" w:hAnsi="Times New Roman" w:eastAsia="宋体" w:cs="Times New Roman"/>
      <w:szCs w:val="21"/>
      <w:lang w:val="en-US" w:eastAsia="zh-CN" w:bidi="ar-SA"/>
    </w:rPr>
  </w:style>
  <w:style w:type="paragraph" w:styleId="769" w:customStyle="1">
    <w:name w:val="标题 411"/>
    <w:basedOn w:val="694"/>
    <w:next w:val="694"/>
    <w:link w:val="782"/>
    <w:uiPriority w:val="0"/>
    <w:qFormat/>
    <w:pPr>
      <w:jc w:val="center"/>
      <w:keepNext/>
      <w:outlineLvl w:val="3"/>
    </w:pPr>
    <w:rPr>
      <w:rFonts w:eastAsia="新宋体"/>
      <w:sz w:val="30"/>
      <w:szCs w:val="21"/>
    </w:rPr>
  </w:style>
  <w:style w:type="paragraph" w:styleId="770" w:customStyle="1">
    <w:name w:val="标题 51"/>
    <w:basedOn w:val="694"/>
    <w:next w:val="694"/>
    <w:link w:val="783"/>
    <w:uiPriority w:val="0"/>
    <w:qFormat/>
    <w:pPr>
      <w:keepLines/>
      <w:keepNext/>
      <w:spacing w:before="320" w:after="200"/>
      <w:outlineLvl w:val="4"/>
    </w:pPr>
    <w:rPr>
      <w:rFonts w:ascii="Arial" w:hAnsi="Arial" w:eastAsia="Arial" w:cs="Arial"/>
      <w:b/>
      <w:bCs/>
      <w:sz w:val="24"/>
      <w:szCs w:val="24"/>
    </w:rPr>
  </w:style>
  <w:style w:type="paragraph" w:styleId="771" w:customStyle="1">
    <w:name w:val="标题 61"/>
    <w:basedOn w:val="694"/>
    <w:next w:val="694"/>
    <w:link w:val="784"/>
    <w:uiPriority w:val="0"/>
    <w:qFormat/>
    <w:pPr>
      <w:keepLines/>
      <w:keepNext/>
      <w:spacing w:before="320" w:after="200"/>
      <w:outlineLvl w:val="5"/>
    </w:pPr>
    <w:rPr>
      <w:rFonts w:ascii="Arial" w:hAnsi="Arial" w:eastAsia="Arial" w:cs="Arial"/>
      <w:b/>
      <w:bCs/>
      <w:sz w:val="22"/>
    </w:rPr>
  </w:style>
  <w:style w:type="paragraph" w:styleId="772" w:customStyle="1">
    <w:name w:val="标题 71"/>
    <w:basedOn w:val="694"/>
    <w:next w:val="694"/>
    <w:link w:val="785"/>
    <w:uiPriority w:val="0"/>
    <w:qFormat/>
    <w:pPr>
      <w:keepLines/>
      <w:keepNext/>
      <w:spacing w:before="320" w:after="200"/>
      <w:outlineLvl w:val="6"/>
    </w:pPr>
    <w:rPr>
      <w:rFonts w:ascii="Arial" w:hAnsi="Arial" w:eastAsia="Arial" w:cs="Arial"/>
      <w:b/>
      <w:bCs/>
      <w:i/>
      <w:iCs/>
      <w:sz w:val="22"/>
    </w:rPr>
  </w:style>
  <w:style w:type="paragraph" w:styleId="773" w:customStyle="1">
    <w:name w:val="标题 81"/>
    <w:basedOn w:val="694"/>
    <w:next w:val="694"/>
    <w:link w:val="786"/>
    <w:uiPriority w:val="0"/>
    <w:qFormat/>
    <w:pPr>
      <w:keepLines/>
      <w:keepNext/>
      <w:spacing w:before="320" w:after="200"/>
      <w:outlineLvl w:val="7"/>
    </w:pPr>
    <w:rPr>
      <w:rFonts w:ascii="Arial" w:hAnsi="Arial" w:eastAsia="Arial" w:cs="Arial"/>
      <w:i/>
      <w:iCs/>
      <w:sz w:val="22"/>
    </w:rPr>
  </w:style>
  <w:style w:type="paragraph" w:styleId="774" w:customStyle="1">
    <w:name w:val="标题 91"/>
    <w:basedOn w:val="694"/>
    <w:next w:val="694"/>
    <w:link w:val="787"/>
    <w:uiPriority w:val="0"/>
    <w:qFormat/>
    <w:pPr>
      <w:keepLines/>
      <w:keepNext/>
      <w:spacing w:before="320" w:after="200"/>
      <w:outlineLvl w:val="8"/>
    </w:pPr>
    <w:rPr>
      <w:rFonts w:ascii="Arial" w:hAnsi="Arial" w:eastAsia="Arial" w:cs="Arial"/>
      <w:i/>
      <w:iCs/>
      <w:szCs w:val="21"/>
    </w:rPr>
  </w:style>
  <w:style w:type="character" w:styleId="775" w:customStyle="1">
    <w:name w:val="默认段落字体11"/>
    <w:uiPriority w:val="1"/>
    <w:unhideWhenUsed/>
    <w:qFormat/>
  </w:style>
  <w:style w:type="table" w:styleId="776" w:customStyle="1">
    <w:name w:val="普通表格1"/>
    <w:uiPriority w:val="99"/>
    <w:unhideWhenUsed/>
    <w:qFormat/>
    <w:tblPr>
      <w:tblCellMar>
        <w:left w:w="0" w:type="dxa"/>
        <w:top w:w="0" w:type="dxa"/>
        <w:right w:w="0" w:type="dxa"/>
        <w:bottom w:w="0" w:type="dxa"/>
      </w:tblCellMar>
    </w:tblPr>
  </w:style>
  <w:style w:type="character" w:styleId="777" w:customStyle="1">
    <w:name w:val="页码1"/>
    <w:uiPriority w:val="0"/>
    <w:qFormat/>
    <w:rPr>
      <w:rFonts w:ascii="Calibri" w:hAnsi="Calibri"/>
      <w:sz w:val="21"/>
      <w:szCs w:val="22"/>
      <w:lang w:val="en-US" w:eastAsia="zh-CN" w:bidi="ar-SA"/>
    </w:rPr>
  </w:style>
  <w:style w:type="character" w:styleId="778" w:customStyle="1">
    <w:name w:val="标题 1 字符"/>
    <w:link w:val="759"/>
    <w:uiPriority w:val="0"/>
    <w:qFormat/>
    <w:rPr>
      <w:rFonts w:ascii="Arial" w:hAnsi="Arial" w:eastAsia="Arial" w:cs="Arial"/>
      <w:sz w:val="40"/>
      <w:szCs w:val="40"/>
    </w:rPr>
  </w:style>
  <w:style w:type="character" w:styleId="779" w:customStyle="1">
    <w:name w:val="标题 2 字符"/>
    <w:link w:val="760"/>
    <w:uiPriority w:val="0"/>
    <w:qFormat/>
    <w:rPr>
      <w:rFonts w:ascii="Arial" w:hAnsi="Arial" w:eastAsia="Arial" w:cs="Arial"/>
      <w:sz w:val="34"/>
    </w:rPr>
  </w:style>
  <w:style w:type="character" w:styleId="780" w:customStyle="1">
    <w:name w:val="正文缩进 字符"/>
    <w:link w:val="761"/>
    <w:uiPriority w:val="0"/>
    <w:qFormat/>
    <w:rPr>
      <w:rFonts w:ascii="宋体" w:hAnsi="Calibri"/>
      <w:color w:val="000000"/>
      <w:sz w:val="24"/>
    </w:rPr>
  </w:style>
  <w:style w:type="character" w:styleId="781" w:customStyle="1">
    <w:name w:val="标题 3 字符"/>
    <w:link w:val="762"/>
    <w:uiPriority w:val="0"/>
    <w:qFormat/>
    <w:rPr>
      <w:rFonts w:ascii="Arial" w:hAnsi="Arial" w:eastAsia="Arial" w:cs="Arial"/>
      <w:sz w:val="30"/>
      <w:szCs w:val="30"/>
    </w:rPr>
  </w:style>
  <w:style w:type="character" w:styleId="782" w:customStyle="1">
    <w:name w:val="标题 4 字符"/>
    <w:link w:val="769"/>
    <w:uiPriority w:val="0"/>
    <w:qFormat/>
    <w:rPr>
      <w:rFonts w:ascii="Arial" w:hAnsi="Arial" w:eastAsia="Arial" w:cs="Arial"/>
      <w:b/>
      <w:bCs/>
      <w:sz w:val="26"/>
      <w:szCs w:val="26"/>
    </w:rPr>
  </w:style>
  <w:style w:type="character" w:styleId="783" w:customStyle="1">
    <w:name w:val="标题 5 字符"/>
    <w:link w:val="770"/>
    <w:uiPriority w:val="0"/>
    <w:qFormat/>
    <w:rPr>
      <w:rFonts w:ascii="Arial" w:hAnsi="Arial" w:eastAsia="Arial" w:cs="Arial"/>
      <w:b/>
      <w:bCs/>
      <w:sz w:val="24"/>
      <w:szCs w:val="24"/>
    </w:rPr>
  </w:style>
  <w:style w:type="character" w:styleId="784" w:customStyle="1">
    <w:name w:val="标题 6 字符"/>
    <w:link w:val="771"/>
    <w:uiPriority w:val="0"/>
    <w:qFormat/>
    <w:rPr>
      <w:rFonts w:ascii="Arial" w:hAnsi="Arial" w:eastAsia="Arial" w:cs="Arial"/>
      <w:b/>
      <w:bCs/>
      <w:sz w:val="22"/>
      <w:szCs w:val="22"/>
    </w:rPr>
  </w:style>
  <w:style w:type="character" w:styleId="785" w:customStyle="1">
    <w:name w:val="标题 7 字符"/>
    <w:link w:val="772"/>
    <w:uiPriority w:val="0"/>
    <w:qFormat/>
    <w:rPr>
      <w:rFonts w:ascii="Arial" w:hAnsi="Arial" w:eastAsia="Arial" w:cs="Arial"/>
      <w:b/>
      <w:bCs/>
      <w:i/>
      <w:iCs/>
      <w:sz w:val="22"/>
      <w:szCs w:val="22"/>
    </w:rPr>
  </w:style>
  <w:style w:type="character" w:styleId="786" w:customStyle="1">
    <w:name w:val="标题 8 字符"/>
    <w:link w:val="773"/>
    <w:uiPriority w:val="0"/>
    <w:qFormat/>
    <w:rPr>
      <w:rFonts w:ascii="Arial" w:hAnsi="Arial" w:eastAsia="Arial" w:cs="Arial"/>
      <w:i/>
      <w:iCs/>
      <w:sz w:val="22"/>
      <w:szCs w:val="22"/>
    </w:rPr>
  </w:style>
  <w:style w:type="character" w:styleId="787" w:customStyle="1">
    <w:name w:val="标题 9 字符"/>
    <w:link w:val="774"/>
    <w:uiPriority w:val="0"/>
    <w:qFormat/>
    <w:rPr>
      <w:rFonts w:ascii="Arial" w:hAnsi="Arial" w:eastAsia="Arial" w:cs="Arial"/>
      <w:i/>
      <w:iCs/>
      <w:sz w:val="21"/>
      <w:szCs w:val="21"/>
    </w:rPr>
  </w:style>
  <w:style w:type="paragraph" w:styleId="788" w:customStyle="1">
    <w:name w:val="列表 31"/>
    <w:basedOn w:val="694"/>
    <w:uiPriority w:val="0"/>
    <w:qFormat/>
    <w:pPr>
      <w:ind w:left="100" w:hanging="200"/>
    </w:pPr>
    <w:rPr>
      <w:rFonts w:ascii="Times New Roman" w:hAnsi="Times New Roman"/>
      <w:szCs w:val="21"/>
    </w:rPr>
  </w:style>
  <w:style w:type="paragraph" w:styleId="789" w:customStyle="1">
    <w:name w:val="目录 71"/>
    <w:basedOn w:val="694"/>
    <w:next w:val="694"/>
    <w:uiPriority w:val="0"/>
    <w:unhideWhenUsed/>
    <w:qFormat/>
    <w:pPr>
      <w:ind w:left="1701"/>
      <w:spacing w:after="57"/>
    </w:pPr>
  </w:style>
  <w:style w:type="paragraph" w:styleId="790" w:customStyle="1">
    <w:name w:val="题注1"/>
    <w:basedOn w:val="694"/>
    <w:next w:val="694"/>
    <w:uiPriority w:val="35"/>
    <w:qFormat/>
    <w:pPr>
      <w:spacing w:line="276" w:lineRule="auto"/>
    </w:pPr>
    <w:rPr>
      <w:b/>
      <w:bCs/>
      <w:color w:val="5b9bd5"/>
      <w:sz w:val="18"/>
      <w:szCs w:val="18"/>
    </w:rPr>
  </w:style>
  <w:style w:type="paragraph" w:styleId="791" w:customStyle="1">
    <w:name w:val="文档结构图1"/>
    <w:basedOn w:val="694"/>
    <w:link w:val="792"/>
    <w:uiPriority w:val="0"/>
    <w:semiHidden/>
    <w:qFormat/>
    <w:pPr>
      <w:shd w:val="clear" w:color="auto" w:fill="000080"/>
    </w:pPr>
    <w:rPr>
      <w:rFonts w:ascii="Times New Roman" w:hAnsi="Times New Roman"/>
      <w:szCs w:val="21"/>
    </w:rPr>
  </w:style>
  <w:style w:type="character" w:styleId="792" w:customStyle="1">
    <w:name w:val="文档结构图 字符"/>
    <w:link w:val="791"/>
    <w:uiPriority w:val="0"/>
    <w:semiHidden/>
    <w:qFormat/>
    <w:rPr>
      <w:sz w:val="21"/>
      <w:szCs w:val="21"/>
      <w:shd w:val="clear" w:color="auto" w:fill="000080"/>
    </w:rPr>
  </w:style>
  <w:style w:type="paragraph" w:styleId="793" w:customStyle="1">
    <w:name w:val="批注文字1"/>
    <w:basedOn w:val="694"/>
    <w:link w:val="794"/>
    <w:uiPriority w:val="0"/>
    <w:semiHidden/>
    <w:qFormat/>
    <w:pPr>
      <w:jc w:val="left"/>
    </w:pPr>
    <w:rPr>
      <w:rFonts w:ascii="Times New Roman" w:hAnsi="Times New Roman"/>
      <w:szCs w:val="21"/>
    </w:rPr>
  </w:style>
  <w:style w:type="character" w:styleId="794" w:customStyle="1">
    <w:name w:val="批注文字 字符"/>
    <w:link w:val="793"/>
    <w:uiPriority w:val="0"/>
    <w:semiHidden/>
    <w:qFormat/>
    <w:rPr>
      <w:sz w:val="21"/>
      <w:szCs w:val="21"/>
    </w:rPr>
  </w:style>
  <w:style w:type="paragraph" w:styleId="795" w:customStyle="1">
    <w:name w:val="正文文本 31"/>
    <w:basedOn w:val="694"/>
    <w:link w:val="796"/>
    <w:uiPriority w:val="0"/>
    <w:qFormat/>
    <w:rPr>
      <w:rFonts w:ascii="仿宋_GB2312" w:hAnsi="Arial" w:eastAsia="仿宋_GB2312"/>
      <w:sz w:val="32"/>
      <w:szCs w:val="32"/>
    </w:rPr>
  </w:style>
  <w:style w:type="character" w:styleId="796" w:customStyle="1">
    <w:name w:val="正文文本 3 字符"/>
    <w:link w:val="795"/>
    <w:uiPriority w:val="0"/>
    <w:qFormat/>
    <w:rPr>
      <w:rFonts w:ascii="仿宋_GB2312" w:hAnsi="Arial" w:eastAsia="仿宋_GB2312"/>
      <w:sz w:val="32"/>
      <w:szCs w:val="32"/>
    </w:rPr>
  </w:style>
  <w:style w:type="paragraph" w:styleId="797" w:customStyle="1">
    <w:name w:val="正文文本111"/>
    <w:basedOn w:val="694"/>
    <w:uiPriority w:val="0"/>
    <w:semiHidden/>
    <w:qFormat/>
    <w:rPr>
      <w:rFonts w:ascii="仿宋" w:hAnsi="仿宋" w:eastAsia="仿宋" w:cs="仿宋"/>
      <w:sz w:val="32"/>
      <w:szCs w:val="32"/>
      <w:lang w:eastAsia="en-US"/>
    </w:rPr>
  </w:style>
  <w:style w:type="paragraph" w:styleId="798" w:customStyle="1">
    <w:name w:val="正文文本缩进111"/>
    <w:basedOn w:val="694"/>
    <w:link w:val="799"/>
    <w:uiPriority w:val="0"/>
    <w:qFormat/>
    <w:pPr>
      <w:ind w:firstLine="225"/>
    </w:pPr>
    <w:rPr>
      <w:rFonts w:ascii="仿宋_GB2312" w:eastAsia="仿宋_GB2312"/>
      <w:sz w:val="32"/>
    </w:rPr>
  </w:style>
  <w:style w:type="character" w:styleId="799" w:customStyle="1">
    <w:name w:val="正文文本缩进 字符1"/>
    <w:link w:val="798"/>
    <w:uiPriority w:val="0"/>
    <w:qFormat/>
    <w:rPr>
      <w:rFonts w:ascii="仿宋_GB2312" w:hAnsi="Calibri" w:eastAsia="仿宋_GB2312"/>
      <w:sz w:val="32"/>
      <w:szCs w:val="22"/>
    </w:rPr>
  </w:style>
  <w:style w:type="paragraph" w:styleId="800" w:customStyle="1">
    <w:name w:val="列表 21"/>
    <w:basedOn w:val="694"/>
    <w:uiPriority w:val="0"/>
    <w:qFormat/>
    <w:pPr>
      <w:ind w:left="100" w:hanging="200"/>
    </w:pPr>
    <w:rPr>
      <w:rFonts w:ascii="Times New Roman" w:hAnsi="Times New Roman"/>
      <w:szCs w:val="21"/>
    </w:rPr>
  </w:style>
  <w:style w:type="paragraph" w:styleId="801" w:customStyle="1">
    <w:name w:val="目录 51"/>
    <w:basedOn w:val="694"/>
    <w:next w:val="694"/>
    <w:uiPriority w:val="0"/>
    <w:unhideWhenUsed/>
    <w:qFormat/>
    <w:pPr>
      <w:ind w:left="1134"/>
      <w:spacing w:after="57"/>
    </w:pPr>
  </w:style>
  <w:style w:type="paragraph" w:styleId="802" w:customStyle="1">
    <w:name w:val="目录 31"/>
    <w:basedOn w:val="694"/>
    <w:next w:val="694"/>
    <w:uiPriority w:val="0"/>
    <w:unhideWhenUsed/>
    <w:qFormat/>
    <w:pPr>
      <w:ind w:left="567"/>
      <w:spacing w:after="57"/>
    </w:pPr>
  </w:style>
  <w:style w:type="paragraph" w:styleId="803" w:customStyle="1">
    <w:name w:val="纯文本11"/>
    <w:basedOn w:val="694"/>
    <w:link w:val="804"/>
    <w:uiPriority w:val="0"/>
    <w:qFormat/>
    <w:rPr>
      <w:rFonts w:ascii="宋体" w:hAnsi="Courier New" w:cs="Courier New"/>
      <w:szCs w:val="21"/>
    </w:rPr>
  </w:style>
  <w:style w:type="character" w:styleId="804" w:customStyle="1">
    <w:name w:val="纯文本 字符"/>
    <w:link w:val="803"/>
    <w:uiPriority w:val="0"/>
    <w:qFormat/>
    <w:rPr>
      <w:rFonts w:ascii="宋体" w:hAnsi="Courier New" w:cs="Courier New"/>
      <w:sz w:val="21"/>
      <w:szCs w:val="21"/>
    </w:rPr>
  </w:style>
  <w:style w:type="paragraph" w:styleId="805" w:customStyle="1">
    <w:name w:val="目录 81"/>
    <w:basedOn w:val="694"/>
    <w:next w:val="694"/>
    <w:uiPriority w:val="0"/>
    <w:unhideWhenUsed/>
    <w:qFormat/>
    <w:pPr>
      <w:ind w:left="1984"/>
      <w:spacing w:after="57"/>
    </w:pPr>
  </w:style>
  <w:style w:type="paragraph" w:styleId="806" w:customStyle="1">
    <w:name w:val="日期1"/>
    <w:basedOn w:val="694"/>
    <w:next w:val="694"/>
    <w:link w:val="807"/>
    <w:uiPriority w:val="0"/>
    <w:qFormat/>
    <w:rPr>
      <w:rFonts w:ascii="Times New Roman" w:hAnsi="Times New Roman"/>
      <w:sz w:val="24"/>
      <w:szCs w:val="24"/>
    </w:rPr>
  </w:style>
  <w:style w:type="character" w:styleId="807" w:customStyle="1">
    <w:name w:val="日期 字符"/>
    <w:link w:val="806"/>
    <w:uiPriority w:val="0"/>
    <w:qFormat/>
    <w:rPr>
      <w:sz w:val="24"/>
      <w:szCs w:val="24"/>
    </w:rPr>
  </w:style>
  <w:style w:type="paragraph" w:styleId="808" w:customStyle="1">
    <w:name w:val="正文文本缩进 21"/>
    <w:basedOn w:val="694"/>
    <w:link w:val="809"/>
    <w:uiPriority w:val="0"/>
    <w:qFormat/>
    <w:pPr>
      <w:ind w:left="630" w:firstLine="645"/>
    </w:pPr>
    <w:rPr>
      <w:rFonts w:ascii="Arial" w:hAnsi="Arial" w:eastAsia="仿宋_GB2312" w:cs="Arial"/>
      <w:sz w:val="32"/>
      <w:szCs w:val="32"/>
    </w:rPr>
  </w:style>
  <w:style w:type="character" w:styleId="809" w:customStyle="1">
    <w:name w:val="正文文本缩进 2 字符"/>
    <w:link w:val="808"/>
    <w:uiPriority w:val="0"/>
    <w:qFormat/>
    <w:rPr>
      <w:rFonts w:ascii="Arial" w:hAnsi="Arial" w:eastAsia="仿宋_GB2312" w:cs="Arial"/>
      <w:sz w:val="32"/>
      <w:szCs w:val="32"/>
    </w:rPr>
  </w:style>
  <w:style w:type="paragraph" w:styleId="810" w:customStyle="1">
    <w:name w:val="尾注文本1"/>
    <w:basedOn w:val="694"/>
    <w:link w:val="811"/>
    <w:uiPriority w:val="99"/>
    <w:unhideWhenUsed/>
    <w:qFormat/>
    <w:rPr>
      <w:sz w:val="20"/>
    </w:rPr>
  </w:style>
  <w:style w:type="character" w:styleId="811" w:customStyle="1">
    <w:name w:val="尾注文本 字符"/>
    <w:link w:val="810"/>
    <w:uiPriority w:val="99"/>
    <w:qFormat/>
    <w:rPr>
      <w:sz w:val="20"/>
    </w:rPr>
  </w:style>
  <w:style w:type="paragraph" w:styleId="812" w:customStyle="1">
    <w:name w:val="批注框文本1"/>
    <w:basedOn w:val="694"/>
    <w:link w:val="813"/>
    <w:uiPriority w:val="0"/>
    <w:qFormat/>
    <w:rPr>
      <w:rFonts w:ascii="Times New Roman" w:hAnsi="Times New Roman"/>
      <w:sz w:val="18"/>
      <w:szCs w:val="18"/>
    </w:rPr>
  </w:style>
  <w:style w:type="character" w:styleId="813" w:customStyle="1">
    <w:name w:val="批注框文本 字符"/>
    <w:link w:val="812"/>
    <w:uiPriority w:val="0"/>
    <w:qFormat/>
    <w:rPr>
      <w:sz w:val="18"/>
      <w:szCs w:val="18"/>
    </w:rPr>
  </w:style>
  <w:style w:type="paragraph" w:styleId="814" w:customStyle="1">
    <w:name w:val="页脚11"/>
    <w:basedOn w:val="694"/>
    <w:link w:val="815"/>
    <w:uiPriority w:val="99"/>
    <w:qFormat/>
    <w:pPr>
      <w:jc w:val="left"/>
      <w:tabs>
        <w:tab w:val="center" w:pos="4153" w:leader="none"/>
        <w:tab w:val="right" w:pos="8306" w:leader="none"/>
      </w:tabs>
    </w:pPr>
    <w:rPr>
      <w:sz w:val="18"/>
      <w:szCs w:val="18"/>
    </w:rPr>
  </w:style>
  <w:style w:type="character" w:styleId="815" w:customStyle="1">
    <w:name w:val="页脚 字符"/>
    <w:link w:val="814"/>
    <w:uiPriority w:val="99"/>
    <w:qFormat/>
  </w:style>
  <w:style w:type="paragraph" w:styleId="816" w:customStyle="1">
    <w:name w:val="页眉11"/>
    <w:basedOn w:val="694"/>
    <w:link w:val="817"/>
    <w:uiPriority w:val="0"/>
    <w:qFormat/>
    <w:pPr>
      <w:jc w:val="center"/>
      <w:tabs>
        <w:tab w:val="center" w:pos="4153" w:leader="none"/>
        <w:tab w:val="right" w:pos="8306" w:leader="none"/>
      </w:tabs>
    </w:pPr>
    <w:rPr>
      <w:sz w:val="18"/>
      <w:szCs w:val="18"/>
    </w:rPr>
  </w:style>
  <w:style w:type="character" w:styleId="817" w:customStyle="1">
    <w:name w:val="页眉 字符"/>
    <w:link w:val="816"/>
    <w:uiPriority w:val="0"/>
    <w:qFormat/>
    <w:rPr>
      <w:rFonts w:ascii="Calibri" w:hAnsi="Calibri"/>
      <w:sz w:val="18"/>
      <w:szCs w:val="18"/>
    </w:rPr>
  </w:style>
  <w:style w:type="paragraph" w:styleId="818" w:customStyle="1">
    <w:name w:val="目录 11"/>
    <w:basedOn w:val="694"/>
    <w:next w:val="694"/>
    <w:uiPriority w:val="0"/>
    <w:qFormat/>
    <w:pPr>
      <w:jc w:val="left"/>
      <w:spacing w:before="120" w:after="120"/>
    </w:pPr>
    <w:rPr>
      <w:rFonts w:cs="Calibri"/>
      <w:b/>
      <w:bCs/>
      <w:caps/>
      <w:sz w:val="20"/>
      <w:szCs w:val="20"/>
    </w:rPr>
  </w:style>
  <w:style w:type="paragraph" w:styleId="819" w:customStyle="1">
    <w:name w:val="目录 41"/>
    <w:basedOn w:val="694"/>
    <w:next w:val="694"/>
    <w:uiPriority w:val="0"/>
    <w:unhideWhenUsed/>
    <w:qFormat/>
    <w:pPr>
      <w:ind w:left="850"/>
      <w:spacing w:after="57"/>
    </w:pPr>
  </w:style>
  <w:style w:type="paragraph" w:styleId="820" w:customStyle="1">
    <w:name w:val="副标题1"/>
    <w:basedOn w:val="694"/>
    <w:next w:val="694"/>
    <w:link w:val="821"/>
    <w:uiPriority w:val="11"/>
    <w:qFormat/>
    <w:pPr>
      <w:spacing w:before="200" w:after="200"/>
    </w:pPr>
    <w:rPr>
      <w:sz w:val="24"/>
      <w:szCs w:val="24"/>
    </w:rPr>
  </w:style>
  <w:style w:type="character" w:styleId="821" w:customStyle="1">
    <w:name w:val="副标题 字符"/>
    <w:link w:val="820"/>
    <w:uiPriority w:val="11"/>
    <w:qFormat/>
    <w:rPr>
      <w:sz w:val="24"/>
      <w:szCs w:val="24"/>
    </w:rPr>
  </w:style>
  <w:style w:type="paragraph" w:styleId="822" w:customStyle="1">
    <w:name w:val="列表1"/>
    <w:basedOn w:val="694"/>
    <w:uiPriority w:val="0"/>
    <w:qFormat/>
    <w:pPr>
      <w:ind w:left="200" w:hanging="200"/>
    </w:pPr>
    <w:rPr>
      <w:rFonts w:ascii="Times New Roman" w:hAnsi="Times New Roman"/>
      <w:szCs w:val="21"/>
    </w:rPr>
  </w:style>
  <w:style w:type="paragraph" w:styleId="823" w:customStyle="1">
    <w:name w:val="脚注文本11"/>
    <w:basedOn w:val="694"/>
    <w:link w:val="824"/>
    <w:uiPriority w:val="99"/>
    <w:unhideWhenUsed/>
    <w:qFormat/>
    <w:pPr>
      <w:spacing w:after="40"/>
    </w:pPr>
    <w:rPr>
      <w:sz w:val="18"/>
    </w:rPr>
  </w:style>
  <w:style w:type="character" w:styleId="824" w:customStyle="1">
    <w:name w:val="脚注文本 字符"/>
    <w:link w:val="823"/>
    <w:uiPriority w:val="99"/>
    <w:qFormat/>
    <w:rPr>
      <w:sz w:val="18"/>
    </w:rPr>
  </w:style>
  <w:style w:type="paragraph" w:styleId="825" w:customStyle="1">
    <w:name w:val="目录 61"/>
    <w:basedOn w:val="694"/>
    <w:next w:val="694"/>
    <w:uiPriority w:val="0"/>
    <w:unhideWhenUsed/>
    <w:qFormat/>
    <w:pPr>
      <w:ind w:left="1417"/>
      <w:spacing w:after="57"/>
    </w:pPr>
  </w:style>
  <w:style w:type="paragraph" w:styleId="826" w:customStyle="1">
    <w:name w:val="正文文本缩进 31"/>
    <w:basedOn w:val="694"/>
    <w:link w:val="827"/>
    <w:uiPriority w:val="0"/>
    <w:qFormat/>
    <w:pPr>
      <w:ind w:left="645" w:firstLine="645"/>
    </w:pPr>
    <w:rPr>
      <w:rFonts w:ascii="Arial" w:hAnsi="Arial" w:eastAsia="仿宋_GB2312" w:cs="Arial"/>
      <w:color w:val="ffff00"/>
      <w:sz w:val="32"/>
      <w:szCs w:val="32"/>
    </w:rPr>
  </w:style>
  <w:style w:type="character" w:styleId="827" w:customStyle="1">
    <w:name w:val="正文文本缩进 3 字符"/>
    <w:link w:val="826"/>
    <w:uiPriority w:val="0"/>
    <w:qFormat/>
    <w:rPr>
      <w:rFonts w:ascii="Arial" w:hAnsi="Arial" w:eastAsia="仿宋_GB2312" w:cs="Arial"/>
      <w:color w:val="ffff00"/>
      <w:sz w:val="32"/>
      <w:szCs w:val="32"/>
    </w:rPr>
  </w:style>
  <w:style w:type="paragraph" w:styleId="828" w:customStyle="1">
    <w:name w:val="图表目录1"/>
    <w:basedOn w:val="694"/>
    <w:next w:val="694"/>
    <w:uiPriority w:val="0"/>
    <w:unhideWhenUsed/>
    <w:qFormat/>
  </w:style>
  <w:style w:type="paragraph" w:styleId="829" w:customStyle="1">
    <w:name w:val="目录 21"/>
    <w:basedOn w:val="694"/>
    <w:next w:val="694"/>
    <w:uiPriority w:val="0"/>
    <w:qFormat/>
    <w:pPr>
      <w:ind w:left="210"/>
      <w:jc w:val="left"/>
    </w:pPr>
    <w:rPr>
      <w:rFonts w:cs="Calibri"/>
      <w:smallCaps/>
      <w:sz w:val="20"/>
      <w:szCs w:val="20"/>
    </w:rPr>
  </w:style>
  <w:style w:type="paragraph" w:styleId="830" w:customStyle="1">
    <w:name w:val="目录 91"/>
    <w:basedOn w:val="694"/>
    <w:next w:val="694"/>
    <w:uiPriority w:val="0"/>
    <w:unhideWhenUsed/>
    <w:qFormat/>
    <w:pPr>
      <w:ind w:left="2268"/>
      <w:spacing w:after="57"/>
    </w:pPr>
  </w:style>
  <w:style w:type="paragraph" w:styleId="831" w:customStyle="1">
    <w:name w:val="正文文本 21"/>
    <w:basedOn w:val="694"/>
    <w:link w:val="832"/>
    <w:uiPriority w:val="0"/>
    <w:qFormat/>
    <w:pPr>
      <w:jc w:val="center"/>
      <w:widowControl/>
    </w:pPr>
    <w:rPr>
      <w:rFonts w:ascii="楷体_GB2312" w:hAnsi="Times New Roman" w:eastAsia="楷体_GB2312"/>
      <w:sz w:val="28"/>
      <w:szCs w:val="28"/>
    </w:rPr>
  </w:style>
  <w:style w:type="character" w:styleId="832" w:customStyle="1">
    <w:name w:val="正文文本 2 字符"/>
    <w:link w:val="831"/>
    <w:uiPriority w:val="0"/>
    <w:qFormat/>
    <w:rPr>
      <w:rFonts w:ascii="楷体_GB2312" w:eastAsia="楷体_GB2312"/>
      <w:sz w:val="28"/>
      <w:szCs w:val="28"/>
    </w:rPr>
  </w:style>
  <w:style w:type="paragraph" w:styleId="833" w:customStyle="1">
    <w:name w:val="HTML 预设格式1"/>
    <w:basedOn w:val="694"/>
    <w:link w:val="83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34" w:customStyle="1">
    <w:name w:val="HTML 预设格式 字符"/>
    <w:link w:val="833"/>
    <w:uiPriority w:val="99"/>
    <w:qFormat/>
    <w:rPr>
      <w:rFonts w:ascii="宋体" w:hAnsi="宋体"/>
      <w:sz w:val="24"/>
      <w:szCs w:val="24"/>
    </w:rPr>
  </w:style>
  <w:style w:type="paragraph" w:styleId="835" w:customStyle="1">
    <w:name w:val="普通(网站)111"/>
    <w:basedOn w:val="694"/>
    <w:uiPriority w:val="99"/>
    <w:qFormat/>
    <w:pPr>
      <w:jc w:val="left"/>
      <w:spacing w:before="100" w:beforeAutospacing="1" w:after="100" w:afterAutospacing="1"/>
      <w:widowControl/>
    </w:pPr>
    <w:rPr>
      <w:rFonts w:ascii="宋体" w:hAnsi="宋体" w:cs="宋体"/>
      <w:sz w:val="24"/>
      <w:szCs w:val="24"/>
    </w:rPr>
  </w:style>
  <w:style w:type="paragraph" w:styleId="836" w:customStyle="1">
    <w:name w:val="索引 11"/>
    <w:basedOn w:val="694"/>
    <w:next w:val="694"/>
    <w:uiPriority w:val="0"/>
    <w:semiHidden/>
    <w:qFormat/>
    <w:pPr>
      <w:spacing w:line="240" w:lineRule="atLeast"/>
    </w:pPr>
    <w:rPr>
      <w:rFonts w:ascii="Times New Roman" w:hAnsi="Times New Roman"/>
      <w:b/>
      <w:bCs/>
      <w:szCs w:val="21"/>
    </w:rPr>
  </w:style>
  <w:style w:type="paragraph" w:styleId="837" w:customStyle="1">
    <w:name w:val="标题11"/>
    <w:basedOn w:val="694"/>
    <w:next w:val="694"/>
    <w:link w:val="838"/>
    <w:uiPriority w:val="10"/>
    <w:qFormat/>
    <w:pPr>
      <w:contextualSpacing/>
      <w:spacing w:before="300" w:after="200"/>
    </w:pPr>
    <w:rPr>
      <w:sz w:val="48"/>
      <w:szCs w:val="48"/>
    </w:rPr>
  </w:style>
  <w:style w:type="character" w:styleId="838" w:customStyle="1">
    <w:name w:val="标题 字符"/>
    <w:link w:val="837"/>
    <w:uiPriority w:val="10"/>
    <w:qFormat/>
    <w:rPr>
      <w:sz w:val="48"/>
      <w:szCs w:val="48"/>
    </w:rPr>
  </w:style>
  <w:style w:type="paragraph" w:styleId="839" w:customStyle="1">
    <w:name w:val="批注主题1"/>
    <w:basedOn w:val="793"/>
    <w:next w:val="793"/>
    <w:link w:val="840"/>
    <w:uiPriority w:val="0"/>
    <w:semiHidden/>
    <w:qFormat/>
    <w:rPr>
      <w:b/>
      <w:bCs/>
    </w:rPr>
  </w:style>
  <w:style w:type="character" w:styleId="840" w:customStyle="1">
    <w:name w:val="批注主题 字符"/>
    <w:link w:val="839"/>
    <w:uiPriority w:val="0"/>
    <w:semiHidden/>
    <w:qFormat/>
    <w:rPr>
      <w:b/>
      <w:bCs/>
      <w:sz w:val="21"/>
      <w:szCs w:val="21"/>
    </w:rPr>
  </w:style>
  <w:style w:type="paragraph" w:styleId="841" w:customStyle="1">
    <w:name w:val="正文首行缩进 2111"/>
    <w:basedOn w:val="798"/>
    <w:link w:val="842"/>
    <w:uiPriority w:val="0"/>
    <w:qFormat/>
    <w:pPr>
      <w:ind w:firstLine="420"/>
      <w:spacing w:line="360" w:lineRule="auto"/>
    </w:pPr>
    <w:rPr>
      <w:rFonts w:ascii="宋体" w:hAnsi="宋体" w:eastAsia="宋体"/>
      <w:sz w:val="21"/>
      <w:szCs w:val="20"/>
    </w:rPr>
  </w:style>
  <w:style w:type="character" w:styleId="842" w:customStyle="1">
    <w:name w:val="正文文本首行缩进 2 字符"/>
    <w:link w:val="841"/>
    <w:uiPriority w:val="0"/>
    <w:qFormat/>
    <w:rPr>
      <w:rFonts w:ascii="宋体" w:hAnsi="宋体" w:eastAsia="仿宋_GB2312"/>
      <w:sz w:val="21"/>
      <w:szCs w:val="22"/>
    </w:rPr>
  </w:style>
  <w:style w:type="table" w:styleId="843" w:customStyle="1">
    <w:name w:val="网格型1"/>
    <w:basedOn w:val="776"/>
    <w:uiPriority w:val="0"/>
    <w:qFormat/>
    <w:pPr>
      <w:jc w:val="both"/>
      <w:widowControl w:val="off"/>
    </w:pPr>
    <w:tblPr/>
  </w:style>
  <w:style w:type="character" w:styleId="844" w:customStyle="1">
    <w:name w:val="要点1"/>
    <w:uiPriority w:val="0"/>
    <w:qFormat/>
    <w:rPr>
      <w:b/>
      <w:bCs/>
    </w:rPr>
  </w:style>
  <w:style w:type="character" w:styleId="845" w:customStyle="1">
    <w:name w:val="尾注引用1"/>
    <w:uiPriority w:val="99"/>
    <w:unhideWhenUsed/>
    <w:qFormat/>
    <w:rPr>
      <w:vertAlign w:val="superscript"/>
    </w:rPr>
  </w:style>
  <w:style w:type="character" w:styleId="846" w:customStyle="1">
    <w:name w:val="页码2"/>
    <w:uiPriority w:val="0"/>
    <w:qFormat/>
  </w:style>
  <w:style w:type="character" w:styleId="847" w:customStyle="1">
    <w:name w:val="已访问的超链接1"/>
    <w:uiPriority w:val="0"/>
    <w:qFormat/>
    <w:rPr>
      <w:color w:val="800080"/>
      <w:u w:val="single"/>
    </w:rPr>
  </w:style>
  <w:style w:type="character" w:styleId="848" w:customStyle="1">
    <w:name w:val="超链接1"/>
    <w:uiPriority w:val="0"/>
    <w:qFormat/>
    <w:rPr>
      <w:color w:val="0000ff"/>
      <w:u w:val="single"/>
    </w:rPr>
  </w:style>
  <w:style w:type="character" w:styleId="849" w:customStyle="1">
    <w:name w:val="批注引用1"/>
    <w:uiPriority w:val="0"/>
    <w:semiHidden/>
    <w:qFormat/>
    <w:rPr>
      <w:sz w:val="21"/>
      <w:szCs w:val="21"/>
    </w:rPr>
  </w:style>
  <w:style w:type="character" w:styleId="850" w:customStyle="1">
    <w:name w:val="脚注引用1"/>
    <w:uiPriority w:val="99"/>
    <w:unhideWhenUsed/>
    <w:qFormat/>
    <w:rPr>
      <w:vertAlign w:val="superscript"/>
    </w:rPr>
  </w:style>
  <w:style w:type="paragraph" w:styleId="851" w:customStyle="1">
    <w:name w:val="标题二、"/>
    <w:basedOn w:val="694"/>
    <w:uiPriority w:val="99"/>
    <w:qFormat/>
    <w:pPr>
      <w:ind w:firstLine="200"/>
      <w:spacing w:line="360" w:lineRule="auto"/>
      <w:outlineLvl w:val="2"/>
    </w:pPr>
    <w:rPr>
      <w:rFonts w:ascii="宋体" w:hAnsi="宋体"/>
      <w:b/>
    </w:rPr>
  </w:style>
  <w:style w:type="paragraph" w:styleId="852" w:customStyle="1">
    <w:name w:val="正文首行缩进 21"/>
    <w:basedOn w:val="853"/>
    <w:next w:val="694"/>
    <w:uiPriority w:val="0"/>
    <w:qFormat/>
    <w:pPr>
      <w:ind w:firstLine="420"/>
      <w:spacing w:line="360" w:lineRule="auto"/>
    </w:pPr>
    <w:rPr>
      <w:rFonts w:ascii="宋体" w:hAnsi="宋体" w:eastAsia="宋体"/>
      <w:sz w:val="21"/>
      <w:szCs w:val="20"/>
    </w:rPr>
  </w:style>
  <w:style w:type="paragraph" w:styleId="853" w:customStyle="1">
    <w:name w:val="正文文本缩进1"/>
    <w:basedOn w:val="694"/>
    <w:next w:val="854"/>
    <w:uiPriority w:val="0"/>
    <w:qFormat/>
    <w:pPr>
      <w:ind w:firstLine="645"/>
    </w:pPr>
    <w:rPr>
      <w:rFonts w:ascii="楷体_GB2312" w:eastAsia="楷体_GB2312"/>
      <w:sz w:val="32"/>
      <w:szCs w:val="32"/>
    </w:rPr>
  </w:style>
  <w:style w:type="paragraph" w:styleId="854" w:customStyle="1">
    <w:name w:val="寄信人地址1"/>
    <w:basedOn w:val="694"/>
    <w:uiPriority w:val="0"/>
    <w:qFormat/>
    <w:rPr>
      <w:rFonts w:ascii="Arial" w:hAnsi="Arial"/>
    </w:rPr>
  </w:style>
  <w:style w:type="paragraph" w:styleId="855" w:customStyle="1">
    <w:name w:val="标题 41"/>
    <w:basedOn w:val="856"/>
    <w:next w:val="69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56" w:customStyle="1">
    <w:name w:val="Normal_20"/>
    <w:uiPriority w:val="0"/>
    <w:qFormat/>
    <w:rPr>
      <w:rFonts w:hint="default" w:ascii="黑体" w:hAnsi="黑体" w:eastAsia="黑体" w:cs="黑体"/>
      <w:b/>
      <w:sz w:val="32"/>
      <w:szCs w:val="24"/>
      <w:lang w:val="en-US" w:eastAsia="zh-CN" w:bidi="ar-SA"/>
    </w:rPr>
  </w:style>
  <w:style w:type="paragraph" w:styleId="857" w:customStyle="1">
    <w:name w:val="Body Text First Indent_2"/>
    <w:basedOn w:val="856"/>
    <w:uiPriority w:val="0"/>
    <w:qFormat/>
    <w:pPr>
      <w:ind w:firstLine="100"/>
      <w:spacing w:after="120"/>
    </w:pPr>
  </w:style>
  <w:style w:type="paragraph" w:styleId="858" w:customStyle="1">
    <w:name w:val="脚注文本1"/>
    <w:basedOn w:val="694"/>
    <w:uiPriority w:val="0"/>
    <w:qFormat/>
    <w:pPr>
      <w:jc w:val="left"/>
    </w:pPr>
    <w:rPr>
      <w:rFonts w:eastAsia="Times New Roman"/>
      <w:sz w:val="18"/>
      <w:szCs w:val="24"/>
    </w:rPr>
  </w:style>
  <w:style w:type="table" w:styleId="859" w:customStyle="1">
    <w:name w:val="无格式表格 11"/>
    <w:basedOn w:val="776"/>
    <w:uiPriority w:val="59"/>
    <w:qFormat/>
    <w:tblPr/>
  </w:style>
  <w:style w:type="table" w:styleId="860" w:customStyle="1">
    <w:name w:val="无格式表格 21"/>
    <w:basedOn w:val="776"/>
    <w:uiPriority w:val="59"/>
    <w:qFormat/>
    <w:tblPr/>
  </w:style>
  <w:style w:type="table" w:styleId="861" w:customStyle="1">
    <w:name w:val="无格式表格 31"/>
    <w:basedOn w:val="776"/>
    <w:uiPriority w:val="99"/>
    <w:qFormat/>
    <w:tblPr/>
  </w:style>
  <w:style w:type="table" w:styleId="862" w:customStyle="1">
    <w:name w:val="无格式表格 41"/>
    <w:basedOn w:val="776"/>
    <w:uiPriority w:val="99"/>
    <w:qFormat/>
    <w:tblPr/>
  </w:style>
  <w:style w:type="table" w:styleId="863" w:customStyle="1">
    <w:name w:val="无格式表格 51"/>
    <w:basedOn w:val="776"/>
    <w:uiPriority w:val="99"/>
    <w:qFormat/>
    <w:tblPr/>
  </w:style>
  <w:style w:type="table" w:styleId="864" w:customStyle="1">
    <w:name w:val="网格表 1 浅色1"/>
    <w:basedOn w:val="776"/>
    <w:uiPriority w:val="99"/>
    <w:qFormat/>
    <w:tblPr/>
  </w:style>
  <w:style w:type="table" w:styleId="865" w:customStyle="1">
    <w:name w:val="网格表 21"/>
    <w:basedOn w:val="776"/>
    <w:uiPriority w:val="99"/>
    <w:qFormat/>
    <w:tblPr/>
  </w:style>
  <w:style w:type="table" w:styleId="866" w:customStyle="1">
    <w:name w:val="网格表 31"/>
    <w:basedOn w:val="776"/>
    <w:uiPriority w:val="99"/>
    <w:qFormat/>
    <w:tblPr/>
  </w:style>
  <w:style w:type="table" w:styleId="867" w:customStyle="1">
    <w:name w:val="网格表 41"/>
    <w:basedOn w:val="776"/>
    <w:uiPriority w:val="59"/>
    <w:qFormat/>
    <w:tblPr/>
  </w:style>
  <w:style w:type="table" w:styleId="868" w:customStyle="1">
    <w:name w:val="网格表 5 深色1"/>
    <w:basedOn w:val="776"/>
    <w:uiPriority w:val="99"/>
    <w:qFormat/>
    <w:tblPr/>
  </w:style>
  <w:style w:type="table" w:styleId="869" w:customStyle="1">
    <w:name w:val="网格表 6 彩色1"/>
    <w:basedOn w:val="776"/>
    <w:uiPriority w:val="99"/>
    <w:qFormat/>
    <w:tblPr/>
  </w:style>
  <w:style w:type="table" w:styleId="870" w:customStyle="1">
    <w:name w:val="网格表 7 彩色1"/>
    <w:basedOn w:val="776"/>
    <w:uiPriority w:val="99"/>
    <w:qFormat/>
    <w:tblPr/>
  </w:style>
  <w:style w:type="table" w:styleId="871" w:customStyle="1">
    <w:name w:val="清单表 1 浅色1"/>
    <w:basedOn w:val="776"/>
    <w:uiPriority w:val="99"/>
    <w:qFormat/>
    <w:tblPr/>
  </w:style>
  <w:style w:type="table" w:styleId="872" w:customStyle="1">
    <w:name w:val="清单表 21"/>
    <w:basedOn w:val="776"/>
    <w:uiPriority w:val="99"/>
    <w:qFormat/>
    <w:tblPr/>
  </w:style>
  <w:style w:type="table" w:styleId="873" w:customStyle="1">
    <w:name w:val="清单表 31"/>
    <w:basedOn w:val="776"/>
    <w:uiPriority w:val="99"/>
    <w:qFormat/>
    <w:tblPr/>
  </w:style>
  <w:style w:type="table" w:styleId="874" w:customStyle="1">
    <w:name w:val="清单表 41"/>
    <w:basedOn w:val="776"/>
    <w:uiPriority w:val="99"/>
    <w:qFormat/>
    <w:tblPr/>
  </w:style>
  <w:style w:type="table" w:styleId="875" w:customStyle="1">
    <w:name w:val="清单表 5 深色1"/>
    <w:basedOn w:val="776"/>
    <w:uiPriority w:val="99"/>
    <w:qFormat/>
    <w:tblPr/>
  </w:style>
  <w:style w:type="table" w:styleId="876" w:customStyle="1">
    <w:name w:val="清单表 6 彩色1"/>
    <w:basedOn w:val="776"/>
    <w:uiPriority w:val="99"/>
    <w:qFormat/>
    <w:tblPr/>
  </w:style>
  <w:style w:type="table" w:styleId="877" w:customStyle="1">
    <w:name w:val="清单表 7 彩色1"/>
    <w:basedOn w:val="776"/>
    <w:uiPriority w:val="99"/>
    <w:qFormat/>
    <w:tblPr/>
  </w:style>
  <w:style w:type="paragraph" w:styleId="878" w:customStyle="1">
    <w:name w:val="TOC 标题1"/>
    <w:uiPriority w:val="39"/>
    <w:unhideWhenUsed/>
    <w:qFormat/>
    <w:rPr>
      <w:rFonts w:hint="default" w:ascii="Times New Roman" w:hAnsi="Times New Roman" w:eastAsia="宋体" w:cs="Times New Roman"/>
      <w:lang w:val="en-US" w:eastAsia="zh-CN" w:bidi="ar-SA"/>
    </w:rPr>
  </w:style>
  <w:style w:type="paragraph" w:styleId="879" w:customStyle="1">
    <w:name w:val="TOC 标题111"/>
    <w:uiPriority w:val="39"/>
    <w:unhideWhenUsed/>
    <w:qFormat/>
    <w:rPr>
      <w:rFonts w:hint="default" w:ascii="Times New Roman" w:hAnsi="Times New Roman" w:eastAsia="宋体" w:cs="Times New Roman"/>
      <w:lang w:val="en-US" w:eastAsia="zh-CN" w:bidi="ar-SA"/>
    </w:rPr>
  </w:style>
  <w:style w:type="paragraph" w:styleId="880" w:customStyle="1">
    <w:name w:val="Normal_21"/>
    <w:basedOn w:val="881"/>
    <w:next w:val="881"/>
    <w:uiPriority w:val="0"/>
    <w:qFormat/>
    <w:rPr>
      <w:rFonts w:ascii="Times New Roman" w:hAnsi="Times New Roman"/>
      <w:szCs w:val="24"/>
    </w:rPr>
  </w:style>
  <w:style w:type="paragraph" w:styleId="881" w:customStyle="1">
    <w:name w:val="正文_16"/>
    <w:next w:val="882"/>
    <w:uiPriority w:val="0"/>
    <w:qFormat/>
    <w:pPr>
      <w:jc w:val="both"/>
      <w:widowControl w:val="off"/>
    </w:pPr>
    <w:rPr>
      <w:rFonts w:hint="default" w:ascii="Calibri" w:hAnsi="Calibri" w:eastAsia="宋体" w:cs="Times New Roman"/>
      <w:sz w:val="21"/>
      <w:szCs w:val="22"/>
      <w:lang w:val="en-US" w:eastAsia="zh-CN" w:bidi="ar-SA"/>
    </w:rPr>
  </w:style>
  <w:style w:type="paragraph" w:styleId="882" w:customStyle="1">
    <w:name w:val="正文文本 2_0"/>
    <w:basedOn w:val="881"/>
    <w:uiPriority w:val="0"/>
    <w:qFormat/>
    <w:rPr>
      <w:rFonts w:ascii="仿宋_GB2312" w:eastAsia="仿宋_GB2312"/>
      <w:sz w:val="28"/>
    </w:rPr>
  </w:style>
  <w:style w:type="paragraph" w:styleId="883" w:customStyle="1">
    <w:name w:val="正文_17"/>
    <w:next w:val="8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标题 4_1"/>
    <w:basedOn w:val="883"/>
    <w:next w:val="8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85" w:customStyle="1">
    <w:name w:val="Heading 1 Char"/>
    <w:uiPriority w:val="9"/>
    <w:qFormat/>
    <w:rPr>
      <w:rFonts w:ascii="Arial" w:hAnsi="Arial" w:eastAsia="Arial" w:cs="Arial"/>
      <w:sz w:val="40"/>
      <w:szCs w:val="40"/>
    </w:rPr>
  </w:style>
  <w:style w:type="character" w:styleId="886" w:customStyle="1">
    <w:name w:val="Heading 2 Char"/>
    <w:uiPriority w:val="9"/>
    <w:qFormat/>
    <w:rPr>
      <w:rFonts w:ascii="Arial" w:hAnsi="Arial" w:eastAsia="Arial" w:cs="Arial"/>
      <w:sz w:val="34"/>
    </w:rPr>
  </w:style>
  <w:style w:type="character" w:styleId="887" w:customStyle="1">
    <w:name w:val="Heading 3 Char"/>
    <w:uiPriority w:val="9"/>
    <w:qFormat/>
    <w:rPr>
      <w:rFonts w:ascii="Arial" w:hAnsi="Arial" w:eastAsia="Arial" w:cs="Arial"/>
      <w:sz w:val="30"/>
      <w:szCs w:val="30"/>
    </w:rPr>
  </w:style>
  <w:style w:type="character" w:styleId="888" w:customStyle="1">
    <w:name w:val="Heading 4 Char"/>
    <w:uiPriority w:val="9"/>
    <w:qFormat/>
    <w:rPr>
      <w:rFonts w:ascii="Arial" w:hAnsi="Arial" w:eastAsia="Arial" w:cs="Arial"/>
      <w:b/>
      <w:bCs/>
      <w:sz w:val="26"/>
      <w:szCs w:val="26"/>
    </w:rPr>
  </w:style>
  <w:style w:type="character" w:styleId="889" w:customStyle="1">
    <w:name w:val="Heading 5 Char"/>
    <w:uiPriority w:val="9"/>
    <w:qFormat/>
    <w:rPr>
      <w:rFonts w:ascii="Arial" w:hAnsi="Arial" w:eastAsia="Arial" w:cs="Arial"/>
      <w:b/>
      <w:bCs/>
      <w:sz w:val="24"/>
      <w:szCs w:val="24"/>
    </w:rPr>
  </w:style>
  <w:style w:type="character" w:styleId="890" w:customStyle="1">
    <w:name w:val="Heading 6 Char"/>
    <w:uiPriority w:val="9"/>
    <w:qFormat/>
    <w:rPr>
      <w:rFonts w:ascii="Arial" w:hAnsi="Arial" w:eastAsia="Arial" w:cs="Arial"/>
      <w:b/>
      <w:bCs/>
      <w:sz w:val="22"/>
      <w:szCs w:val="22"/>
    </w:rPr>
  </w:style>
  <w:style w:type="character" w:styleId="891" w:customStyle="1">
    <w:name w:val="Heading 7 Char"/>
    <w:uiPriority w:val="9"/>
    <w:qFormat/>
    <w:rPr>
      <w:rFonts w:ascii="Arial" w:hAnsi="Arial" w:eastAsia="Arial" w:cs="Arial"/>
      <w:b/>
      <w:bCs/>
      <w:i/>
      <w:iCs/>
      <w:sz w:val="22"/>
      <w:szCs w:val="22"/>
    </w:rPr>
  </w:style>
  <w:style w:type="character" w:styleId="892" w:customStyle="1">
    <w:name w:val="Heading 8 Char"/>
    <w:uiPriority w:val="9"/>
    <w:qFormat/>
    <w:rPr>
      <w:rFonts w:ascii="Arial" w:hAnsi="Arial" w:eastAsia="Arial" w:cs="Arial"/>
      <w:i/>
      <w:iCs/>
      <w:sz w:val="22"/>
      <w:szCs w:val="22"/>
    </w:rPr>
  </w:style>
  <w:style w:type="character" w:styleId="893" w:customStyle="1">
    <w:name w:val="Heading 9 Char"/>
    <w:uiPriority w:val="9"/>
    <w:qFormat/>
    <w:rPr>
      <w:rFonts w:ascii="Arial" w:hAnsi="Arial" w:eastAsia="Arial" w:cs="Arial"/>
      <w:i/>
      <w:iCs/>
      <w:sz w:val="21"/>
      <w:szCs w:val="21"/>
    </w:rPr>
  </w:style>
  <w:style w:type="character" w:styleId="894" w:customStyle="1">
    <w:name w:val="Title Char"/>
    <w:uiPriority w:val="10"/>
    <w:qFormat/>
    <w:rPr>
      <w:sz w:val="48"/>
      <w:szCs w:val="48"/>
    </w:rPr>
  </w:style>
  <w:style w:type="character" w:styleId="895" w:customStyle="1">
    <w:name w:val="Subtitle Char"/>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Caption Char"/>
    <w:uiPriority w:val="99"/>
    <w:qFormat/>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列表段落1"/>
    <w:basedOn w:val="694"/>
    <w:uiPriority w:val="0"/>
    <w:qFormat/>
    <w:pPr>
      <w:contextualSpacing/>
      <w:ind w:left="720"/>
    </w:pPr>
  </w:style>
  <w:style w:type="paragraph" w:styleId="902" w:customStyle="1">
    <w:name w:val="无间隔1"/>
    <w:uiPriority w:val="99"/>
    <w:qFormat/>
    <w:rPr>
      <w:rFonts w:hint="default" w:ascii="Times New Roman" w:hAnsi="Times New Roman" w:eastAsia="宋体" w:cs="Times New Roman"/>
      <w:lang w:val="en-US" w:eastAsia="zh-CN" w:bidi="ar-SA"/>
    </w:rPr>
  </w:style>
  <w:style w:type="paragraph" w:styleId="903" w:customStyle="1">
    <w:name w:val="引用1"/>
    <w:basedOn w:val="694"/>
    <w:next w:val="694"/>
    <w:link w:val="904"/>
    <w:uiPriority w:val="29"/>
    <w:qFormat/>
    <w:pPr>
      <w:ind w:left="720" w:right="720"/>
    </w:pPr>
    <w:rPr>
      <w:i/>
    </w:rPr>
  </w:style>
  <w:style w:type="character" w:styleId="904" w:customStyle="1">
    <w:name w:val="引用 字符"/>
    <w:link w:val="903"/>
    <w:uiPriority w:val="29"/>
    <w:qFormat/>
    <w:rPr>
      <w:i/>
    </w:rPr>
  </w:style>
  <w:style w:type="paragraph" w:styleId="905" w:customStyle="1">
    <w:name w:val="明显引用1"/>
    <w:basedOn w:val="694"/>
    <w:next w:val="694"/>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Header Char"/>
    <w:uiPriority w:val="99"/>
    <w:qFormat/>
  </w:style>
  <w:style w:type="character" w:styleId="908" w:customStyle="1">
    <w:name w:val="Footer Char"/>
    <w:uiPriority w:val="99"/>
    <w:qFormat/>
  </w:style>
  <w:style w:type="table" w:styleId="909" w:customStyle="1">
    <w:name w:val="Table Grid Light"/>
    <w:basedOn w:val="776"/>
    <w:uiPriority w:val="59"/>
    <w:qFormat/>
    <w:tblPr/>
  </w:style>
  <w:style w:type="table" w:styleId="910" w:customStyle="1">
    <w:name w:val="Grid Table 1 Light - Accent 1"/>
    <w:basedOn w:val="776"/>
    <w:uiPriority w:val="99"/>
    <w:qFormat/>
    <w:tblPr/>
  </w:style>
  <w:style w:type="table" w:styleId="911" w:customStyle="1">
    <w:name w:val="Grid Table 1 Light - Accent 2"/>
    <w:basedOn w:val="776"/>
    <w:uiPriority w:val="99"/>
    <w:qFormat/>
    <w:tblPr/>
  </w:style>
  <w:style w:type="table" w:styleId="912" w:customStyle="1">
    <w:name w:val="Grid Table 1 Light - Accent 3"/>
    <w:basedOn w:val="776"/>
    <w:uiPriority w:val="99"/>
    <w:qFormat/>
    <w:tblPr/>
  </w:style>
  <w:style w:type="table" w:styleId="913" w:customStyle="1">
    <w:name w:val="Grid Table 1 Light - Accent 4"/>
    <w:basedOn w:val="776"/>
    <w:uiPriority w:val="99"/>
    <w:qFormat/>
    <w:tblPr/>
  </w:style>
  <w:style w:type="table" w:styleId="914" w:customStyle="1">
    <w:name w:val="Grid Table 1 Light - Accent 5"/>
    <w:basedOn w:val="776"/>
    <w:uiPriority w:val="99"/>
    <w:qFormat/>
    <w:tblPr/>
  </w:style>
  <w:style w:type="table" w:styleId="915" w:customStyle="1">
    <w:name w:val="Grid Table 1 Light - Accent 6"/>
    <w:basedOn w:val="776"/>
    <w:uiPriority w:val="99"/>
    <w:qFormat/>
    <w:tblPr/>
  </w:style>
  <w:style w:type="table" w:styleId="916" w:customStyle="1">
    <w:name w:val="Grid Table 2 - Accent 1"/>
    <w:basedOn w:val="776"/>
    <w:uiPriority w:val="99"/>
    <w:qFormat/>
    <w:tblPr/>
  </w:style>
  <w:style w:type="table" w:styleId="917" w:customStyle="1">
    <w:name w:val="Grid Table 2 - Accent 2"/>
    <w:basedOn w:val="776"/>
    <w:uiPriority w:val="99"/>
    <w:qFormat/>
    <w:tblPr/>
  </w:style>
  <w:style w:type="table" w:styleId="918" w:customStyle="1">
    <w:name w:val="Grid Table 2 - Accent 3"/>
    <w:basedOn w:val="776"/>
    <w:uiPriority w:val="99"/>
    <w:qFormat/>
    <w:tblPr/>
  </w:style>
  <w:style w:type="table" w:styleId="919" w:customStyle="1">
    <w:name w:val="Grid Table 2 - Accent 4"/>
    <w:basedOn w:val="776"/>
    <w:uiPriority w:val="99"/>
    <w:qFormat/>
    <w:tblPr/>
  </w:style>
  <w:style w:type="table" w:styleId="920" w:customStyle="1">
    <w:name w:val="Grid Table 2 - Accent 5"/>
    <w:basedOn w:val="776"/>
    <w:uiPriority w:val="99"/>
    <w:qFormat/>
    <w:tblPr/>
  </w:style>
  <w:style w:type="table" w:styleId="921" w:customStyle="1">
    <w:name w:val="Grid Table 2 - Accent 6"/>
    <w:basedOn w:val="776"/>
    <w:uiPriority w:val="99"/>
    <w:qFormat/>
    <w:tblPr/>
  </w:style>
  <w:style w:type="table" w:styleId="922" w:customStyle="1">
    <w:name w:val="Grid Table 3 - Accent 1"/>
    <w:basedOn w:val="776"/>
    <w:uiPriority w:val="99"/>
    <w:qFormat/>
    <w:tblPr/>
  </w:style>
  <w:style w:type="table" w:styleId="923" w:customStyle="1">
    <w:name w:val="Grid Table 3 - Accent 2"/>
    <w:basedOn w:val="776"/>
    <w:uiPriority w:val="99"/>
    <w:qFormat/>
    <w:tblPr/>
  </w:style>
  <w:style w:type="table" w:styleId="924" w:customStyle="1">
    <w:name w:val="Grid Table 3 - Accent 3"/>
    <w:basedOn w:val="776"/>
    <w:uiPriority w:val="99"/>
    <w:qFormat/>
    <w:tblPr/>
  </w:style>
  <w:style w:type="table" w:styleId="925" w:customStyle="1">
    <w:name w:val="Grid Table 3 - Accent 4"/>
    <w:basedOn w:val="776"/>
    <w:uiPriority w:val="99"/>
    <w:qFormat/>
    <w:tblPr/>
  </w:style>
  <w:style w:type="table" w:styleId="926" w:customStyle="1">
    <w:name w:val="Grid Table 3 - Accent 5"/>
    <w:basedOn w:val="776"/>
    <w:uiPriority w:val="99"/>
    <w:qFormat/>
    <w:tblPr/>
  </w:style>
  <w:style w:type="table" w:styleId="927" w:customStyle="1">
    <w:name w:val="Grid Table 3 - Accent 6"/>
    <w:basedOn w:val="776"/>
    <w:uiPriority w:val="99"/>
    <w:qFormat/>
    <w:tblPr/>
  </w:style>
  <w:style w:type="table" w:styleId="928" w:customStyle="1">
    <w:name w:val="Grid Table 4 - Accent 1"/>
    <w:basedOn w:val="776"/>
    <w:uiPriority w:val="59"/>
    <w:qFormat/>
    <w:tblPr/>
  </w:style>
  <w:style w:type="table" w:styleId="929" w:customStyle="1">
    <w:name w:val="Grid Table 4 - Accent 2"/>
    <w:basedOn w:val="776"/>
    <w:uiPriority w:val="59"/>
    <w:qFormat/>
    <w:tblPr/>
  </w:style>
  <w:style w:type="table" w:styleId="930" w:customStyle="1">
    <w:name w:val="Grid Table 4 - Accent 3"/>
    <w:basedOn w:val="776"/>
    <w:uiPriority w:val="59"/>
    <w:qFormat/>
    <w:tblPr/>
  </w:style>
  <w:style w:type="table" w:styleId="931" w:customStyle="1">
    <w:name w:val="Grid Table 4 - Accent 4"/>
    <w:basedOn w:val="776"/>
    <w:uiPriority w:val="59"/>
    <w:qFormat/>
    <w:tblPr/>
  </w:style>
  <w:style w:type="table" w:styleId="932" w:customStyle="1">
    <w:name w:val="Grid Table 4 - Accent 5"/>
    <w:basedOn w:val="776"/>
    <w:uiPriority w:val="59"/>
    <w:qFormat/>
    <w:tblPr/>
  </w:style>
  <w:style w:type="table" w:styleId="933" w:customStyle="1">
    <w:name w:val="Grid Table 4 - Accent 6"/>
    <w:basedOn w:val="776"/>
    <w:uiPriority w:val="59"/>
    <w:qFormat/>
    <w:tblPr/>
  </w:style>
  <w:style w:type="table" w:styleId="934" w:customStyle="1">
    <w:name w:val="Grid Table 5 Dark- Accent 1"/>
    <w:basedOn w:val="776"/>
    <w:uiPriority w:val="99"/>
    <w:qFormat/>
    <w:tblPr/>
  </w:style>
  <w:style w:type="table" w:styleId="935" w:customStyle="1">
    <w:name w:val="Grid Table 5 Dark - Accent 2"/>
    <w:basedOn w:val="776"/>
    <w:uiPriority w:val="99"/>
    <w:qFormat/>
    <w:tblPr/>
  </w:style>
  <w:style w:type="table" w:styleId="936" w:customStyle="1">
    <w:name w:val="Grid Table 5 Dark - Accent 3"/>
    <w:basedOn w:val="776"/>
    <w:uiPriority w:val="99"/>
    <w:qFormat/>
    <w:tblPr/>
  </w:style>
  <w:style w:type="table" w:styleId="937" w:customStyle="1">
    <w:name w:val="Grid Table 5 Dark- Accent 4"/>
    <w:basedOn w:val="776"/>
    <w:uiPriority w:val="99"/>
    <w:qFormat/>
    <w:tblPr/>
  </w:style>
  <w:style w:type="table" w:styleId="938" w:customStyle="1">
    <w:name w:val="Grid Table 5 Dark - Accent 5"/>
    <w:basedOn w:val="776"/>
    <w:uiPriority w:val="99"/>
    <w:qFormat/>
    <w:tblPr/>
  </w:style>
  <w:style w:type="table" w:styleId="939" w:customStyle="1">
    <w:name w:val="Grid Table 5 Dark - Accent 6"/>
    <w:basedOn w:val="776"/>
    <w:uiPriority w:val="99"/>
    <w:qFormat/>
    <w:tblPr/>
  </w:style>
  <w:style w:type="table" w:styleId="940" w:customStyle="1">
    <w:name w:val="Grid Table 6 Colorful - Accent 1"/>
    <w:basedOn w:val="776"/>
    <w:uiPriority w:val="99"/>
    <w:qFormat/>
    <w:tblPr/>
  </w:style>
  <w:style w:type="table" w:styleId="941" w:customStyle="1">
    <w:name w:val="Grid Table 6 Colorful - Accent 2"/>
    <w:basedOn w:val="776"/>
    <w:uiPriority w:val="99"/>
    <w:qFormat/>
    <w:tblPr/>
  </w:style>
  <w:style w:type="table" w:styleId="942" w:customStyle="1">
    <w:name w:val="Grid Table 6 Colorful - Accent 3"/>
    <w:basedOn w:val="776"/>
    <w:uiPriority w:val="99"/>
    <w:qFormat/>
    <w:tblPr/>
  </w:style>
  <w:style w:type="table" w:styleId="943" w:customStyle="1">
    <w:name w:val="Grid Table 6 Colorful - Accent 4"/>
    <w:basedOn w:val="776"/>
    <w:uiPriority w:val="99"/>
    <w:qFormat/>
    <w:tblPr/>
  </w:style>
  <w:style w:type="table" w:styleId="944" w:customStyle="1">
    <w:name w:val="Grid Table 6 Colorful - Accent 5"/>
    <w:basedOn w:val="776"/>
    <w:uiPriority w:val="99"/>
    <w:qFormat/>
    <w:tblPr/>
  </w:style>
  <w:style w:type="table" w:styleId="945" w:customStyle="1">
    <w:name w:val="Grid Table 6 Colorful - Accent 6"/>
    <w:basedOn w:val="776"/>
    <w:uiPriority w:val="99"/>
    <w:qFormat/>
    <w:tblPr/>
  </w:style>
  <w:style w:type="table" w:styleId="946" w:customStyle="1">
    <w:name w:val="Grid Table 7 Colorful - Accent 1"/>
    <w:basedOn w:val="776"/>
    <w:uiPriority w:val="99"/>
    <w:qFormat/>
    <w:tblPr/>
  </w:style>
  <w:style w:type="table" w:styleId="947" w:customStyle="1">
    <w:name w:val="Grid Table 7 Colorful - Accent 2"/>
    <w:basedOn w:val="776"/>
    <w:uiPriority w:val="99"/>
    <w:qFormat/>
    <w:tblPr/>
  </w:style>
  <w:style w:type="table" w:styleId="948" w:customStyle="1">
    <w:name w:val="Grid Table 7 Colorful - Accent 3"/>
    <w:basedOn w:val="776"/>
    <w:uiPriority w:val="99"/>
    <w:qFormat/>
    <w:tblPr/>
  </w:style>
  <w:style w:type="table" w:styleId="949" w:customStyle="1">
    <w:name w:val="Grid Table 7 Colorful - Accent 4"/>
    <w:basedOn w:val="776"/>
    <w:uiPriority w:val="99"/>
    <w:qFormat/>
    <w:tblPr/>
  </w:style>
  <w:style w:type="table" w:styleId="950" w:customStyle="1">
    <w:name w:val="Grid Table 7 Colorful - Accent 5"/>
    <w:basedOn w:val="776"/>
    <w:uiPriority w:val="99"/>
    <w:qFormat/>
    <w:tblPr/>
  </w:style>
  <w:style w:type="table" w:styleId="951" w:customStyle="1">
    <w:name w:val="Grid Table 7 Colorful - Accent 6"/>
    <w:basedOn w:val="776"/>
    <w:uiPriority w:val="99"/>
    <w:qFormat/>
    <w:tblPr/>
  </w:style>
  <w:style w:type="table" w:styleId="952" w:customStyle="1">
    <w:name w:val="List Table 1 Light - Accent 1"/>
    <w:basedOn w:val="776"/>
    <w:uiPriority w:val="99"/>
    <w:qFormat/>
    <w:tblPr/>
  </w:style>
  <w:style w:type="table" w:styleId="953" w:customStyle="1">
    <w:name w:val="List Table 1 Light - Accent 2"/>
    <w:basedOn w:val="776"/>
    <w:uiPriority w:val="99"/>
    <w:qFormat/>
    <w:tblPr/>
  </w:style>
  <w:style w:type="table" w:styleId="954" w:customStyle="1">
    <w:name w:val="List Table 1 Light - Accent 3"/>
    <w:basedOn w:val="776"/>
    <w:uiPriority w:val="99"/>
    <w:qFormat/>
    <w:tblPr/>
  </w:style>
  <w:style w:type="table" w:styleId="955" w:customStyle="1">
    <w:name w:val="List Table 1 Light - Accent 4"/>
    <w:basedOn w:val="776"/>
    <w:uiPriority w:val="99"/>
    <w:qFormat/>
    <w:tblPr/>
  </w:style>
  <w:style w:type="table" w:styleId="956" w:customStyle="1">
    <w:name w:val="List Table 1 Light - Accent 5"/>
    <w:basedOn w:val="776"/>
    <w:uiPriority w:val="99"/>
    <w:qFormat/>
    <w:tblPr/>
  </w:style>
  <w:style w:type="table" w:styleId="957" w:customStyle="1">
    <w:name w:val="List Table 1 Light - Accent 6"/>
    <w:basedOn w:val="776"/>
    <w:uiPriority w:val="99"/>
    <w:qFormat/>
    <w:tblPr/>
  </w:style>
  <w:style w:type="table" w:styleId="958" w:customStyle="1">
    <w:name w:val="List Table 2 - Accent 1"/>
    <w:basedOn w:val="776"/>
    <w:uiPriority w:val="99"/>
    <w:qFormat/>
    <w:tblPr/>
  </w:style>
  <w:style w:type="table" w:styleId="959" w:customStyle="1">
    <w:name w:val="List Table 2 - Accent 2"/>
    <w:basedOn w:val="776"/>
    <w:uiPriority w:val="99"/>
    <w:qFormat/>
    <w:tblPr/>
  </w:style>
  <w:style w:type="table" w:styleId="960" w:customStyle="1">
    <w:name w:val="List Table 2 - Accent 3"/>
    <w:basedOn w:val="776"/>
    <w:uiPriority w:val="99"/>
    <w:qFormat/>
    <w:tblPr/>
  </w:style>
  <w:style w:type="table" w:styleId="961" w:customStyle="1">
    <w:name w:val="List Table 2 - Accent 4"/>
    <w:basedOn w:val="776"/>
    <w:uiPriority w:val="99"/>
    <w:qFormat/>
    <w:tblPr/>
  </w:style>
  <w:style w:type="table" w:styleId="962" w:customStyle="1">
    <w:name w:val="List Table 2 - Accent 5"/>
    <w:basedOn w:val="776"/>
    <w:uiPriority w:val="99"/>
    <w:qFormat/>
    <w:tblPr/>
  </w:style>
  <w:style w:type="table" w:styleId="963" w:customStyle="1">
    <w:name w:val="List Table 2 - Accent 6"/>
    <w:basedOn w:val="776"/>
    <w:uiPriority w:val="99"/>
    <w:qFormat/>
    <w:tblPr/>
  </w:style>
  <w:style w:type="table" w:styleId="964" w:customStyle="1">
    <w:name w:val="List Table 3 - Accent 1"/>
    <w:basedOn w:val="776"/>
    <w:uiPriority w:val="99"/>
    <w:qFormat/>
    <w:tblPr/>
  </w:style>
  <w:style w:type="table" w:styleId="965" w:customStyle="1">
    <w:name w:val="List Table 3 - Accent 2"/>
    <w:basedOn w:val="776"/>
    <w:uiPriority w:val="99"/>
    <w:qFormat/>
    <w:tblPr/>
  </w:style>
  <w:style w:type="table" w:styleId="966" w:customStyle="1">
    <w:name w:val="List Table 3 - Accent 3"/>
    <w:basedOn w:val="776"/>
    <w:uiPriority w:val="99"/>
    <w:qFormat/>
    <w:tblPr/>
  </w:style>
  <w:style w:type="table" w:styleId="967" w:customStyle="1">
    <w:name w:val="List Table 3 - Accent 4"/>
    <w:basedOn w:val="776"/>
    <w:uiPriority w:val="99"/>
    <w:qFormat/>
    <w:tblPr/>
  </w:style>
  <w:style w:type="table" w:styleId="968" w:customStyle="1">
    <w:name w:val="List Table 3 - Accent 5"/>
    <w:basedOn w:val="776"/>
    <w:uiPriority w:val="99"/>
    <w:qFormat/>
    <w:tblPr/>
  </w:style>
  <w:style w:type="table" w:styleId="969" w:customStyle="1">
    <w:name w:val="List Table 3 - Accent 6"/>
    <w:basedOn w:val="776"/>
    <w:uiPriority w:val="99"/>
    <w:qFormat/>
    <w:tblPr/>
  </w:style>
  <w:style w:type="table" w:styleId="970" w:customStyle="1">
    <w:name w:val="List Table 4 - Accent 1"/>
    <w:basedOn w:val="776"/>
    <w:uiPriority w:val="99"/>
    <w:qFormat/>
    <w:tblPr/>
  </w:style>
  <w:style w:type="table" w:styleId="971" w:customStyle="1">
    <w:name w:val="List Table 4 - Accent 2"/>
    <w:basedOn w:val="776"/>
    <w:uiPriority w:val="99"/>
    <w:qFormat/>
    <w:tblPr/>
  </w:style>
  <w:style w:type="table" w:styleId="972" w:customStyle="1">
    <w:name w:val="List Table 4 - Accent 3"/>
    <w:basedOn w:val="776"/>
    <w:uiPriority w:val="99"/>
    <w:qFormat/>
    <w:tblPr/>
  </w:style>
  <w:style w:type="table" w:styleId="973" w:customStyle="1">
    <w:name w:val="List Table 4 - Accent 4"/>
    <w:basedOn w:val="776"/>
    <w:uiPriority w:val="99"/>
    <w:qFormat/>
    <w:tblPr/>
  </w:style>
  <w:style w:type="table" w:styleId="974" w:customStyle="1">
    <w:name w:val="List Table 4 - Accent 5"/>
    <w:basedOn w:val="776"/>
    <w:uiPriority w:val="99"/>
    <w:qFormat/>
    <w:tblPr/>
  </w:style>
  <w:style w:type="table" w:styleId="975" w:customStyle="1">
    <w:name w:val="List Table 4 - Accent 6"/>
    <w:basedOn w:val="776"/>
    <w:uiPriority w:val="99"/>
    <w:qFormat/>
    <w:tblPr/>
  </w:style>
  <w:style w:type="table" w:styleId="976" w:customStyle="1">
    <w:name w:val="List Table 5 Dark - Accent 1"/>
    <w:basedOn w:val="776"/>
    <w:uiPriority w:val="99"/>
    <w:qFormat/>
    <w:tblPr/>
  </w:style>
  <w:style w:type="table" w:styleId="977" w:customStyle="1">
    <w:name w:val="List Table 5 Dark - Accent 2"/>
    <w:basedOn w:val="776"/>
    <w:uiPriority w:val="99"/>
    <w:qFormat/>
    <w:tblPr/>
  </w:style>
  <w:style w:type="table" w:styleId="978" w:customStyle="1">
    <w:name w:val="List Table 5 Dark - Accent 3"/>
    <w:basedOn w:val="776"/>
    <w:uiPriority w:val="99"/>
    <w:qFormat/>
    <w:tblPr/>
  </w:style>
  <w:style w:type="table" w:styleId="979" w:customStyle="1">
    <w:name w:val="List Table 5 Dark - Accent 4"/>
    <w:basedOn w:val="776"/>
    <w:uiPriority w:val="99"/>
    <w:qFormat/>
    <w:tblPr/>
  </w:style>
  <w:style w:type="table" w:styleId="980" w:customStyle="1">
    <w:name w:val="List Table 5 Dark - Accent 5"/>
    <w:basedOn w:val="776"/>
    <w:uiPriority w:val="99"/>
    <w:qFormat/>
    <w:tblPr/>
  </w:style>
  <w:style w:type="table" w:styleId="981" w:customStyle="1">
    <w:name w:val="List Table 5 Dark - Accent 6"/>
    <w:basedOn w:val="776"/>
    <w:uiPriority w:val="99"/>
    <w:qFormat/>
    <w:tblPr/>
  </w:style>
  <w:style w:type="table" w:styleId="982" w:customStyle="1">
    <w:name w:val="List Table 6 Colorful - Accent 1"/>
    <w:basedOn w:val="776"/>
    <w:uiPriority w:val="99"/>
    <w:qFormat/>
    <w:tblPr/>
  </w:style>
  <w:style w:type="table" w:styleId="983" w:customStyle="1">
    <w:name w:val="List Table 6 Colorful - Accent 2"/>
    <w:basedOn w:val="776"/>
    <w:uiPriority w:val="99"/>
    <w:qFormat/>
    <w:tblPr/>
  </w:style>
  <w:style w:type="table" w:styleId="984" w:customStyle="1">
    <w:name w:val="List Table 6 Colorful - Accent 3"/>
    <w:basedOn w:val="776"/>
    <w:uiPriority w:val="99"/>
    <w:qFormat/>
    <w:tblPr/>
  </w:style>
  <w:style w:type="table" w:styleId="985" w:customStyle="1">
    <w:name w:val="List Table 6 Colorful - Accent 4"/>
    <w:basedOn w:val="776"/>
    <w:uiPriority w:val="99"/>
    <w:qFormat/>
    <w:tblPr/>
  </w:style>
  <w:style w:type="table" w:styleId="986" w:customStyle="1">
    <w:name w:val="List Table 6 Colorful - Accent 5"/>
    <w:basedOn w:val="776"/>
    <w:uiPriority w:val="99"/>
    <w:qFormat/>
    <w:tblPr/>
  </w:style>
  <w:style w:type="table" w:styleId="987" w:customStyle="1">
    <w:name w:val="List Table 6 Colorful - Accent 6"/>
    <w:basedOn w:val="776"/>
    <w:uiPriority w:val="99"/>
    <w:qFormat/>
    <w:tblPr/>
  </w:style>
  <w:style w:type="table" w:styleId="988" w:customStyle="1">
    <w:name w:val="List Table 7 Colorful - Accent 1"/>
    <w:basedOn w:val="776"/>
    <w:uiPriority w:val="99"/>
    <w:qFormat/>
    <w:tblPr/>
  </w:style>
  <w:style w:type="table" w:styleId="989" w:customStyle="1">
    <w:name w:val="List Table 7 Colorful - Accent 2"/>
    <w:basedOn w:val="776"/>
    <w:uiPriority w:val="99"/>
    <w:qFormat/>
    <w:tblPr/>
  </w:style>
  <w:style w:type="table" w:styleId="990" w:customStyle="1">
    <w:name w:val="List Table 7 Colorful - Accent 3"/>
    <w:basedOn w:val="776"/>
    <w:uiPriority w:val="99"/>
    <w:qFormat/>
    <w:tblPr/>
  </w:style>
  <w:style w:type="table" w:styleId="991" w:customStyle="1">
    <w:name w:val="List Table 7 Colorful - Accent 4"/>
    <w:basedOn w:val="776"/>
    <w:uiPriority w:val="99"/>
    <w:qFormat/>
    <w:tblPr/>
  </w:style>
  <w:style w:type="table" w:styleId="992" w:customStyle="1">
    <w:name w:val="List Table 7 Colorful - Accent 5"/>
    <w:basedOn w:val="776"/>
    <w:uiPriority w:val="99"/>
    <w:qFormat/>
    <w:tblPr/>
  </w:style>
  <w:style w:type="table" w:styleId="993" w:customStyle="1">
    <w:name w:val="List Table 7 Colorful - Accent 6"/>
    <w:basedOn w:val="776"/>
    <w:uiPriority w:val="99"/>
    <w:qFormat/>
    <w:tblPr/>
  </w:style>
  <w:style w:type="table" w:styleId="994" w:customStyle="1">
    <w:name w:val="Lined - Accent"/>
    <w:basedOn w:val="776"/>
    <w:uiPriority w:val="99"/>
    <w:qFormat/>
    <w:rPr>
      <w:color w:val="404040"/>
    </w:rPr>
    <w:tblPr/>
  </w:style>
  <w:style w:type="table" w:styleId="995" w:customStyle="1">
    <w:name w:val="Lined - Accent 1"/>
    <w:basedOn w:val="776"/>
    <w:uiPriority w:val="99"/>
    <w:qFormat/>
    <w:rPr>
      <w:color w:val="404040"/>
    </w:rPr>
    <w:tblPr/>
  </w:style>
  <w:style w:type="table" w:styleId="996" w:customStyle="1">
    <w:name w:val="Lined - Accent 2"/>
    <w:basedOn w:val="776"/>
    <w:uiPriority w:val="99"/>
    <w:qFormat/>
    <w:rPr>
      <w:color w:val="404040"/>
    </w:rPr>
    <w:tblPr/>
  </w:style>
  <w:style w:type="table" w:styleId="997" w:customStyle="1">
    <w:name w:val="Lined - Accent 3"/>
    <w:basedOn w:val="776"/>
    <w:uiPriority w:val="99"/>
    <w:qFormat/>
    <w:rPr>
      <w:color w:val="404040"/>
    </w:rPr>
    <w:tblPr/>
  </w:style>
  <w:style w:type="table" w:styleId="998" w:customStyle="1">
    <w:name w:val="Lined - Accent 4"/>
    <w:basedOn w:val="776"/>
    <w:uiPriority w:val="99"/>
    <w:qFormat/>
    <w:rPr>
      <w:color w:val="404040"/>
    </w:rPr>
    <w:tblPr/>
  </w:style>
  <w:style w:type="table" w:styleId="999" w:customStyle="1">
    <w:name w:val="Lined - Accent 5"/>
    <w:basedOn w:val="776"/>
    <w:uiPriority w:val="99"/>
    <w:qFormat/>
    <w:rPr>
      <w:color w:val="404040"/>
    </w:rPr>
    <w:tblPr/>
  </w:style>
  <w:style w:type="table" w:styleId="1000" w:customStyle="1">
    <w:name w:val="Lined - Accent 6"/>
    <w:basedOn w:val="776"/>
    <w:uiPriority w:val="99"/>
    <w:qFormat/>
    <w:rPr>
      <w:color w:val="404040"/>
    </w:rPr>
    <w:tblPr/>
  </w:style>
  <w:style w:type="table" w:styleId="1001" w:customStyle="1">
    <w:name w:val="Bordered &amp; Lined - Accent"/>
    <w:basedOn w:val="776"/>
    <w:uiPriority w:val="99"/>
    <w:qFormat/>
    <w:rPr>
      <w:color w:val="404040"/>
    </w:rPr>
    <w:tblPr/>
  </w:style>
  <w:style w:type="table" w:styleId="1002" w:customStyle="1">
    <w:name w:val="Bordered &amp; Lined - Accent 1"/>
    <w:basedOn w:val="776"/>
    <w:uiPriority w:val="99"/>
    <w:qFormat/>
    <w:rPr>
      <w:color w:val="404040"/>
    </w:rPr>
    <w:tblPr/>
  </w:style>
  <w:style w:type="table" w:styleId="1003" w:customStyle="1">
    <w:name w:val="Bordered &amp; Lined - Accent 2"/>
    <w:basedOn w:val="776"/>
    <w:uiPriority w:val="99"/>
    <w:qFormat/>
    <w:rPr>
      <w:color w:val="404040"/>
    </w:rPr>
    <w:tblPr/>
  </w:style>
  <w:style w:type="table" w:styleId="1004" w:customStyle="1">
    <w:name w:val="Bordered &amp; Lined - Accent 3"/>
    <w:basedOn w:val="776"/>
    <w:uiPriority w:val="99"/>
    <w:qFormat/>
    <w:rPr>
      <w:color w:val="404040"/>
    </w:rPr>
    <w:tblPr/>
  </w:style>
  <w:style w:type="table" w:styleId="1005" w:customStyle="1">
    <w:name w:val="Bordered &amp; Lined - Accent 4"/>
    <w:basedOn w:val="776"/>
    <w:uiPriority w:val="99"/>
    <w:qFormat/>
    <w:rPr>
      <w:color w:val="404040"/>
    </w:rPr>
    <w:tblPr/>
  </w:style>
  <w:style w:type="table" w:styleId="1006" w:customStyle="1">
    <w:name w:val="Bordered &amp; Lined - Accent 5"/>
    <w:basedOn w:val="776"/>
    <w:uiPriority w:val="99"/>
    <w:qFormat/>
    <w:rPr>
      <w:color w:val="404040"/>
    </w:rPr>
    <w:tblPr/>
  </w:style>
  <w:style w:type="table" w:styleId="1007" w:customStyle="1">
    <w:name w:val="Bordered &amp; Lined - Accent 6"/>
    <w:basedOn w:val="776"/>
    <w:uiPriority w:val="99"/>
    <w:qFormat/>
    <w:rPr>
      <w:color w:val="404040"/>
    </w:rPr>
    <w:tblPr/>
  </w:style>
  <w:style w:type="table" w:styleId="1008" w:customStyle="1">
    <w:name w:val="Bordered"/>
    <w:basedOn w:val="776"/>
    <w:uiPriority w:val="99"/>
    <w:qFormat/>
    <w:tblPr/>
  </w:style>
  <w:style w:type="table" w:styleId="1009" w:customStyle="1">
    <w:name w:val="Bordered - Accent 1"/>
    <w:basedOn w:val="776"/>
    <w:uiPriority w:val="99"/>
    <w:qFormat/>
    <w:tblPr/>
  </w:style>
  <w:style w:type="table" w:styleId="1010" w:customStyle="1">
    <w:name w:val="Bordered - Accent 2"/>
    <w:basedOn w:val="776"/>
    <w:uiPriority w:val="99"/>
    <w:qFormat/>
    <w:tblPr/>
  </w:style>
  <w:style w:type="table" w:styleId="1011" w:customStyle="1">
    <w:name w:val="Bordered - Accent 3"/>
    <w:basedOn w:val="776"/>
    <w:uiPriority w:val="99"/>
    <w:qFormat/>
    <w:tblPr/>
  </w:style>
  <w:style w:type="table" w:styleId="1012" w:customStyle="1">
    <w:name w:val="Bordered - Accent 4"/>
    <w:basedOn w:val="776"/>
    <w:uiPriority w:val="99"/>
    <w:qFormat/>
    <w:tblPr/>
  </w:style>
  <w:style w:type="table" w:styleId="1013" w:customStyle="1">
    <w:name w:val="Bordered - Accent 5"/>
    <w:basedOn w:val="776"/>
    <w:uiPriority w:val="99"/>
    <w:qFormat/>
    <w:tblPr/>
  </w:style>
  <w:style w:type="table" w:styleId="1014" w:customStyle="1">
    <w:name w:val="Bordered - Accent 6"/>
    <w:basedOn w:val="776"/>
    <w:uiPriority w:val="99"/>
    <w:qFormat/>
    <w:tblPr/>
  </w:style>
  <w:style w:type="paragraph" w:styleId="1015" w:customStyle="1">
    <w:name w:val="TOC 标题11"/>
    <w:uiPriority w:val="39"/>
    <w:unhideWhenUsed/>
    <w:qFormat/>
    <w:rPr>
      <w:rFonts w:hint="default" w:ascii="Times New Roman" w:hAnsi="Times New Roman" w:eastAsia="宋体" w:cs="Times New Roman"/>
      <w:lang w:val="en-US" w:eastAsia="zh-CN" w:bidi="ar-SA"/>
    </w:rPr>
  </w:style>
  <w:style w:type="paragraph" w:styleId="1016" w:customStyle="1">
    <w:name w:val="Normal_0"/>
    <w:uiPriority w:val="0"/>
    <w:qFormat/>
    <w:rPr>
      <w:rFonts w:hint="default" w:ascii="黑体" w:hAnsi="黑体" w:eastAsia="黑体" w:cs="Times New Roman"/>
      <w:b/>
      <w:sz w:val="32"/>
      <w:szCs w:val="24"/>
      <w:lang w:val="en-US" w:eastAsia="zh-CN" w:bidi="ar-SA"/>
    </w:rPr>
  </w:style>
  <w:style w:type="paragraph" w:styleId="1017" w:customStyle="1">
    <w:name w:val="Normal_0_3"/>
    <w:uiPriority w:val="0"/>
    <w:qFormat/>
    <w:rPr>
      <w:rFonts w:hint="default" w:ascii="黑体" w:hAnsi="黑体" w:eastAsia="黑体" w:cs="黑体"/>
      <w:b/>
      <w:sz w:val="32"/>
      <w:szCs w:val="24"/>
      <w:lang w:val="en-US" w:eastAsia="zh-CN" w:bidi="ar-SA"/>
    </w:rPr>
  </w:style>
  <w:style w:type="paragraph" w:styleId="1018" w:customStyle="1">
    <w:name w:val="正文首行缩进 2_0"/>
    <w:basedOn w:val="1019"/>
    <w:uiPriority w:val="0"/>
    <w:qFormat/>
    <w:pPr>
      <w:ind w:left="200" w:firstLine="200"/>
      <w:spacing w:after="120"/>
    </w:pPr>
    <w:rPr>
      <w:rFonts w:ascii="Times New Roman" w:hAnsi="Times New Roman"/>
      <w:sz w:val="24"/>
      <w:szCs w:val="24"/>
    </w:rPr>
  </w:style>
  <w:style w:type="paragraph" w:styleId="1019" w:customStyle="1">
    <w:name w:val="正文文本缩进_0"/>
    <w:basedOn w:val="1020"/>
    <w:uiPriority w:val="0"/>
    <w:qFormat/>
    <w:pPr>
      <w:ind w:firstLine="225"/>
    </w:pPr>
    <w:rPr>
      <w:rFonts w:ascii="仿宋_GB2312" w:eastAsia="仿宋_GB2312"/>
      <w:sz w:val="32"/>
    </w:rPr>
  </w:style>
  <w:style w:type="paragraph" w:styleId="1020" w:customStyle="1">
    <w:name w:val="正文_2"/>
    <w:next w:val="1021"/>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文本_0"/>
    <w:basedOn w:val="881"/>
    <w:next w:val="1020"/>
    <w:uiPriority w:val="0"/>
    <w:qFormat/>
    <w:pPr>
      <w:spacing w:line="60" w:lineRule="auto"/>
    </w:pPr>
    <w:rPr>
      <w:rFonts w:ascii="仿宋_GB2312" w:eastAsia="仿宋_GB2312"/>
      <w:sz w:val="32"/>
    </w:rPr>
  </w:style>
  <w:style w:type="paragraph" w:styleId="1022" w:customStyle="1">
    <w:name w:val="Normal_0_2"/>
    <w:next w:val="1023"/>
    <w:uiPriority w:val="0"/>
    <w:qFormat/>
    <w:rPr>
      <w:rFonts w:hint="default" w:ascii="黑体" w:hAnsi="黑体" w:eastAsia="黑体" w:cs="黑体"/>
      <w:b/>
      <w:sz w:val="32"/>
      <w:szCs w:val="24"/>
      <w:lang w:val="en-US" w:eastAsia="zh-CN" w:bidi="ar-SA"/>
    </w:rPr>
  </w:style>
  <w:style w:type="paragraph" w:styleId="1023" w:customStyle="1">
    <w:name w:val="Body Text First Indent_1"/>
    <w:basedOn w:val="768"/>
    <w:uiPriority w:val="99"/>
    <w:unhideWhenUsed/>
    <w:qFormat/>
    <w:pPr>
      <w:ind w:firstLine="420"/>
      <w:spacing w:after="120"/>
    </w:pPr>
    <w:rPr>
      <w:rFonts w:eastAsia="Times New Roman"/>
    </w:rPr>
  </w:style>
  <w:style w:type="paragraph" w:styleId="102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0_1"/>
    <w:next w:val="1026"/>
    <w:uiPriority w:val="0"/>
    <w:qFormat/>
    <w:rPr>
      <w:rFonts w:hint="default" w:ascii="黑体" w:hAnsi="黑体" w:eastAsia="黑体" w:cs="黑体"/>
      <w:b/>
      <w:sz w:val="32"/>
      <w:szCs w:val="24"/>
      <w:lang w:val="en-US" w:eastAsia="zh-CN" w:bidi="ar-SA"/>
    </w:rPr>
  </w:style>
  <w:style w:type="paragraph" w:styleId="1026" w:customStyle="1">
    <w:name w:val="Body Text First Indent_0"/>
    <w:basedOn w:val="1027"/>
    <w:uiPriority w:val="99"/>
    <w:unhideWhenUsed/>
    <w:qFormat/>
    <w:pPr>
      <w:ind w:firstLine="420"/>
      <w:spacing w:after="120"/>
    </w:pPr>
  </w:style>
  <w:style w:type="paragraph" w:styleId="1027" w:customStyle="1">
    <w:name w:val="正文3"/>
    <w:next w:val="1028"/>
    <w:uiPriority w:val="0"/>
    <w:qFormat/>
    <w:rPr>
      <w:rFonts w:hint="default" w:ascii="Times New Roman" w:hAnsi="Times New Roman" w:eastAsia="Times New Roman" w:cs="Times New Roman"/>
      <w:sz w:val="24"/>
      <w:szCs w:val="24"/>
      <w:lang w:val="en-US" w:eastAsia="zh-CN" w:bidi="ar-SA"/>
    </w:rPr>
  </w:style>
  <w:style w:type="paragraph" w:styleId="1028" w:customStyle="1">
    <w:name w:val="正文首行缩进3"/>
    <w:basedOn w:val="765"/>
    <w:uiPriority w:val="99"/>
    <w:unhideWhenUsed/>
    <w:qFormat/>
    <w:pPr>
      <w:ind w:firstLine="420"/>
      <w:spacing w:after="120"/>
    </w:pPr>
    <w:rPr>
      <w:sz w:val="20"/>
    </w:rPr>
  </w:style>
  <w:style w:type="paragraph" w:styleId="1029" w:customStyle="1">
    <w:name w:val="Normal_1_1"/>
    <w:uiPriority w:val="0"/>
    <w:qFormat/>
    <w:rPr>
      <w:rFonts w:hint="default" w:ascii="黑体" w:hAnsi="黑体" w:eastAsia="黑体" w:cs="黑体"/>
      <w:b/>
      <w:sz w:val="32"/>
      <w:szCs w:val="24"/>
      <w:lang w:val="en-US" w:eastAsia="zh-CN" w:bidi="ar-SA"/>
    </w:rPr>
  </w:style>
  <w:style w:type="paragraph" w:styleId="103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Normal_2_0"/>
    <w:uiPriority w:val="0"/>
    <w:qFormat/>
    <w:rPr>
      <w:rFonts w:hint="default" w:ascii="黑体" w:hAnsi="黑体" w:eastAsia="黑体" w:cs="黑体"/>
      <w:b/>
      <w:sz w:val="32"/>
      <w:szCs w:val="24"/>
      <w:lang w:val="en-US" w:eastAsia="zh-CN" w:bidi="ar-SA"/>
    </w:rPr>
  </w:style>
  <w:style w:type="paragraph" w:styleId="103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4_0"/>
    <w:uiPriority w:val="0"/>
    <w:qFormat/>
    <w:rPr>
      <w:rFonts w:hint="default" w:ascii="黑体" w:hAnsi="黑体" w:eastAsia="黑体" w:cs="黑体"/>
      <w:b/>
      <w:sz w:val="32"/>
      <w:szCs w:val="24"/>
      <w:lang w:val="en-US" w:eastAsia="zh-CN" w:bidi="ar-SA"/>
    </w:rPr>
  </w:style>
  <w:style w:type="paragraph" w:styleId="103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6_0"/>
    <w:uiPriority w:val="0"/>
    <w:qFormat/>
    <w:rPr>
      <w:rFonts w:hint="default" w:ascii="黑体" w:hAnsi="黑体" w:eastAsia="黑体" w:cs="黑体"/>
      <w:b/>
      <w:sz w:val="32"/>
      <w:szCs w:val="24"/>
      <w:lang w:val="en-US" w:eastAsia="zh-CN" w:bidi="ar-SA"/>
    </w:rPr>
  </w:style>
  <w:style w:type="paragraph" w:styleId="103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40" w:customStyle="1">
    <w:name w:val="Normal_7_0"/>
    <w:uiPriority w:val="0"/>
    <w:qFormat/>
    <w:rPr>
      <w:rFonts w:hint="default" w:ascii="黑体" w:hAnsi="黑体" w:eastAsia="黑体" w:cs="黑体"/>
      <w:b/>
      <w:sz w:val="32"/>
      <w:szCs w:val="24"/>
      <w:lang w:val="en-US" w:eastAsia="zh-CN" w:bidi="ar-SA"/>
    </w:rPr>
  </w:style>
  <w:style w:type="paragraph" w:styleId="104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3" w:customStyle="1">
    <w:name w:val="Normal_10_0"/>
    <w:uiPriority w:val="0"/>
    <w:qFormat/>
    <w:rPr>
      <w:rFonts w:hint="default" w:ascii="黑体" w:hAnsi="黑体" w:eastAsia="黑体" w:cs="黑体"/>
      <w:b/>
      <w:sz w:val="32"/>
      <w:szCs w:val="24"/>
      <w:lang w:val="en-US" w:eastAsia="zh-CN" w:bidi="ar-SA"/>
    </w:rPr>
  </w:style>
  <w:style w:type="paragraph" w:styleId="1044" w:customStyle="1">
    <w:name w:val="正文_3"/>
    <w:next w:val="1045"/>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首行缩进 2_1"/>
    <w:basedOn w:val="1046"/>
    <w:next w:val="1048"/>
    <w:uiPriority w:val="0"/>
    <w:qFormat/>
    <w:pPr>
      <w:ind w:left="200" w:firstLine="200"/>
      <w:spacing w:after="120"/>
    </w:pPr>
    <w:rPr>
      <w:rFonts w:ascii="Times New Roman"/>
      <w:szCs w:val="24"/>
    </w:rPr>
  </w:style>
  <w:style w:type="paragraph" w:styleId="1046" w:customStyle="1">
    <w:name w:val="正文文本缩进_1"/>
    <w:basedOn w:val="1047"/>
    <w:next w:val="1045"/>
    <w:uiPriority w:val="0"/>
    <w:qFormat/>
    <w:pPr>
      <w:ind w:firstLine="225"/>
    </w:pPr>
    <w:rPr>
      <w:rFonts w:ascii="仿宋_GB2312" w:eastAsia="仿宋_GB2312"/>
      <w:sz w:val="32"/>
    </w:rPr>
  </w:style>
  <w:style w:type="paragraph" w:styleId="1047" w:customStyle="1">
    <w:name w:val="正文_18"/>
    <w:next w:val="1046"/>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xl53_0"/>
    <w:next w:val="104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4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11_0"/>
    <w:uiPriority w:val="0"/>
    <w:qFormat/>
    <w:rPr>
      <w:rFonts w:hint="default" w:ascii="黑体" w:hAnsi="黑体" w:eastAsia="黑体" w:cs="黑体"/>
      <w:b/>
      <w:sz w:val="32"/>
      <w:szCs w:val="24"/>
      <w:lang w:val="en-US" w:eastAsia="zh-CN" w:bidi="ar-SA"/>
    </w:rPr>
  </w:style>
  <w:style w:type="paragraph" w:styleId="105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55" w:customStyle="1">
    <w:name w:val="列出段落_2"/>
    <w:basedOn w:val="1053"/>
    <w:uiPriority w:val="34"/>
    <w:qFormat/>
    <w:pPr>
      <w:ind w:firstLine="420"/>
    </w:pPr>
  </w:style>
  <w:style w:type="paragraph" w:styleId="1056" w:customStyle="1">
    <w:name w:val="Normal_13_0"/>
    <w:uiPriority w:val="0"/>
    <w:qFormat/>
    <w:rPr>
      <w:rFonts w:hint="default" w:ascii="黑体" w:hAnsi="黑体" w:eastAsia="黑体" w:cs="黑体"/>
      <w:b/>
      <w:sz w:val="32"/>
      <w:szCs w:val="24"/>
      <w:lang w:val="en-US" w:eastAsia="zh-CN" w:bidi="ar-SA"/>
    </w:rPr>
  </w:style>
  <w:style w:type="paragraph" w:styleId="105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纯文本_0_0"/>
    <w:basedOn w:val="1057"/>
    <w:uiPriority w:val="0"/>
    <w:unhideWhenUsed/>
    <w:qFormat/>
    <w:rPr>
      <w:rFonts w:ascii="宋体" w:hAnsi="Courier New"/>
      <w:szCs w:val="21"/>
    </w:rPr>
  </w:style>
  <w:style w:type="paragraph" w:styleId="105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Normal_14_0"/>
    <w:uiPriority w:val="0"/>
    <w:qFormat/>
    <w:rPr>
      <w:rFonts w:hint="default" w:ascii="黑体" w:hAnsi="黑体" w:eastAsia="黑体" w:cs="黑体"/>
      <w:b/>
      <w:sz w:val="32"/>
      <w:szCs w:val="24"/>
      <w:lang w:val="en-US" w:eastAsia="zh-CN" w:bidi="ar-SA"/>
    </w:rPr>
  </w:style>
  <w:style w:type="paragraph" w:styleId="106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15_0"/>
    <w:uiPriority w:val="0"/>
    <w:qFormat/>
    <w:rPr>
      <w:rFonts w:hint="default" w:ascii="黑体" w:hAnsi="黑体" w:eastAsia="黑体" w:cs="黑体"/>
      <w:b/>
      <w:sz w:val="32"/>
      <w:szCs w:val="24"/>
      <w:lang w:val="en-US" w:eastAsia="zh-CN" w:bidi="ar-SA"/>
    </w:rPr>
  </w:style>
  <w:style w:type="paragraph" w:styleId="106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Normal_16_0"/>
    <w:uiPriority w:val="0"/>
    <w:qFormat/>
    <w:rPr>
      <w:rFonts w:hint="default" w:ascii="黑体" w:hAnsi="黑体" w:eastAsia="黑体" w:cs="黑体"/>
      <w:b/>
      <w:sz w:val="32"/>
      <w:szCs w:val="24"/>
      <w:lang w:val="en-US" w:eastAsia="zh-CN" w:bidi="ar-SA"/>
    </w:rPr>
  </w:style>
  <w:style w:type="paragraph" w:styleId="106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Normal_17_0"/>
    <w:uiPriority w:val="0"/>
    <w:qFormat/>
    <w:rPr>
      <w:rFonts w:hint="default" w:ascii="黑体" w:hAnsi="黑体" w:eastAsia="黑体" w:cs="黑体"/>
      <w:b/>
      <w:sz w:val="32"/>
      <w:szCs w:val="24"/>
      <w:lang w:val="en-US" w:eastAsia="zh-CN" w:bidi="ar-SA"/>
    </w:rPr>
  </w:style>
  <w:style w:type="paragraph" w:styleId="106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18_0"/>
    <w:uiPriority w:val="0"/>
    <w:qFormat/>
    <w:rPr>
      <w:rFonts w:hint="default" w:ascii="黑体" w:hAnsi="黑体" w:eastAsia="黑体" w:cs="黑体"/>
      <w:b/>
      <w:sz w:val="32"/>
      <w:szCs w:val="24"/>
      <w:lang w:val="en-US" w:eastAsia="zh-CN" w:bidi="ar-SA"/>
    </w:rPr>
  </w:style>
  <w:style w:type="paragraph" w:styleId="10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Normal_14_0_0"/>
    <w:uiPriority w:val="0"/>
    <w:qFormat/>
    <w:rPr>
      <w:rFonts w:hint="default" w:ascii="黑体" w:hAnsi="黑体" w:eastAsia="黑体" w:cs="Times New Roman"/>
      <w:b/>
      <w:sz w:val="32"/>
      <w:szCs w:val="24"/>
      <w:lang w:val="en-US" w:eastAsia="zh-CN" w:bidi="ar-SA"/>
    </w:rPr>
  </w:style>
  <w:style w:type="paragraph" w:styleId="107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Normal Indent_0"/>
    <w:basedOn w:val="856"/>
    <w:uiPriority w:val="0"/>
    <w:qFormat/>
    <w:pPr>
      <w:ind w:firstLine="420"/>
    </w:pPr>
    <w:rPr>
      <w:rFonts w:ascii="宋体" w:eastAsia="Times New Roman"/>
      <w:color w:val="000000"/>
      <w:sz w:val="24"/>
      <w:szCs w:val="20"/>
    </w:rPr>
  </w:style>
  <w:style w:type="paragraph" w:styleId="1080" w:customStyle="1">
    <w:name w:val="Heading 3_0"/>
    <w:basedOn w:val="856"/>
    <w:next w:val="856"/>
    <w:uiPriority w:val="0"/>
    <w:qFormat/>
    <w:pPr>
      <w:keepLines/>
      <w:keepNext/>
      <w:spacing w:before="260" w:after="260" w:line="413" w:lineRule="auto"/>
      <w:outlineLvl w:val="2"/>
    </w:pPr>
    <w:rPr>
      <w:rFonts w:ascii="Times New Roman" w:hAnsi="Times New Roman" w:eastAsia="Times New Roman"/>
      <w:szCs w:val="20"/>
    </w:rPr>
  </w:style>
  <w:style w:type="paragraph" w:styleId="10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2"/>
    <w:basedOn w:val="694"/>
    <w:uiPriority w:val="0"/>
    <w:qFormat/>
    <w:pPr>
      <w:ind w:firstLine="510"/>
      <w:spacing w:before="156" w:line="360" w:lineRule="auto"/>
    </w:pPr>
    <w:rPr>
      <w:sz w:val="24"/>
      <w:szCs w:val="20"/>
    </w:rPr>
  </w:style>
  <w:style w:type="paragraph" w:styleId="10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085" w:customStyle="1">
    <w:name w:val="Normal_19_1_0"/>
    <w:next w:val="1086"/>
    <w:uiPriority w:val="0"/>
    <w:qFormat/>
    <w:pPr>
      <w:jc w:val="both"/>
      <w:widowControl w:val="off"/>
    </w:pPr>
    <w:rPr>
      <w:rFonts w:hint="default" w:ascii="Calibri" w:hAnsi="Calibri" w:eastAsia="宋体" w:cs="Times New Roman"/>
      <w:szCs w:val="24"/>
      <w:lang w:val="en-US" w:eastAsia="zh-CN" w:bidi="ar-SA"/>
    </w:rPr>
  </w:style>
  <w:style w:type="paragraph" w:styleId="1086" w:customStyle="1">
    <w:name w:val="正文_16_0"/>
    <w:basedOn w:val="1047"/>
    <w:next w:val="1045"/>
    <w:uiPriority w:val="0"/>
    <w:qFormat/>
    <w:rPr>
      <w:rFonts w:ascii="Times New Roman" w:hAnsi="Times New Roman"/>
    </w:rPr>
  </w:style>
  <w:style w:type="paragraph" w:styleId="1087" w:customStyle="1">
    <w:name w:val="Normal_19_0"/>
    <w:basedOn w:val="763"/>
    <w:next w:val="1088"/>
    <w:uiPriority w:val="0"/>
    <w:qFormat/>
    <w:rPr>
      <w:szCs w:val="24"/>
    </w:rPr>
  </w:style>
  <w:style w:type="paragraph" w:styleId="1088" w:customStyle="1">
    <w:name w:val="Body Text First Indent_1_0"/>
    <w:basedOn w:val="1087"/>
    <w:uiPriority w:val="0"/>
    <w:qFormat/>
    <w:pPr>
      <w:ind w:firstLine="100"/>
      <w:spacing w:after="120"/>
    </w:pPr>
  </w:style>
  <w:style w:type="paragraph" w:styleId="1089" w:customStyle="1">
    <w:name w:val="Body Text_0"/>
    <w:basedOn w:val="1087"/>
    <w:uiPriority w:val="0"/>
    <w:qFormat/>
    <w:pPr>
      <w:spacing w:line="60" w:lineRule="auto"/>
    </w:pPr>
    <w:rPr>
      <w:rFonts w:ascii="仿宋_GB2312" w:eastAsia="仿宋_GB2312"/>
      <w:sz w:val="32"/>
    </w:rPr>
  </w:style>
  <w:style w:type="paragraph" w:styleId="1090" w:customStyle="1">
    <w:name w:val="Normal_19_1"/>
    <w:next w:val="856"/>
    <w:uiPriority w:val="0"/>
    <w:qFormat/>
    <w:pPr>
      <w:jc w:val="both"/>
      <w:widowControl w:val="off"/>
    </w:pPr>
    <w:rPr>
      <w:rFonts w:hint="default" w:ascii="Calibri" w:hAnsi="Calibri" w:eastAsia="宋体" w:cs="Times New Roman"/>
      <w:szCs w:val="24"/>
      <w:lang w:val="en-US" w:eastAsia="zh-CN" w:bidi="ar-SA"/>
    </w:rPr>
  </w:style>
  <w:style w:type="paragraph" w:styleId="109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09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093" w:customStyle="1">
    <w:name w:val="正文1_1"/>
    <w:basedOn w:val="1041"/>
    <w:uiPriority w:val="0"/>
    <w:qFormat/>
    <w:pPr>
      <w:jc w:val="both"/>
      <w:widowControl w:val="off"/>
    </w:pPr>
    <w:rPr>
      <w:sz w:val="20"/>
      <w:szCs w:val="20"/>
    </w:rPr>
  </w:style>
  <w:style w:type="paragraph" w:styleId="109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96" w:customStyle="1">
    <w:name w:val="Normal_16_1"/>
    <w:uiPriority w:val="0"/>
    <w:qFormat/>
    <w:rPr>
      <w:rFonts w:hint="default" w:ascii="黑体" w:hAnsi="黑体" w:eastAsia="黑体" w:cs="Times New Roman"/>
      <w:b/>
      <w:sz w:val="32"/>
      <w:szCs w:val="24"/>
      <w:lang w:val="en-US" w:eastAsia="zh-CN" w:bidi="ar-SA"/>
    </w:rPr>
  </w:style>
  <w:style w:type="paragraph" w:styleId="1097" w:customStyle="1">
    <w:name w:val="Normal_19_0_1"/>
    <w:uiPriority w:val="0"/>
    <w:qFormat/>
    <w:rPr>
      <w:rFonts w:hint="default" w:ascii="Tahoma" w:hAnsi="Tahoma" w:eastAsia="微软雅黑" w:cs="Times New Roman"/>
      <w:lang w:val="en-US" w:eastAsia="zh-CN" w:bidi="ar-SA"/>
    </w:rPr>
  </w:style>
  <w:style w:type="paragraph" w:styleId="109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9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00" w:customStyle="1">
    <w:name w:val="Normal_17_0_0"/>
    <w:uiPriority w:val="0"/>
    <w:qFormat/>
    <w:rPr>
      <w:rFonts w:hint="default" w:ascii="黑体" w:hAnsi="黑体" w:eastAsia="黑体" w:cs="Times New Roman"/>
      <w:b/>
      <w:sz w:val="32"/>
      <w:szCs w:val="24"/>
      <w:lang w:val="en-US" w:eastAsia="zh-CN" w:bidi="ar-SA"/>
    </w:rPr>
  </w:style>
  <w:style w:type="paragraph" w:styleId="1101" w:customStyle="1">
    <w:name w:val="Normal_19_0_1_0"/>
    <w:uiPriority w:val="0"/>
    <w:qFormat/>
    <w:rPr>
      <w:rFonts w:hint="default" w:ascii="Tahoma" w:hAnsi="Tahoma" w:eastAsia="微软雅黑" w:cs="Times New Roman"/>
      <w:lang w:val="en-US" w:eastAsia="zh-CN" w:bidi="ar-SA"/>
    </w:rPr>
  </w:style>
  <w:style w:type="paragraph" w:styleId="1102" w:customStyle="1">
    <w:name w:val="Normal_19_3"/>
    <w:next w:val="1103"/>
    <w:uiPriority w:val="0"/>
    <w:qFormat/>
    <w:pPr>
      <w:jc w:val="both"/>
      <w:widowControl w:val="off"/>
    </w:pPr>
    <w:rPr>
      <w:rFonts w:hint="default" w:ascii="Calibri" w:hAnsi="Calibri" w:eastAsia="Times New Roman" w:cs="Times New Roman"/>
      <w:szCs w:val="24"/>
      <w:lang w:val="en-US" w:eastAsia="zh-CN" w:bidi="ar-SA"/>
    </w:rPr>
  </w:style>
  <w:style w:type="paragraph" w:styleId="110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05" w:customStyle="1">
    <w:name w:val="custom-tag-placeholder-class"/>
    <w:uiPriority w:val="0"/>
    <w:qFormat/>
  </w:style>
  <w:style w:type="paragraph" w:styleId="1106" w:customStyle="1">
    <w:name w:val="Normal_19_0_0"/>
    <w:basedOn w:val="856"/>
    <w:next w:val="1107"/>
    <w:uiPriority w:val="0"/>
    <w:qFormat/>
    <w:rPr>
      <w:rFonts w:ascii="Calibri" w:hAnsi="Calibri" w:eastAsia="Times New Roman"/>
      <w:sz w:val="24"/>
    </w:rPr>
  </w:style>
  <w:style w:type="paragraph" w:styleId="1107" w:customStyle="1">
    <w:name w:val="Body Text First Indent_1_0_0"/>
    <w:basedOn w:val="1106"/>
    <w:uiPriority w:val="0"/>
    <w:qFormat/>
    <w:pPr>
      <w:ind w:firstLine="100"/>
      <w:spacing w:after="120"/>
    </w:pPr>
  </w:style>
  <w:style w:type="paragraph" w:styleId="1108" w:customStyle="1">
    <w:name w:val="正文首行缩进1"/>
    <w:basedOn w:val="1109"/>
    <w:uiPriority w:val="0"/>
    <w:qFormat/>
    <w:pPr>
      <w:ind w:firstLine="100"/>
      <w:spacing w:after="120" w:line="240" w:lineRule="auto"/>
    </w:pPr>
    <w:rPr>
      <w:rFonts w:ascii="Times New Roman" w:hAnsi="Times New Roman" w:eastAsia="宋体"/>
      <w:sz w:val="21"/>
    </w:rPr>
  </w:style>
  <w:style w:type="paragraph" w:styleId="1109" w:customStyle="1">
    <w:name w:val="正文文本1"/>
    <w:basedOn w:val="694"/>
    <w:uiPriority w:val="0"/>
    <w:qFormat/>
    <w:pPr>
      <w:spacing w:line="60" w:lineRule="auto"/>
    </w:pPr>
    <w:rPr>
      <w:rFonts w:ascii="仿宋_GB2312" w:eastAsia="仿宋_GB2312"/>
      <w:sz w:val="32"/>
    </w:rPr>
  </w:style>
  <w:style w:type="paragraph" w:styleId="11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List Paragraph_0"/>
    <w:basedOn w:val="1020"/>
    <w:uiPriority w:val="0"/>
    <w:qFormat/>
    <w:pPr>
      <w:ind w:firstLine="420"/>
    </w:pPr>
  </w:style>
  <w:style w:type="paragraph" w:styleId="1112" w:customStyle="1">
    <w:name w:val="纯文本_1"/>
    <w:basedOn w:val="1110"/>
    <w:uiPriority w:val="0"/>
    <w:qFormat/>
    <w:rPr>
      <w:rFonts w:ascii="宋体" w:hAnsi="Times New Roman"/>
      <w:sz w:val="20"/>
      <w:szCs w:val="21"/>
    </w:rPr>
  </w:style>
  <w:style w:type="paragraph" w:styleId="1113" w:customStyle="1">
    <w:name w:val="正文_16_0_0"/>
    <w:next w:val="883"/>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1_0"/>
    <w:basedOn w:val="883"/>
    <w:uiPriority w:val="0"/>
    <w:qFormat/>
    <w:rPr>
      <w:rFonts w:ascii="Calibri" w:hAnsi="Calibri"/>
      <w:szCs w:val="20"/>
    </w:rPr>
  </w:style>
  <w:style w:type="paragraph" w:styleId="1115" w:customStyle="1">
    <w:name w:val="Normal_19_0_0_0"/>
    <w:basedOn w:val="763"/>
    <w:uiPriority w:val="0"/>
    <w:qFormat/>
    <w:rPr>
      <w:rFonts w:cs="黑体"/>
      <w:szCs w:val="24"/>
    </w:rPr>
  </w:style>
  <w:style w:type="paragraph" w:styleId="1116" w:customStyle="1">
    <w:name w:val="无间隔11"/>
    <w:basedOn w:val="1027"/>
    <w:uiPriority w:val="0"/>
    <w:qFormat/>
    <w:rPr>
      <w:rFonts w:ascii="Calibri" w:hAnsi="Calibri" w:cs="Calibri"/>
    </w:rPr>
  </w:style>
  <w:style w:type="paragraph" w:styleId="1117" w:customStyle="1">
    <w:name w:val="标题 31"/>
    <w:basedOn w:val="1027"/>
    <w:next w:val="1027"/>
    <w:uiPriority w:val="0"/>
    <w:qFormat/>
    <w:pPr>
      <w:keepLines/>
      <w:keepNext/>
      <w:spacing w:before="260" w:after="260" w:line="413" w:lineRule="auto"/>
      <w:outlineLvl w:val="2"/>
    </w:pPr>
    <w:rPr>
      <w:b/>
      <w:sz w:val="32"/>
      <w:szCs w:val="20"/>
    </w:rPr>
  </w:style>
  <w:style w:type="character" w:styleId="1118" w:customStyle="1">
    <w:name w:val="标题 2 Char_0"/>
    <w:link w:val="1119"/>
    <w:uiPriority w:val="0"/>
    <w:qFormat/>
    <w:rPr>
      <w:rFonts w:ascii="Arial" w:hAnsi="Arial" w:eastAsia="黑体"/>
      <w:b/>
      <w:sz w:val="32"/>
      <w:szCs w:val="22"/>
    </w:rPr>
  </w:style>
  <w:style w:type="paragraph" w:styleId="1119" w:customStyle="1">
    <w:name w:val="标题 21"/>
    <w:basedOn w:val="764"/>
    <w:next w:val="764"/>
    <w:link w:val="1118"/>
    <w:uiPriority w:val="0"/>
    <w:unhideWhenUsed/>
    <w:qFormat/>
    <w:pPr>
      <w:keepLines/>
      <w:keepNext/>
      <w:spacing w:before="260" w:after="260" w:line="413" w:lineRule="auto"/>
      <w:outlineLvl w:val="1"/>
    </w:pPr>
    <w:rPr>
      <w:rFonts w:ascii="Arial" w:hAnsi="Arial"/>
      <w:szCs w:val="22"/>
    </w:rPr>
  </w:style>
  <w:style w:type="paragraph" w:styleId="1120" w:customStyle="1">
    <w:name w:val="Normal_19_1_0_0"/>
    <w:next w:val="1121"/>
    <w:uiPriority w:val="0"/>
    <w:qFormat/>
    <w:pPr>
      <w:jc w:val="both"/>
      <w:widowControl w:val="off"/>
    </w:pPr>
    <w:rPr>
      <w:rFonts w:hint="default" w:ascii="Calibri" w:hAnsi="Calibri" w:eastAsia="宋体" w:cs="Times New Roman"/>
      <w:sz w:val="21"/>
      <w:szCs w:val="24"/>
      <w:lang w:val="en-US" w:eastAsia="zh-CN" w:bidi="ar-SA"/>
    </w:rPr>
  </w:style>
  <w:style w:type="paragraph" w:styleId="112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正文1_0_0"/>
    <w:basedOn w:val="764"/>
    <w:uiPriority w:val="0"/>
    <w:qFormat/>
    <w:pPr>
      <w:ind w:left="357" w:firstLine="420"/>
      <w:spacing w:line="360" w:lineRule="auto"/>
    </w:pPr>
    <w:rPr>
      <w:rFonts w:eastAsia="Times New Roman" w:cs="Arial"/>
    </w:rPr>
  </w:style>
  <w:style w:type="paragraph" w:styleId="1123"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1124" w:customStyle="1">
    <w:name w:val="正文空2字"/>
    <w:basedOn w:val="1125"/>
    <w:uiPriority w:val="99"/>
    <w:qFormat/>
    <w:pPr>
      <w:ind w:firstLine="640"/>
      <w:spacing w:line="560" w:lineRule="exact"/>
      <w:widowControl w:val="off"/>
    </w:pPr>
    <w:rPr>
      <w:rFonts w:ascii="仿宋_GB2312" w:hAnsi="仿宋_GB2312" w:cs="仿宋_GB2312"/>
      <w:lang w:val="zh-TW"/>
    </w:rPr>
  </w:style>
  <w:style w:type="paragraph" w:styleId="1125" w:customStyle="1">
    <w:name w:val="左对齐正文"/>
    <w:uiPriority w:val="99"/>
    <w:qFormat/>
    <w:rPr>
      <w:rFonts w:hint="default" w:ascii="Calibri" w:hAnsi="Calibri" w:eastAsia="仿宋_GB2312" w:cs="Calibri"/>
      <w:sz w:val="32"/>
      <w:szCs w:val="32"/>
      <w:lang w:val="en-US" w:eastAsia="zh-CN" w:bidi="ar-SA"/>
    </w:rPr>
  </w:style>
  <w:style w:type="paragraph" w:styleId="1126" w:customStyle="1">
    <w:name w:val="普通(网站)1"/>
    <w:basedOn w:val="694"/>
    <w:uiPriority w:val="0"/>
    <w:qFormat/>
    <w:rPr>
      <w:sz w:val="24"/>
    </w:rPr>
  </w:style>
  <w:style w:type="character" w:styleId="1127" w:customStyle="1">
    <w:name w:val="16"/>
    <w:uiPriority w:val="0"/>
    <w:qFormat/>
    <w:rPr>
      <w:rFonts w:ascii="Times New Roman" w:hAnsi="Times New Roman"/>
      <w:sz w:val="21"/>
      <w:szCs w:val="21"/>
      <w:lang w:val="en-US" w:eastAsia="zh-CN" w:bidi="ar-SA"/>
    </w:rPr>
  </w:style>
  <w:style w:type="paragraph" w:styleId="1128" w:customStyle="1">
    <w:name w:val="正文缩进_1"/>
    <w:basedOn w:val="1020"/>
    <w:next w:val="1020"/>
    <w:uiPriority w:val="0"/>
    <w:qFormat/>
    <w:pPr>
      <w:ind w:firstLine="420"/>
    </w:pPr>
    <w:rPr>
      <w:rFonts w:ascii="宋体"/>
      <w:color w:val="000000"/>
      <w:sz w:val="24"/>
      <w:szCs w:val="20"/>
    </w:rPr>
  </w:style>
  <w:style w:type="paragraph" w:styleId="1129" w:customStyle="1">
    <w:name w:val="Table Paragraph"/>
    <w:basedOn w:val="856"/>
    <w:uiPriority w:val="1"/>
    <w:qFormat/>
    <w:rPr>
      <w:rFonts w:ascii="宋体" w:hAnsi="宋体" w:cs="宋体"/>
      <w:sz w:val="22"/>
      <w:lang w:val="zh-CN" w:bidi="zh-CN"/>
    </w:rPr>
  </w:style>
  <w:style w:type="paragraph" w:styleId="1130" w:customStyle="1">
    <w:name w:val="Normal_19_2"/>
    <w:basedOn w:val="1131"/>
    <w:uiPriority w:val="0"/>
    <w:qFormat/>
    <w:rPr>
      <w:rFonts w:ascii="Times New Roman" w:hAnsi="Times New Roman"/>
      <w:szCs w:val="21"/>
    </w:rPr>
  </w:style>
  <w:style w:type="paragraph" w:styleId="1131" w:customStyle="1">
    <w:name w:val="正文_3_0"/>
    <w:next w:val="1019"/>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文本2"/>
    <w:basedOn w:val="880"/>
    <w:uiPriority w:val="0"/>
    <w:qFormat/>
    <w:pPr>
      <w:spacing w:line="60" w:lineRule="auto"/>
    </w:pPr>
    <w:rPr>
      <w:rFonts w:ascii="仿宋_GB2312" w:eastAsia="仿宋_GB2312"/>
      <w:sz w:val="32"/>
      <w:szCs w:val="22"/>
    </w:rPr>
  </w:style>
  <w:style w:type="paragraph" w:styleId="1133" w:customStyle="1">
    <w:name w:val="正文1_0"/>
    <w:basedOn w:val="1110"/>
    <w:uiPriority w:val="0"/>
    <w:qFormat/>
    <w:pPr>
      <w:ind w:left="357" w:firstLine="420"/>
      <w:jc w:val="left"/>
      <w:spacing w:line="360" w:lineRule="auto"/>
      <w:widowControl/>
    </w:pPr>
    <w:rPr>
      <w:rFonts w:cs="Arial"/>
      <w:szCs w:val="20"/>
    </w:rPr>
  </w:style>
  <w:style w:type="paragraph" w:styleId="1134" w:customStyle="1">
    <w:name w:val="Normal_19_2_0"/>
    <w:basedOn w:val="1135"/>
    <w:uiPriority w:val="0"/>
    <w:qFormat/>
    <w:rPr>
      <w:rFonts w:ascii="Times New Roman" w:hAnsi="Times New Roman"/>
      <w:szCs w:val="21"/>
    </w:rPr>
  </w:style>
  <w:style w:type="paragraph" w:styleId="113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纯文本1"/>
    <w:basedOn w:val="881"/>
    <w:uiPriority w:val="0"/>
    <w:qFormat/>
    <w:rPr>
      <w:rFonts w:ascii="宋体" w:hAnsi="Courier New"/>
    </w:rPr>
  </w:style>
  <w:style w:type="paragraph" w:styleId="1137" w:customStyle="1">
    <w:name w:val="Normal_21_0"/>
    <w:next w:val="11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Heading 1_0"/>
    <w:basedOn w:val="1137"/>
    <w:next w:val="1137"/>
    <w:uiPriority w:val="0"/>
    <w:qFormat/>
    <w:pPr>
      <w:jc w:val="center"/>
      <w:keepLines/>
      <w:keepNext/>
      <w:spacing w:before="240" w:after="120" w:line="300" w:lineRule="auto"/>
      <w:outlineLvl w:val="0"/>
    </w:pPr>
    <w:rPr>
      <w:rFonts w:ascii="宋体"/>
      <w:b/>
      <w:sz w:val="32"/>
      <w:szCs w:val="20"/>
    </w:rPr>
  </w:style>
  <w:style w:type="paragraph" w:styleId="1139"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40" w:customStyle="1">
    <w:name w:val="正文文本 字符"/>
    <w:uiPriority w:val="0"/>
    <w:qFormat/>
    <w:rPr>
      <w:rFonts w:ascii="楷体_GB2312" w:hAnsi="Arial" w:eastAsia="楷体_GB2312" w:cs="Times New Roman"/>
      <w:sz w:val="28"/>
      <w:szCs w:val="28"/>
    </w:rPr>
  </w:style>
  <w:style w:type="character" w:styleId="1141" w:customStyle="1">
    <w:name w:val="正文文本缩进 字符"/>
    <w:uiPriority w:val="0"/>
    <w:qFormat/>
    <w:rPr>
      <w:rFonts w:ascii="楷体_GB2312" w:hAnsi="Times New Roman" w:eastAsia="楷体_GB2312" w:cs="Times New Roman"/>
      <w:sz w:val="32"/>
      <w:szCs w:val="32"/>
    </w:rPr>
  </w:style>
  <w:style w:type="character" w:styleId="1142" w:customStyle="1">
    <w:name w:val="正文文本 字符1"/>
    <w:uiPriority w:val="0"/>
    <w:qFormat/>
    <w:rPr>
      <w:rFonts w:ascii="Calibri" w:hAnsi="Calibri"/>
      <w:sz w:val="28"/>
      <w:szCs w:val="24"/>
    </w:rPr>
  </w:style>
  <w:style w:type="character" w:styleId="1143" w:customStyle="1">
    <w:name w:val="正文文本首行缩进 字符"/>
    <w:uiPriority w:val="0"/>
    <w:qFormat/>
    <w:rPr>
      <w:rFonts w:ascii="仿宋_GB2312" w:hAnsi="Calibri" w:eastAsia="仿宋_GB2312"/>
      <w:sz w:val="30"/>
      <w:szCs w:val="30"/>
    </w:rPr>
  </w:style>
  <w:style w:type="paragraph" w:styleId="1144" w:customStyle="1">
    <w:name w:val="索引 41"/>
    <w:basedOn w:val="694"/>
    <w:next w:val="694"/>
    <w:uiPriority w:val="0"/>
    <w:semiHidden/>
    <w:qFormat/>
    <w:pPr>
      <w:ind w:left="1260"/>
    </w:pPr>
    <w:rPr>
      <w:rFonts w:eastAsia="Calibri" w:cs="宋体"/>
      <w:sz w:val="20"/>
      <w:szCs w:val="21"/>
      <w:lang w:val="zh-CN"/>
    </w:rPr>
  </w:style>
  <w:style w:type="character" w:styleId="1145" w:customStyle="1">
    <w:name w:val="font5 Char"/>
    <w:uiPriority w:val="0"/>
    <w:qFormat/>
    <w:rPr>
      <w:rFonts w:ascii="宋体" w:hAnsi="宋体" w:eastAsia="宋体"/>
      <w:sz w:val="28"/>
      <w:szCs w:val="28"/>
      <w:lang w:val="en-US" w:eastAsia="zh-CN" w:bidi="ar-SA"/>
    </w:rPr>
  </w:style>
  <w:style w:type="character" w:styleId="1146" w:customStyle="1">
    <w:name w:val="二级目录 Char"/>
    <w:link w:val="1147"/>
    <w:uiPriority w:val="0"/>
    <w:qFormat/>
    <w:rPr>
      <w:b/>
      <w:sz w:val="30"/>
      <w:szCs w:val="28"/>
    </w:rPr>
  </w:style>
  <w:style w:type="paragraph" w:styleId="1147" w:customStyle="1">
    <w:name w:val="二级目录"/>
    <w:next w:val="694"/>
    <w:link w:val="1146"/>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48" w:customStyle="1">
    <w:name w:val="列出段落 Char"/>
    <w:link w:val="1149"/>
    <w:uiPriority w:val="0"/>
    <w:qFormat/>
    <w:rPr>
      <w:rFonts w:ascii="Calibri" w:hAnsi="Calibri"/>
      <w:sz w:val="24"/>
      <w:szCs w:val="24"/>
      <w:lang w:eastAsia="en-US" w:bidi="en-US"/>
    </w:rPr>
  </w:style>
  <w:style w:type="paragraph" w:styleId="1149" w:customStyle="1">
    <w:name w:val="列出段落1"/>
    <w:basedOn w:val="694"/>
    <w:link w:val="1148"/>
    <w:uiPriority w:val="0"/>
    <w:qFormat/>
    <w:pPr>
      <w:contextualSpacing/>
      <w:ind w:left="720"/>
      <w:jc w:val="left"/>
      <w:widowControl/>
    </w:pPr>
    <w:rPr>
      <w:sz w:val="24"/>
      <w:szCs w:val="24"/>
      <w:lang w:eastAsia="en-US" w:bidi="en-US"/>
    </w:rPr>
  </w:style>
  <w:style w:type="paragraph" w:styleId="1150" w:customStyle="1">
    <w:name w:val="Body Text(ch)"/>
    <w:basedOn w:val="694"/>
    <w:uiPriority w:val="0"/>
    <w:qFormat/>
    <w:pPr>
      <w:spacing w:after="120"/>
    </w:pPr>
    <w:rPr>
      <w:rFonts w:ascii="宋体" w:hAnsi="Arial"/>
      <w:bCs/>
      <w:iCs/>
      <w:szCs w:val="24"/>
    </w:rPr>
  </w:style>
  <w:style w:type="paragraph" w:styleId="1151"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2"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3" w:customStyle="1">
    <w:name w:val="Char"/>
    <w:basedOn w:val="694"/>
    <w:uiPriority w:val="0"/>
    <w:qFormat/>
    <w:pPr>
      <w:ind w:firstLine="200"/>
      <w:tabs>
        <w:tab w:val="left" w:pos="360" w:leader="none"/>
      </w:tabs>
    </w:pPr>
    <w:rPr>
      <w:rFonts w:ascii="Times New Roman" w:hAnsi="Times New Roman"/>
      <w:sz w:val="28"/>
      <w:szCs w:val="30"/>
    </w:rPr>
  </w:style>
  <w:style w:type="paragraph" w:styleId="1154" w:customStyle="1">
    <w:name w:val="Char1"/>
    <w:basedOn w:val="791"/>
    <w:uiPriority w:val="0"/>
    <w:qFormat/>
    <w:rPr>
      <w:rFonts w:ascii="Tahoma" w:hAnsi="Tahoma"/>
      <w:sz w:val="24"/>
      <w:szCs w:val="24"/>
    </w:rPr>
  </w:style>
  <w:style w:type="paragraph" w:styleId="1155" w:customStyle="1">
    <w:name w:val="table_lines"/>
    <w:basedOn w:val="694"/>
    <w:uiPriority w:val="0"/>
    <w:qFormat/>
    <w:pPr>
      <w:jc w:val="left"/>
      <w:widowControl/>
    </w:pPr>
    <w:rPr>
      <w:rFonts w:ascii="Times New Roman" w:hAnsi="Times New Roman"/>
      <w:sz w:val="20"/>
      <w:szCs w:val="20"/>
      <w:lang w:val="de-DE" w:eastAsia="de-DE"/>
    </w:rPr>
  </w:style>
  <w:style w:type="paragraph" w:styleId="115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57"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Char Char Char Char"/>
    <w:basedOn w:val="791"/>
    <w:uiPriority w:val="0"/>
    <w:qFormat/>
    <w:pPr>
      <w:spacing w:line="360" w:lineRule="auto"/>
    </w:pPr>
    <w:rPr>
      <w:rFonts w:ascii="Tahoma" w:hAnsi="Tahoma"/>
      <w:sz w:val="24"/>
      <w:szCs w:val="24"/>
    </w:rPr>
  </w:style>
  <w:style w:type="paragraph" w:styleId="1159" w:customStyle="1">
    <w:name w:val="4"/>
    <w:basedOn w:val="694"/>
    <w:next w:val="826"/>
    <w:uiPriority w:val="0"/>
    <w:qFormat/>
    <w:pPr>
      <w:ind w:firstLine="420"/>
      <w:spacing w:line="360" w:lineRule="auto"/>
    </w:pPr>
    <w:rPr>
      <w:rFonts w:ascii="Times New Roman" w:hAnsi="Times New Roman"/>
      <w:color w:val="ff0000"/>
      <w:sz w:val="24"/>
      <w:szCs w:val="24"/>
    </w:rPr>
  </w:style>
  <w:style w:type="paragraph" w:styleId="1160"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1161" w:customStyle="1">
    <w:name w:val="Char Char Char Char Char Char Char Char Char Char"/>
    <w:basedOn w:val="694"/>
    <w:uiPriority w:val="0"/>
    <w:qFormat/>
    <w:pPr>
      <w:spacing w:line="360" w:lineRule="auto"/>
    </w:pPr>
    <w:rPr>
      <w:rFonts w:ascii="Times New Roman" w:hAnsi="Times New Roman"/>
      <w:sz w:val="24"/>
      <w:szCs w:val="20"/>
    </w:rPr>
  </w:style>
  <w:style w:type="paragraph" w:styleId="1162" w:customStyle="1">
    <w:name w:val="样式1"/>
    <w:basedOn w:val="694"/>
    <w:uiPriority w:val="0"/>
    <w:qFormat/>
    <w:pPr>
      <w:numPr>
        <w:ilvl w:val="0"/>
        <w:numId w:val="2"/>
      </w:numPr>
      <w:tabs>
        <w:tab w:val="left" w:pos="709" w:leader="none"/>
      </w:tabs>
    </w:pPr>
    <w:rPr>
      <w:rFonts w:ascii="宋体" w:hAnsi="宋体"/>
      <w:szCs w:val="21"/>
    </w:rPr>
  </w:style>
  <w:style w:type="paragraph" w:styleId="1163"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1164"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5"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6" w:customStyle="1">
    <w:name w:val="标题3"/>
    <w:basedOn w:val="694"/>
    <w:next w:val="694"/>
    <w:uiPriority w:val="0"/>
    <w:qFormat/>
    <w:pPr>
      <w:ind w:firstLine="624"/>
      <w:spacing w:line="590" w:lineRule="atLeast"/>
    </w:pPr>
    <w:rPr>
      <w:rFonts w:ascii="方正黑体_GBK" w:hAnsi="Times New Roman" w:eastAsia="方正黑体_GBK"/>
      <w:sz w:val="32"/>
      <w:szCs w:val="32"/>
    </w:rPr>
  </w:style>
  <w:style w:type="paragraph" w:styleId="1167"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9"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170"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1" w:customStyle="1">
    <w:name w:val="Char Char Char Char Char Char Char Char1"/>
    <w:basedOn w:val="694"/>
    <w:uiPriority w:val="0"/>
    <w:qFormat/>
    <w:pPr>
      <w:jc w:val="left"/>
      <w:spacing w:after="160" w:line="240" w:lineRule="exact"/>
      <w:widowControl/>
    </w:pPr>
    <w:rPr>
      <w:rFonts w:ascii="Verdana" w:hAnsi="Verdana"/>
      <w:sz w:val="20"/>
      <w:szCs w:val="20"/>
      <w:lang w:eastAsia="en-US"/>
    </w:rPr>
  </w:style>
  <w:style w:type="paragraph" w:styleId="1172"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1173" w:customStyle="1">
    <w:name w:val="Char Char Char Char1"/>
    <w:basedOn w:val="791"/>
    <w:uiPriority w:val="0"/>
    <w:qFormat/>
    <w:pPr>
      <w:spacing w:line="360" w:lineRule="auto"/>
    </w:pPr>
    <w:rPr>
      <w:rFonts w:ascii="Tahoma" w:hAnsi="Tahoma"/>
      <w:sz w:val="24"/>
      <w:szCs w:val="24"/>
    </w:rPr>
  </w:style>
  <w:style w:type="paragraph" w:styleId="1174" w:customStyle="1">
    <w:name w:val="table_1stline"/>
    <w:basedOn w:val="694"/>
    <w:uiPriority w:val="0"/>
    <w:qFormat/>
    <w:pPr>
      <w:jc w:val="left"/>
      <w:spacing w:before="120"/>
      <w:widowControl/>
    </w:pPr>
    <w:rPr>
      <w:rFonts w:ascii="Times New Roman" w:hAnsi="Times New Roman"/>
      <w:bCs/>
      <w:sz w:val="20"/>
      <w:szCs w:val="20"/>
      <w:lang w:val="de-DE" w:eastAsia="de-DE"/>
    </w:rPr>
  </w:style>
  <w:style w:type="paragraph" w:styleId="1175"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1176"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7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178" w:customStyle="1">
    <w:name w:val="Table Normal"/>
    <w:uiPriority w:val="0"/>
    <w:qFormat/>
    <w:tblPr>
      <w:tblCellMar>
        <w:left w:w="0" w:type="dxa"/>
        <w:top w:w="0" w:type="dxa"/>
        <w:right w:w="0" w:type="dxa"/>
        <w:bottom w:w="0" w:type="dxa"/>
      </w:tblCellMar>
    </w:tblPr>
  </w:style>
  <w:style w:type="paragraph" w:styleId="1179" w:customStyle="1">
    <w:name w:val="正文文本12"/>
    <w:basedOn w:val="694"/>
    <w:uiPriority w:val="1"/>
    <w:qFormat/>
    <w:pPr>
      <w:ind w:left="120"/>
    </w:pPr>
    <w:rPr>
      <w:rFonts w:ascii="宋体" w:hAnsi="宋体" w:cs="宋体"/>
      <w:szCs w:val="21"/>
      <w:lang w:val="zh-CN" w:bidi="zh-CN"/>
    </w:rPr>
  </w:style>
  <w:style w:type="paragraph" w:styleId="1180" w:customStyle="1">
    <w:name w:val="首行缩进"/>
    <w:basedOn w:val="694"/>
    <w:uiPriority w:val="0"/>
    <w:qFormat/>
    <w:pPr>
      <w:ind w:firstLine="480"/>
    </w:pPr>
    <w:rPr>
      <w:rFonts w:ascii="Times New Roman" w:hAnsi="Times New Roman"/>
      <w:szCs w:val="21"/>
      <w:lang w:val="zh-CN"/>
    </w:rPr>
  </w:style>
  <w:style w:type="paragraph" w:styleId="1181" w:customStyle="1">
    <w:name w:val="部分1"/>
    <w:basedOn w:val="69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82" w:customStyle="1">
    <w:name w:val="15"/>
    <w:uiPriority w:val="0"/>
    <w:qFormat/>
    <w:rPr>
      <w:rFonts w:ascii="Times New Roman" w:hAnsi="Times New Roman" w:cs="Times New Roman"/>
    </w:rPr>
  </w:style>
  <w:style w:type="paragraph" w:styleId="1183" w:customStyle="1">
    <w:name w:val="正文文本缩进 2_0"/>
    <w:basedOn w:val="1020"/>
    <w:uiPriority w:val="0"/>
    <w:qFormat/>
    <w:pPr>
      <w:ind w:firstLine="720"/>
      <w:jc w:val="left"/>
      <w:spacing w:line="540" w:lineRule="exact"/>
    </w:pPr>
    <w:rPr>
      <w:rFonts w:ascii="仿宋_GB2312" w:hAnsi="仿宋_GB2312" w:cs="宋体"/>
      <w:sz w:val="32"/>
      <w:szCs w:val="32"/>
    </w:rPr>
  </w:style>
  <w:style w:type="character" w:styleId="1184" w:customStyle="1">
    <w:name w:val="10"/>
    <w:uiPriority w:val="0"/>
    <w:qFormat/>
    <w:rPr>
      <w:rFonts w:ascii="Times New Roman" w:hAnsi="Times New Roman" w:cs="Times New Roman"/>
    </w:rPr>
  </w:style>
  <w:style w:type="paragraph" w:styleId="1185" w:customStyle="1">
    <w:name w:val="正文_16_1"/>
    <w:basedOn w:val="694"/>
    <w:uiPriority w:val="0"/>
    <w:qFormat/>
    <w:rPr>
      <w:rFonts w:ascii="Times New Roman" w:hAnsi="Times New Roman"/>
      <w:szCs w:val="21"/>
    </w:rPr>
  </w:style>
  <w:style w:type="paragraph" w:styleId="1186" w:customStyle="1">
    <w:name w:val="页脚1"/>
    <w:basedOn w:val="694"/>
    <w:uiPriority w:val="0"/>
    <w:qFormat/>
    <w:pPr>
      <w:jc w:val="left"/>
      <w:tabs>
        <w:tab w:val="center" w:pos="4153" w:leader="none"/>
        <w:tab w:val="right" w:pos="8306" w:leader="none"/>
      </w:tabs>
    </w:pPr>
    <w:rPr>
      <w:sz w:val="18"/>
      <w:szCs w:val="18"/>
    </w:rPr>
  </w:style>
  <w:style w:type="paragraph" w:styleId="1187" w:customStyle="1">
    <w:name w:val="*正文"/>
    <w:basedOn w:val="761"/>
    <w:uiPriority w:val="0"/>
    <w:qFormat/>
    <w:pPr>
      <w:ind w:firstLine="200"/>
    </w:pPr>
    <w:rPr>
      <w:rFonts w:hAnsi="宋体"/>
      <w:szCs w:val="24"/>
    </w:rPr>
  </w:style>
  <w:style w:type="paragraph" w:styleId="1188" w:customStyle="1">
    <w:name w:val="*正文_0"/>
    <w:basedOn w:val="1189"/>
    <w:uiPriority w:val="0"/>
    <w:qFormat/>
    <w:pPr>
      <w:ind w:firstLine="200"/>
      <w:spacing w:line="360" w:lineRule="auto"/>
    </w:pPr>
    <w:rPr>
      <w:rFonts w:ascii="宋体" w:hAnsi="宋体" w:eastAsia="Arial" w:cs="Arial"/>
      <w:color w:val="000000"/>
      <w:sz w:val="24"/>
    </w:rPr>
  </w:style>
  <w:style w:type="paragraph" w:styleId="1189" w:customStyle="1">
    <w:name w:val="正文缩进_2"/>
    <w:basedOn w:val="1044"/>
    <w:uiPriority w:val="0"/>
    <w:unhideWhenUsed/>
    <w:qFormat/>
    <w:pPr>
      <w:ind w:firstLine="420"/>
      <w:jc w:val="left"/>
      <w:widowControl/>
    </w:pPr>
    <w:rPr>
      <w:rFonts w:ascii="Times New Roman" w:hAnsi="Times New Roman"/>
      <w:sz w:val="20"/>
      <w:szCs w:val="24"/>
    </w:rPr>
  </w:style>
  <w:style w:type="paragraph" w:styleId="1190" w:customStyle="1">
    <w:name w:val="*正文_0_0"/>
    <w:basedOn w:val="1044"/>
    <w:uiPriority w:val="0"/>
    <w:qFormat/>
    <w:pPr>
      <w:ind w:firstLine="200"/>
      <w:jc w:val="left"/>
      <w:spacing w:line="360" w:lineRule="auto"/>
      <w:widowControl/>
    </w:pPr>
    <w:rPr>
      <w:rFonts w:ascii="宋体" w:hAnsi="宋体" w:eastAsia="Arial" w:cs="Arial"/>
      <w:color w:val="000000"/>
      <w:sz w:val="24"/>
      <w:szCs w:val="24"/>
    </w:rPr>
  </w:style>
  <w:style w:type="paragraph" w:styleId="1191" w:customStyle="1">
    <w:name w:val="无间隔1_0_0"/>
    <w:basedOn w:val="1044"/>
    <w:uiPriority w:val="0"/>
    <w:qFormat/>
    <w:rPr>
      <w:rFonts w:ascii="Times New Roman" w:hAnsi="Times New Roman"/>
      <w:szCs w:val="21"/>
    </w:rPr>
  </w:style>
  <w:style w:type="paragraph" w:styleId="119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193" w:customStyle="1">
    <w:name w:val="标题 4_0"/>
    <w:basedOn w:val="1194"/>
    <w:next w:val="1194"/>
    <w:uiPriority w:val="9"/>
    <w:unhideWhenUsed/>
    <w:qFormat/>
    <w:pPr>
      <w:keepLines/>
      <w:keepNext/>
      <w:spacing w:before="280" w:after="290" w:line="372" w:lineRule="auto"/>
      <w:outlineLvl w:val="3"/>
    </w:pPr>
    <w:rPr>
      <w:rFonts w:ascii="Arial" w:hAnsi="Arial" w:eastAsia="黑体"/>
      <w:b/>
      <w:sz w:val="28"/>
    </w:rPr>
  </w:style>
  <w:style w:type="paragraph" w:styleId="1194" w:customStyle="1">
    <w:name w:val="正文4"/>
    <w:uiPriority w:val="0"/>
    <w:qFormat/>
    <w:pPr>
      <w:jc w:val="both"/>
      <w:widowControl w:val="off"/>
    </w:pPr>
    <w:rPr>
      <w:rFonts w:hint="default" w:ascii="Calibri" w:hAnsi="Calibri" w:eastAsia="宋体" w:cs="Times New Roman"/>
      <w:lang w:val="en-US" w:eastAsia="zh-CN" w:bidi="ar-SA"/>
    </w:rPr>
  </w:style>
  <w:style w:type="paragraph" w:styleId="119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196" w:customStyle="1">
    <w:name w:val="p17_0_0"/>
    <w:basedOn w:val="1087"/>
    <w:uiPriority w:val="0"/>
    <w:qFormat/>
    <w:pPr>
      <w:jc w:val="left"/>
      <w:spacing w:before="100" w:beforeAutospacing="1" w:after="100" w:afterAutospacing="1"/>
      <w:widowControl/>
    </w:pPr>
    <w:rPr>
      <w:rFonts w:ascii="宋体" w:hAnsi="宋体" w:eastAsia="Times New Roman" w:cs="宋体"/>
      <w:sz w:val="24"/>
    </w:rPr>
  </w:style>
  <w:style w:type="paragraph" w:styleId="1197" w:customStyle="1">
    <w:name w:val="p17_0"/>
    <w:basedOn w:val="764"/>
    <w:uiPriority w:val="0"/>
    <w:qFormat/>
    <w:pPr>
      <w:spacing w:before="100" w:beforeAutospacing="1" w:after="100" w:afterAutospacing="1"/>
    </w:pPr>
    <w:rPr>
      <w:rFonts w:ascii="宋体" w:hAnsi="宋体" w:eastAsia="Times New Roman" w:cs="宋体"/>
      <w:sz w:val="24"/>
    </w:rPr>
  </w:style>
  <w:style w:type="paragraph" w:styleId="1198" w:customStyle="1">
    <w:name w:val="普通(网站)11"/>
    <w:basedOn w:val="694"/>
    <w:uiPriority w:val="99"/>
    <w:qFormat/>
    <w:rPr>
      <w:sz w:val="24"/>
    </w:rPr>
  </w:style>
  <w:style w:type="paragraph" w:styleId="11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00" w:customStyle="1">
    <w:name w:val="正文111"/>
    <w:next w:val="12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正文文本缩进11"/>
    <w:basedOn w:val="1202"/>
    <w:next w:val="1205"/>
    <w:uiPriority w:val="99"/>
    <w:qFormat/>
    <w:pPr>
      <w:ind w:left="420"/>
      <w:spacing w:after="120"/>
    </w:pPr>
  </w:style>
  <w:style w:type="paragraph" w:styleId="1202" w:customStyle="1">
    <w:name w:val="正文112"/>
    <w:next w:val="12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正文首行缩进11"/>
    <w:basedOn w:val="752"/>
    <w:next w:val="1204"/>
    <w:uiPriority w:val="0"/>
    <w:qFormat/>
    <w:pPr>
      <w:ind w:firstLine="420"/>
    </w:pPr>
    <w:rPr>
      <w:rFonts w:ascii="仿宋_GB2312" w:eastAsia="仿宋_GB2312"/>
      <w:sz w:val="30"/>
      <w:szCs w:val="30"/>
    </w:rPr>
  </w:style>
  <w:style w:type="paragraph" w:styleId="1204" w:customStyle="1">
    <w:name w:val="正文首行缩进 211"/>
    <w:basedOn w:val="1201"/>
    <w:uiPriority w:val="99"/>
    <w:qFormat/>
    <w:pPr>
      <w:ind w:left="0" w:firstLine="420"/>
      <w:spacing w:after="0" w:line="360" w:lineRule="auto"/>
    </w:pPr>
    <w:rPr>
      <w:rFonts w:ascii="宋体" w:hAnsi="宋体"/>
    </w:rPr>
  </w:style>
  <w:style w:type="paragraph" w:styleId="1205" w:customStyle="1">
    <w:name w:val="寄信人地址11"/>
    <w:basedOn w:val="694"/>
    <w:uiPriority w:val="0"/>
    <w:qFormat/>
    <w:rPr>
      <w:rFonts w:ascii="Arial" w:hAnsi="Arial"/>
    </w:rPr>
  </w:style>
  <w:style w:type="paragraph" w:styleId="1206"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Header1"/>
    <w:basedOn w:val="764"/>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08" w:customStyle="1">
    <w:name w:val="默认段落字体1"/>
    <w:uiPriority w:val="1"/>
    <w:unhideWhenUsed/>
    <w:qFormat/>
    <w:rPr>
      <w:rFonts w:ascii="Calibri" w:hAnsi="Calibri" w:eastAsia="宋体" w:cs="Times New Roman"/>
      <w:sz w:val="21"/>
      <w:szCs w:val="22"/>
      <w:lang w:val="en-US" w:eastAsia="zh-CN" w:bidi="ar-SA"/>
    </w:rPr>
  </w:style>
  <w:style w:type="paragraph" w:styleId="1209" w:customStyle="1">
    <w:name w:val="页眉1"/>
    <w:basedOn w:val="69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10" w:customStyle="1">
    <w:name w:val="font41"/>
    <w:basedOn w:val="704"/>
    <w:uiPriority w:val="0"/>
    <w:qFormat/>
    <w:rPr>
      <w:rFonts w:hint="default" w:ascii="方正仿宋_GBK" w:hAnsi="方正仿宋_GBK" w:eastAsia="方正仿宋_GBK" w:cs="方正仿宋_GBK"/>
      <w:color w:val="000000"/>
      <w:sz w:val="36"/>
      <w:szCs w:val="36"/>
      <w:u w:val="none"/>
    </w:rPr>
  </w:style>
  <w:style w:type="paragraph" w:styleId="1211" w:customStyle="1">
    <w:name w:val="正文_2_1_0"/>
    <w:uiPriority w:val="0"/>
    <w:qFormat/>
    <w:pPr>
      <w:jc w:val="both"/>
      <w:widowControl w:val="off"/>
    </w:pPr>
    <w:rPr>
      <w:rFonts w:hint="default" w:ascii="Calibri" w:hAnsi="Calibri" w:eastAsia="宋体" w:cs="Times New Roman"/>
      <w:lang w:val="en-US" w:eastAsia="zh-CN" w:bidi="ar-SA"/>
    </w:rPr>
  </w:style>
  <w:style w:type="character" w:styleId="1212" w:customStyle="1">
    <w:name w:val="font71"/>
    <w:basedOn w:val="704"/>
    <w:uiPriority w:val="0"/>
    <w:qFormat/>
    <w:rPr>
      <w:rFonts w:hint="eastAsia" w:ascii="微软雅黑" w:hAnsi="微软雅黑" w:eastAsia="微软雅黑" w:cs="微软雅黑"/>
      <w:color w:val="000000"/>
      <w:sz w:val="16"/>
      <w:szCs w:val="16"/>
      <w:u w:val="none"/>
    </w:rPr>
  </w:style>
  <w:style w:type="character" w:styleId="1213" w:customStyle="1">
    <w:name w:val="font51"/>
    <w:basedOn w:val="704"/>
    <w:uiPriority w:val="0"/>
    <w:qFormat/>
    <w:rPr>
      <w:rFonts w:hint="eastAsia" w:ascii="微软雅黑" w:hAnsi="微软雅黑" w:eastAsia="微软雅黑" w:cs="微软雅黑"/>
      <w:color w:val="000000"/>
      <w:sz w:val="16"/>
      <w:szCs w:val="16"/>
      <w:u w:val="none"/>
    </w:rPr>
  </w:style>
  <w:style w:type="character" w:styleId="1214" w:customStyle="1">
    <w:name w:val="font61"/>
    <w:basedOn w:val="704"/>
    <w:uiPriority w:val="0"/>
    <w:qFormat/>
    <w:rPr>
      <w:rFonts w:hint="eastAsia" w:ascii="微软雅黑" w:hAnsi="微软雅黑" w:eastAsia="微软雅黑" w:cs="微软雅黑"/>
      <w:color w:val="000000"/>
      <w:sz w:val="16"/>
      <w:szCs w:val="16"/>
      <w:u w:val="none"/>
    </w:rPr>
  </w:style>
  <w:style w:type="character" w:styleId="1215" w:customStyle="1">
    <w:name w:val="强调1"/>
    <w:uiPriority w:val="0"/>
    <w:qFormat/>
    <w:rPr>
      <w:rFonts w:ascii="Calibri" w:hAnsi="Calibri" w:eastAsia="宋体" w:cs="Times New Roman"/>
      <w:sz w:val="21"/>
      <w:szCs w:val="22"/>
      <w:lang w:val="en-US" w:eastAsia="zh-CN" w:bidi="ar-SA"/>
    </w:rPr>
  </w:style>
  <w:style w:type="numbering" w:styleId="16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刘欣</cp:lastModifiedBy>
  <cp:revision>50</cp:revision>
  <dcterms:created xsi:type="dcterms:W3CDTF">2023-07-23T13:07:00Z</dcterms:created>
  <dcterms:modified xsi:type="dcterms:W3CDTF">2026-08-25T08:19:59Z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FBDB1B52D11349E0AF7D70C5195FC97C_13</vt:lpwstr>
  </property>
</Properties>
</file>