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00" w:lineRule="auto"/>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r>
      <w:r/>
    </w:p>
    <w:p>
      <w:pPr>
        <w:jc w:val="center"/>
        <w:spacing w:line="300" w:lineRule="auto"/>
        <w:rPr>
          <w:rFonts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t xml:space="preserve">无锡市新吴区政府采购</w:t>
      </w:r>
      <w:r/>
    </w:p>
    <w:p>
      <w:pPr>
        <w:jc w:val="center"/>
        <w:tabs>
          <w:tab w:val="left" w:pos="9921" w:leader="none"/>
        </w:tabs>
        <w:rPr>
          <w:rFonts w:ascii="华文中宋" w:hAnsi="华文中宋" w:eastAsia="华文中宋"/>
          <w:bCs/>
          <w:color w:val="000000"/>
          <w:sz w:val="30"/>
          <w:highlight w:val="none"/>
        </w:rPr>
      </w:pPr>
      <w:r>
        <w:rPr>
          <w:rFonts w:hint="eastAsia" w:ascii="华文中宋" w:hAnsi="华文中宋" w:eastAsia="华文中宋"/>
          <w:bCs/>
          <w:color w:val="000000"/>
          <w:sz w:val="30"/>
          <w:highlight w:val="none"/>
        </w:rPr>
        <w:t xml:space="preserve">（全流程电子化）</w:t>
      </w:r>
      <w:r/>
    </w:p>
    <w:p>
      <w:pPr>
        <w:spacing w:line="300" w:lineRule="auto"/>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spacing w:line="300" w:lineRule="auto"/>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spacing w:line="300" w:lineRule="auto"/>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jc w:val="center"/>
        <w:spacing w:line="300" w:lineRule="auto"/>
        <w:rPr>
          <w:rFonts w:ascii="黑体" w:hAnsi="华文中宋" w:eastAsia="黑体"/>
          <w:b/>
          <w:color w:val="000000"/>
          <w:spacing w:val="20"/>
          <w:sz w:val="72"/>
          <w:szCs w:val="72"/>
          <w:highlight w:val="none"/>
        </w:rPr>
      </w:pPr>
      <w:r>
        <w:rPr>
          <w:rFonts w:hint="eastAsia" w:ascii="黑体" w:hAnsi="华文中宋" w:eastAsia="黑体"/>
          <w:b/>
          <w:color w:val="000000"/>
          <w:spacing w:val="20"/>
          <w:sz w:val="72"/>
          <w:szCs w:val="72"/>
          <w:highlight w:val="none"/>
        </w:rPr>
        <w:t xml:space="preserve">公</w:t>
      </w:r>
      <w:r>
        <w:rPr>
          <w:rFonts w:ascii="黑体" w:hAnsi="华文中宋" w:eastAsia="黑体"/>
          <w:b/>
          <w:color w:val="000000"/>
          <w:spacing w:val="20"/>
          <w:sz w:val="72"/>
          <w:szCs w:val="72"/>
          <w:highlight w:val="none"/>
        </w:rPr>
        <w:t xml:space="preserve">   </w:t>
      </w:r>
      <w:r>
        <w:rPr>
          <w:rFonts w:hint="eastAsia" w:ascii="黑体" w:hAnsi="华文中宋" w:eastAsia="黑体"/>
          <w:b/>
          <w:color w:val="000000"/>
          <w:spacing w:val="20"/>
          <w:sz w:val="72"/>
          <w:szCs w:val="72"/>
          <w:highlight w:val="none"/>
        </w:rPr>
        <w:t xml:space="preserve">开</w:t>
      </w:r>
      <w:r/>
    </w:p>
    <w:p>
      <w:pPr>
        <w:jc w:val="center"/>
        <w:spacing w:line="300" w:lineRule="auto"/>
        <w:rPr>
          <w:rFonts w:ascii="黑体" w:hAnsi="华文中宋" w:eastAsia="黑体"/>
          <w:b/>
          <w:color w:val="000000"/>
          <w:spacing w:val="20"/>
          <w:sz w:val="72"/>
          <w:szCs w:val="72"/>
          <w:highlight w:val="none"/>
        </w:rPr>
      </w:pPr>
      <w:r>
        <w:rPr>
          <w:rFonts w:ascii="黑体" w:hAnsi="华文中宋" w:eastAsia="黑体"/>
          <w:b/>
          <w:color w:val="000000"/>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-112395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8pt,15.6pt" to="-8.8pt,15.6pt" fillcolor="#FFFFFF" strokecolor="#000000" strokeweight="0.14pt"/>
            </w:pict>
          </mc:Fallback>
        </mc:AlternateContent>
      </w:r>
      <w:r>
        <w:rPr>
          <w:rFonts w:hint="eastAsia" w:ascii="黑体" w:hAnsi="华文中宋" w:eastAsia="黑体"/>
          <w:b/>
          <w:color w:val="000000"/>
          <w:spacing w:val="20"/>
          <w:sz w:val="72"/>
          <w:szCs w:val="72"/>
          <w:highlight w:val="none"/>
        </w:rPr>
        <w:t xml:space="preserve">招</w:t>
      </w:r>
      <w:r>
        <w:rPr>
          <w:rFonts w:ascii="黑体" w:hAnsi="华文中宋" w:eastAsia="黑体"/>
          <w:b/>
          <w:color w:val="000000"/>
          <w:spacing w:val="20"/>
          <w:sz w:val="72"/>
          <w:szCs w:val="72"/>
          <w:highlight w:val="none"/>
        </w:rPr>
        <w:t xml:space="preserve">  </w:t>
      </w:r>
      <w:r>
        <w:rPr>
          <w:rFonts w:hint="eastAsia" w:ascii="黑体" w:hAnsi="华文中宋" w:eastAsia="黑体"/>
          <w:b/>
          <w:color w:val="000000"/>
          <w:spacing w:val="20"/>
          <w:sz w:val="72"/>
          <w:szCs w:val="72"/>
          <w:highlight w:val="none"/>
        </w:rPr>
        <w:t xml:space="preserve">标</w:t>
      </w:r>
      <w:r>
        <w:rPr>
          <w:rFonts w:ascii="黑体" w:hAnsi="华文中宋" w:eastAsia="黑体"/>
          <w:b/>
          <w:color w:val="000000"/>
          <w:spacing w:val="20"/>
          <w:sz w:val="72"/>
          <w:szCs w:val="72"/>
          <w:highlight w:val="none"/>
        </w:rPr>
        <w:t xml:space="preserve">  </w:t>
      </w:r>
      <w:r>
        <w:rPr>
          <w:rFonts w:hint="eastAsia" w:ascii="黑体" w:hAnsi="华文中宋" w:eastAsia="黑体"/>
          <w:b/>
          <w:color w:val="000000"/>
          <w:spacing w:val="20"/>
          <w:sz w:val="72"/>
          <w:szCs w:val="72"/>
          <w:highlight w:val="none"/>
        </w:rPr>
        <w:t xml:space="preserve">文</w:t>
      </w:r>
      <w:r>
        <w:rPr>
          <w:rFonts w:ascii="黑体" w:hAnsi="华文中宋" w:eastAsia="黑体"/>
          <w:b/>
          <w:color w:val="000000"/>
          <w:spacing w:val="20"/>
          <w:sz w:val="72"/>
          <w:szCs w:val="72"/>
          <w:highlight w:val="none"/>
        </w:rPr>
        <w:t xml:space="preserve"> </w:t>
      </w:r>
      <w:r>
        <w:rPr>
          <w:rFonts w:hint="eastAsia" w:ascii="黑体" w:hAnsi="华文中宋" w:eastAsia="黑体"/>
          <w:b/>
          <w:color w:val="000000"/>
          <w:spacing w:val="20"/>
          <w:sz w:val="72"/>
          <w:szCs w:val="72"/>
          <w:highlight w:val="none"/>
        </w:rPr>
        <w:t xml:space="preserve">件</w:t>
      </w:r>
      <w:r/>
    </w:p>
    <w:p>
      <w:pPr>
        <w:jc w:val="center"/>
        <w:tabs>
          <w:tab w:val="left" w:pos="9921" w:leader="none"/>
        </w:tabs>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jc w:val="center"/>
        <w:spacing w:line="360" w:lineRule="auto"/>
        <w:rPr>
          <w:rFonts w:eastAsia="仿宋_GB2312"/>
          <w:b/>
          <w:color w:val="000000"/>
          <w:sz w:val="24"/>
          <w:highlight w:val="none"/>
        </w:rPr>
      </w:pPr>
      <w:r>
        <w:rPr>
          <w:rFonts w:eastAsia="仿宋_GB2312"/>
          <w:b/>
          <w:color w:val="000000"/>
          <w:sz w:val="24"/>
          <w:highlight w:val="none"/>
        </w:rPr>
      </w:r>
      <w:r/>
    </w:p>
    <w:p>
      <w:pPr>
        <w:jc w:val="center"/>
        <w:spacing w:line="360" w:lineRule="auto"/>
        <w:rPr>
          <w:rFonts w:eastAsia="仿宋_GB2312"/>
          <w:b/>
          <w:color w:val="000000"/>
          <w:sz w:val="24"/>
          <w:highlight w:val="none"/>
        </w:rPr>
      </w:pPr>
      <w:r>
        <w:rPr>
          <w:rFonts w:eastAsia="仿宋_GB2312"/>
          <w:b/>
          <w:color w:val="000000"/>
          <w:sz w:val="24"/>
          <w:highlight w:val="none"/>
        </w:rPr>
      </w:r>
      <w:r/>
    </w:p>
    <w:p>
      <w:pPr>
        <w:spacing w:line="360" w:lineRule="auto"/>
        <w:rPr>
          <w:rFonts w:eastAsia="仿宋_GB2312"/>
          <w:b/>
          <w:color w:val="000000"/>
          <w:sz w:val="24"/>
          <w:highlight w:val="none"/>
        </w:rPr>
      </w:pPr>
      <w:r>
        <w:rPr>
          <w:rFonts w:eastAsia="仿宋_GB2312"/>
          <w:b/>
          <w:color w:val="000000"/>
          <w:sz w:val="24"/>
          <w:highlight w:val="none"/>
        </w:rPr>
      </w:r>
      <w:r/>
    </w:p>
    <w:p>
      <w:pPr>
        <w:spacing w:line="360" w:lineRule="auto"/>
        <w:rPr>
          <w:rFonts w:eastAsia="仿宋_GB2312"/>
          <w:b/>
          <w:color w:val="000000"/>
          <w:sz w:val="24"/>
          <w:highlight w:val="none"/>
        </w:rPr>
      </w:pPr>
      <w:r>
        <w:rPr>
          <w:rFonts w:eastAsia="仿宋_GB2312"/>
          <w:b/>
          <w:color w:val="000000"/>
          <w:sz w:val="24"/>
          <w:highlight w:val="none"/>
        </w:rPr>
      </w:r>
      <w:r/>
    </w:p>
    <w:p>
      <w:pPr>
        <w:spacing w:line="360" w:lineRule="auto"/>
        <w:rPr>
          <w:rFonts w:eastAsia="仿宋_GB2312"/>
          <w:b/>
          <w:color w:val="000000"/>
          <w:sz w:val="24"/>
          <w:highlight w:val="none"/>
        </w:rPr>
      </w:pPr>
      <w:r>
        <w:rPr>
          <w:rFonts w:eastAsia="仿宋_GB2312"/>
          <w:b/>
          <w:color w:val="000000"/>
          <w:sz w:val="24"/>
          <w:highlight w:val="none"/>
        </w:rPr>
      </w:r>
      <w:r/>
    </w:p>
    <w:p>
      <w:pPr>
        <w:spacing w:line="360" w:lineRule="auto"/>
        <w:rPr>
          <w:rFonts w:eastAsia="仿宋_GB2312"/>
          <w:b/>
          <w:color w:val="000000"/>
          <w:sz w:val="24"/>
          <w:highlight w:val="none"/>
        </w:rPr>
      </w:pPr>
      <w:r>
        <w:rPr>
          <w:rFonts w:eastAsia="仿宋_GB2312"/>
          <w:b/>
          <w:color w:val="000000"/>
          <w:sz w:val="24"/>
          <w:highlight w:val="none"/>
        </w:rPr>
      </w:r>
      <w:r/>
    </w:p>
    <w:p>
      <w:pPr>
        <w:spacing w:before="95" w:after="95" w:line="360" w:lineRule="auto"/>
        <w:rPr>
          <w:rFonts w:hint="eastAsia" w:eastAsia="黑体"/>
          <w:b/>
          <w:color w:val="000000"/>
          <w:sz w:val="32"/>
          <w:szCs w:val="32"/>
          <w:highlight w:val="none"/>
          <w:lang w:eastAsia="zh-CN"/>
        </w:rPr>
      </w:pPr>
      <w:r>
        <w:rPr>
          <w:rFonts w:hint="eastAsia"/>
          <w:b/>
          <w:color w:val="000000"/>
          <w:sz w:val="32"/>
          <w:szCs w:val="32"/>
          <w:highlight w:val="none"/>
        </w:rPr>
        <w:t xml:space="preserve">政府采购编号：JSZC-320292-JING-G2026-0024</w:t>
      </w:r>
      <w:r/>
    </w:p>
    <w:p>
      <w:pPr>
        <w:spacing w:before="95" w:after="95" w:line="360" w:lineRule="auto"/>
        <w:rPr>
          <w:rFonts w:hint="eastAsia" w:eastAsia="宋体"/>
          <w:b/>
          <w:color w:val="000000"/>
          <w:sz w:val="32"/>
          <w:szCs w:val="32"/>
          <w:highlight w:val="none"/>
          <w:lang w:eastAsia="zh-CN"/>
        </w:rPr>
      </w:pPr>
      <w:r>
        <w:rPr>
          <w:rFonts w:hint="eastAsia"/>
          <w:b/>
          <w:color w:val="000000"/>
          <w:sz w:val="32"/>
          <w:szCs w:val="32"/>
          <w:highlight w:val="none"/>
        </w:rPr>
        <w:t xml:space="preserve">采购项目名称：</w:t>
      </w:r>
      <w:r>
        <w:rPr>
          <w:rFonts w:hint="eastAsia"/>
          <w:b/>
          <w:color w:val="000000"/>
          <w:sz w:val="32"/>
          <w:szCs w:val="32"/>
          <w:highlight w:val="none"/>
          <w:lang w:eastAsia="zh-CN"/>
        </w:rPr>
        <w:t xml:space="preserve">无锡经开和畅实验中学2026年实验室设施设备采购项目</w:t>
      </w:r>
      <w:r/>
    </w:p>
    <w:p>
      <w:pPr>
        <w:spacing w:before="95" w:after="95" w:line="360" w:lineRule="auto"/>
        <w:rPr>
          <w:rFonts w:hint="eastAsia" w:eastAsia="宋体"/>
          <w:b/>
          <w:color w:val="000000"/>
          <w:sz w:val="24"/>
          <w:highlight w:val="none"/>
          <w:lang w:eastAsia="zh-CN"/>
        </w:rPr>
      </w:pPr>
      <w:r>
        <w:rPr>
          <w:rFonts w:hint="eastAsia"/>
          <w:b/>
          <w:color w:val="000000"/>
          <w:sz w:val="32"/>
          <w:szCs w:val="32"/>
          <w:highlight w:val="none"/>
        </w:rPr>
        <w:t xml:space="preserve">采购人：</w:t>
      </w:r>
      <w:r>
        <w:rPr>
          <w:rFonts w:hint="eastAsia"/>
          <w:b/>
          <w:color w:val="000000"/>
          <w:sz w:val="32"/>
          <w:szCs w:val="32"/>
          <w:highlight w:val="none"/>
          <w:lang w:eastAsia="zh-CN"/>
        </w:rPr>
        <w:t xml:space="preserve">无锡经开和畅实验中学</w:t>
      </w:r>
      <w:r/>
    </w:p>
    <w:p>
      <w:pPr>
        <w:spacing w:before="95" w:after="95" w:line="360" w:lineRule="auto"/>
        <w:rPr>
          <w:rFonts w:hint="eastAsia" w:eastAsia="宋体"/>
          <w:b/>
          <w:color w:val="000000"/>
          <w:sz w:val="32"/>
          <w:szCs w:val="32"/>
          <w:highlight w:val="none"/>
          <w:lang w:eastAsia="zh-CN"/>
        </w:rPr>
      </w:pPr>
      <w:r>
        <w:rPr>
          <w:rFonts w:hint="eastAsia"/>
          <w:b/>
          <w:color w:val="000000"/>
          <w:sz w:val="32"/>
          <w:szCs w:val="32"/>
          <w:highlight w:val="none"/>
        </w:rPr>
        <w:t xml:space="preserve">采购代理机构：</w:t>
      </w:r>
      <w:r>
        <w:rPr>
          <w:rFonts w:hint="eastAsia"/>
          <w:b/>
          <w:color w:val="000000"/>
          <w:sz w:val="32"/>
          <w:szCs w:val="32"/>
          <w:highlight w:val="none"/>
          <w:lang w:eastAsia="zh-CN"/>
        </w:rPr>
        <w:t xml:space="preserve">江苏经天纬地建设项目管理有限公司</w:t>
      </w:r>
      <w:r/>
    </w:p>
    <w:p>
      <w:pPr>
        <w:pStyle w:val="1067"/>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lang w:eastAsia="zh-CN"/>
        </w:rPr>
        <w:t xml:space="preserve">二〇二六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七</w:t>
      </w:r>
      <w:r>
        <w:rPr>
          <w:rFonts w:hint="eastAsia" w:ascii="黑体" w:hAnsi="华文中宋" w:eastAsia="黑体"/>
          <w:bCs/>
          <w:color w:val="000000"/>
          <w:sz w:val="32"/>
          <w:szCs w:val="32"/>
          <w:highlight w:val="none"/>
        </w:rPr>
        <w:t xml:space="preserve">月</w:t>
      </w:r>
      <w:r/>
    </w:p>
    <w:p>
      <w:pPr>
        <w:pStyle w:val="1067"/>
        <w:ind w:firstLine="0"/>
        <w:jc w:val="center"/>
        <w:rPr>
          <w:rFonts w:ascii="黑体" w:hAnsi="黑体" w:eastAsia="黑体"/>
          <w:color w:val="000000"/>
          <w:sz w:val="36"/>
          <w:szCs w:val="36"/>
          <w:highlight w:val="none"/>
        </w:rPr>
      </w:pPr>
      <w:r>
        <w:rPr>
          <w:rFonts w:ascii="黑体" w:hAnsi="华文中宋" w:eastAsia="黑体"/>
          <w:bCs/>
          <w:color w:val="000000"/>
          <w:sz w:val="44"/>
          <w:szCs w:val="44"/>
          <w:highlight w:val="none"/>
        </w:rPr>
        <w:br w:type="page" w:clear="all"/>
      </w:r>
      <w:bookmarkStart w:id="0" w:name="_Toc120614210"/>
      <w:r/>
      <w:bookmarkStart w:id="1" w:name="_Toc523127445"/>
      <w:r/>
      <w:bookmarkStart w:id="2" w:name="_Toc479757206"/>
      <w:r/>
      <w:bookmarkStart w:id="3" w:name="_Toc16938516"/>
      <w:r/>
      <w:bookmarkStart w:id="4" w:name="_Toc20823272"/>
      <w:r/>
      <w:bookmarkStart w:id="5" w:name="_Toc513029200"/>
      <w:r>
        <w:rPr>
          <w:rFonts w:hint="eastAsia" w:ascii="黑体" w:hAnsi="黑体" w:eastAsia="黑体"/>
          <w:color w:val="000000"/>
          <w:sz w:val="36"/>
          <w:szCs w:val="36"/>
          <w:highlight w:val="none"/>
        </w:rPr>
        <w:t xml:space="preserve">总  目  录</w:t>
      </w:r>
      <w:r/>
    </w:p>
    <w:p>
      <w:pPr>
        <w:jc w:val="center"/>
        <w:spacing w:line="480" w:lineRule="auto"/>
        <w:rPr>
          <w:rFonts w:ascii="黑体" w:hAnsi="Arial" w:eastAsia="黑体"/>
          <w:color w:val="000000"/>
          <w:sz w:val="44"/>
          <w:highlight w:val="none"/>
        </w:rPr>
        <w:outlineLvl w:val="0"/>
      </w:pPr>
      <w:r>
        <w:rPr>
          <w:rFonts w:ascii="黑体" w:hAnsi="Arial" w:eastAsia="黑体"/>
          <w:color w:val="000000"/>
          <w:sz w:val="44"/>
          <w:highlight w:val="none"/>
        </w:rPr>
      </w:r>
      <w:r/>
    </w:p>
    <w:p>
      <w:pPr>
        <w:numPr>
          <w:ilvl w:val="0"/>
          <w:numId w:val="5"/>
        </w:numPr>
        <w:spacing w:line="72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投标邀请</w:t>
      </w:r>
      <w:bookmarkStart w:id="208" w:name="_GoBack"/>
      <w:r/>
      <w:bookmarkEnd w:id="208"/>
      <w:r/>
      <w:r/>
    </w:p>
    <w:p>
      <w:pPr>
        <w:numPr>
          <w:ilvl w:val="0"/>
          <w:numId w:val="5"/>
        </w:numPr>
        <w:spacing w:line="72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p>
    <w:p>
      <w:pPr>
        <w:numPr>
          <w:ilvl w:val="0"/>
          <w:numId w:val="5"/>
        </w:numPr>
        <w:spacing w:line="72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p>
    <w:p>
      <w:pPr>
        <w:numPr>
          <w:ilvl w:val="0"/>
          <w:numId w:val="5"/>
        </w:numPr>
        <w:spacing w:line="72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p>
    <w:p>
      <w:pPr>
        <w:numPr>
          <w:ilvl w:val="0"/>
          <w:numId w:val="5"/>
        </w:numPr>
        <w:spacing w:line="72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p>
    <w:p>
      <w:pPr>
        <w:numPr>
          <w:ilvl w:val="0"/>
          <w:numId w:val="5"/>
        </w:numPr>
        <w:spacing w:line="72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p>
    <w:p>
      <w:pPr>
        <w:jc w:val="center"/>
        <w:spacing w:line="500" w:lineRule="exact"/>
        <w:tabs>
          <w:tab w:val="left" w:pos="1440" w:leader="none"/>
        </w:tabs>
        <w:rPr>
          <w:rFonts w:ascii="黑体" w:hAnsi="黑体" w:eastAsia="黑体"/>
          <w:color w:val="000000"/>
          <w:sz w:val="36"/>
          <w:szCs w:val="36"/>
          <w:highlight w:val="none"/>
        </w:rPr>
        <w:outlineLvl w:val="0"/>
      </w:pPr>
      <w:r>
        <w:rPr>
          <w:rFonts w:ascii="黑体" w:hAnsi="Showcard Gothic" w:eastAsia="黑体"/>
          <w:color w:val="000000"/>
          <w:sz w:val="30"/>
          <w:szCs w:val="30"/>
          <w:highlight w:val="none"/>
        </w:rPr>
        <w:br w:type="page" w:clear="all"/>
      </w:r>
      <w:r>
        <w:rPr>
          <w:rFonts w:hint="eastAsia" w:ascii="黑体" w:hAnsi="黑体" w:eastAsia="黑体"/>
          <w:color w:val="000000"/>
          <w:sz w:val="36"/>
          <w:szCs w:val="36"/>
          <w:highlight w:val="none"/>
        </w:rPr>
        <w:t xml:space="preserve">第一章  投标邀请</w:t>
      </w:r>
      <w:bookmarkEnd w:id="0"/>
      <w:r/>
      <w:r/>
    </w:p>
    <w:p>
      <w:pPr>
        <w:ind w:firstLine="480"/>
        <w:spacing w:line="500" w:lineRule="exact"/>
        <w:rPr>
          <w:rFonts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lang w:eastAsia="zh-CN"/>
        </w:rPr>
        <w:t xml:space="preserve">无锡经开和畅实验中学</w:t>
      </w:r>
      <w:r>
        <w:rPr>
          <w:rFonts w:hint="eastAsia" w:ascii="宋体" w:hAnsi="宋体"/>
          <w:color w:val="000000"/>
          <w:sz w:val="24"/>
          <w:szCs w:val="24"/>
          <w:highlight w:val="none"/>
        </w:rPr>
        <w:t xml:space="preserve">的委托，</w:t>
      </w:r>
      <w:r>
        <w:rPr>
          <w:rFonts w:hint="eastAsia" w:ascii="宋体" w:hAnsi="宋体"/>
          <w:color w:val="000000"/>
          <w:sz w:val="24"/>
          <w:szCs w:val="24"/>
          <w:highlight w:val="none"/>
          <w:lang w:eastAsia="zh-CN"/>
        </w:rPr>
        <w:t xml:space="preserve">江苏经天纬地建设项目管理有限公司</w:t>
      </w:r>
      <w:r>
        <w:rPr>
          <w:rFonts w:hint="eastAsia" w:ascii="宋体" w:hAnsi="宋体"/>
          <w:color w:val="000000"/>
          <w:sz w:val="24"/>
          <w:szCs w:val="24"/>
          <w:highlight w:val="none"/>
        </w:rPr>
        <w:t xml:space="preserve">就</w:t>
      </w:r>
      <w:r>
        <w:rPr>
          <w:rFonts w:hint="eastAsia" w:ascii="宋体" w:hAnsi="宋体"/>
          <w:color w:val="000000"/>
          <w:sz w:val="24"/>
          <w:szCs w:val="24"/>
          <w:highlight w:val="none"/>
          <w:lang w:eastAsia="zh-CN"/>
        </w:rPr>
        <w:t xml:space="preserve">无锡经开和畅实验中学2026年实验室设施设备采购项目</w:t>
      </w:r>
      <w:r>
        <w:rPr>
          <w:rFonts w:hint="eastAsia" w:ascii="宋体" w:hAnsi="宋体"/>
          <w:color w:val="000000"/>
          <w:sz w:val="24"/>
          <w:szCs w:val="24"/>
          <w:highlight w:val="none"/>
        </w:rPr>
        <w:t xml:space="preserve">（JSZC-320292-JING-G2026-0024）进行公开招标采购，欢迎符合条件的供应商投标。</w:t>
      </w:r>
      <w:r/>
    </w:p>
    <w:p>
      <w:pPr>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p>
    <w:p>
      <w:pPr>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r>
      <w:r>
        <w:rPr>
          <w:rFonts w:hint="eastAsia" w:ascii="宋体" w:hAnsi="宋体"/>
          <w:color w:val="000000"/>
          <w:sz w:val="24"/>
          <w:szCs w:val="24"/>
          <w:highlight w:val="none"/>
        </w:rPr>
        <w:t xml:space="preserve">无锡经开和畅实验中学2026年实验室装备采购项目JSZC-320292-JING-G2026-0024 招标项目的潜在投标人应在江苏省政府采购（苏采云）平台 获取招标文件，并于2026-08-25 09:30 （北京时间）前递交投标文件</w:t>
      </w:r>
      <w:r>
        <w:rPr>
          <w:rFonts w:hint="eastAsia" w:ascii="宋体" w:hAnsi="宋体"/>
          <w:color w:val="000000"/>
          <w:sz w:val="24"/>
          <w:szCs w:val="24"/>
          <w:highlight w:val="none"/>
        </w:rPr>
        <w:t xml:space="preserve">。</w:t>
      </w:r>
      <w:r/>
    </w:p>
    <w:p>
      <w:pPr>
        <w:pStyle w:val="843"/>
        <w:ind w:firstLine="452"/>
        <w:keepLines w:val="0"/>
        <w:keepNext w:val="0"/>
        <w:spacing w:before="0" w:after="0" w:line="500" w:lineRule="exact"/>
        <w:rPr>
          <w:color w:val="000000"/>
          <w:sz w:val="30"/>
          <w:szCs w:val="30"/>
          <w:highlight w:val="none"/>
        </w:rPr>
      </w:pPr>
      <w:r/>
      <w:bookmarkStart w:id="6" w:name="_Toc38985263"/>
      <w:r/>
      <w:bookmarkStart w:id="7" w:name="_Toc35393621"/>
      <w:r/>
      <w:bookmarkStart w:id="8" w:name="_Toc28359002"/>
      <w:r/>
      <w:bookmarkStart w:id="9" w:name="_Toc35393790"/>
      <w:r/>
      <w:bookmarkStart w:id="10" w:name="_Toc28359079"/>
      <w:r/>
      <w:bookmarkStart w:id="11" w:name="_Hlk24379207"/>
      <w:r>
        <w:rPr>
          <w:rFonts w:hint="eastAsia"/>
          <w:color w:val="000000"/>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1.项目编号：JSZC-320292-JING-G2026-0024</w:t>
      </w:r>
      <w:r/>
    </w:p>
    <w:p>
      <w:pPr>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bookmarkEnd w:id="11"/>
      <w:r>
        <w:rPr>
          <w:rFonts w:hint="eastAsia" w:ascii="宋体" w:hAnsi="宋体"/>
          <w:color w:val="000000"/>
          <w:sz w:val="24"/>
          <w:szCs w:val="24"/>
          <w:highlight w:val="none"/>
          <w:lang w:eastAsia="zh-CN"/>
        </w:rPr>
        <w:t xml:space="preserve">无锡经开和畅实验中学2026年实验室设施设备采购项目</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3.项目预算金额：113.4万元。</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4.最高限价（如有）：113.4万元。</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5.采购方式：公开招标</w:t>
      </w:r>
      <w:r/>
    </w:p>
    <w:p>
      <w:pPr>
        <w:ind w:firstLine="482"/>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6.采购需求：</w:t>
      </w:r>
      <w:r>
        <w:rPr>
          <w:rFonts w:hint="eastAsia" w:ascii="宋体" w:hAnsi="宋体"/>
          <w:color w:val="000000"/>
          <w:sz w:val="24"/>
          <w:szCs w:val="24"/>
          <w:highlight w:val="none"/>
          <w:lang w:eastAsia="zh-CN"/>
        </w:rPr>
        <w:t xml:space="preserve">无锡经开和畅实验中学2026年实验室设施设备采购项目</w:t>
      </w:r>
      <w:r>
        <w:rPr>
          <w:rFonts w:hint="eastAsia" w:ascii="宋体" w:hAnsi="宋体"/>
          <w:color w:val="000000"/>
          <w:sz w:val="24"/>
          <w:szCs w:val="24"/>
          <w:highlight w:val="none"/>
        </w:rPr>
        <w:t xml:space="preserve">，具体详见采购文件第四章“采购需求”。</w:t>
      </w:r>
      <w:r/>
    </w:p>
    <w:p>
      <w:pPr>
        <w:ind w:firstLine="482"/>
        <w:spacing w:line="500" w:lineRule="exact"/>
        <w:rPr>
          <w:rFonts w:hint="eastAsia" w:ascii="宋体" w:hAnsi="宋体"/>
          <w:color w:val="000000"/>
          <w:sz w:val="24"/>
          <w:highlight w:val="none"/>
        </w:rPr>
      </w:pPr>
      <w:r>
        <w:rPr>
          <w:rFonts w:hint="eastAsia" w:ascii="宋体" w:hAnsi="宋体"/>
          <w:color w:val="000000"/>
          <w:sz w:val="24"/>
          <w:szCs w:val="24"/>
          <w:highlight w:val="none"/>
        </w:rPr>
        <w:t xml:space="preserve">7.合同履行期限：</w:t>
      </w:r>
      <w:r>
        <w:rPr>
          <w:rFonts w:hint="eastAsia" w:ascii="宋体" w:hAnsi="宋体"/>
          <w:color w:val="000000"/>
          <w:sz w:val="24"/>
          <w:highlight w:val="none"/>
        </w:rPr>
        <w:t xml:space="preserve">自合同签订生效起且接到采购人通知后30日内送货到指定地点并安装完毕交付使用。</w:t>
      </w:r>
      <w:r/>
    </w:p>
    <w:p>
      <w:pPr>
        <w:ind w:firstLine="480"/>
        <w:spacing w:line="500" w:lineRule="exact"/>
        <w:rPr>
          <w:rFonts w:ascii="宋体" w:hAnsi="宋体" w:cs="宋体"/>
          <w:color w:val="000000"/>
          <w:sz w:val="24"/>
          <w:szCs w:val="24"/>
          <w:highlight w:val="none"/>
        </w:rPr>
      </w:pPr>
      <w:r>
        <w:rPr>
          <w:rFonts w:hint="eastAsia" w:ascii="宋体" w:hAnsi="宋体"/>
          <w:color w:val="000000"/>
          <w:sz w:val="24"/>
          <w:highlight w:val="none"/>
        </w:rPr>
        <w:t xml:space="preserve">8</w:t>
      </w:r>
      <w:r>
        <w:rPr>
          <w:rFonts w:hint="eastAsia" w:ascii="宋体" w:hAnsi="宋体" w:cs="宋体"/>
          <w:color w:val="000000"/>
          <w:sz w:val="24"/>
          <w:szCs w:val="24"/>
          <w:highlight w:val="none"/>
        </w:rPr>
        <w:t xml:space="preserve">.本项目（是/否）接受联合体投标：否。</w:t>
      </w:r>
      <w:r/>
    </w:p>
    <w:p>
      <w:pPr>
        <w:pStyle w:val="843"/>
        <w:ind w:firstLine="452"/>
        <w:keepLines w:val="0"/>
        <w:keepNext w:val="0"/>
        <w:spacing w:before="0" w:after="0" w:line="500" w:lineRule="exact"/>
        <w:rPr>
          <w:color w:val="000000"/>
          <w:sz w:val="30"/>
          <w:szCs w:val="30"/>
          <w:highlight w:val="none"/>
        </w:rPr>
      </w:pPr>
      <w:r/>
      <w:bookmarkStart w:id="12" w:name="_Toc35393791"/>
      <w:r/>
      <w:bookmarkStart w:id="13" w:name="_Toc28359003"/>
      <w:r/>
      <w:bookmarkStart w:id="14" w:name="_Toc35393622"/>
      <w:r/>
      <w:bookmarkStart w:id="15" w:name="_Toc28359080"/>
      <w:r/>
      <w:bookmarkStart w:id="16" w:name="_Toc38985264"/>
      <w:r>
        <w:rPr>
          <w:rFonts w:hint="eastAsia"/>
          <w:color w:val="000000"/>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sz w:val="24"/>
          <w:szCs w:val="24"/>
          <w:highlight w:val="none"/>
        </w:rPr>
      </w:pPr>
      <w:r/>
      <w:bookmarkStart w:id="17" w:name="_Toc35393623"/>
      <w:r/>
      <w:bookmarkStart w:id="18" w:name="_Toc35393792"/>
      <w:r/>
      <w:bookmarkStart w:id="19" w:name="_Toc38985265"/>
      <w:r/>
      <w:bookmarkStart w:id="20" w:name="_Toc28359004"/>
      <w:r/>
      <w:bookmarkStart w:id="21" w:name="_Toc28359081"/>
      <w:r>
        <w:rPr>
          <w:rFonts w:hint="eastAsia" w:ascii="宋体" w:hAnsi="宋体"/>
          <w:color w:val="000000"/>
          <w:sz w:val="24"/>
          <w:szCs w:val="24"/>
          <w:highlight w:val="none"/>
        </w:rPr>
        <w:t xml:space="preserve">（一）满足《中华人民共和国政府采购法》第二十二条规定：</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2.《授权委托书》（给定格式；投标人如是自然人情形的，可不提供）。</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4.投标人近一年中任意一个月份（不含投标当月）的依法缴纳税收的相关材料（提供相关主管部门证明或银行代扣证明）。</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5.投标人近一年中任意一个月份（不含投标当月）的依法缴纳社会保障资金的相关材料（提供相关主管部门证明或银行代扣证明）。</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6.《资格声明函》（给定格式）。</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（二）落实政府采购政策需满足的资格要求：</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中小企业政策：本项目专门面向中小企业采购（残疾人福利性单位、监狱企业视同小型、微型企业）。本项目标的所属行业：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（三）本项目的特定资格要求： </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color w:val="000000"/>
          <w:sz w:val="24"/>
          <w:szCs w:val="24"/>
          <w:highlight w:val="none"/>
        </w:rPr>
      </w:r>
      <w:r/>
    </w:p>
    <w:p>
      <w:pPr>
        <w:pStyle w:val="843"/>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ascii="宋体" w:hAnsi="宋体"/>
          <w:color w:val="000000"/>
          <w:sz w:val="24"/>
          <w:szCs w:val="24"/>
          <w:highlight w:val="none"/>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color w:val="000000"/>
          <w:sz w:val="24"/>
          <w:szCs w:val="24"/>
          <w:highlight w:val="none"/>
        </w:rPr>
        <w:t xml:space="preserve">1.时间：</w:t>
      </w:r>
      <w:r>
        <w:rPr>
          <w:rFonts w:hint="eastAsia" w:ascii="宋体" w:hAnsi="宋体"/>
          <w:color w:val="000000"/>
          <w:sz w:val="24"/>
          <w:szCs w:val="24"/>
          <w:highlight w:val="none"/>
        </w:rPr>
        <w:t xml:space="preserve">本招标文件有效获取期限以本项目招标公告中规定的获取招标文件时间为准。 </w:t>
      </w:r>
      <w:r/>
    </w:p>
    <w:p>
      <w:pPr>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hint="eastAsia" w:ascii="宋体" w:hAnsi="宋体"/>
          <w:color w:val="000000"/>
          <w:sz w:val="24"/>
          <w:szCs w:val="24"/>
          <w:highlight w:val="none"/>
        </w:rPr>
        <w:t xml:space="preserve">江苏政府采购网</w:t>
      </w:r>
      <w:r>
        <w:rPr>
          <w:rFonts w:ascii="宋体" w:hAnsi="宋体"/>
          <w:color w:val="000000"/>
          <w:sz w:val="24"/>
          <w:szCs w:val="24"/>
          <w:highlight w:val="none"/>
        </w:rPr>
        <w:t xml:space="preserve">（苏采云）平台</w:t>
      </w:r>
      <w:r/>
    </w:p>
    <w:p>
      <w:pPr>
        <w:ind w:firstLine="540"/>
        <w:spacing w:line="500" w:lineRule="exact"/>
        <w:rPr>
          <w:rStyle w:val="917"/>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江苏政府采购网</w:t>
      </w:r>
      <w:r>
        <w:rPr>
          <w:rFonts w:ascii="宋体" w:hAnsi="宋体"/>
          <w:color w:val="000000"/>
          <w:sz w:val="24"/>
          <w:szCs w:val="24"/>
          <w:highlight w:val="none"/>
        </w:rPr>
        <w:t xml:space="preserve">（苏采云）平台”获取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江苏政府采购网</w:t>
      </w:r>
      <w:r>
        <w:rPr>
          <w:rFonts w:ascii="宋体" w:hAnsi="宋体"/>
          <w:color w:val="000000"/>
          <w:sz w:val="24"/>
          <w:szCs w:val="24"/>
          <w:highlight w:val="none"/>
        </w:rPr>
        <w:t xml:space="preserve">（苏采云）平台”获取的</w:t>
      </w:r>
      <w:r>
        <w:rPr>
          <w:rFonts w:hint="eastAsia" w:ascii="宋体" w:hAnsi="宋体"/>
          <w:bCs/>
          <w:color w:val="000000"/>
          <w:sz w:val="24"/>
          <w:szCs w:val="24"/>
          <w:highlight w:val="none"/>
        </w:rPr>
        <w:t xml:space="preserve">招标文件，视为依法获取的招标文件。</w:t>
      </w:r>
      <w:r/>
    </w:p>
    <w:p>
      <w:pPr>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4.售价：0.00元</w:t>
      </w:r>
      <w:r/>
    </w:p>
    <w:p>
      <w:pPr>
        <w:pStyle w:val="843"/>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四、提交投标文件</w:t>
      </w:r>
      <w:bookmarkEnd w:id="22"/>
      <w:r/>
      <w:bookmarkEnd w:id="23"/>
      <w:r>
        <w:rPr>
          <w:rFonts w:hint="eastAsia"/>
          <w:color w:val="000000"/>
          <w:sz w:val="30"/>
          <w:szCs w:val="30"/>
          <w:highlight w:val="none"/>
        </w:rPr>
        <w:t xml:space="preserve">截止时间、开标时间和地点</w:t>
      </w:r>
      <w:bookmarkEnd w:id="24"/>
      <w:r/>
      <w:bookmarkEnd w:id="25"/>
      <w:r/>
      <w:bookmarkEnd w:id="26"/>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1.时间</w:t>
      </w:r>
      <w:r>
        <w:rPr>
          <w:rFonts w:ascii="宋体" w:hAnsi="宋体"/>
          <w:color w:val="000000"/>
          <w:sz w:val="24"/>
          <w:szCs w:val="24"/>
          <w:highlight w:val="none"/>
        </w:rPr>
        <w:t xml:space="preserve">：202</w:t>
      </w:r>
      <w:r>
        <w:rPr>
          <w:rFonts w:hint="eastAsia" w:ascii="宋体" w:hAnsi="宋体"/>
          <w:color w:val="000000"/>
          <w:sz w:val="24"/>
          <w:szCs w:val="24"/>
          <w:highlight w:val="none"/>
        </w:rPr>
        <w:t xml:space="preserve">6</w:t>
      </w:r>
      <w:r>
        <w:rPr>
          <w:rFonts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8</w:t>
      </w:r>
      <w:r>
        <w:rPr>
          <w:rFonts w:ascii="宋体" w:hAnsi="宋体"/>
          <w:color w:val="000000"/>
          <w:sz w:val="24"/>
          <w:szCs w:val="24"/>
          <w:highlight w:val="none"/>
        </w:rPr>
        <w:t xml:space="preserve">月25</w:t>
      </w:r>
      <w:r>
        <w:rPr>
          <w:rFonts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9</w:t>
      </w:r>
      <w:r>
        <w:rPr>
          <w:rFonts w:ascii="宋体" w:hAnsi="宋体"/>
          <w:color w:val="000000"/>
          <w:sz w:val="24"/>
          <w:szCs w:val="24"/>
          <w:highlight w:val="none"/>
        </w:rPr>
        <w:t xml:space="preserve">点</w:t>
      </w:r>
      <w:r>
        <w:rPr>
          <w:rFonts w:hint="eastAsia" w:ascii="宋体" w:hAnsi="宋体"/>
          <w:color w:val="000000"/>
          <w:sz w:val="24"/>
          <w:szCs w:val="24"/>
          <w:highlight w:val="none"/>
        </w:rPr>
        <w:t xml:space="preserve">30</w:t>
      </w:r>
      <w:r>
        <w:rPr>
          <w:rFonts w:ascii="宋体" w:hAnsi="宋体"/>
          <w:color w:val="000000"/>
          <w:sz w:val="24"/>
          <w:szCs w:val="24"/>
          <w:highlight w:val="none"/>
        </w:rPr>
        <w:t xml:space="preserve">分（北京时</w:t>
      </w:r>
      <w:r>
        <w:rPr>
          <w:rFonts w:hint="eastAsia" w:ascii="宋体" w:hAnsi="宋体"/>
          <w:bCs/>
          <w:color w:val="000000"/>
          <w:sz w:val="24"/>
          <w:szCs w:val="24"/>
          <w:highlight w:val="none"/>
        </w:rPr>
        <w:t xml:space="preserve">间）</w:t>
      </w:r>
      <w:r/>
    </w:p>
    <w:p>
      <w:pPr>
        <w:ind w:firstLine="480"/>
        <w:spacing w:line="500" w:lineRule="exact"/>
        <w:rPr>
          <w:rFonts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rPr>
        <w:t xml:space="preserve">江苏政府采购网</w:t>
      </w:r>
      <w:r>
        <w:rPr>
          <w:rFonts w:ascii="宋体" w:hAnsi="宋体"/>
          <w:color w:val="000000"/>
          <w:sz w:val="24"/>
          <w:szCs w:val="24"/>
          <w:highlight w:val="none"/>
        </w:rPr>
        <w:t xml:space="preserve">（苏采云）平台</w:t>
      </w:r>
      <w:r>
        <w:rPr>
          <w:rFonts w:hint="eastAsia" w:ascii="宋体" w:hAnsi="宋体"/>
          <w:color w:val="000000"/>
          <w:sz w:val="24"/>
          <w:szCs w:val="24"/>
          <w:highlight w:val="none"/>
        </w:rPr>
      </w:r>
      <w:r/>
    </w:p>
    <w:p>
      <w:pPr>
        <w:pStyle w:val="843"/>
        <w:ind w:firstLine="452"/>
        <w:keepLines w:val="0"/>
        <w:keepNext w:val="0"/>
        <w:spacing w:before="0" w:after="0" w:line="500" w:lineRule="exact"/>
        <w:rPr>
          <w:color w:val="000000"/>
          <w:sz w:val="30"/>
          <w:szCs w:val="30"/>
          <w:highlight w:val="none"/>
        </w:rPr>
      </w:pPr>
      <w:r/>
      <w:bookmarkStart w:id="27" w:name="_Toc28359084"/>
      <w:r/>
      <w:bookmarkStart w:id="28" w:name="_Toc28359007"/>
      <w:r/>
      <w:bookmarkStart w:id="29" w:name="_Toc38985267"/>
      <w:r/>
      <w:bookmarkStart w:id="30" w:name="_Toc35393794"/>
      <w:r/>
      <w:bookmarkStart w:id="31" w:name="_Toc35393625"/>
      <w:r>
        <w:rPr>
          <w:rFonts w:hint="eastAsia"/>
          <w:color w:val="000000"/>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sz w:val="24"/>
          <w:szCs w:val="24"/>
          <w:highlight w:val="none"/>
        </w:rPr>
      </w:pPr>
      <w:r/>
      <w:bookmarkStart w:id="32" w:name="_Toc35393795"/>
      <w:r/>
      <w:bookmarkStart w:id="33" w:name="_Toc38985268"/>
      <w:r/>
      <w:bookmarkStart w:id="34" w:name="_Toc35393626"/>
      <w:r>
        <w:rPr>
          <w:rFonts w:hint="eastAsia" w:ascii="宋体" w:hAnsi="宋体" w:cs="宋体"/>
          <w:color w:val="000000"/>
          <w:sz w:val="24"/>
          <w:szCs w:val="24"/>
          <w:highlight w:val="none"/>
        </w:rPr>
        <w:t xml:space="preserve">自本公告发布之日起5个工作日。</w:t>
      </w:r>
      <w:r/>
    </w:p>
    <w:p>
      <w:pPr>
        <w:pStyle w:val="843"/>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六、其他补充事宜</w:t>
      </w:r>
      <w:bookmarkEnd w:id="32"/>
      <w:r/>
      <w:bookmarkEnd w:id="33"/>
      <w:r/>
      <w:bookmarkEnd w:id="34"/>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p>
    <w:p>
      <w:pPr>
        <w:pStyle w:val="843"/>
        <w:ind w:firstLine="452"/>
        <w:keepLines w:val="0"/>
        <w:keepNext w:val="0"/>
        <w:spacing w:before="0" w:after="0" w:line="500" w:lineRule="exact"/>
        <w:rPr>
          <w:color w:val="000000"/>
          <w:sz w:val="30"/>
          <w:szCs w:val="30"/>
          <w:highlight w:val="none"/>
        </w:rPr>
      </w:pPr>
      <w:r/>
      <w:bookmarkStart w:id="35" w:name="_Toc35393627"/>
      <w:r/>
      <w:bookmarkStart w:id="36" w:name="_Toc38985269"/>
      <w:r/>
      <w:bookmarkStart w:id="37" w:name="_Toc28359085"/>
      <w:r/>
      <w:bookmarkStart w:id="38" w:name="_Toc35393796"/>
      <w:r/>
      <w:bookmarkStart w:id="39" w:name="_Toc28359008"/>
      <w:r>
        <w:rPr>
          <w:rFonts w:hint="eastAsia"/>
          <w:color w:val="000000"/>
          <w:sz w:val="30"/>
          <w:szCs w:val="30"/>
          <w:highlight w:val="none"/>
        </w:rPr>
        <w:t xml:space="preserve">七、本项目联系方式</w:t>
      </w:r>
      <w:bookmarkEnd w:id="35"/>
      <w:r/>
      <w:bookmarkEnd w:id="36"/>
      <w:r/>
      <w:bookmarkEnd w:id="37"/>
      <w:r/>
      <w:bookmarkEnd w:id="38"/>
      <w:r/>
      <w:bookmarkEnd w:id="39"/>
      <w:r/>
      <w:r/>
    </w:p>
    <w:p>
      <w:pPr>
        <w:pStyle w:val="843"/>
        <w:ind w:firstLine="452"/>
        <w:keepLines w:val="0"/>
        <w:keepNext w:val="0"/>
        <w:spacing w:before="0" w:after="0"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无锡经开和畅实验中学</w:t>
      </w:r>
      <w:r/>
    </w:p>
    <w:p>
      <w:pPr>
        <w:pStyle w:val="843"/>
        <w:ind w:firstLine="452"/>
        <w:keepLines w:val="0"/>
        <w:keepNext w:val="0"/>
        <w:spacing w:before="0" w:after="0"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lang w:eastAsia="zh-CN"/>
        </w:rPr>
        <w:t xml:space="preserve">无锡经济开发区瑞景道768号</w:t>
      </w:r>
      <w:r/>
    </w:p>
    <w:p>
      <w:pPr>
        <w:pStyle w:val="843"/>
        <w:ind w:firstLine="452"/>
        <w:keepLines w:val="0"/>
        <w:keepNext w:val="0"/>
        <w:spacing w:before="0" w:after="0"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联系方式：见“项目联系方式”</w:t>
      </w:r>
      <w:r/>
    </w:p>
    <w:p>
      <w:pPr>
        <w:pStyle w:val="843"/>
        <w:ind w:firstLine="452"/>
        <w:keepLines w:val="0"/>
        <w:keepNext w:val="0"/>
        <w:spacing w:before="0" w:after="0"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p>
    <w:p>
      <w:pPr>
        <w:pStyle w:val="843"/>
        <w:ind w:firstLine="452"/>
        <w:keepLines w:val="0"/>
        <w:keepNext w:val="0"/>
        <w:spacing w:before="0" w:after="0"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江苏经天纬地建设项目管理有限公司</w:t>
      </w:r>
      <w:r/>
    </w:p>
    <w:p>
      <w:pPr>
        <w:pStyle w:val="843"/>
        <w:ind w:firstLine="452"/>
        <w:keepLines w:val="0"/>
        <w:keepNext w:val="0"/>
        <w:spacing w:before="0" w:after="0"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lang w:eastAsia="zh-CN"/>
        </w:rPr>
        <w:t xml:space="preserve">无锡市锡山区凤威路2号2号楼308</w:t>
      </w:r>
      <w:r>
        <w:rPr>
          <w:rFonts w:hint="eastAsia" w:ascii="宋体" w:hAnsi="宋体" w:cs="宋体"/>
          <w:color w:val="000000"/>
          <w:sz w:val="24"/>
          <w:szCs w:val="24"/>
          <w:highlight w:val="none"/>
        </w:rPr>
        <w:t xml:space="preserve"> </w:t>
      </w:r>
      <w:r/>
    </w:p>
    <w:p>
      <w:pPr>
        <w:pStyle w:val="843"/>
        <w:ind w:firstLine="452"/>
        <w:keepLines w:val="0"/>
        <w:keepNext w:val="0"/>
        <w:spacing w:before="0" w:after="0"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联系方式：见“项目联系方式”</w:t>
      </w:r>
      <w:r/>
    </w:p>
    <w:p>
      <w:pPr>
        <w:pStyle w:val="843"/>
        <w:ind w:firstLine="452"/>
        <w:keepLines w:val="0"/>
        <w:keepNext w:val="0"/>
        <w:spacing w:before="0" w:after="0"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p>
    <w:p>
      <w:pPr>
        <w:pStyle w:val="843"/>
        <w:ind w:firstLine="452"/>
        <w:keepLines w:val="0"/>
        <w:keepNext w:val="0"/>
        <w:spacing w:before="0" w:after="0"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采购人项目咨询联系人：黄锴；电话：13921546063 </w:t>
      </w:r>
      <w:r/>
    </w:p>
    <w:p>
      <w:pPr>
        <w:pStyle w:val="843"/>
        <w:ind w:firstLine="452"/>
        <w:keepLines w:val="0"/>
        <w:keepNext w:val="0"/>
        <w:spacing w:before="0" w:after="0" w:line="500" w:lineRule="exact"/>
        <w:rPr>
          <w:rFonts w:hint="eastAsia"/>
          <w:color w:val="000000"/>
          <w:sz w:val="30"/>
          <w:szCs w:val="30"/>
          <w:highlight w:val="none"/>
        </w:rPr>
      </w:pPr>
      <w:r>
        <w:rPr>
          <w:rFonts w:hint="eastAsia" w:ascii="宋体" w:hAnsi="宋体" w:cs="宋体"/>
          <w:color w:val="000000"/>
          <w:sz w:val="24"/>
          <w:szCs w:val="24"/>
          <w:highlight w:val="none"/>
        </w:rPr>
        <w:t xml:space="preserve">代理机构项目联系人：黄锴；电话：13921546063</w:t>
      </w:r>
      <w:r/>
    </w:p>
    <w:p>
      <w:pPr>
        <w:pStyle w:val="843"/>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八、其他</w:t>
      </w:r>
      <w:r/>
    </w:p>
    <w:p>
      <w:pPr>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w:t>
      </w:r>
      <w:r>
        <w:rPr>
          <w:rFonts w:hint="eastAsia" w:ascii="宋体" w:hAnsi="宋体"/>
          <w:color w:val="000000"/>
          <w:sz w:val="24"/>
          <w:szCs w:val="24"/>
          <w:highlight w:val="none"/>
        </w:rPr>
        <w:t xml:space="preserve">江苏政府采购网</w:t>
      </w:r>
      <w:r>
        <w:rPr>
          <w:rFonts w:ascii="宋体" w:hAnsi="宋体"/>
          <w:color w:val="000000"/>
          <w:sz w:val="24"/>
          <w:szCs w:val="24"/>
          <w:highlight w:val="none"/>
        </w:rPr>
        <w:t xml:space="preserve">”点击“</w:t>
      </w:r>
      <w:r>
        <w:rPr>
          <w:rFonts w:hint="eastAsia" w:ascii="宋体" w:hAnsi="宋体"/>
          <w:color w:val="000000"/>
          <w:sz w:val="24"/>
          <w:szCs w:val="24"/>
          <w:highlight w:val="none"/>
        </w:rPr>
        <w:t xml:space="preserve">江苏政府采购网</w:t>
      </w:r>
      <w:r>
        <w:rPr>
          <w:rFonts w:ascii="宋体" w:hAnsi="宋体"/>
          <w:color w:val="000000"/>
          <w:sz w:val="24"/>
          <w:szCs w:val="24"/>
          <w:highlight w:val="none"/>
        </w:rPr>
        <w:t xml:space="preserve">（苏采云）平台”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w:t>
      </w:r>
      <w:r>
        <w:rPr>
          <w:rFonts w:hint="eastAsia" w:ascii="宋体" w:hAnsi="宋体"/>
          <w:color w:val="000000"/>
          <w:sz w:val="24"/>
          <w:szCs w:val="24"/>
          <w:highlight w:val="none"/>
          <w:lang w:val="en-US" w:eastAsia="zh-CN"/>
        </w:rPr>
        <w:t xml:space="preserve">一</w:t>
      </w:r>
      <w:r>
        <w:rPr>
          <w:rFonts w:hint="eastAsia" w:ascii="宋体" w:hAnsi="宋体"/>
          <w:color w:val="000000"/>
          <w:sz w:val="24"/>
          <w:szCs w:val="24"/>
          <w:highlight w:val="none"/>
        </w:rPr>
        <w:t xml:space="preserve">楼</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color w:val="000000"/>
          <w:highlight w:val="none"/>
        </w:rPr>
        <w:fldChar w:fldCharType="begin"/>
      </w:r>
      <w:r>
        <w:rPr>
          <w:color w:val="000000"/>
          <w:highlight w:val="none"/>
        </w:rPr>
        <w:instrText xml:space="preserve"> HYPERLINK "http://cz.wuxi.gov.cn/doc/2023/10/11/4080287.shtml" \t "_blank" \o "“苏采云”系统供应商操作手册" </w:instrText>
      </w:r>
      <w:r>
        <w:rPr>
          <w:color w:val="000000"/>
          <w:highlight w:val="none"/>
        </w:rPr>
        <w:fldChar w:fldCharType="separate"/>
      </w:r>
      <w:r>
        <w:rPr>
          <w:rFonts w:hint="eastAsia" w:ascii="宋体" w:hAnsi="宋体"/>
          <w:color w:val="000000"/>
          <w:sz w:val="24"/>
          <w:szCs w:val="24"/>
          <w:highlight w:val="none"/>
        </w:rPr>
        <w:t xml:space="preserve">“苏采云”系统供应商操作手册</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w:t>
      </w:r>
      <w:r/>
    </w:p>
    <w:p>
      <w:pPr>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p>
    <w:p>
      <w:pPr>
        <w:ind w:firstLine="480"/>
        <w:spacing w:line="500" w:lineRule="exact"/>
        <w:tabs>
          <w:tab w:val="left" w:pos="9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w:t>
      </w:r>
      <w:r>
        <w:rPr>
          <w:rFonts w:hint="eastAsia" w:ascii="宋体" w:hAnsi="宋体"/>
          <w:bCs/>
          <w:color w:val="000000"/>
          <w:sz w:val="24"/>
          <w:szCs w:val="24"/>
          <w:highlight w:val="none"/>
          <w:lang w:eastAsia="zh-CN"/>
        </w:rPr>
        <w:t xml:space="preserve">江苏经天纬地建设项目管理有限公司</w:t>
      </w:r>
      <w:r>
        <w:rPr>
          <w:rFonts w:hint="eastAsia" w:ascii="宋体" w:hAnsi="宋体"/>
          <w:bCs/>
          <w:color w:val="000000"/>
          <w:sz w:val="24"/>
          <w:szCs w:val="24"/>
          <w:highlight w:val="none"/>
        </w:rPr>
        <w:t xml:space="preserve">在“江苏政府采购网”发布的更正公告。</w:t>
      </w:r>
      <w:r/>
    </w:p>
    <w:p>
      <w:pPr>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（四）本次采购不收取投标保证金。</w:t>
      </w:r>
      <w:r/>
    </w:p>
    <w:p>
      <w:pPr>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p>
    <w:p>
      <w:pPr>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r>
      <w:r/>
    </w:p>
    <w:p>
      <w:pPr>
        <w:jc w:val="center"/>
        <w:spacing w:line="500" w:lineRule="exact"/>
        <w:tabs>
          <w:tab w:val="left" w:pos="1440" w:leader="none"/>
        </w:tabs>
        <w:rPr>
          <w:rFonts w:ascii="黑体" w:hAnsi="黑体" w:eastAsia="黑体"/>
          <w:color w:val="000000"/>
          <w:sz w:val="36"/>
          <w:szCs w:val="36"/>
          <w:highlight w:val="none"/>
        </w:rPr>
        <w:outlineLvl w:val="0"/>
      </w:pPr>
      <w:r>
        <w:rPr>
          <w:rFonts w:ascii="宋体" w:hAnsi="宋体"/>
          <w:bCs/>
          <w:color w:val="000000"/>
          <w:sz w:val="24"/>
          <w:szCs w:val="24"/>
          <w:highlight w:val="none"/>
          <w:shd w:val="clear" w:color="ffffff" w:fill="d9d9d9"/>
        </w:rPr>
        <w:br w:type="page" w:clear="all"/>
      </w:r>
      <w:bookmarkStart w:id="40" w:name="_Toc120614211"/>
      <w:r>
        <w:rPr>
          <w:rFonts w:hint="eastAsia" w:ascii="黑体" w:hAnsi="黑体" w:eastAsia="黑体"/>
          <w:color w:val="000000"/>
          <w:sz w:val="36"/>
          <w:szCs w:val="36"/>
          <w:highlight w:val="none"/>
        </w:rPr>
        <w:t xml:space="preserve">第二章  </w:t>
      </w:r>
      <w:bookmarkEnd w:id="1"/>
      <w:r/>
      <w:bookmarkEnd w:id="2"/>
      <w:r/>
      <w:bookmarkEnd w:id="3"/>
      <w:r/>
      <w:bookmarkEnd w:id="4"/>
      <w:r/>
      <w:bookmarkEnd w:id="5"/>
      <w:r/>
      <w:bookmarkEnd w:id="40"/>
      <w:r/>
      <w:bookmarkStart w:id="41" w:name="_Toc120614213"/>
      <w:r/>
      <w:bookmarkStart w:id="42" w:name="_Toc513029202"/>
      <w:r/>
      <w:bookmarkStart w:id="43" w:name="_Toc16938518"/>
      <w:r/>
      <w:bookmarkStart w:id="44" w:name="_Toc20823274"/>
      <w:r>
        <w:rPr>
          <w:rFonts w:hint="eastAsia" w:ascii="黑体" w:hAnsi="黑体" w:eastAsia="黑体"/>
          <w:color w:val="000000"/>
          <w:sz w:val="36"/>
          <w:szCs w:val="36"/>
          <w:highlight w:val="none"/>
        </w:rPr>
        <w:t xml:space="preserve">投标人须知</w:t>
      </w:r>
      <w:bookmarkEnd w:id="41"/>
      <w:r/>
      <w:bookmarkEnd w:id="42"/>
      <w:r/>
      <w:bookmarkEnd w:id="43"/>
      <w:r/>
      <w:bookmarkEnd w:id="44"/>
      <w:r/>
      <w:r/>
    </w:p>
    <w:p>
      <w:pPr>
        <w:pStyle w:val="843"/>
        <w:ind w:firstLine="452"/>
        <w:keepLines w:val="0"/>
        <w:keepNext w:val="0"/>
        <w:spacing w:before="0" w:after="0" w:line="500" w:lineRule="exact"/>
        <w:rPr>
          <w:color w:val="000000"/>
          <w:sz w:val="30"/>
          <w:szCs w:val="30"/>
          <w:highlight w:val="none"/>
        </w:rPr>
      </w:pPr>
      <w:r/>
      <w:bookmarkStart w:id="45" w:name="_Toc120614214"/>
      <w:r/>
      <w:bookmarkStart w:id="46" w:name="_Toc20823275"/>
      <w:r/>
      <w:bookmarkStart w:id="47" w:name="_Toc513029203"/>
      <w:r/>
      <w:bookmarkStart w:id="48" w:name="_Toc16938519"/>
      <w:r>
        <w:rPr>
          <w:rFonts w:hint="eastAsia"/>
          <w:color w:val="000000"/>
          <w:sz w:val="30"/>
          <w:szCs w:val="30"/>
          <w:highlight w:val="none"/>
        </w:rPr>
        <w:t xml:space="preserve">一、总则</w:t>
      </w:r>
      <w:bookmarkEnd w:id="45"/>
      <w:r/>
      <w:bookmarkEnd w:id="46"/>
      <w:r/>
      <w:bookmarkEnd w:id="47"/>
      <w:r/>
      <w:bookmarkEnd w:id="48"/>
      <w:r/>
      <w:r/>
    </w:p>
    <w:p>
      <w:pPr>
        <w:pStyle w:val="845"/>
        <w:ind w:firstLine="422"/>
        <w:keepLines w:val="0"/>
        <w:keepNext w:val="0"/>
        <w:spacing w:before="0" w:after="0" w:line="500" w:lineRule="exact"/>
        <w:rPr>
          <w:rFonts w:ascii="宋体" w:hAnsi="宋体" w:eastAsia="宋体"/>
          <w:bCs w:val="0"/>
          <w:color w:val="000000"/>
          <w:highlight w:val="none"/>
        </w:rPr>
      </w:pPr>
      <w:r/>
      <w:bookmarkStart w:id="49" w:name="_Hlt16619475"/>
      <w:r/>
      <w:bookmarkEnd w:id="49"/>
      <w:r/>
      <w:bookmarkStart w:id="50" w:name="_Toc20823276"/>
      <w:r/>
      <w:bookmarkStart w:id="51" w:name="_Toc16938520"/>
      <w:r/>
      <w:bookmarkStart w:id="52" w:name="_Toc513029204"/>
      <w:r>
        <w:rPr>
          <w:rFonts w:hint="eastAsia" w:ascii="宋体" w:hAnsi="宋体" w:eastAsia="宋体"/>
          <w:bCs w:val="0"/>
          <w:color w:val="000000"/>
          <w:highlight w:val="none"/>
        </w:rPr>
        <w:t xml:space="preserve">1.招标方式</w:t>
      </w:r>
      <w:bookmarkEnd w:id="50"/>
      <w:r/>
      <w:bookmarkEnd w:id="51"/>
      <w:r/>
      <w:bookmarkEnd w:id="52"/>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1.1本次招标采取公开招标方式，本招标文件仅适用于招标公告中所述项目。</w:t>
      </w:r>
      <w:r/>
    </w:p>
    <w:p>
      <w:pPr>
        <w:pStyle w:val="845"/>
        <w:ind w:firstLine="422"/>
        <w:keepLines w:val="0"/>
        <w:keepNext w:val="0"/>
        <w:spacing w:before="0" w:after="0" w:line="500" w:lineRule="exact"/>
        <w:rPr>
          <w:rFonts w:ascii="宋体" w:hAnsi="宋体" w:eastAsia="宋体"/>
          <w:bCs w:val="0"/>
          <w:color w:val="000000"/>
          <w:highlight w:val="none"/>
        </w:rPr>
      </w:pPr>
      <w:r/>
      <w:bookmarkStart w:id="53" w:name="_Toc16938521"/>
      <w:r/>
      <w:bookmarkStart w:id="54" w:name="_Toc20823277"/>
      <w:r/>
      <w:bookmarkStart w:id="55" w:name="_Toc513029205"/>
      <w:r>
        <w:rPr>
          <w:rFonts w:hint="eastAsia" w:ascii="宋体" w:hAnsi="宋体" w:eastAsia="宋体"/>
          <w:bCs w:val="0"/>
          <w:color w:val="000000"/>
          <w:highlight w:val="none"/>
        </w:rPr>
        <w:t xml:space="preserve">2.</w:t>
      </w:r>
      <w:bookmarkEnd w:id="53"/>
      <w:r/>
      <w:bookmarkEnd w:id="54"/>
      <w:r/>
      <w:bookmarkEnd w:id="55"/>
      <w:r>
        <w:rPr>
          <w:rFonts w:hint="eastAsia" w:ascii="宋体" w:hAnsi="宋体" w:eastAsia="宋体"/>
          <w:bCs w:val="0"/>
          <w:color w:val="000000"/>
          <w:highlight w:val="none"/>
        </w:rPr>
        <w:t xml:space="preserve">采购人、采购代理机构、投标人、联合体</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45"/>
        <w:ind w:firstLine="422"/>
        <w:keepLines w:val="0"/>
        <w:keepNext w:val="0"/>
        <w:spacing w:before="0" w:after="0" w:line="500" w:lineRule="exact"/>
        <w:rPr>
          <w:rFonts w:ascii="宋体" w:hAnsi="宋体" w:eastAsia="宋体"/>
          <w:bCs w:val="0"/>
          <w:color w:val="000000"/>
          <w:highlight w:val="none"/>
        </w:rPr>
      </w:pPr>
      <w:r/>
      <w:bookmarkStart w:id="56" w:name="_Toc16938522"/>
      <w:r/>
      <w:bookmarkStart w:id="57" w:name="_Toc513029206"/>
      <w:r/>
      <w:bookmarkStart w:id="58" w:name="_Toc20823278"/>
      <w:r>
        <w:rPr>
          <w:rFonts w:hint="eastAsia" w:ascii="宋体" w:hAnsi="宋体" w:eastAsia="宋体"/>
          <w:bCs w:val="0"/>
          <w:color w:val="000000"/>
          <w:highlight w:val="none"/>
        </w:rPr>
        <w:t xml:space="preserve">3.适用法律</w:t>
      </w:r>
      <w:bookmarkEnd w:id="56"/>
      <w:r/>
      <w:bookmarkEnd w:id="57"/>
      <w:r/>
      <w:bookmarkEnd w:id="58"/>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3.1本次招标及由此产生的合同受中华人民共和国法律的制约和保护。</w:t>
      </w:r>
      <w:r/>
    </w:p>
    <w:p>
      <w:pPr>
        <w:pStyle w:val="845"/>
        <w:ind w:firstLine="422"/>
        <w:keepLines w:val="0"/>
        <w:keepNext w:val="0"/>
        <w:spacing w:before="0" w:after="0" w:line="500" w:lineRule="exact"/>
        <w:rPr>
          <w:rFonts w:ascii="宋体" w:hAnsi="宋体" w:eastAsia="宋体"/>
          <w:bCs w:val="0"/>
          <w:color w:val="000000"/>
          <w:highlight w:val="none"/>
        </w:rPr>
      </w:pPr>
      <w:r/>
      <w:bookmarkStart w:id="59" w:name="_Toc462564067"/>
      <w:r/>
      <w:bookmarkStart w:id="60" w:name="_Toc16938523"/>
      <w:r/>
      <w:bookmarkStart w:id="61" w:name="_Toc513029207"/>
      <w:r/>
      <w:bookmarkStart w:id="62" w:name="_Toc20823279"/>
      <w:r>
        <w:rPr>
          <w:rFonts w:hint="eastAsia" w:ascii="宋体" w:hAnsi="宋体" w:eastAsia="宋体"/>
          <w:bCs w:val="0"/>
          <w:color w:val="000000"/>
          <w:highlight w:val="none"/>
        </w:rPr>
        <w:t xml:space="preserve">4.投标费用</w:t>
      </w:r>
      <w:bookmarkEnd w:id="59"/>
      <w:r/>
      <w:bookmarkEnd w:id="60"/>
      <w:r/>
      <w:bookmarkEnd w:id="61"/>
      <w:r/>
      <w:bookmarkEnd w:id="62"/>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4.1采购代理服务费由</w:t>
      </w:r>
      <w:r>
        <w:rPr>
          <w:rFonts w:hint="eastAsia" w:ascii="宋体" w:hAnsi="宋体"/>
          <w:bCs/>
          <w:color w:val="000000"/>
          <w:sz w:val="24"/>
          <w:highlight w:val="none"/>
          <w:lang w:val="en-US" w:eastAsia="zh-CN"/>
        </w:rPr>
        <w:t xml:space="preserve">采购</w:t>
      </w:r>
      <w:r>
        <w:rPr>
          <w:rFonts w:hint="eastAsia" w:ascii="宋体" w:hAnsi="宋体"/>
          <w:bCs/>
          <w:color w:val="000000"/>
          <w:sz w:val="24"/>
          <w:highlight w:val="none"/>
        </w:rPr>
        <w:t xml:space="preserve">人支付。</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4.2投标人应自行承担所有与参加投标有关的费用，无论投标过程中的做法和结果如何，</w:t>
      </w:r>
      <w:r>
        <w:rPr>
          <w:rFonts w:hint="eastAsia" w:ascii="宋体" w:hAnsi="宋体"/>
          <w:color w:val="000000"/>
          <w:sz w:val="24"/>
          <w:highlight w:val="none"/>
          <w:lang w:eastAsia="zh-CN"/>
        </w:rPr>
        <w:t xml:space="preserve">江苏经天纬地建设项目管理有限公司</w:t>
      </w:r>
      <w:r>
        <w:rPr>
          <w:rFonts w:hint="eastAsia" w:ascii="宋体" w:hAnsi="宋体"/>
          <w:color w:val="000000"/>
          <w:sz w:val="24"/>
          <w:highlight w:val="none"/>
        </w:rPr>
        <w:t xml:space="preserve">（以下简称代理机构）在任何情况下均无义务和责任承担这些费用。</w:t>
      </w:r>
      <w:r/>
    </w:p>
    <w:p>
      <w:pPr>
        <w:pStyle w:val="845"/>
        <w:ind w:firstLine="422"/>
        <w:keepLines w:val="0"/>
        <w:keepNext w:val="0"/>
        <w:spacing w:before="0" w:after="0" w:line="500" w:lineRule="exact"/>
        <w:rPr>
          <w:rFonts w:ascii="宋体" w:hAnsi="宋体" w:eastAsia="宋体"/>
          <w:bCs w:val="0"/>
          <w:color w:val="000000"/>
          <w:highlight w:val="none"/>
        </w:rPr>
      </w:pPr>
      <w:r>
        <w:rPr>
          <w:rFonts w:hint="eastAsia" w:ascii="宋体" w:hAnsi="宋体" w:eastAsia="宋体"/>
          <w:bCs w:val="0"/>
          <w:color w:val="000000"/>
          <w:highlight w:val="none"/>
        </w:rPr>
        <w:t xml:space="preserve">5.招标文件的约束力</w:t>
      </w:r>
      <w:r/>
    </w:p>
    <w:p>
      <w:pPr>
        <w:ind w:firstLine="480"/>
        <w:spacing w:line="500" w:lineRule="exact"/>
        <w:rPr>
          <w:rFonts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p>
    <w:p>
      <w:pPr>
        <w:pStyle w:val="843"/>
        <w:ind w:firstLine="452"/>
        <w:keepLines w:val="0"/>
        <w:keepNext w:val="0"/>
        <w:spacing w:before="0" w:after="0" w:line="500" w:lineRule="exact"/>
        <w:rPr>
          <w:color w:val="000000"/>
          <w:sz w:val="30"/>
          <w:szCs w:val="30"/>
          <w:highlight w:val="none"/>
        </w:rPr>
      </w:pPr>
      <w:r/>
      <w:bookmarkStart w:id="63" w:name="_Toc120614215"/>
      <w:r/>
      <w:bookmarkStart w:id="64" w:name="_Toc20823281"/>
      <w:r/>
      <w:bookmarkStart w:id="65" w:name="_Toc16938525"/>
      <w:r/>
      <w:bookmarkStart w:id="66" w:name="_Toc513029209"/>
      <w:r>
        <w:rPr>
          <w:rFonts w:hint="eastAsia"/>
          <w:color w:val="000000"/>
          <w:sz w:val="30"/>
          <w:szCs w:val="30"/>
          <w:highlight w:val="none"/>
        </w:rPr>
        <w:t xml:space="preserve">二、招标文件</w:t>
      </w:r>
      <w:bookmarkEnd w:id="63"/>
      <w:r/>
      <w:bookmarkEnd w:id="64"/>
      <w:r/>
      <w:bookmarkEnd w:id="65"/>
      <w:r/>
      <w:bookmarkEnd w:id="66"/>
      <w:r/>
      <w:r/>
    </w:p>
    <w:p>
      <w:pPr>
        <w:pStyle w:val="845"/>
        <w:ind w:firstLine="422"/>
        <w:keepLines w:val="0"/>
        <w:keepNext w:val="0"/>
        <w:spacing w:before="0" w:after="0" w:line="500" w:lineRule="exact"/>
        <w:rPr>
          <w:rFonts w:ascii="宋体" w:hAnsi="宋体" w:eastAsia="宋体"/>
          <w:bCs w:val="0"/>
          <w:color w:val="000000"/>
          <w:highlight w:val="none"/>
        </w:rPr>
      </w:pPr>
      <w:r/>
      <w:bookmarkStart w:id="67" w:name="_Toc20823282"/>
      <w:r/>
      <w:bookmarkStart w:id="68" w:name="_Toc513029210"/>
      <w:r/>
      <w:bookmarkStart w:id="69" w:name="_Toc16938526"/>
      <w:r>
        <w:rPr>
          <w:rFonts w:hint="eastAsia" w:ascii="宋体" w:hAnsi="宋体" w:eastAsia="宋体"/>
          <w:bCs w:val="0"/>
          <w:color w:val="000000"/>
          <w:highlight w:val="none"/>
        </w:rPr>
        <w:t xml:space="preserve">6.招标文件构成</w:t>
      </w:r>
      <w:bookmarkEnd w:id="67"/>
      <w:r/>
      <w:bookmarkEnd w:id="68"/>
      <w:r/>
      <w:bookmarkEnd w:id="69"/>
      <w:r/>
      <w:r/>
    </w:p>
    <w:p>
      <w:pPr>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（2）投标人须知</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（3）合同文本</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（4）采购需求</w:t>
      </w:r>
      <w:r/>
    </w:p>
    <w:p>
      <w:pPr>
        <w:ind w:firstLine="480"/>
        <w:spacing w:line="500" w:lineRule="exact"/>
        <w:rPr>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（6）投标文件内容与格式</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请仔细检查招标文件是否齐全，如有缺漏请立即与代理机构联系解决。</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5"/>
        <w:ind w:firstLine="422"/>
        <w:keepLines w:val="0"/>
        <w:keepNext w:val="0"/>
        <w:spacing w:before="0" w:after="0" w:line="500" w:lineRule="exact"/>
        <w:rPr>
          <w:rFonts w:ascii="宋体" w:hAnsi="宋体" w:eastAsia="宋体"/>
          <w:bCs w:val="0"/>
          <w:color w:val="000000"/>
          <w:highlight w:val="none"/>
        </w:rPr>
      </w:pPr>
      <w:r/>
      <w:bookmarkStart w:id="70" w:name="_Toc16938527"/>
      <w:r/>
      <w:bookmarkStart w:id="71" w:name="_Toc513029211"/>
      <w:r/>
      <w:bookmarkStart w:id="72" w:name="_Toc462564070"/>
      <w:r/>
      <w:bookmarkStart w:id="73" w:name="_Toc20823283"/>
      <w:r>
        <w:rPr>
          <w:rFonts w:hint="eastAsia" w:ascii="宋体" w:hAnsi="宋体" w:eastAsia="宋体"/>
          <w:bCs w:val="0"/>
          <w:color w:val="000000"/>
          <w:highlight w:val="none"/>
        </w:rPr>
        <w:t xml:space="preserve">7.招标文件的澄清</w:t>
      </w:r>
      <w:bookmarkEnd w:id="70"/>
      <w:r/>
      <w:bookmarkEnd w:id="71"/>
      <w:r/>
      <w:bookmarkEnd w:id="72"/>
      <w:r/>
      <w:bookmarkEnd w:id="73"/>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代理机构以书面形式提出。</w:t>
      </w:r>
      <w:r/>
    </w:p>
    <w:p>
      <w:pPr>
        <w:pStyle w:val="845"/>
        <w:ind w:firstLine="422"/>
        <w:keepLines w:val="0"/>
        <w:keepNext w:val="0"/>
        <w:spacing w:before="0" w:after="0" w:line="500" w:lineRule="exact"/>
        <w:rPr>
          <w:rFonts w:ascii="宋体" w:hAnsi="宋体" w:eastAsia="宋体"/>
          <w:bCs w:val="0"/>
          <w:color w:val="000000"/>
          <w:highlight w:val="none"/>
        </w:rPr>
      </w:pPr>
      <w:r/>
      <w:bookmarkStart w:id="74" w:name="_Toc462564071"/>
      <w:r/>
      <w:bookmarkStart w:id="75" w:name="_Toc20823284"/>
      <w:r/>
      <w:bookmarkStart w:id="76" w:name="_Toc513029212"/>
      <w:r/>
      <w:bookmarkStart w:id="77" w:name="_Toc16938528"/>
      <w:r>
        <w:rPr>
          <w:rFonts w:hint="eastAsia" w:ascii="宋体" w:hAnsi="宋体" w:eastAsia="宋体"/>
          <w:bCs w:val="0"/>
          <w:color w:val="000000"/>
          <w:highlight w:val="none"/>
        </w:rPr>
        <w:t xml:space="preserve">8.招标文件的修改</w:t>
      </w:r>
      <w:bookmarkEnd w:id="74"/>
      <w:r/>
      <w:bookmarkEnd w:id="75"/>
      <w:r/>
      <w:bookmarkEnd w:id="76"/>
      <w:r/>
      <w:bookmarkEnd w:id="77"/>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8.1代理机构可在投标截止时间十五日前对招标文件进行必要的澄清或者修改，不足十五日的，将顺延提交投标文件的截止时间和开标日期。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如需对招标文件进行澄清或修改，代理机构将在江苏政府采购网发布更正公告，澄清或修改的内容为招标文件的组成部分，并对投标人具有约束力。投标人应在投标截止时间前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或未</w:t>
      </w:r>
      <w:r>
        <w:rPr>
          <w:rFonts w:hint="eastAsia" w:ascii="宋体" w:hAnsi="宋体"/>
          <w:bCs/>
          <w:color w:val="000000"/>
          <w:sz w:val="24"/>
          <w:szCs w:val="24"/>
          <w:highlight w:val="none"/>
        </w:rPr>
        <w:t xml:space="preserve">全面地关注更正公告导致其提交的投标材料不符合本项目相关招标要求，而造成的损失及风险（包括但不限于未中标）由投标人自行承担。</w:t>
      </w:r>
      <w:r/>
    </w:p>
    <w:p>
      <w:pPr>
        <w:pStyle w:val="843"/>
        <w:ind w:firstLine="452"/>
        <w:keepLines w:val="0"/>
        <w:keepNext w:val="0"/>
        <w:spacing w:before="0" w:after="0" w:line="500" w:lineRule="exact"/>
        <w:rPr>
          <w:color w:val="000000"/>
          <w:sz w:val="30"/>
          <w:szCs w:val="30"/>
          <w:highlight w:val="none"/>
        </w:rPr>
      </w:pPr>
      <w:r/>
      <w:bookmarkStart w:id="78" w:name="_Toc120614216"/>
      <w:r/>
      <w:bookmarkStart w:id="79" w:name="_Toc462564072"/>
      <w:r/>
      <w:bookmarkStart w:id="80" w:name="_Toc20823285"/>
      <w:r/>
      <w:bookmarkStart w:id="81" w:name="_Toc513029213"/>
      <w:r/>
      <w:bookmarkStart w:id="82" w:name="_Toc16938529"/>
      <w:r>
        <w:rPr>
          <w:rFonts w:hint="eastAsia"/>
          <w:color w:val="000000"/>
          <w:sz w:val="30"/>
          <w:szCs w:val="30"/>
          <w:highlight w:val="none"/>
        </w:rPr>
        <w:t xml:space="preserve">三、投标文件的编制</w:t>
      </w:r>
      <w:bookmarkEnd w:id="78"/>
      <w:r/>
      <w:bookmarkEnd w:id="79"/>
      <w:r/>
      <w:bookmarkEnd w:id="80"/>
      <w:r/>
      <w:bookmarkEnd w:id="81"/>
      <w:r/>
      <w:bookmarkEnd w:id="82"/>
      <w:r/>
      <w:r/>
    </w:p>
    <w:p>
      <w:pPr>
        <w:pStyle w:val="845"/>
        <w:ind w:firstLine="422"/>
        <w:keepLines w:val="0"/>
        <w:keepNext w:val="0"/>
        <w:spacing w:before="0" w:after="0" w:line="500" w:lineRule="exact"/>
        <w:rPr>
          <w:rFonts w:ascii="宋体" w:hAnsi="宋体" w:eastAsia="宋体"/>
          <w:bCs w:val="0"/>
          <w:color w:val="000000"/>
          <w:highlight w:val="none"/>
        </w:rPr>
      </w:pPr>
      <w:r/>
      <w:bookmarkStart w:id="83" w:name="_Toc513029214"/>
      <w:r/>
      <w:bookmarkStart w:id="84" w:name="_Toc462564073"/>
      <w:r/>
      <w:bookmarkStart w:id="85" w:name="_Toc16938530"/>
      <w:r/>
      <w:bookmarkStart w:id="86" w:name="_Toc20823286"/>
      <w:r>
        <w:rPr>
          <w:rFonts w:hint="eastAsia" w:ascii="宋体" w:hAnsi="宋体" w:eastAsia="宋体"/>
          <w:bCs w:val="0"/>
          <w:color w:val="000000"/>
          <w:highlight w:val="none"/>
        </w:rPr>
        <w:t xml:space="preserve">9.投标文件的语言及度量衡单位</w:t>
      </w:r>
      <w:bookmarkEnd w:id="83"/>
      <w:r/>
      <w:bookmarkEnd w:id="84"/>
      <w:r/>
      <w:bookmarkEnd w:id="85"/>
      <w:r/>
      <w:bookmarkEnd w:id="86"/>
      <w:r/>
      <w:r/>
    </w:p>
    <w:p>
      <w:pPr>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投标人提交的投标文件以及投标人与代理机构就有关投标的所有来往通知、函件和文件均应使用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除技术性能另有规定外，投标文件所使用的度量衡单位，均须采用国家法定计量单位。</w:t>
      </w:r>
      <w:r/>
    </w:p>
    <w:p>
      <w:pPr>
        <w:ind w:firstLine="480"/>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lang w:bidi="ar"/>
        </w:rPr>
        <w:t xml:space="preserve">9.3投标文件由投标人按给定格式如实填写</w:t>
      </w:r>
      <w:r>
        <w:rPr>
          <w:rFonts w:hint="eastAsia" w:ascii="宋体" w:hAnsi="宋体" w:cs="宋体"/>
          <w:bCs/>
          <w:color w:val="000000"/>
          <w:sz w:val="24"/>
          <w:szCs w:val="24"/>
          <w:highlight w:val="none"/>
          <w:lang w:eastAsia="zh-CN" w:bidi="ar"/>
        </w:rPr>
        <w:t xml:space="preserve">（</w:t>
      </w:r>
      <w:r>
        <w:rPr>
          <w:rFonts w:hint="eastAsia" w:ascii="宋体" w:hAnsi="宋体" w:cs="宋体"/>
          <w:bCs/>
          <w:color w:val="000000"/>
          <w:sz w:val="24"/>
          <w:szCs w:val="24"/>
          <w:highlight w:val="none"/>
          <w:lang w:bidi="ar"/>
        </w:rPr>
        <w:t xml:space="preserve">编写</w:t>
      </w:r>
      <w:r>
        <w:rPr>
          <w:rFonts w:hint="eastAsia" w:ascii="宋体" w:hAnsi="宋体" w:cs="宋体"/>
          <w:bCs/>
          <w:color w:val="000000"/>
          <w:sz w:val="24"/>
          <w:szCs w:val="24"/>
          <w:highlight w:val="none"/>
          <w:lang w:eastAsia="zh-CN" w:bidi="ar"/>
        </w:rPr>
        <w:t xml:space="preserve">）</w:t>
      </w:r>
      <w:r>
        <w:rPr>
          <w:rFonts w:hint="eastAsia" w:ascii="宋体" w:hAnsi="宋体" w:cs="宋体"/>
          <w:bCs/>
          <w:color w:val="000000"/>
          <w:sz w:val="24"/>
          <w:szCs w:val="24"/>
          <w:highlight w:val="none"/>
          <w:lang w:bidi="ar"/>
        </w:rPr>
        <w:t xml:space="preserve">，须有法人</w:t>
      </w:r>
      <w:r>
        <w:rPr>
          <w:rFonts w:hint="eastAsia" w:ascii="宋体" w:hAnsi="宋体" w:cs="宋体"/>
          <w:bCs/>
          <w:color w:val="000000"/>
          <w:sz w:val="24"/>
          <w:szCs w:val="24"/>
          <w:highlight w:val="none"/>
          <w:lang w:eastAsia="zh-CN" w:bidi="ar"/>
        </w:rPr>
        <w:t xml:space="preserve">（</w:t>
      </w:r>
      <w:r>
        <w:rPr>
          <w:rFonts w:hint="eastAsia" w:ascii="宋体" w:hAnsi="宋体" w:cs="宋体"/>
          <w:bCs/>
          <w:color w:val="000000"/>
          <w:sz w:val="24"/>
          <w:szCs w:val="24"/>
          <w:highlight w:val="none"/>
          <w:lang w:bidi="ar"/>
        </w:rPr>
        <w:t xml:space="preserve">盖章</w:t>
      </w:r>
      <w:r>
        <w:rPr>
          <w:rFonts w:hint="eastAsia" w:ascii="宋体" w:hAnsi="宋体" w:cs="宋体"/>
          <w:bCs/>
          <w:color w:val="000000"/>
          <w:sz w:val="24"/>
          <w:szCs w:val="24"/>
          <w:highlight w:val="none"/>
          <w:lang w:eastAsia="zh-CN" w:bidi="ar"/>
        </w:rPr>
        <w:t xml:space="preserve">）</w:t>
      </w:r>
      <w:r>
        <w:rPr>
          <w:rFonts w:hint="eastAsia" w:ascii="宋体" w:hAnsi="宋体" w:cs="宋体"/>
          <w:bCs/>
          <w:color w:val="000000"/>
          <w:sz w:val="24"/>
          <w:szCs w:val="24"/>
          <w:highlight w:val="none"/>
          <w:lang w:bidi="ar"/>
        </w:rPr>
        <w:t xml:space="preserve">、法定代表人或法定代表人授权代表签字或盖章，方为有效，未尽事宜可自行补充。</w:t>
      </w:r>
      <w:r/>
    </w:p>
    <w:p>
      <w:pPr>
        <w:ind w:firstLine="480"/>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lang w:bidi="ar"/>
        </w:rPr>
        <w:t xml:space="preserve">9.4如无特别说明，投标人报价一律以人民币为投标结算货币，结算单位为“元”。</w:t>
      </w:r>
      <w:r/>
    </w:p>
    <w:p>
      <w:pPr>
        <w:ind w:firstLine="480"/>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lang w:bidi="ar"/>
        </w:rPr>
        <w:t xml:space="preserve">9.5投标文件格式部分，应由投标人按给定格式提供，不得更改。</w:t>
      </w:r>
      <w:r/>
    </w:p>
    <w:p>
      <w:pPr>
        <w:ind w:firstLine="480"/>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lang w:bidi="ar"/>
        </w:rPr>
        <w:t xml:space="preserve">9.6.投标人在制作电子投标文件时，请正确关联到对应</w:t>
      </w:r>
      <w:r>
        <w:rPr>
          <w:rFonts w:hint="eastAsia" w:ascii="宋体" w:hAnsi="宋体" w:cs="宋体"/>
          <w:bCs/>
          <w:color w:val="000000"/>
          <w:sz w:val="24"/>
          <w:szCs w:val="24"/>
          <w:highlight w:val="none"/>
          <w:lang w:eastAsia="zh-CN" w:bidi="ar"/>
        </w:rPr>
        <w:t xml:space="preserve">页面</w:t>
      </w:r>
      <w:r>
        <w:rPr>
          <w:rFonts w:hint="eastAsia" w:ascii="宋体" w:hAnsi="宋体" w:cs="宋体"/>
          <w:bCs/>
          <w:color w:val="000000"/>
          <w:sz w:val="24"/>
          <w:szCs w:val="24"/>
          <w:highlight w:val="none"/>
          <w:lang w:bidi="ar"/>
        </w:rPr>
        <w:t xml:space="preserve">，在评审过程中，评审专家如因在相对应页面找不到该相关联的文件，由此产生的后果由投标人自行承担。</w:t>
      </w:r>
      <w:r/>
    </w:p>
    <w:p>
      <w:pPr>
        <w:ind w:firstLine="480"/>
        <w:spacing w:line="500" w:lineRule="exact"/>
        <w:rPr>
          <w:rFonts w:hint="eastAsia" w:ascii="宋体" w:hAnsi="宋体"/>
          <w:bCs/>
          <w:color w:val="000000"/>
          <w:sz w:val="24"/>
          <w:szCs w:val="24"/>
          <w:highlight w:val="none"/>
        </w:rPr>
      </w:pPr>
      <w:r>
        <w:rPr>
          <w:rFonts w:hint="eastAsia" w:ascii="宋体" w:hAnsi="宋体" w:cs="宋体"/>
          <w:bCs/>
          <w:color w:val="000000"/>
          <w:sz w:val="24"/>
          <w:szCs w:val="24"/>
          <w:highlight w:val="none"/>
          <w:lang w:bidi="ar"/>
        </w:rPr>
        <w:t xml:space="preserve">9.7投标费用自理。</w:t>
      </w:r>
      <w:r/>
    </w:p>
    <w:p>
      <w:pPr>
        <w:ind w:firstLine="482"/>
        <w:jc w:val="left"/>
        <w:spacing w:line="500" w:lineRule="exact"/>
        <w:widowControl/>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9.8在评分标准中除了投标报价外，还须包含商务部分和技术部分两大部分</w:t>
      </w:r>
      <w:r>
        <w:rPr>
          <w:rFonts w:hint="eastAsia" w:ascii="宋体" w:hAnsi="宋体" w:cs="宋体"/>
          <w:b/>
          <w:bCs/>
          <w:color w:val="000000"/>
          <w:sz w:val="24"/>
          <w:szCs w:val="24"/>
          <w:highlight w:val="none"/>
          <w:lang w:eastAsia="zh-CN" w:bidi="ar"/>
        </w:rPr>
        <w:t xml:space="preserve">。</w:t>
      </w:r>
      <w:r/>
    </w:p>
    <w:p>
      <w:pPr>
        <w:pStyle w:val="845"/>
        <w:ind w:firstLine="422"/>
        <w:keepLines w:val="0"/>
        <w:keepNext w:val="0"/>
        <w:spacing w:before="0" w:after="0" w:line="500" w:lineRule="exact"/>
        <w:rPr>
          <w:rFonts w:ascii="宋体" w:hAnsi="宋体" w:eastAsia="宋体"/>
          <w:bCs w:val="0"/>
          <w:color w:val="000000"/>
          <w:highlight w:val="none"/>
        </w:rPr>
      </w:pPr>
      <w:r/>
      <w:bookmarkStart w:id="87" w:name="_Toc513029215"/>
      <w:r/>
      <w:bookmarkStart w:id="88" w:name="_Toc462564074"/>
      <w:r/>
      <w:bookmarkStart w:id="89" w:name="_Toc20823287"/>
      <w:r/>
      <w:bookmarkStart w:id="90" w:name="_Toc16938531"/>
      <w:r>
        <w:rPr>
          <w:rFonts w:hint="eastAsia" w:ascii="宋体" w:hAnsi="宋体" w:eastAsia="宋体"/>
          <w:bCs w:val="0"/>
          <w:color w:val="000000"/>
          <w:highlight w:val="none"/>
        </w:rPr>
        <w:t xml:space="preserve">10.投标文件构成</w:t>
      </w:r>
      <w:bookmarkEnd w:id="87"/>
      <w:r/>
      <w:bookmarkEnd w:id="88"/>
      <w:r/>
      <w:bookmarkEnd w:id="89"/>
      <w:r/>
      <w:bookmarkEnd w:id="90"/>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10.2投标人所须提供的相关证明文件和要求以及投标文件的部分格式要求，详见第六章《投标文件内容与格式》。</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10.3如标书制作工具中格式和内容与招标文件不一致的，请以招标文件为准。</w:t>
      </w:r>
      <w:r/>
    </w:p>
    <w:p>
      <w:pPr>
        <w:pStyle w:val="845"/>
        <w:ind w:firstLine="422"/>
        <w:keepLines w:val="0"/>
        <w:keepNext w:val="0"/>
        <w:spacing w:before="0" w:after="0" w:line="500" w:lineRule="exact"/>
        <w:rPr>
          <w:rFonts w:ascii="宋体" w:hAnsi="宋体" w:eastAsia="宋体"/>
          <w:bCs w:val="0"/>
          <w:color w:val="000000"/>
          <w:highlight w:val="none"/>
        </w:rPr>
      </w:pPr>
      <w:r/>
      <w:bookmarkStart w:id="91" w:name="_Hlt26954838"/>
      <w:r/>
      <w:bookmarkEnd w:id="91"/>
      <w:r/>
      <w:bookmarkStart w:id="92" w:name="_Hlt26668975"/>
      <w:r/>
      <w:bookmarkEnd w:id="92"/>
      <w:r/>
      <w:bookmarkStart w:id="93" w:name="_Hlt26670360"/>
      <w:r/>
      <w:bookmarkEnd w:id="93"/>
      <w:r/>
      <w:bookmarkStart w:id="94" w:name="_Toc14577357"/>
      <w:r/>
      <w:bookmarkStart w:id="95" w:name="_Toc49090507"/>
      <w:r/>
      <w:bookmarkStart w:id="96" w:name="_Toc513029219"/>
      <w:r/>
      <w:bookmarkStart w:id="97" w:name="_Toc49090509"/>
      <w:r/>
      <w:bookmarkStart w:id="98" w:name="_Toc513029216"/>
      <w:r/>
      <w:bookmarkStart w:id="99" w:name="_Toc14577354"/>
      <w:r>
        <w:rPr>
          <w:rFonts w:hint="eastAsia" w:ascii="宋体" w:hAnsi="宋体" w:eastAsia="宋体"/>
          <w:bCs w:val="0"/>
          <w:color w:val="000000"/>
          <w:highlight w:val="none"/>
        </w:rPr>
        <w:t xml:space="preserve">11.证明投标人及投标标的符合招标文件规定的文件</w:t>
      </w:r>
      <w:bookmarkEnd w:id="94"/>
      <w:r/>
      <w:bookmarkEnd w:id="95"/>
      <w:r/>
      <w:bookmarkEnd w:id="96"/>
      <w:r/>
      <w:bookmarkEnd w:id="97"/>
      <w:r/>
      <w:bookmarkEnd w:id="98"/>
      <w:r/>
      <w:bookmarkEnd w:id="99"/>
      <w:r/>
      <w:r/>
    </w:p>
    <w:p>
      <w:pPr>
        <w:ind w:firstLine="480"/>
        <w:spacing w:line="500" w:lineRule="exact"/>
        <w:rPr>
          <w:rFonts w:ascii="宋体" w:hAnsi="宋体"/>
          <w:bCs/>
          <w:color w:val="000000"/>
          <w:sz w:val="24"/>
          <w:highlight w:val="none"/>
        </w:rPr>
      </w:pPr>
      <w:r/>
      <w:bookmarkStart w:id="100" w:name="_Toc49090508"/>
      <w:r/>
      <w:bookmarkStart w:id="101" w:name="_Toc14577355"/>
      <w:r>
        <w:rPr>
          <w:rFonts w:hint="eastAsia" w:ascii="宋体" w:hAnsi="宋体"/>
          <w:bCs/>
          <w:color w:val="000000"/>
          <w:sz w:val="24"/>
          <w:highlight w:val="none"/>
        </w:rPr>
        <w:t xml:space="preserve">11.1投标人应按照法律法规、规章和规范性文件以及招标文件要求提交证明文件，证明其及投标标的符合招标文件规定。</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p>
    <w:p>
      <w:pPr>
        <w:pStyle w:val="845"/>
        <w:ind w:firstLine="422"/>
        <w:keepLines w:val="0"/>
        <w:keepNext w:val="0"/>
        <w:spacing w:before="0" w:after="0" w:line="500" w:lineRule="exact"/>
        <w:rPr>
          <w:rFonts w:ascii="宋体" w:hAnsi="宋体" w:eastAsia="宋体"/>
          <w:bCs w:val="0"/>
          <w:color w:val="000000"/>
          <w:highlight w:val="none"/>
        </w:rPr>
      </w:pPr>
      <w:r/>
      <w:bookmarkStart w:id="102" w:name="_Toc49090510"/>
      <w:r/>
      <w:bookmarkStart w:id="103" w:name="_Toc14577359"/>
      <w:r>
        <w:rPr>
          <w:rFonts w:hint="eastAsia" w:ascii="宋体" w:hAnsi="宋体" w:eastAsia="宋体"/>
          <w:bCs w:val="0"/>
          <w:color w:val="000000"/>
          <w:highlight w:val="none"/>
        </w:rPr>
        <w:t xml:space="preserve">12.投标函、承诺书和开标一览表</w:t>
      </w:r>
      <w:r/>
    </w:p>
    <w:p>
      <w:pPr>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12.2对于采用货币报价的项目，开标一览表中的投标总报价应与分项报价表的总额一致，如不一致，不作为无效投标处理，但评标时按开标一览表中价格为准。</w:t>
      </w:r>
      <w:bookmarkEnd w:id="102"/>
      <w:r/>
      <w:bookmarkEnd w:id="103"/>
      <w:r/>
      <w:r/>
    </w:p>
    <w:p>
      <w:pPr>
        <w:pStyle w:val="845"/>
        <w:ind w:firstLine="422"/>
        <w:keepLines w:val="0"/>
        <w:keepNext w:val="0"/>
        <w:spacing w:before="0" w:after="0" w:line="500" w:lineRule="exact"/>
        <w:rPr>
          <w:rFonts w:ascii="宋体" w:hAnsi="宋体" w:eastAsia="宋体"/>
          <w:bCs w:val="0"/>
          <w:color w:val="000000"/>
          <w:highlight w:val="none"/>
        </w:rPr>
      </w:pPr>
      <w:r>
        <w:rPr>
          <w:rFonts w:hint="eastAsia" w:ascii="宋体" w:hAnsi="宋体" w:eastAsia="宋体"/>
          <w:bCs w:val="0"/>
          <w:color w:val="000000"/>
          <w:highlight w:val="none"/>
        </w:rPr>
        <w:t xml:space="preserve">13.</w:t>
      </w:r>
      <w:bookmarkEnd w:id="100"/>
      <w:r/>
      <w:bookmarkEnd w:id="101"/>
      <w:r>
        <w:rPr>
          <w:rFonts w:hint="eastAsia" w:ascii="宋体" w:hAnsi="宋体" w:eastAsia="宋体"/>
          <w:bCs w:val="0"/>
          <w:color w:val="000000"/>
          <w:highlight w:val="none"/>
        </w:rPr>
        <w:t xml:space="preserve">分项报价表</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104" w:name="_Hlt26954840"/>
      <w:r/>
      <w:bookmarkEnd w:id="104"/>
      <w:r>
        <w:rPr>
          <w:rFonts w:hint="eastAsia" w:ascii="宋体" w:hAnsi="宋体"/>
          <w:color w:val="000000"/>
          <w:sz w:val="24"/>
          <w:highlight w:val="none"/>
        </w:rPr>
        <w:t xml:space="preserve">标人应按照招标文件规定格式填报</w:t>
      </w:r>
      <w:bookmarkStart w:id="105" w:name="_Hlt26670399"/>
      <w:r/>
      <w:bookmarkEnd w:id="105"/>
      <w:r>
        <w:rPr>
          <w:rFonts w:hint="eastAsia" w:ascii="宋体" w:hAnsi="宋体"/>
          <w:color w:val="000000"/>
          <w:sz w:val="24"/>
          <w:highlight w:val="none"/>
        </w:rPr>
        <w:t xml:space="preserve">分项报价表。</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p>
    <w:p>
      <w:pPr>
        <w:pStyle w:val="845"/>
        <w:ind w:firstLine="422"/>
        <w:keepLines w:val="0"/>
        <w:keepNext w:val="0"/>
        <w:spacing w:before="0" w:after="0" w:line="500" w:lineRule="exact"/>
        <w:rPr>
          <w:rFonts w:ascii="宋体" w:hAnsi="宋体" w:eastAsia="宋体"/>
          <w:bCs w:val="0"/>
          <w:color w:val="000000"/>
          <w:highlight w:val="none"/>
        </w:rPr>
      </w:pPr>
      <w:r/>
      <w:bookmarkStart w:id="106" w:name="_Hlt26954844"/>
      <w:r/>
      <w:bookmarkEnd w:id="106"/>
      <w:r/>
      <w:bookmarkStart w:id="107" w:name="_Hlt26670425"/>
      <w:r/>
      <w:bookmarkEnd w:id="107"/>
      <w:r/>
      <w:bookmarkStart w:id="108" w:name="_Hlt26670482"/>
      <w:r/>
      <w:bookmarkEnd w:id="108"/>
      <w:r/>
      <w:bookmarkStart w:id="109" w:name="_Hlt26668983"/>
      <w:r/>
      <w:bookmarkEnd w:id="109"/>
      <w:r/>
      <w:bookmarkStart w:id="110" w:name="_Hlt26954848"/>
      <w:r/>
      <w:bookmarkEnd w:id="110"/>
      <w:r/>
      <w:bookmarkStart w:id="111" w:name="_Hlt26954842"/>
      <w:r/>
      <w:bookmarkEnd w:id="111"/>
      <w:r/>
      <w:bookmarkStart w:id="112" w:name="_Hlt26954846"/>
      <w:r/>
      <w:bookmarkEnd w:id="112"/>
      <w:r/>
      <w:bookmarkStart w:id="113" w:name="_Hlt26670403"/>
      <w:r/>
      <w:bookmarkEnd w:id="113"/>
      <w:r/>
      <w:bookmarkStart w:id="114" w:name="_Hlt26670486"/>
      <w:r/>
      <w:bookmarkEnd w:id="114"/>
      <w:r/>
      <w:bookmarkStart w:id="115" w:name="_Hlt26954731"/>
      <w:r/>
      <w:bookmarkEnd w:id="115"/>
      <w:r>
        <w:rPr>
          <w:rFonts w:hint="eastAsia" w:ascii="宋体" w:hAnsi="宋体" w:eastAsia="宋体"/>
          <w:bCs w:val="0"/>
          <w:color w:val="000000"/>
          <w:highlight w:val="none"/>
        </w:rPr>
        <w:t xml:space="preserve">14.投标偏离表</w:t>
      </w:r>
      <w:r/>
    </w:p>
    <w:p>
      <w:pPr>
        <w:ind w:firstLine="480"/>
        <w:spacing w:line="500" w:lineRule="exact"/>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p>
    <w:p>
      <w:pPr>
        <w:pStyle w:val="845"/>
        <w:ind w:firstLine="422"/>
        <w:keepLines w:val="0"/>
        <w:keepNext w:val="0"/>
        <w:spacing w:before="0" w:after="0" w:line="500" w:lineRule="exact"/>
        <w:rPr>
          <w:rFonts w:ascii="宋体" w:hAnsi="宋体" w:eastAsia="宋体"/>
          <w:bCs w:val="0"/>
          <w:color w:val="000000"/>
          <w:highlight w:val="none"/>
        </w:rPr>
      </w:pPr>
      <w:r/>
      <w:bookmarkStart w:id="116" w:name="_Hlt26670489"/>
      <w:r/>
      <w:bookmarkEnd w:id="116"/>
      <w:r/>
      <w:bookmarkStart w:id="117" w:name="_Hlt26954850"/>
      <w:r/>
      <w:bookmarkEnd w:id="117"/>
      <w:r/>
      <w:bookmarkStart w:id="118" w:name="_Hlt26954734"/>
      <w:r/>
      <w:bookmarkEnd w:id="118"/>
      <w:r/>
      <w:bookmarkStart w:id="119" w:name="_Toc49090511"/>
      <w:r/>
      <w:bookmarkStart w:id="120" w:name="_Toc14577360"/>
      <w:r>
        <w:rPr>
          <w:rFonts w:hint="eastAsia" w:ascii="宋体" w:hAnsi="宋体" w:eastAsia="宋体"/>
          <w:bCs w:val="0"/>
          <w:color w:val="000000"/>
          <w:highlight w:val="none"/>
        </w:rPr>
        <w:t xml:space="preserve">15.投标有效期</w:t>
      </w:r>
      <w:bookmarkEnd w:id="119"/>
      <w:r/>
      <w:bookmarkEnd w:id="120"/>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投标有效期为招标文件规定的开标之日后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p>
    <w:p>
      <w:pPr>
        <w:pStyle w:val="845"/>
        <w:ind w:firstLine="422"/>
        <w:keepLines w:val="0"/>
        <w:keepNext w:val="0"/>
        <w:spacing w:before="0" w:after="0" w:line="500" w:lineRule="exact"/>
        <w:rPr>
          <w:rFonts w:ascii="宋体" w:hAnsi="宋体" w:eastAsia="宋体"/>
          <w:bCs w:val="0"/>
          <w:color w:val="000000"/>
          <w:highlight w:val="none"/>
        </w:rPr>
      </w:pPr>
      <w:r>
        <w:rPr>
          <w:rFonts w:hint="eastAsia" w:ascii="宋体" w:hAnsi="宋体" w:eastAsia="宋体"/>
          <w:bCs w:val="0"/>
          <w:color w:val="000000"/>
          <w:highlight w:val="none"/>
        </w:rPr>
        <w:t xml:space="preserve">16.投标有效期的延长</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在特殊情况下，代理机构于原投标有效期满之前，可向投标人提出延长投标有效期的要求。这种要求与答复均应采用书面形式。投标人可以拒绝代理机构的这一要求而放弃投标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p>
    <w:p>
      <w:pPr>
        <w:pStyle w:val="843"/>
        <w:ind w:firstLine="452"/>
        <w:keepLines w:val="0"/>
        <w:keepNext w:val="0"/>
        <w:spacing w:before="0" w:after="0" w:line="500" w:lineRule="exact"/>
        <w:rPr>
          <w:color w:val="000000"/>
          <w:sz w:val="30"/>
          <w:szCs w:val="30"/>
          <w:highlight w:val="none"/>
        </w:rPr>
      </w:pPr>
      <w:r/>
      <w:bookmarkStart w:id="121" w:name="_Hlt26954739"/>
      <w:r/>
      <w:bookmarkEnd w:id="121"/>
      <w:r/>
      <w:bookmarkStart w:id="122" w:name="_Hlt26954852"/>
      <w:r/>
      <w:bookmarkEnd w:id="122"/>
      <w:r/>
      <w:bookmarkStart w:id="123" w:name="_Toc120614217"/>
      <w:r/>
      <w:bookmarkStart w:id="124" w:name="_Toc513029224"/>
      <w:r/>
      <w:bookmarkStart w:id="125" w:name="_Toc20823296"/>
      <w:r/>
      <w:bookmarkStart w:id="126" w:name="_Toc16938540"/>
      <w:r>
        <w:rPr>
          <w:rFonts w:hint="eastAsia"/>
          <w:color w:val="000000"/>
          <w:sz w:val="30"/>
          <w:szCs w:val="30"/>
          <w:highlight w:val="none"/>
        </w:rPr>
        <w:t xml:space="preserve">四、投标文件的递交</w:t>
      </w:r>
      <w:bookmarkEnd w:id="123"/>
      <w:r/>
      <w:bookmarkEnd w:id="124"/>
      <w:r/>
      <w:bookmarkEnd w:id="125"/>
      <w:r/>
      <w:bookmarkEnd w:id="126"/>
      <w:r/>
      <w:r/>
    </w:p>
    <w:p>
      <w:pPr>
        <w:pStyle w:val="845"/>
        <w:ind w:firstLine="422"/>
        <w:keepLines w:val="0"/>
        <w:keepNext w:val="0"/>
        <w:spacing w:before="0" w:after="0" w:line="500" w:lineRule="exact"/>
        <w:rPr>
          <w:rFonts w:ascii="宋体" w:hAnsi="宋体" w:eastAsia="宋体"/>
          <w:bCs w:val="0"/>
          <w:color w:val="000000"/>
          <w:highlight w:val="none"/>
        </w:rPr>
      </w:pPr>
      <w:r/>
      <w:bookmarkStart w:id="127" w:name="_Toc16938541"/>
      <w:r/>
      <w:bookmarkStart w:id="128" w:name="_Toc462564084"/>
      <w:r/>
      <w:bookmarkStart w:id="129" w:name="_Toc20823297"/>
      <w:r/>
      <w:bookmarkStart w:id="130" w:name="_Toc513029225"/>
      <w:r>
        <w:rPr>
          <w:rFonts w:hint="eastAsia" w:ascii="宋体" w:hAnsi="宋体" w:eastAsia="宋体"/>
          <w:bCs w:val="0"/>
          <w:color w:val="000000"/>
          <w:highlight w:val="none"/>
        </w:rPr>
        <w:t xml:space="preserve">17.投标文件</w:t>
      </w:r>
      <w:bookmarkEnd w:id="127"/>
      <w:r/>
      <w:bookmarkEnd w:id="128"/>
      <w:r/>
      <w:bookmarkEnd w:id="129"/>
      <w:r/>
      <w:bookmarkEnd w:id="130"/>
      <w:r>
        <w:rPr>
          <w:rFonts w:hint="eastAsia" w:ascii="宋体" w:hAnsi="宋体" w:eastAsia="宋体"/>
          <w:bCs w:val="0"/>
          <w:color w:val="000000"/>
          <w:highlight w:val="none"/>
        </w:rPr>
        <w:t xml:space="preserve">的递交</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p>
    <w:p>
      <w:pPr>
        <w:pStyle w:val="920"/>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31" w:name="_Toc513029226"/>
      <w:r/>
      <w:bookmarkStart w:id="132" w:name="_Toc20823298"/>
      <w:r/>
      <w:bookmarkStart w:id="133" w:name="_Toc16938542"/>
      <w:r/>
      <w:r/>
    </w:p>
    <w:p>
      <w:pPr>
        <w:pStyle w:val="845"/>
        <w:ind w:firstLine="422"/>
        <w:keepLines w:val="0"/>
        <w:keepNext w:val="0"/>
        <w:spacing w:before="0" w:after="0" w:line="500" w:lineRule="exact"/>
        <w:rPr>
          <w:rFonts w:ascii="宋体" w:hAnsi="宋体" w:eastAsia="宋体"/>
          <w:bCs w:val="0"/>
          <w:color w:val="000000"/>
          <w:highlight w:val="none"/>
        </w:rPr>
      </w:pPr>
      <w:r>
        <w:rPr>
          <w:rFonts w:hint="eastAsia" w:ascii="宋体" w:hAnsi="宋体" w:eastAsia="宋体"/>
          <w:bCs w:val="0"/>
          <w:color w:val="000000"/>
          <w:highlight w:val="none"/>
        </w:rPr>
        <w:t xml:space="preserve">18.投标截止</w:t>
      </w:r>
      <w:bookmarkEnd w:id="131"/>
      <w:r/>
      <w:bookmarkEnd w:id="132"/>
      <w:r/>
      <w:bookmarkEnd w:id="133"/>
      <w:r>
        <w:rPr>
          <w:rFonts w:hint="eastAsia" w:ascii="宋体" w:hAnsi="宋体" w:eastAsia="宋体"/>
          <w:bCs w:val="0"/>
          <w:color w:val="000000"/>
          <w:highlight w:val="none"/>
        </w:rPr>
        <w:t xml:space="preserve">时间</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投标人应充分考虑到网络环境、网络带宽等风险因素，如因投标人自身原因造成的电子投标文件上传不成功的视作投标人未按照招标文件要求上传电子投标文件，</w:t>
      </w:r>
      <w:r>
        <w:rPr>
          <w:rFonts w:hint="eastAsia" w:ascii="宋体" w:hAnsi="宋体"/>
          <w:bCs/>
          <w:color w:val="000000"/>
          <w:sz w:val="24"/>
          <w:highlight w:val="none"/>
          <w:lang w:eastAsia="zh-CN"/>
        </w:rPr>
        <w:t xml:space="preserve">作</w:t>
      </w:r>
      <w:r>
        <w:rPr>
          <w:rFonts w:hint="eastAsia" w:ascii="宋体" w:hAnsi="宋体"/>
          <w:bCs/>
          <w:color w:val="000000"/>
          <w:sz w:val="24"/>
          <w:highlight w:val="none"/>
        </w:rPr>
        <w:t xml:space="preserve">无效投标处理。</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bCs/>
          <w:color w:val="000000"/>
          <w:sz w:val="24"/>
          <w:highlight w:val="none"/>
        </w:rPr>
        <w:t xml:space="preserve">代理机构可以按照规定，通过更正公告修改投标截止时间，投标人的所有权利和义务以及投标人受制的截止时间均应以延长后新的截止时间为准。</w:t>
      </w:r>
      <w:r/>
    </w:p>
    <w:p>
      <w:pPr>
        <w:pStyle w:val="845"/>
        <w:ind w:firstLine="422"/>
        <w:keepLines w:val="0"/>
        <w:keepNext w:val="0"/>
        <w:spacing w:before="0" w:after="0" w:line="500" w:lineRule="exact"/>
        <w:rPr>
          <w:rFonts w:ascii="宋体" w:hAnsi="宋体" w:eastAsia="宋体"/>
          <w:bCs w:val="0"/>
          <w:color w:val="000000"/>
          <w:highlight w:val="none"/>
        </w:rPr>
      </w:pPr>
      <w:r/>
      <w:bookmarkStart w:id="134" w:name="_Toc16938543"/>
      <w:r/>
      <w:bookmarkStart w:id="135" w:name="_Toc20823299"/>
      <w:r/>
      <w:bookmarkStart w:id="136" w:name="_Toc513029227"/>
      <w:r>
        <w:rPr>
          <w:rFonts w:hint="eastAsia" w:ascii="宋体" w:hAnsi="宋体" w:eastAsia="宋体"/>
          <w:bCs w:val="0"/>
          <w:color w:val="000000"/>
          <w:highlight w:val="none"/>
        </w:rPr>
        <w:t xml:space="preserve">19.投标文件</w:t>
      </w:r>
      <w:bookmarkEnd w:id="134"/>
      <w:r/>
      <w:bookmarkEnd w:id="135"/>
      <w:r/>
      <w:bookmarkEnd w:id="136"/>
      <w:r>
        <w:rPr>
          <w:rFonts w:hint="eastAsia" w:ascii="宋体" w:hAnsi="宋体" w:eastAsia="宋体"/>
          <w:bCs w:val="0"/>
          <w:color w:val="000000"/>
          <w:highlight w:val="none"/>
        </w:rPr>
        <w:t xml:space="preserve">的拒收</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bCs/>
          <w:color w:val="000000"/>
          <w:sz w:val="24"/>
          <w:highlight w:val="none"/>
        </w:rPr>
        <w:t xml:space="preserve">代理机构拒绝接收在其规定的投标截止时间后上传的任何投标文件。</w:t>
      </w:r>
      <w:r/>
    </w:p>
    <w:p>
      <w:pPr>
        <w:pStyle w:val="845"/>
        <w:ind w:firstLine="422"/>
        <w:keepLines w:val="0"/>
        <w:keepNext w:val="0"/>
        <w:spacing w:before="0" w:after="0" w:line="500" w:lineRule="exact"/>
        <w:rPr>
          <w:rFonts w:ascii="宋体" w:hAnsi="宋体" w:eastAsia="宋体"/>
          <w:bCs w:val="0"/>
          <w:color w:val="000000"/>
          <w:highlight w:val="none"/>
        </w:rPr>
      </w:pPr>
      <w:r/>
      <w:bookmarkStart w:id="137" w:name="_Toc20823300"/>
      <w:r/>
      <w:bookmarkStart w:id="138" w:name="_Toc513029228"/>
      <w:r/>
      <w:bookmarkStart w:id="139" w:name="_Toc16938544"/>
      <w:r>
        <w:rPr>
          <w:rFonts w:hint="eastAsia" w:ascii="宋体" w:hAnsi="宋体" w:eastAsia="宋体"/>
          <w:bCs w:val="0"/>
          <w:color w:val="000000"/>
          <w:highlight w:val="none"/>
        </w:rPr>
        <w:t xml:space="preserve">20.投标文件的撤回和修改</w:t>
      </w:r>
      <w:bookmarkEnd w:id="137"/>
      <w:r/>
      <w:bookmarkEnd w:id="138"/>
      <w:r/>
      <w:bookmarkEnd w:id="139"/>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20.1投标文件的撤回</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21.1.1电子投标文件的撤回</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投标人撤回电子投标文件，则认为其不再参与本项目投标活动。</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20.2投标文件的修改</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20.2.1投标人可在投标截止时间前，对其电子投标文件进行修改，具体操作方法见《操作手册》。</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在投标截止时间之后，投标人不得对其电子投标文件作任何修改。</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在投标截止时间至招标文件中规定的投标有效期满之间的这段时间内，投标人不得撤回其投标。</w:t>
      </w:r>
      <w:r/>
    </w:p>
    <w:p>
      <w:pPr>
        <w:pStyle w:val="843"/>
        <w:ind w:firstLine="452"/>
        <w:keepLines w:val="0"/>
        <w:keepNext w:val="0"/>
        <w:spacing w:before="0" w:after="0" w:line="500" w:lineRule="exact"/>
        <w:rPr>
          <w:color w:val="000000"/>
          <w:sz w:val="30"/>
          <w:szCs w:val="30"/>
          <w:highlight w:val="none"/>
        </w:rPr>
      </w:pPr>
      <w:r/>
      <w:bookmarkStart w:id="140" w:name="_Toc120614218"/>
      <w:r/>
      <w:bookmarkStart w:id="141" w:name="_Toc513029229"/>
      <w:r/>
      <w:bookmarkStart w:id="142" w:name="_Toc20823301"/>
      <w:r/>
      <w:bookmarkStart w:id="143" w:name="_Toc16938545"/>
      <w:r>
        <w:rPr>
          <w:rFonts w:hint="eastAsia"/>
          <w:color w:val="000000"/>
          <w:sz w:val="30"/>
          <w:szCs w:val="30"/>
          <w:highlight w:val="none"/>
        </w:rPr>
        <w:t xml:space="preserve">五、开标与评标</w:t>
      </w:r>
      <w:bookmarkEnd w:id="140"/>
      <w:r/>
      <w:bookmarkEnd w:id="141"/>
      <w:r/>
      <w:bookmarkEnd w:id="142"/>
      <w:r/>
      <w:bookmarkEnd w:id="143"/>
      <w:r/>
      <w:r/>
    </w:p>
    <w:p>
      <w:pPr>
        <w:pStyle w:val="845"/>
        <w:ind w:firstLine="422"/>
        <w:keepLines w:val="0"/>
        <w:keepNext w:val="0"/>
        <w:spacing w:before="0" w:after="0" w:line="500" w:lineRule="exact"/>
        <w:rPr>
          <w:rFonts w:ascii="宋体" w:hAnsi="宋体" w:eastAsia="宋体"/>
          <w:bCs w:val="0"/>
          <w:color w:val="000000"/>
          <w:highlight w:val="none"/>
        </w:rPr>
      </w:pPr>
      <w:r/>
      <w:bookmarkStart w:id="144" w:name="_Toc513029230"/>
      <w:r/>
      <w:bookmarkStart w:id="145" w:name="_Toc20823302"/>
      <w:r/>
      <w:bookmarkStart w:id="146" w:name="_Toc16938546"/>
      <w:r>
        <w:rPr>
          <w:rFonts w:hint="eastAsia" w:ascii="宋体" w:hAnsi="宋体" w:eastAsia="宋体"/>
          <w:bCs w:val="0"/>
          <w:color w:val="000000"/>
          <w:highlight w:val="none"/>
        </w:rPr>
        <w:t xml:space="preserve">21.开标</w:t>
      </w:r>
      <w:bookmarkEnd w:id="144"/>
      <w:r/>
      <w:bookmarkEnd w:id="145"/>
      <w:r/>
      <w:bookmarkEnd w:id="146"/>
      <w:r/>
      <w:r/>
    </w:p>
    <w:p>
      <w:pPr>
        <w:ind w:firstLine="480"/>
        <w:spacing w:line="500" w:lineRule="exact"/>
        <w:rPr>
          <w:color w:val="000000"/>
          <w:highlight w:val="none"/>
        </w:rPr>
      </w:pPr>
      <w:r>
        <w:rPr>
          <w:rFonts w:hint="eastAsia" w:ascii="宋体" w:hAnsi="宋体"/>
          <w:color w:val="000000"/>
          <w:sz w:val="24"/>
          <w:highlight w:val="none"/>
        </w:rPr>
        <w:t xml:space="preserve">21.1</w:t>
      </w:r>
      <w:r>
        <w:rPr>
          <w:rFonts w:hint="eastAsia" w:ascii="宋体" w:hAnsi="宋体"/>
          <w:bCs/>
          <w:color w:val="000000"/>
          <w:sz w:val="24"/>
          <w:highlight w:val="none"/>
        </w:rPr>
        <w:t xml:space="preserve">代理机构将在招标公告中规定的时间和地点组织公开开标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21.2开标仪式由代理机构组织。</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21.3投标人在开标过程中涉及的投标文件解密、开标结果确认等工作，应按照《操作手册》规定执行。</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21.4投标人如果对开标过程和开标记录有疑义，应当根据《操作手册》规定提出，如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中《开标记录表》宣布后5分钟内未提出的，视同认可开标结果。</w:t>
      </w:r>
      <w:r/>
    </w:p>
    <w:p>
      <w:pPr>
        <w:pStyle w:val="845"/>
        <w:ind w:firstLine="422"/>
        <w:keepLines w:val="0"/>
        <w:keepNext w:val="0"/>
        <w:spacing w:before="0" w:after="0" w:line="500" w:lineRule="exact"/>
        <w:rPr>
          <w:rFonts w:ascii="宋体" w:hAnsi="宋体" w:eastAsia="宋体"/>
          <w:bCs w:val="0"/>
          <w:color w:val="000000"/>
          <w:highlight w:val="none"/>
        </w:rPr>
      </w:pPr>
      <w:r/>
      <w:bookmarkStart w:id="147" w:name="_Toc513029231"/>
      <w:r/>
      <w:bookmarkStart w:id="148" w:name="_Toc16938547"/>
      <w:r/>
      <w:bookmarkStart w:id="149" w:name="_Toc20823303"/>
      <w:r>
        <w:rPr>
          <w:rFonts w:hint="eastAsia" w:ascii="宋体" w:hAnsi="宋体" w:eastAsia="宋体"/>
          <w:bCs w:val="0"/>
          <w:color w:val="000000"/>
          <w:highlight w:val="none"/>
        </w:rPr>
        <w:t xml:space="preserve">22.评标委员会</w:t>
      </w:r>
      <w:r/>
    </w:p>
    <w:p>
      <w:pPr>
        <w:ind w:firstLine="480"/>
        <w:spacing w:line="500" w:lineRule="exact"/>
        <w:rPr>
          <w:rFonts w:ascii="宋体" w:hAnsi="宋体"/>
          <w:b/>
          <w:color w:val="000000"/>
          <w:sz w:val="24"/>
          <w:szCs w:val="24"/>
          <w:highlight w:val="none"/>
        </w:rPr>
      </w:pPr>
      <w:r>
        <w:rPr>
          <w:rFonts w:hint="eastAsia" w:ascii="宋体" w:hAnsi="宋体"/>
          <w:color w:val="000000"/>
          <w:sz w:val="24"/>
          <w:szCs w:val="24"/>
          <w:highlight w:val="none"/>
        </w:rPr>
        <w:t xml:space="preserve">22.1开标后，代理机构将立即组织评标委员会（以下简称评委会）进行评标。</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22.2评委会依法组建，且人员构成符合政府采购有关规定。</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22.3评委会独立工作，负责评审所有投标文件并确定中标候选人。</w:t>
      </w:r>
      <w:r/>
    </w:p>
    <w:p>
      <w:pPr>
        <w:pStyle w:val="845"/>
        <w:ind w:firstLine="422"/>
        <w:keepLines w:val="0"/>
        <w:keepNext w:val="0"/>
        <w:spacing w:before="0" w:after="0" w:line="500" w:lineRule="exact"/>
        <w:rPr>
          <w:rFonts w:ascii="宋体" w:hAnsi="宋体" w:eastAsia="宋体"/>
          <w:bCs w:val="0"/>
          <w:color w:val="000000"/>
          <w:highlight w:val="none"/>
        </w:rPr>
      </w:pPr>
      <w:r>
        <w:rPr>
          <w:rFonts w:hint="eastAsia" w:ascii="宋体" w:hAnsi="宋体" w:eastAsia="宋体"/>
          <w:bCs w:val="0"/>
          <w:color w:val="000000"/>
          <w:highlight w:val="none"/>
        </w:rPr>
        <w:t xml:space="preserve">23.评标过程的保密与公正</w:t>
      </w:r>
      <w:bookmarkEnd w:id="147"/>
      <w:r/>
      <w:bookmarkEnd w:id="148"/>
      <w:r/>
      <w:bookmarkEnd w:id="149"/>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凡是与审查、澄清、评价和比较投标的有关资料以及授标建议等，采购人、评委、代理机构均不得向投标人或与评标无关的其他人员透露。</w:t>
      </w:r>
      <w:r/>
    </w:p>
    <w:p>
      <w:pPr>
        <w:ind w:firstLine="480"/>
        <w:spacing w:line="500" w:lineRule="exact"/>
        <w:rPr>
          <w:rFonts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代理机构和评标委员会不向未中标的投标人解释未中标原因，也不公布评标过程中的相关细节。</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23.4采用综合评分法的项目，未中标的投标人可于中标结果公告发布后通过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p>
    <w:p>
      <w:pPr>
        <w:pStyle w:val="845"/>
        <w:ind w:firstLine="422"/>
        <w:keepLines w:val="0"/>
        <w:keepNext w:val="0"/>
        <w:spacing w:before="0" w:after="0" w:line="500" w:lineRule="exact"/>
        <w:rPr>
          <w:rFonts w:ascii="宋体" w:hAnsi="宋体" w:eastAsia="宋体"/>
          <w:bCs w:val="0"/>
          <w:color w:val="000000"/>
          <w:highlight w:val="none"/>
        </w:rPr>
      </w:pPr>
      <w:r/>
      <w:bookmarkStart w:id="150" w:name="_Toc513029232"/>
      <w:r/>
      <w:bookmarkStart w:id="151" w:name="_Toc16938548"/>
      <w:r/>
      <w:bookmarkStart w:id="152" w:name="_Toc20823304"/>
      <w:r>
        <w:rPr>
          <w:rFonts w:hint="eastAsia" w:ascii="宋体" w:hAnsi="宋体" w:eastAsia="宋体"/>
          <w:bCs w:val="0"/>
          <w:color w:val="000000"/>
          <w:highlight w:val="none"/>
        </w:rPr>
        <w:t xml:space="preserve">24.投标文件的澄清</w:t>
      </w:r>
      <w:bookmarkEnd w:id="150"/>
      <w:r/>
      <w:bookmarkEnd w:id="151"/>
      <w:r/>
      <w:bookmarkEnd w:id="152"/>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24.3接到评委会澄清、说明和补正要求的投标人如未按规定及时作出澄清、说明和补正，其风险由投标人自行承担。</w:t>
      </w:r>
      <w:r/>
    </w:p>
    <w:p>
      <w:pPr>
        <w:pStyle w:val="845"/>
        <w:ind w:firstLine="422"/>
        <w:keepLines w:val="0"/>
        <w:keepNext w:val="0"/>
        <w:spacing w:before="0" w:after="0" w:line="500" w:lineRule="exact"/>
        <w:rPr>
          <w:rFonts w:ascii="宋体" w:hAnsi="宋体" w:eastAsia="宋体"/>
          <w:bCs w:val="0"/>
          <w:color w:val="000000"/>
          <w:highlight w:val="none"/>
        </w:rPr>
      </w:pPr>
      <w:r/>
      <w:bookmarkStart w:id="153" w:name="_Toc513029233"/>
      <w:r/>
      <w:bookmarkStart w:id="154" w:name="_Toc20823305"/>
      <w:r/>
      <w:bookmarkStart w:id="155" w:name="_Toc16938549"/>
      <w:r>
        <w:rPr>
          <w:rFonts w:hint="eastAsia" w:ascii="宋体" w:hAnsi="宋体" w:eastAsia="宋体"/>
          <w:bCs w:val="0"/>
          <w:color w:val="000000"/>
          <w:highlight w:val="none"/>
        </w:rPr>
        <w:t xml:space="preserve">25.对投标文件的初审</w:t>
      </w:r>
      <w:bookmarkEnd w:id="153"/>
      <w:r/>
      <w:bookmarkEnd w:id="154"/>
      <w:r/>
      <w:bookmarkEnd w:id="155"/>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25.1.1资格审查：依据法律法规和招标文件的规定，由采购人对投标文件中的资格证明文件进行审查。</w:t>
      </w:r>
      <w:r/>
    </w:p>
    <w:p>
      <w:pPr>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采购人在进行资格审查的同时，将</w:t>
      </w:r>
      <w:r>
        <w:rPr>
          <w:rFonts w:hint="eastAsia" w:ascii="宋体" w:hAnsi="宋体" w:cs="宋体"/>
          <w:bCs/>
          <w:color w:val="000000"/>
          <w:sz w:val="24"/>
          <w:szCs w:val="24"/>
          <w:highlight w:val="none"/>
        </w:rPr>
        <w:t xml:space="preserve">通过“信用中国”网站（</w:t>
      </w:r>
      <w:r>
        <w:rPr>
          <w:color w:val="000000"/>
          <w:highlight w:val="none"/>
        </w:rPr>
        <w:fldChar w:fldCharType="begin"/>
      </w:r>
      <w:r>
        <w:rPr>
          <w:color w:val="000000"/>
          <w:highlight w:val="none"/>
        </w:rPr>
        <w:instrText xml:space="preserve"> HYPERLINK "http://www.creditchina.gov.cn" </w:instrText>
      </w:r>
      <w:r>
        <w:rPr>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中国政府采购网（www.ccgp.gov.cn）</w:t>
      </w:r>
      <w:r>
        <w:rPr>
          <w:rFonts w:hint="eastAsia" w:ascii="宋体" w:hAnsi="宋体" w:cs="宋体"/>
          <w:bCs/>
          <w:color w:val="000000"/>
          <w:sz w:val="24"/>
          <w:szCs w:val="24"/>
          <w:highlight w:val="none"/>
        </w:rPr>
        <w:t xml:space="preserve">查询</w:t>
      </w:r>
      <w:r>
        <w:rPr>
          <w:rFonts w:hint="eastAsia" w:ascii="宋体" w:hAnsi="宋体" w:cs="宋体"/>
          <w:bCs/>
          <w:color w:val="000000"/>
          <w:sz w:val="24"/>
          <w:szCs w:val="24"/>
          <w:highlight w:val="none"/>
          <w:lang w:eastAsia="zh-CN"/>
        </w:rPr>
        <w:t xml:space="preserve">投标人</w:t>
      </w:r>
      <w:r>
        <w:rPr>
          <w:rFonts w:hint="eastAsia" w:ascii="宋体" w:hAnsi="宋体" w:cs="宋体"/>
          <w:bCs/>
          <w:color w:val="000000"/>
          <w:sz w:val="24"/>
          <w:szCs w:val="24"/>
          <w:highlight w:val="none"/>
        </w:rPr>
        <w:t xml:space="preserve">在投标截止时间之前，是否被列入</w:t>
      </w:r>
      <w:r>
        <w:rPr>
          <w:rFonts w:hint="eastAsia" w:ascii="宋体" w:hAnsi="宋体" w:cs="宋体"/>
          <w:color w:val="000000"/>
          <w:sz w:val="24"/>
          <w:szCs w:val="24"/>
          <w:highlight w:val="none"/>
        </w:rPr>
        <w:t xml:space="preserve">失信被执行人、重大税收违法案件当事人名单、政府采购严重违法失信行为记录名单，</w:t>
      </w:r>
      <w:r>
        <w:rPr>
          <w:rFonts w:hint="eastAsia" w:ascii="宋体" w:hAnsi="宋体" w:cs="宋体"/>
          <w:bCs/>
          <w:color w:val="000000"/>
          <w:sz w:val="24"/>
          <w:highlight w:val="none"/>
        </w:rPr>
        <w:t xml:space="preserve">以确定</w:t>
      </w:r>
      <w:r>
        <w:rPr>
          <w:rFonts w:hint="eastAsia" w:ascii="宋体" w:hAnsi="宋体" w:cs="宋体"/>
          <w:bCs/>
          <w:color w:val="000000"/>
          <w:sz w:val="24"/>
          <w:highlight w:val="none"/>
          <w:lang w:eastAsia="zh-CN"/>
        </w:rPr>
        <w:t xml:space="preserve">投标人</w:t>
      </w:r>
      <w:r>
        <w:rPr>
          <w:rFonts w:hint="eastAsia" w:ascii="宋体" w:hAnsi="宋体" w:cs="宋体"/>
          <w:bCs/>
          <w:color w:val="000000"/>
          <w:sz w:val="24"/>
          <w:highlight w:val="none"/>
        </w:rPr>
        <w:t xml:space="preserve">是否具备投标资格。</w:t>
      </w:r>
      <w:r>
        <w:rPr>
          <w:rFonts w:hint="eastAsia" w:ascii="宋体" w:hAnsi="宋体" w:cs="宋体"/>
          <w:color w:val="000000"/>
          <w:sz w:val="24"/>
          <w:szCs w:val="24"/>
          <w:highlight w:val="none"/>
        </w:rPr>
        <w:t xml:space="preserve">查询结果留存并归档。</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.3如果投标文件实质上没有响应招标文件的要求，评委会将予以拒绝，其投标文件无效，投标人不得通过修改或撤销</w:t>
      </w:r>
      <w:r>
        <w:rPr>
          <w:rFonts w:hint="eastAsia" w:ascii="宋体" w:hAnsi="宋体"/>
          <w:color w:val="000000"/>
          <w:sz w:val="24"/>
          <w:highlight w:val="none"/>
          <w:lang w:eastAsia="zh-CN"/>
        </w:rPr>
        <w:t xml:space="preserve">不符</w:t>
      </w:r>
      <w:r>
        <w:rPr>
          <w:rFonts w:hint="eastAsia" w:ascii="宋体" w:hAnsi="宋体"/>
          <w:color w:val="000000"/>
          <w:sz w:val="24"/>
          <w:highlight w:val="none"/>
        </w:rPr>
        <w:t xml:space="preserve">合要求的偏离或保留而使其投标成为实质性响应的投标。</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p>
    <w:p>
      <w:pPr>
        <w:ind w:firstLine="482"/>
        <w:spacing w:line="500" w:lineRule="atLeast"/>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hint="eastAsia" w:ascii="宋体" w:hAnsi="宋体"/>
          <w:color w:val="000000"/>
          <w:sz w:val="24"/>
          <w:highlight w:val="none"/>
          <w:lang w:val="en-US" w:eastAsia="zh-CN"/>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ascii="宋体" w:hAnsi="宋体"/>
          <w:color w:val="000000"/>
          <w:sz w:val="24"/>
          <w:highlight w:val="none"/>
        </w:rPr>
      </w:pPr>
      <w:r/>
      <w:bookmarkStart w:id="156" w:name="_Toc513029234"/>
      <w:r/>
      <w:bookmarkStart w:id="157" w:name="_Toc20823306"/>
      <w:r/>
      <w:bookmarkStart w:id="158" w:name="_Toc16938550"/>
      <w:r>
        <w:rPr>
          <w:rFonts w:hint="eastAsia" w:ascii="宋体" w:hAnsi="宋体"/>
          <w:color w:val="000000"/>
          <w:sz w:val="24"/>
          <w:highlight w:val="none"/>
        </w:rPr>
        <w:t xml:space="preserve">25.</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投标人在开、评标全过程中应保持通信畅通，及时登录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p>
    <w:p>
      <w:pPr>
        <w:pStyle w:val="1117"/>
        <w:ind w:firstLine="482"/>
        <w:spacing w:line="50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25.7异常低价投标（响应）审查</w:t>
      </w:r>
      <w:r/>
    </w:p>
    <w:p>
      <w:pPr>
        <w:pStyle w:val="1117"/>
        <w:ind w:firstLine="482"/>
        <w:spacing w:line="50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25.</w:t>
      </w:r>
      <w:r>
        <w:rPr>
          <w:rFonts w:hint="eastAsia" w:ascii="宋体" w:hAnsi="宋体" w:eastAsia="宋体" w:cs="宋体"/>
          <w:b/>
          <w:bCs/>
          <w:color w:val="000000"/>
          <w:sz w:val="24"/>
          <w:szCs w:val="24"/>
          <w:highlight w:val="none"/>
          <w:lang w:val="en-US" w:eastAsia="zh-CN"/>
        </w:rPr>
        <w:t xml:space="preserve">7.1根据《关于推动解决政府采购异常低价问题的通知》（财库〔2026〕2号）要求，政府采购评审中出现下列情形之一的，评审委员会应当启动异常低价投标（响应）审查程序：</w:t>
      </w:r>
      <w:r/>
    </w:p>
    <w:p>
      <w:pPr>
        <w:pStyle w:val="1117"/>
        <w:ind w:firstLine="482"/>
        <w:spacing w:line="50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（1）投标（响应）报价低于全部通过符合性审查供应商投标（响应）报价平均值50%的，即投标（响应 </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报价＜全部通过符合性审查供应商投标（响应）报价平均值×50%；</w:t>
      </w:r>
      <w:r/>
    </w:p>
    <w:p>
      <w:pPr>
        <w:pStyle w:val="1117"/>
        <w:ind w:firstLine="482"/>
        <w:spacing w:line="50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（2）投标（响应）报价低于通过符合性审查的次低报价供应商投标（响应）报价50%的，即投标（响应 </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报价＜通过符合性审查的次低报价供应商投标（响应）报价×50%；</w:t>
      </w:r>
      <w:r/>
    </w:p>
    <w:p>
      <w:pPr>
        <w:pStyle w:val="1117"/>
        <w:ind w:firstLine="482"/>
        <w:spacing w:line="500" w:lineRule="atLeas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（3）投标（响应）报价低于采购项目最高限价45%的，即投标（响应）报价＜采购项目最高限价×45%</w:t>
      </w:r>
      <w:r>
        <w:rPr>
          <w:rFonts w:hint="eastAsia" w:ascii="宋体" w:hAnsi="宋体" w:eastAsia="宋体" w:cs="宋体"/>
          <w:b/>
          <w:bCs/>
          <w:color w:val="000000"/>
          <w:sz w:val="24"/>
          <w:szCs w:val="24"/>
          <w:highlight w:val="none"/>
          <w:lang w:eastAsia="zh-CN"/>
        </w:rPr>
        <w:t xml:space="preserve">；</w:t>
      </w:r>
      <w:r/>
    </w:p>
    <w:p>
      <w:pPr>
        <w:pStyle w:val="1117"/>
        <w:ind w:firstLine="482"/>
        <w:spacing w:line="50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（4）评审委员会基于专业判断，认为供应商报价过低，有可能影响产品质量或者不能诚信履约的其他情形。</w:t>
      </w:r>
      <w:r/>
    </w:p>
    <w:p>
      <w:pPr>
        <w:pStyle w:val="1117"/>
        <w:ind w:firstLine="482"/>
        <w:spacing w:line="50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相关法律法规对供应商报价有规定的，从其规定。</w:t>
      </w:r>
      <w:r/>
    </w:p>
    <w:p>
      <w:pPr>
        <w:pStyle w:val="1117"/>
        <w:ind w:firstLine="482"/>
        <w:spacing w:line="50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25.</w:t>
      </w:r>
      <w:r>
        <w:rPr>
          <w:rFonts w:hint="eastAsia" w:ascii="宋体" w:hAnsi="宋体" w:eastAsia="宋体" w:cs="宋体"/>
          <w:b/>
          <w:bCs/>
          <w:color w:val="000000"/>
          <w:sz w:val="24"/>
          <w:szCs w:val="24"/>
          <w:highlight w:val="none"/>
          <w:lang w:val="en-US" w:eastAsia="zh-CN"/>
        </w:rPr>
        <w:t xml:space="preserve">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17"/>
        <w:ind w:firstLine="482"/>
        <w:spacing w:line="50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17"/>
        <w:ind w:firstLine="482"/>
        <w:spacing w:line="50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117"/>
        <w:ind w:firstLine="482"/>
        <w:spacing w:line="50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财政部门在投诉处理、监督检查中发现评审委员会未按规定对异常低价开展审查的，依法予以纠正并追究评审专家的法律责任。</w:t>
      </w:r>
      <w:r/>
    </w:p>
    <w:p>
      <w:pPr>
        <w:pStyle w:val="845"/>
        <w:ind w:firstLine="422"/>
        <w:keepLines w:val="0"/>
        <w:keepNext w:val="0"/>
        <w:spacing w:before="0" w:after="0" w:line="500" w:lineRule="exact"/>
        <w:rPr>
          <w:rFonts w:ascii="宋体" w:hAnsi="宋体" w:eastAsia="宋体"/>
          <w:bCs w:val="0"/>
          <w:color w:val="000000"/>
          <w:highlight w:val="none"/>
        </w:rPr>
      </w:pPr>
      <w:r>
        <w:rPr>
          <w:rFonts w:hint="eastAsia" w:ascii="宋体" w:hAnsi="宋体" w:eastAsia="宋体"/>
          <w:bCs w:val="0"/>
          <w:color w:val="000000"/>
          <w:highlight w:val="none"/>
        </w:rPr>
        <w:t xml:space="preserve">26</w:t>
      </w:r>
      <w:bookmarkEnd w:id="156"/>
      <w:r/>
      <w:bookmarkEnd w:id="157"/>
      <w:r/>
      <w:bookmarkEnd w:id="158"/>
      <w:r>
        <w:rPr>
          <w:rFonts w:hint="eastAsia" w:ascii="宋体" w:hAnsi="宋体" w:eastAsia="宋体"/>
          <w:bCs w:val="0"/>
          <w:color w:val="000000"/>
          <w:highlight w:val="none"/>
        </w:rPr>
        <w:t xml:space="preserve">.无效投标条款和废标条款</w:t>
      </w:r>
      <w:r/>
    </w:p>
    <w:p>
      <w:pPr>
        <w:ind w:left="479"/>
        <w:spacing w:line="500" w:lineRule="exact"/>
        <w:rPr>
          <w:rFonts w:ascii="宋体" w:hAnsi="宋体"/>
          <w:bCs/>
          <w:color w:val="000000"/>
          <w:sz w:val="24"/>
          <w:highlight w:val="none"/>
        </w:rPr>
      </w:pPr>
      <w:r/>
      <w:bookmarkStart w:id="159" w:name="_Toc20823307"/>
      <w:r/>
      <w:bookmarkStart w:id="160" w:name="_Toc513029235"/>
      <w:r/>
      <w:bookmarkStart w:id="161" w:name="_Toc16938551"/>
      <w:r>
        <w:rPr>
          <w:rFonts w:hint="eastAsia" w:ascii="宋体" w:hAnsi="宋体"/>
          <w:bCs/>
          <w:color w:val="000000"/>
          <w:sz w:val="24"/>
          <w:highlight w:val="none"/>
        </w:rPr>
        <w:t xml:space="preserve">26.1无效投标条款</w:t>
      </w:r>
      <w:r/>
    </w:p>
    <w:p>
      <w:pPr>
        <w:ind w:firstLine="480"/>
        <w:spacing w:line="500" w:lineRule="exact"/>
        <w:rPr>
          <w:rFonts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26.1.2投标人在“苏采云”系统规定的时间内未成功解密电子投标文件的。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26.1.5投标人的被授权代表无授权委托书或授权委托日期晚于投标截止日期的。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26.1.6投标人不具备招标文件中规定的资格要求或未按招标文件规定的要求提供资格证明文件的。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同一投标人提交两种（含两种）以上不同的投标报价的。</w:t>
      </w:r>
      <w:r/>
    </w:p>
    <w:p>
      <w:pPr>
        <w:ind w:firstLine="480"/>
        <w:spacing w:line="500" w:lineRule="exact"/>
        <w:rPr>
          <w:rFonts w:ascii="宋体" w:hAnsi="宋体"/>
          <w:bCs/>
          <w:color w:val="000000"/>
          <w:sz w:val="24"/>
          <w:szCs w:val="24"/>
          <w:highlight w:val="none"/>
        </w:rPr>
      </w:pPr>
      <w:r>
        <w:rPr>
          <w:rFonts w:hint="eastAsia" w:ascii="宋体" w:hAnsi="宋体"/>
          <w:color w:val="000000"/>
          <w:sz w:val="24"/>
          <w:szCs w:val="24"/>
          <w:highlight w:val="none"/>
        </w:rPr>
        <w:t xml:space="preserve">26.1.8投标人被“信用中国”网站（</w:t>
      </w:r>
      <w:r>
        <w:rPr>
          <w:color w:val="000000"/>
          <w:highlight w:val="none"/>
        </w:rPr>
        <w:fldChar w:fldCharType="begin"/>
      </w:r>
      <w:r>
        <w:rPr>
          <w:color w:val="000000"/>
          <w:highlight w:val="none"/>
        </w:rPr>
        <w:instrText xml:space="preserve"> HYPERLINK "http://www.creditchina.gov.cn" </w:instrText>
      </w:r>
      <w:r>
        <w:rPr>
          <w:color w:val="000000"/>
          <w:highlight w:val="none"/>
        </w:rPr>
        <w:fldChar w:fldCharType="separate"/>
      </w:r>
      <w:r>
        <w:rPr>
          <w:rFonts w:hint="eastAsia" w:ascii="宋体" w:hAnsi="宋体"/>
          <w:color w:val="000000"/>
          <w:sz w:val="24"/>
          <w:szCs w:val="24"/>
          <w:highlight w:val="none"/>
        </w:rPr>
        <w:t xml:space="preserve">www.creditchina.gov.cn</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26.1.9投标文件未按招标文件规定的内容和要求填写的。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项目（采购包、标项</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标段</w:t>
      </w:r>
      <w:r>
        <w:rPr>
          <w:rFonts w:hint="eastAsia" w:ascii="宋体" w:hAnsi="宋体"/>
          <w:bCs/>
          <w:color w:val="000000"/>
          <w:sz w:val="24"/>
          <w:szCs w:val="24"/>
          <w:highlight w:val="none"/>
        </w:rPr>
        <w:t xml:space="preserve">）投标总价超过本项目（本采购包、本标项</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本标段</w:t>
      </w:r>
      <w:r>
        <w:rPr>
          <w:rFonts w:hint="eastAsia" w:ascii="宋体" w:hAnsi="宋体"/>
          <w:bCs/>
          <w:color w:val="000000"/>
          <w:sz w:val="24"/>
          <w:szCs w:val="24"/>
          <w:highlight w:val="none"/>
        </w:rPr>
        <w:t xml:space="preserve">）预算或最高限价的。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26.1.12投标文件含有采购人不能接受的附加条件的。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26.1.13电子投标文件图片、字迹模糊不清、无法辨认导致无法评审的。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26.1.14投标文件中有招标文件未允许提供的选择性内容。</w:t>
      </w:r>
      <w:r/>
    </w:p>
    <w:p>
      <w:pPr>
        <w:ind w:firstLine="480"/>
        <w:spacing w:line="500" w:lineRule="exact"/>
        <w:rPr>
          <w:rFonts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26.1.21</w:t>
      </w:r>
      <w:r>
        <w:rPr>
          <w:rFonts w:hint="eastAsia" w:ascii="宋体" w:hAnsi="宋体"/>
          <w:bCs/>
          <w:color w:val="000000"/>
          <w:sz w:val="24"/>
          <w:szCs w:val="24"/>
          <w:highlight w:val="none"/>
        </w:rPr>
        <w:t xml:space="preserve">除单一来源采购项目外，为采购项目提供整体设计、规范编制或者项目管理、监理、检测等服务的。</w:t>
      </w:r>
      <w:r/>
    </w:p>
    <w:p>
      <w:pPr>
        <w:ind w:firstLine="480"/>
        <w:spacing w:line="500" w:lineRule="exact"/>
        <w:rPr>
          <w:rFonts w:ascii="宋体" w:hAnsi="宋体"/>
          <w:bCs/>
          <w:color w:val="000000"/>
          <w:sz w:val="24"/>
          <w:highlight w:val="none"/>
          <w:shd w:val="clear" w:color="ffffff" w:fill="d9d9d9"/>
        </w:rPr>
      </w:pPr>
      <w:r>
        <w:rPr>
          <w:rFonts w:hint="eastAsia" w:ascii="宋体" w:hAnsi="宋体"/>
          <w:bCs/>
          <w:color w:val="000000"/>
          <w:sz w:val="24"/>
          <w:szCs w:val="24"/>
          <w:highlight w:val="none"/>
        </w:rPr>
        <w:t xml:space="preserve">26.1.22评标委员会按照本招标文件规定对投标人进行异常低价投标（响应）审查后，认为投标人不能证明其报价合理性的。</w:t>
      </w:r>
      <w:r/>
    </w:p>
    <w:p>
      <w:pPr>
        <w:ind w:firstLine="480"/>
        <w:spacing w:line="500" w:lineRule="exact"/>
        <w:rPr>
          <w:rFonts w:hint="eastAsia" w:ascii="宋体" w:hAnsi="宋体" w:eastAsia="宋体"/>
          <w:bCs/>
          <w:color w:val="000000"/>
          <w:sz w:val="24"/>
          <w:highlight w:val="none"/>
          <w:lang w:val="en-US" w:eastAsia="zh-CN"/>
        </w:rPr>
      </w:pPr>
      <w:r>
        <w:rPr>
          <w:rFonts w:hint="eastAsia" w:ascii="宋体" w:hAnsi="宋体"/>
          <w:bCs/>
          <w:color w:val="000000"/>
          <w:sz w:val="24"/>
          <w:szCs w:val="24"/>
          <w:highlight w:val="none"/>
        </w:rPr>
        <w:t xml:space="preserve">26.1.23投标文件内容不全或不符合招标文件中规定的其他实质性要求和条件的</w:t>
      </w:r>
      <w:r>
        <w:rPr>
          <w:rFonts w:hint="eastAsia" w:ascii="宋体" w:hAnsi="宋体"/>
          <w:bCs/>
          <w:color w:val="000000"/>
          <w:sz w:val="24"/>
          <w:szCs w:val="24"/>
          <w:highlight w:val="none"/>
          <w:lang w:eastAsia="zh-CN"/>
        </w:rPr>
        <w:t xml:space="preserve">。</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 </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26.1.2</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其他法律法规及本招标文件规定的</w:t>
      </w:r>
      <w:r>
        <w:rPr>
          <w:rFonts w:hint="eastAsia" w:ascii="宋体" w:hAnsi="宋体"/>
          <w:bCs/>
          <w:color w:val="000000"/>
          <w:sz w:val="24"/>
          <w:highlight w:val="none"/>
          <w:lang w:eastAsia="zh-CN"/>
        </w:rPr>
        <w:t xml:space="preserve">属于</w:t>
      </w:r>
      <w:r>
        <w:rPr>
          <w:rFonts w:hint="eastAsia" w:ascii="宋体" w:hAnsi="宋体"/>
          <w:bCs/>
          <w:color w:val="000000"/>
          <w:sz w:val="24"/>
          <w:highlight w:val="none"/>
        </w:rPr>
        <w:t xml:space="preserve">无效投标的情形。</w:t>
      </w:r>
      <w:r/>
    </w:p>
    <w:p>
      <w:pPr>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26.2废标条款</w:t>
      </w:r>
      <w:r/>
    </w:p>
    <w:p>
      <w:pPr>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26.2.1符合专业条件的供应商或者对招标文件做实质响应的供应商不足三家的。</w:t>
      </w:r>
      <w:r/>
    </w:p>
    <w:p>
      <w:pPr>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26.2.2出现影响采购公正的违法、违规行为的。</w:t>
      </w:r>
      <w:r/>
    </w:p>
    <w:p>
      <w:pPr>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26.2.3因重大变故，采购任务取消的。</w:t>
      </w:r>
      <w:r/>
    </w:p>
    <w:p>
      <w:pPr>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26.2.4评标委员会认定招标文件存在歧义、重大缺陷导致评审工作无法进行。</w:t>
      </w:r>
      <w:r/>
    </w:p>
    <w:p>
      <w:pPr>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26.2.5 因</w:t>
      </w:r>
      <w:r>
        <w:rPr>
          <w:rFonts w:hint="eastAsia" w:ascii="宋体" w:hAnsi="宋体"/>
          <w:bCs/>
          <w:color w:val="000000"/>
          <w:sz w:val="24"/>
          <w:szCs w:val="24"/>
          <w:highlight w:val="none"/>
        </w:rPr>
        <w:t xml:space="preserve">“苏采云”系统</w:t>
      </w:r>
      <w:r>
        <w:rPr>
          <w:rFonts w:ascii="宋体" w:hAnsi="宋体"/>
          <w:bCs/>
          <w:color w:val="000000"/>
          <w:sz w:val="24"/>
          <w:highlight w:val="none"/>
        </w:rPr>
        <w:t xml:space="preserve">故障原因造成开标不成功</w:t>
      </w:r>
      <w:r>
        <w:rPr>
          <w:rFonts w:hint="eastAsia" w:ascii="宋体" w:hAnsi="宋体"/>
          <w:bCs/>
          <w:color w:val="000000"/>
          <w:sz w:val="24"/>
          <w:highlight w:val="none"/>
        </w:rPr>
        <w:t xml:space="preserve">的；</w:t>
      </w:r>
      <w:r/>
    </w:p>
    <w:p>
      <w:pPr>
        <w:ind w:left="479"/>
        <w:spacing w:line="500" w:lineRule="exact"/>
        <w:rPr>
          <w:rFonts w:ascii="宋体" w:hAnsi="宋体"/>
          <w:bCs/>
          <w:color w:val="000000"/>
          <w:sz w:val="24"/>
          <w:highlight w:val="none"/>
        </w:rPr>
      </w:pPr>
      <w:r>
        <w:rPr>
          <w:rFonts w:hint="eastAsia" w:ascii="宋体" w:hAnsi="宋体"/>
          <w:bCs/>
          <w:color w:val="000000"/>
          <w:sz w:val="24"/>
          <w:szCs w:val="24"/>
          <w:highlight w:val="none"/>
        </w:rPr>
        <w:t xml:space="preserve">26.2.6投标人的报价均超过采购预算，采购人不能支付的。</w:t>
      </w:r>
      <w:r/>
    </w:p>
    <w:p>
      <w:pPr>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26.3 投标截止时间结束后参加投标的供应商不足三家的处理：</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26.3.1如出现投标截止时间结束后参加投标的供应商或者在评标期间对招标文件做出实质响应的供应商不足三家情况，按政府采购相关规定执行。</w:t>
      </w:r>
      <w:r/>
    </w:p>
    <w:p>
      <w:pPr>
        <w:pStyle w:val="843"/>
        <w:ind w:firstLine="452"/>
        <w:keepLines w:val="0"/>
        <w:keepNext w:val="0"/>
        <w:spacing w:before="0" w:after="0" w:line="500" w:lineRule="exact"/>
        <w:rPr>
          <w:color w:val="000000"/>
          <w:sz w:val="30"/>
          <w:szCs w:val="30"/>
          <w:highlight w:val="none"/>
        </w:rPr>
      </w:pPr>
      <w:r/>
      <w:bookmarkStart w:id="162" w:name="_Toc120614219"/>
      <w:r>
        <w:rPr>
          <w:rFonts w:hint="eastAsia"/>
          <w:color w:val="000000"/>
          <w:sz w:val="30"/>
          <w:szCs w:val="30"/>
          <w:highlight w:val="none"/>
        </w:rPr>
        <w:t xml:space="preserve">六、</w:t>
      </w:r>
      <w:bookmarkEnd w:id="159"/>
      <w:r/>
      <w:bookmarkEnd w:id="160"/>
      <w:r/>
      <w:bookmarkEnd w:id="161"/>
      <w:r>
        <w:rPr>
          <w:rFonts w:hint="eastAsia"/>
          <w:color w:val="000000"/>
          <w:sz w:val="30"/>
          <w:szCs w:val="30"/>
          <w:highlight w:val="none"/>
        </w:rPr>
        <w:t xml:space="preserve">定标</w:t>
      </w:r>
      <w:bookmarkEnd w:id="162"/>
      <w:r/>
      <w:r/>
    </w:p>
    <w:p>
      <w:pPr>
        <w:pStyle w:val="845"/>
        <w:ind w:firstLine="422"/>
        <w:keepLines w:val="0"/>
        <w:keepNext w:val="0"/>
        <w:spacing w:before="0" w:after="0" w:line="500" w:lineRule="exact"/>
        <w:rPr>
          <w:rFonts w:ascii="宋体" w:hAnsi="宋体" w:eastAsia="宋体"/>
          <w:bCs w:val="0"/>
          <w:color w:val="000000"/>
          <w:highlight w:val="none"/>
        </w:rPr>
      </w:pPr>
      <w:r/>
      <w:bookmarkStart w:id="163" w:name="_Toc513029238"/>
      <w:r/>
      <w:bookmarkStart w:id="164" w:name="_Toc16938554"/>
      <w:r/>
      <w:bookmarkStart w:id="165" w:name="_Toc20823310"/>
      <w:r>
        <w:rPr>
          <w:rFonts w:hint="eastAsia" w:ascii="宋体" w:hAnsi="宋体" w:eastAsia="宋体"/>
          <w:bCs w:val="0"/>
          <w:color w:val="000000"/>
          <w:highlight w:val="none"/>
        </w:rPr>
        <w:t xml:space="preserve">27</w:t>
      </w:r>
      <w:bookmarkEnd w:id="163"/>
      <w:r>
        <w:rPr>
          <w:rFonts w:hint="eastAsia" w:ascii="宋体" w:hAnsi="宋体" w:eastAsia="宋体"/>
          <w:bCs w:val="0"/>
          <w:color w:val="000000"/>
          <w:highlight w:val="none"/>
        </w:rPr>
        <w:t xml:space="preserve">.确定</w:t>
      </w:r>
      <w:bookmarkEnd w:id="164"/>
      <w:r/>
      <w:bookmarkEnd w:id="165"/>
      <w:r>
        <w:rPr>
          <w:rFonts w:hint="eastAsia" w:ascii="宋体" w:hAnsi="宋体" w:eastAsia="宋体"/>
          <w:bCs w:val="0"/>
          <w:color w:val="000000"/>
          <w:highlight w:val="none"/>
        </w:rPr>
        <w:t xml:space="preserve">中标单位</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color w:val="000000"/>
          <w:sz w:val="24"/>
          <w:szCs w:val="24"/>
          <w:highlight w:val="none"/>
        </w:rPr>
        <w:t xml:space="preserve">代理机构将在“江苏政府采购网”发布中标公告，公告期限为1个工作日。</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27.4中标无效的确认</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若有充分证据证明，中标人出现下列情况之一的，一经查实，将被取消中标资格：</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27.4.2向采购人、代理机构行贿或者提供其他不正当利益的。</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27.4.3属于本文件规定的无效投标文件条件的，但在评标过程中又未被评委会发现的。</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p>
    <w:p>
      <w:pPr>
        <w:ind w:firstLine="480"/>
        <w:spacing w:line="500" w:lineRule="exact"/>
        <w:rPr>
          <w:rFonts w:ascii="宋体" w:hAnsi="宋体"/>
          <w:color w:val="000000"/>
          <w:sz w:val="24"/>
          <w:szCs w:val="24"/>
          <w:highlight w:val="none"/>
        </w:rPr>
      </w:pPr>
      <w:r/>
      <w:bookmarkStart w:id="166"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p>
    <w:p>
      <w:pPr>
        <w:pStyle w:val="845"/>
        <w:ind w:firstLine="422"/>
        <w:keepLines w:val="0"/>
        <w:keepNext w:val="0"/>
        <w:spacing w:before="0" w:after="0" w:line="500" w:lineRule="exact"/>
        <w:rPr>
          <w:rFonts w:ascii="宋体" w:hAnsi="宋体" w:eastAsia="宋体"/>
          <w:bCs w:val="0"/>
          <w:color w:val="000000"/>
          <w:highlight w:val="none"/>
        </w:rPr>
      </w:pPr>
      <w:r>
        <w:rPr>
          <w:rFonts w:hint="eastAsia" w:ascii="宋体" w:hAnsi="宋体" w:eastAsia="宋体"/>
          <w:bCs w:val="0"/>
          <w:color w:val="000000"/>
          <w:highlight w:val="none"/>
        </w:rPr>
        <w:t xml:space="preserve">28.质疑处理</w:t>
      </w:r>
      <w:bookmarkEnd w:id="166"/>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28.1 提出质疑的供应商应当是参与所</w:t>
      </w:r>
      <w:r>
        <w:rPr>
          <w:rFonts w:hint="eastAsia" w:ascii="宋体" w:hAnsi="宋体"/>
          <w:color w:val="000000"/>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对可以质疑的采购文件提出质疑的，为收到采购文件之日或者采购文件公告期限届满之日；</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对采购过程提出质疑的，为各采购程序环节结束之日；</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对中标或者成交结果提出质疑的，为中标或者成交结果公告期限届满之日。</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供应商应当在法定质疑期内一次性提出针对同一采购程序环节的质疑。供应商如在法定期限内对同一采购程序环节提出多次质疑的，代理机构、</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采购人、代理机构只接收以纸质原件形式送达的质疑，质疑供应商可通过面交或邮寄方式送达（采购人和代理机构不接受未填写快递运单的快件）。</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采购人、代理机构联系人、联系方式、通信地址见招标文件第一章。</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p>
    <w:p>
      <w:pPr>
        <w:ind w:firstLine="468"/>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一经查实，代理机构有权依据政府采购的有关规定，报请政府采购监管部门对该供应商进行相应的行政处罚和记录该供应商的失信信息。</w:t>
      </w:r>
      <w:r/>
    </w:p>
    <w:p>
      <w:pPr>
        <w:pStyle w:val="845"/>
        <w:ind w:firstLine="422"/>
        <w:keepLines w:val="0"/>
        <w:keepNext w:val="0"/>
        <w:spacing w:before="0" w:after="0" w:line="500" w:lineRule="exact"/>
        <w:rPr>
          <w:rFonts w:ascii="宋体" w:hAnsi="宋体" w:eastAsia="宋体"/>
          <w:bCs w:val="0"/>
          <w:color w:val="000000"/>
          <w:highlight w:val="none"/>
        </w:rPr>
      </w:pPr>
      <w:r>
        <w:rPr>
          <w:rFonts w:hint="eastAsia" w:ascii="宋体" w:hAnsi="宋体" w:eastAsia="宋体"/>
          <w:bCs w:val="0"/>
          <w:color w:val="000000"/>
          <w:highlight w:val="none"/>
        </w:rPr>
        <w:t xml:space="preserve">29.中标通知书</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29.l中标结果确定后，代理机构将向中标人发出中标通知书。请中标人在中标结果公告届满之日起30日内，使用CA数字证书登录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及时下载中标通知书。因系统存储空间有限，自中标结果公告届满之日起30日后，</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不再保证提供下载中标通知书服务，因未及时下载而造成的不利后果由中标人自行承担。</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45"/>
        <w:ind w:firstLine="422"/>
        <w:keepLines w:val="0"/>
        <w:keepNext w:val="0"/>
        <w:spacing w:before="0" w:after="0" w:line="500" w:lineRule="exact"/>
        <w:rPr>
          <w:rFonts w:ascii="宋体" w:hAnsi="宋体" w:eastAsia="宋体"/>
          <w:bCs w:val="0"/>
          <w:color w:val="000000"/>
          <w:highlight w:val="none"/>
        </w:rPr>
      </w:pPr>
      <w:r>
        <w:rPr>
          <w:rFonts w:hint="eastAsia" w:ascii="宋体" w:hAnsi="宋体" w:eastAsia="宋体"/>
          <w:bCs w:val="0"/>
          <w:color w:val="000000"/>
          <w:highlight w:val="none"/>
        </w:rPr>
        <w:t xml:space="preserve">30.代理服务费：</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30.1</w:t>
      </w:r>
      <w:r>
        <w:rPr>
          <w:rFonts w:hint="eastAsia" w:ascii="宋体" w:hAnsi="宋体" w:cs="宋体"/>
          <w:color w:val="000000"/>
          <w:sz w:val="24"/>
          <w:highlight w:val="none"/>
        </w:rPr>
        <w:t xml:space="preserve">本项目招标代理服务费以中标金额为计费基础，按差额定率累进法计算后</w:t>
      </w:r>
      <w:r>
        <w:rPr>
          <w:rFonts w:hint="eastAsia" w:ascii="宋体" w:hAnsi="宋体" w:cs="宋体"/>
          <w:color w:val="000000"/>
          <w:sz w:val="24"/>
          <w:szCs w:val="24"/>
          <w:highlight w:val="none"/>
        </w:rPr>
        <w:t xml:space="preserve">打</w:t>
      </w:r>
      <w:r>
        <w:rPr>
          <w:rFonts w:hint="eastAsia" w:ascii="宋体" w:hAnsi="宋体" w:cs="宋体"/>
          <w:color w:val="000000"/>
          <w:sz w:val="24"/>
          <w:szCs w:val="24"/>
          <w:highlight w:val="none"/>
          <w:lang w:val="en-US" w:eastAsia="zh-CN"/>
        </w:rPr>
        <w:t xml:space="preserve">75</w:t>
      </w:r>
      <w:r>
        <w:rPr>
          <w:rFonts w:hint="eastAsia" w:ascii="宋体" w:hAnsi="宋体" w:cs="宋体"/>
          <w:color w:val="000000"/>
          <w:sz w:val="24"/>
          <w:szCs w:val="24"/>
          <w:highlight w:val="none"/>
        </w:rPr>
        <w:t xml:space="preserve">折计取</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100万元以下</w:t>
      </w:r>
      <w:r>
        <w:rPr>
          <w:rFonts w:hint="eastAsia" w:ascii="宋体" w:hAnsi="宋体" w:cs="宋体"/>
          <w:color w:val="000000"/>
          <w:sz w:val="24"/>
          <w:highlight w:val="none"/>
        </w:rPr>
        <w:t xml:space="preserve">费率为1.5%，</w:t>
      </w:r>
      <w:r>
        <w:rPr>
          <w:rFonts w:hint="eastAsia" w:ascii="宋体" w:hAnsi="宋体" w:cs="宋体"/>
          <w:color w:val="000000"/>
          <w:sz w:val="24"/>
          <w:highlight w:val="none"/>
          <w:lang w:eastAsia="zh-CN"/>
        </w:rPr>
        <w:t xml:space="preserve">100万—500万</w:t>
      </w:r>
      <w:r>
        <w:rPr>
          <w:rFonts w:hint="eastAsia" w:ascii="宋体" w:hAnsi="宋体" w:cs="宋体"/>
          <w:color w:val="000000"/>
          <w:sz w:val="24"/>
          <w:highlight w:val="none"/>
        </w:rPr>
        <w:t xml:space="preserve">费率为1.1%</w:t>
      </w:r>
      <w:r>
        <w:rPr>
          <w:rFonts w:hint="eastAsia" w:ascii="宋体" w:hAnsi="宋体" w:cs="宋体"/>
          <w:bCs/>
          <w:color w:val="000000"/>
          <w:sz w:val="24"/>
          <w:highlight w:val="none"/>
        </w:rPr>
        <w:t xml:space="preserve">。本项目招标代理费由</w:t>
      </w:r>
      <w:r>
        <w:rPr>
          <w:rFonts w:hint="eastAsia" w:ascii="宋体" w:hAnsi="宋体" w:cs="宋体"/>
          <w:bCs/>
          <w:color w:val="000000"/>
          <w:sz w:val="24"/>
          <w:highlight w:val="none"/>
          <w:lang w:val="en-US" w:eastAsia="zh-CN"/>
        </w:rPr>
        <w:t xml:space="preserve">采购人</w:t>
      </w:r>
      <w:r>
        <w:rPr>
          <w:rFonts w:hint="eastAsia" w:ascii="宋体" w:hAnsi="宋体" w:cs="宋体"/>
          <w:bCs/>
          <w:color w:val="000000"/>
          <w:sz w:val="24"/>
          <w:highlight w:val="none"/>
        </w:rPr>
        <w:t xml:space="preserve">支付。</w:t>
      </w:r>
      <w:r/>
    </w:p>
    <w:p>
      <w:pPr>
        <w:pStyle w:val="843"/>
        <w:ind w:firstLine="452"/>
        <w:keepLines w:val="0"/>
        <w:keepNext w:val="0"/>
        <w:spacing w:before="0" w:after="0" w:line="500" w:lineRule="exact"/>
        <w:rPr>
          <w:color w:val="000000"/>
          <w:sz w:val="30"/>
          <w:szCs w:val="30"/>
          <w:highlight w:val="none"/>
        </w:rPr>
      </w:pPr>
      <w:r/>
      <w:bookmarkStart w:id="167" w:name="_Toc20823308"/>
      <w:r/>
      <w:bookmarkStart w:id="168" w:name="_Toc513029236"/>
      <w:r/>
      <w:bookmarkStart w:id="169" w:name="_Toc16938552"/>
      <w:r/>
      <w:bookmarkStart w:id="170" w:name="_Toc120614220"/>
      <w:r>
        <w:rPr>
          <w:rFonts w:hint="eastAsia"/>
          <w:color w:val="000000"/>
          <w:sz w:val="30"/>
          <w:szCs w:val="30"/>
          <w:highlight w:val="none"/>
        </w:rPr>
        <w:t xml:space="preserve">七、授予合同</w:t>
      </w:r>
      <w:bookmarkEnd w:id="167"/>
      <w:r/>
      <w:bookmarkEnd w:id="168"/>
      <w:r/>
      <w:bookmarkEnd w:id="169"/>
      <w:r/>
      <w:bookmarkEnd w:id="170"/>
      <w:r/>
      <w:r/>
    </w:p>
    <w:p>
      <w:pPr>
        <w:pStyle w:val="845"/>
        <w:ind w:firstLine="422"/>
        <w:keepLines w:val="0"/>
        <w:keepNext w:val="0"/>
        <w:spacing w:before="0" w:after="0" w:line="500" w:lineRule="exact"/>
        <w:rPr>
          <w:rFonts w:ascii="宋体" w:hAnsi="宋体" w:eastAsia="宋体"/>
          <w:bCs w:val="0"/>
          <w:color w:val="000000"/>
          <w:highlight w:val="none"/>
        </w:rPr>
      </w:pPr>
      <w:r/>
      <w:bookmarkStart w:id="171" w:name="_Toc513029237"/>
      <w:r/>
      <w:bookmarkStart w:id="172" w:name="_Toc16938553"/>
      <w:r/>
      <w:bookmarkStart w:id="173" w:name="_Toc20823309"/>
      <w:r>
        <w:rPr>
          <w:rFonts w:hint="eastAsia" w:ascii="宋体" w:hAnsi="宋体" w:eastAsia="宋体"/>
          <w:bCs w:val="0"/>
          <w:color w:val="000000"/>
          <w:highlight w:val="none"/>
        </w:rPr>
        <w:t xml:space="preserve">31.签订合同</w:t>
      </w:r>
      <w:r/>
    </w:p>
    <w:p>
      <w:pPr>
        <w:ind w:firstLine="480"/>
        <w:spacing w:line="500" w:lineRule="exact"/>
        <w:rPr>
          <w:rFonts w:ascii="宋体" w:hAnsi="宋体"/>
          <w:color w:val="000000"/>
          <w:sz w:val="24"/>
          <w:szCs w:val="24"/>
          <w:highlight w:val="none"/>
        </w:rPr>
      </w:pPr>
      <w:r>
        <w:rPr>
          <w:rFonts w:hint="eastAsia" w:ascii="宋体" w:hAnsi="宋体"/>
          <w:bCs/>
          <w:color w:val="000000"/>
          <w:sz w:val="24"/>
          <w:szCs w:val="24"/>
          <w:highlight w:val="none"/>
        </w:rPr>
        <w:t xml:space="preserve">31.1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none"/>
        </w:rPr>
        <w:t xml:space="preserve">招标文件、中标人的投标文件及招标过程中有关澄清、承诺文件均应作为合同附件。</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31.2中标人非因不可抗力未履行招、投标文件和合同规定的义务，一经查实，代理机构将根据具体情况提请政府采购管理部门作出相应处理。</w:t>
      </w:r>
      <w:r/>
    </w:p>
    <w:p>
      <w:pPr>
        <w:ind w:firstLine="480"/>
        <w:spacing w:line="500" w:lineRule="exact"/>
        <w:rPr>
          <w:rFonts w:ascii="宋体" w:hAnsi="宋体"/>
          <w:bCs/>
          <w:color w:val="000000"/>
          <w:sz w:val="24"/>
          <w:szCs w:val="24"/>
          <w:highlight w:val="none"/>
        </w:rPr>
      </w:pPr>
      <w:r>
        <w:rPr>
          <w:rFonts w:hint="eastAsia" w:ascii="宋体" w:hAnsi="宋体"/>
          <w:color w:val="000000"/>
          <w:sz w:val="24"/>
          <w:szCs w:val="24"/>
          <w:highlight w:val="none"/>
        </w:rPr>
        <w:t xml:space="preserve">31.3签订合同后，中标人不得将合同标的进行转包。未经采购人同意，中标人也不得采用分包的形式履行合同，否则采购人有权终止合同。转包或分包造成采购人损失的，中标人应承担相应赔偿责任。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31.4中标供应商向采购人缴纳的履约保证金不超过政府采购合同金额的10%。收取履约保证金的，采购人应当允许供应商自主选择以支票、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45"/>
        <w:ind w:firstLine="422"/>
        <w:keepLines w:val="0"/>
        <w:keepNext w:val="0"/>
        <w:spacing w:before="0" w:after="0" w:line="500" w:lineRule="exact"/>
        <w:rPr>
          <w:rFonts w:ascii="宋体" w:hAnsi="宋体" w:eastAsia="宋体"/>
          <w:bCs w:val="0"/>
          <w:color w:val="000000"/>
          <w:highlight w:val="none"/>
        </w:rPr>
      </w:pPr>
      <w:r>
        <w:rPr>
          <w:rFonts w:hint="eastAsia" w:ascii="宋体" w:hAnsi="宋体" w:eastAsia="宋体"/>
          <w:bCs w:val="0"/>
          <w:color w:val="000000"/>
          <w:highlight w:val="none"/>
        </w:rPr>
        <w:t xml:space="preserve">32.服务（包含与服务相关的货物）的追加</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32.1政府采购合同履行中，采购人需追加与合同标的相同的服务（包含与服务相关的货物），在不改变合同其他条款的前提下，可以与中标人协商签订补充合同，但所有补充合同的采购金额不超过原合同金额的10%。</w:t>
      </w:r>
      <w:bookmarkEnd w:id="171"/>
      <w:r/>
      <w:bookmarkEnd w:id="172"/>
      <w:r/>
      <w:bookmarkEnd w:id="173"/>
      <w:r/>
      <w:r/>
    </w:p>
    <w:p>
      <w:pPr>
        <w:pStyle w:val="840"/>
        <w:jc w:val="center"/>
        <w:spacing w:line="500" w:lineRule="exact"/>
        <w:rPr>
          <w:rFonts w:ascii="黑体" w:eastAsia="黑体"/>
          <w:bCs/>
          <w:color w:val="000000"/>
          <w:sz w:val="36"/>
          <w:szCs w:val="36"/>
          <w:highlight w:val="none"/>
        </w:rPr>
      </w:pPr>
      <w:r/>
      <w:bookmarkStart w:id="174" w:name="_Toc120614221"/>
      <w:r/>
      <w:bookmarkStart w:id="175" w:name="_Toc16938558"/>
      <w:r/>
      <w:bookmarkStart w:id="176" w:name="_Toc479757207"/>
      <w:r/>
      <w:bookmarkStart w:id="177" w:name="_Toc20823314"/>
      <w:r/>
      <w:bookmarkStart w:id="178" w:name="_Toc513029242"/>
      <w:r>
        <w:rPr>
          <w:rFonts w:ascii="宋体" w:hAnsi="宋体"/>
          <w:bCs/>
          <w:color w:val="000000"/>
          <w:sz w:val="24"/>
          <w:highlight w:val="none"/>
          <w:shd w:val="clear" w:color="ffffff" w:fill="d9d9d9"/>
        </w:rPr>
        <w:br w:type="page" w:clear="all"/>
      </w:r>
      <w:r>
        <w:rPr>
          <w:rFonts w:hint="eastAsia" w:ascii="黑体" w:eastAsia="黑体"/>
          <w:bCs/>
          <w:color w:val="000000"/>
          <w:sz w:val="36"/>
          <w:szCs w:val="36"/>
          <w:highlight w:val="none"/>
        </w:rPr>
        <w:t xml:space="preserve">第三章  合同</w:t>
      </w:r>
      <w:bookmarkEnd w:id="174"/>
      <w:r/>
      <w:bookmarkEnd w:id="175"/>
      <w:r/>
      <w:bookmarkEnd w:id="176"/>
      <w:r/>
      <w:bookmarkEnd w:id="177"/>
      <w:r/>
      <w:bookmarkEnd w:id="178"/>
      <w:r>
        <w:rPr>
          <w:rFonts w:hint="eastAsia" w:ascii="黑体" w:eastAsia="黑体"/>
          <w:bCs/>
          <w:color w:val="000000"/>
          <w:sz w:val="36"/>
          <w:szCs w:val="36"/>
          <w:highlight w:val="none"/>
        </w:rPr>
        <w:t xml:space="preserve">文本</w:t>
      </w:r>
      <w:r/>
    </w:p>
    <w:p>
      <w:pPr>
        <w:spacing w:line="360" w:lineRule="exact"/>
        <w:rPr>
          <w:rFonts w:ascii="宋体" w:hAnsi="宋体"/>
          <w:bCs/>
          <w:color w:val="000000"/>
          <w:sz w:val="24"/>
          <w:highlight w:val="none"/>
        </w:rPr>
      </w:pPr>
      <w:r/>
      <w:bookmarkStart w:id="179" w:name="_Hlt16619350"/>
      <w:r/>
      <w:bookmarkEnd w:id="179"/>
      <w:r/>
      <w:bookmarkStart w:id="180" w:name="_Toc16938590"/>
      <w:r/>
      <w:bookmarkEnd w:id="180"/>
      <w:r/>
      <w:bookmarkStart w:id="181" w:name="_Toc120614244"/>
      <w:r/>
      <w:bookmarkEnd w:id="181"/>
      <w:r/>
      <w:bookmarkStart w:id="182" w:name="_Toc20823346"/>
      <w:r/>
      <w:bookmarkEnd w:id="182"/>
      <w:r/>
      <w:bookmarkStart w:id="183" w:name="_Toc462564139"/>
      <w:r/>
      <w:bookmarkStart w:id="184" w:name="_Toc479757211"/>
      <w:r/>
      <w:r/>
    </w:p>
    <w:p>
      <w:pPr>
        <w:ind w:firstLine="480"/>
        <w:spacing w:line="440" w:lineRule="exact"/>
        <w:rPr>
          <w:rFonts w:hint="eastAsia" w:ascii="宋体" w:hAnsi="宋体"/>
          <w:bCs/>
          <w:color w:val="000000"/>
          <w:sz w:val="24"/>
          <w:highlight w:val="none"/>
          <w:lang w:val="en-US" w:eastAsia="zh-CN"/>
        </w:rPr>
      </w:pPr>
      <w:r/>
      <w:bookmarkStart w:id="185" w:name="_Toc26554093"/>
      <w:r/>
      <w:bookmarkStart w:id="186" w:name="_Toc49090575"/>
      <w:r>
        <w:rPr>
          <w:rFonts w:hint="eastAsia" w:ascii="宋体" w:hAnsi="宋体"/>
          <w:bCs/>
          <w:color w:val="000000"/>
          <w:sz w:val="24"/>
          <w:highlight w:val="none"/>
          <w:lang w:val="en-US" w:eastAsia="zh-CN"/>
        </w:rPr>
        <w:t xml:space="preserve">根据《中华人民共和国政府采购法》《中华人民共和国民法典》及相关法规，遵循平等、自愿、公平和诚实信用的原则，供需双方就项目（项目编号：JSZC-320292-JING-G2026-0024）实施及有关事项协商一致，共同达成如下协议</w:t>
      </w:r>
      <w:r/>
    </w:p>
    <w:p>
      <w:pPr>
        <w:spacing w:line="440" w:lineRule="exact"/>
        <w:rPr>
          <w:rFonts w:ascii="宋体" w:hAnsi="宋体"/>
          <w:bCs/>
          <w:color w:val="000000"/>
          <w:sz w:val="24"/>
          <w:highlight w:val="none"/>
          <w:u w:val="single"/>
        </w:rPr>
      </w:pPr>
      <w:r>
        <w:rPr>
          <w:rFonts w:hint="eastAsia" w:ascii="宋体" w:hAnsi="宋体"/>
          <w:bCs/>
          <w:color w:val="000000"/>
          <w:sz w:val="24"/>
          <w:highlight w:val="none"/>
        </w:rPr>
        <w:t xml:space="preserve">需方（采购人）：</w:t>
      </w:r>
      <w:r>
        <w:rPr>
          <w:rFonts w:hint="eastAsia" w:ascii="宋体" w:hAnsi="宋体"/>
          <w:bCs/>
          <w:color w:val="000000"/>
          <w:sz w:val="24"/>
          <w:highlight w:val="none"/>
          <w:u w:val="single"/>
        </w:rPr>
        <w:t xml:space="preserve">                         ；</w:t>
      </w:r>
      <w:r/>
    </w:p>
    <w:p>
      <w:pPr>
        <w:spacing w:line="440" w:lineRule="exact"/>
        <w:rPr>
          <w:rFonts w:ascii="宋体" w:hAnsi="宋体"/>
          <w:bCs/>
          <w:color w:val="000000"/>
          <w:sz w:val="24"/>
          <w:highlight w:val="none"/>
          <w:u w:val="single"/>
        </w:rPr>
      </w:pPr>
      <w:r>
        <w:rPr>
          <w:rFonts w:hint="eastAsia" w:ascii="宋体" w:hAnsi="宋体"/>
          <w:bCs/>
          <w:color w:val="000000"/>
          <w:sz w:val="24"/>
          <w:highlight w:val="none"/>
        </w:rPr>
        <w:t xml:space="preserve">供方（中标方）：</w:t>
      </w:r>
      <w:r>
        <w:rPr>
          <w:rFonts w:hint="eastAsia" w:ascii="宋体" w:hAnsi="宋体"/>
          <w:bCs/>
          <w:color w:val="000000"/>
          <w:sz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政府采购编号：</w:t>
      </w:r>
      <w:r>
        <w:rPr>
          <w:rFonts w:hint="eastAsia" w:ascii="宋体" w:hAnsi="宋体"/>
          <w:bCs/>
          <w:color w:val="000000"/>
          <w:sz w:val="24"/>
          <w:highlight w:val="none"/>
          <w:u w:val="single"/>
        </w:rPr>
        <w:t xml:space="preserve">                ；</w:t>
      </w:r>
      <w:r>
        <w:rPr>
          <w:rFonts w:ascii="宋体" w:hAnsi="宋体"/>
          <w:bCs/>
          <w:color w:val="000000"/>
          <w:sz w:val="24"/>
          <w:highlight w:val="non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采购内容：</w:t>
      </w:r>
      <w:r>
        <w:rPr>
          <w:rFonts w:hint="eastAsia" w:ascii="宋体" w:hAnsi="宋体"/>
          <w:bCs/>
          <w:color w:val="000000"/>
          <w:sz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中标总金额：（大写）</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；（小写）</w:t>
      </w:r>
      <w:r>
        <w:rPr>
          <w:rFonts w:hint="eastAsia" w:ascii="宋体" w:hAnsi="宋体"/>
          <w:bCs/>
          <w:color w:val="000000"/>
          <w:sz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质量和包装要求及验收标准：</w:t>
      </w:r>
      <w:r>
        <w:rPr>
          <w:rFonts w:hint="eastAsia" w:ascii="宋体" w:hAnsi="宋体"/>
          <w:bCs/>
          <w:color w:val="000000"/>
          <w:sz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交货期或完工期：</w:t>
      </w:r>
      <w:r>
        <w:rPr>
          <w:rFonts w:hint="eastAsia" w:ascii="宋体" w:hAnsi="宋体"/>
          <w:bCs/>
          <w:color w:val="000000"/>
          <w:sz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lang w:val="en-US" w:eastAsia="zh-CN"/>
        </w:rPr>
        <w:t xml:space="preserve">质保</w:t>
      </w:r>
      <w:r>
        <w:rPr>
          <w:rFonts w:hint="eastAsia" w:ascii="宋体" w:hAnsi="宋体"/>
          <w:bCs/>
          <w:color w:val="000000"/>
          <w:sz w:val="24"/>
          <w:highlight w:val="none"/>
        </w:rPr>
        <w:t xml:space="preserve">期：</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交货地点和方式：</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货款支付步骤和办法：</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w:t>
      </w:r>
      <w:r/>
    </w:p>
    <w:p>
      <w:pPr>
        <w:numPr>
          <w:ilvl w:val="0"/>
          <w:numId w:val="6"/>
        </w:numPr>
        <w:ind w:left="0" w:firstLine="523"/>
        <w:spacing w:line="440" w:lineRule="exact"/>
        <w:tabs>
          <w:tab w:val="left" w:pos="210" w:leader="none"/>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售后服务：</w:t>
      </w:r>
      <w:r>
        <w:rPr>
          <w:rFonts w:hint="eastAsia" w:ascii="宋体" w:hAnsi="宋体"/>
          <w:bCs/>
          <w:color w:val="000000"/>
          <w:sz w:val="24"/>
          <w:highlight w:val="none"/>
          <w:u w:val="single"/>
        </w:rPr>
        <w:t xml:space="preserve">                                                    ； </w:t>
      </w:r>
      <w:r/>
    </w:p>
    <w:p>
      <w:pPr>
        <w:numPr>
          <w:ilvl w:val="0"/>
          <w:numId w:val="6"/>
        </w:numPr>
        <w:ind w:left="0" w:firstLine="523"/>
        <w:spacing w:line="440" w:lineRule="exact"/>
        <w:tabs>
          <w:tab w:val="left" w:pos="210" w:leader="none"/>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违约责任：</w:t>
      </w:r>
      <w:r>
        <w:rPr>
          <w:rFonts w:hint="eastAsia" w:ascii="宋体" w:hAnsi="宋体"/>
          <w:bCs/>
          <w:color w:val="000000"/>
          <w:sz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color w:val="000000"/>
          <w:sz w:val="24"/>
          <w:highlight w:val="none"/>
        </w:rPr>
      </w:pPr>
      <w:r>
        <w:rPr>
          <w:rFonts w:ascii="宋体" w:hAnsi="宋体"/>
          <w:color w:val="000000"/>
          <w:sz w:val="24"/>
          <w:highlight w:val="none"/>
        </w:rPr>
        <w:t xml:space="preserve">解决争议的方</w:t>
      </w:r>
      <w:r>
        <w:rPr>
          <w:rFonts w:hint="eastAsia" w:ascii="宋体" w:hAnsi="宋体"/>
          <w:color w:val="000000"/>
          <w:sz w:val="24"/>
          <w:highlight w:val="none"/>
        </w:rPr>
        <w:t xml:space="preserve">式：</w:t>
      </w:r>
      <w:r>
        <w:rPr>
          <w:rFonts w:hint="eastAsia" w:ascii="宋体" w:hAnsi="宋体"/>
          <w:color w:val="000000"/>
          <w:sz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lang w:eastAsia="zh-CN"/>
        </w:rPr>
        <w:t xml:space="preserve">其他</w:t>
      </w:r>
      <w:r>
        <w:rPr>
          <w:rFonts w:hint="eastAsia" w:ascii="宋体" w:hAnsi="宋体"/>
          <w:bCs/>
          <w:color w:val="000000"/>
          <w:sz w:val="24"/>
          <w:highlight w:val="none"/>
        </w:rPr>
        <w:t xml:space="preserve">事项：</w:t>
      </w:r>
      <w:r>
        <w:rPr>
          <w:rFonts w:hint="eastAsia" w:ascii="宋体" w:hAnsi="宋体"/>
          <w:bCs/>
          <w:color w:val="000000"/>
          <w:sz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合同不可分割部分：</w:t>
      </w:r>
      <w:r/>
    </w:p>
    <w:p>
      <w:pPr>
        <w:ind w:firstLine="480"/>
        <w:spacing w:line="440" w:lineRule="exact"/>
        <w:tabs>
          <w:tab w:val="left" w:pos="210" w:leader="none"/>
          <w:tab w:val="left" w:pos="420"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招标文件、投标文件、合同条款及中标通知书，供方在投标、评标过程中所作</w:t>
      </w:r>
      <w:r>
        <w:rPr>
          <w:rFonts w:hint="eastAsia" w:ascii="宋体" w:hAnsi="宋体"/>
          <w:bCs/>
          <w:color w:val="000000"/>
          <w:sz w:val="24"/>
          <w:highlight w:val="none"/>
          <w:lang w:eastAsia="zh-CN"/>
        </w:rPr>
        <w:t xml:space="preserve">其他有关</w:t>
      </w:r>
      <w:r>
        <w:rPr>
          <w:rFonts w:hint="eastAsia" w:ascii="宋体" w:hAnsi="宋体"/>
          <w:bCs/>
          <w:color w:val="000000"/>
          <w:sz w:val="24"/>
          <w:highlight w:val="none"/>
        </w:rPr>
        <w:t xml:space="preserve">承诺、声明、书面澄清等均为合同不可分割的部分，与主合同具有同等法律效力。</w:t>
      </w:r>
      <w:r/>
    </w:p>
    <w:p>
      <w:pPr>
        <w:numPr>
          <w:ilvl w:val="0"/>
          <w:numId w:val="6"/>
        </w:numPr>
        <w:ind w:left="0" w:firstLine="523"/>
        <w:spacing w:line="440" w:lineRule="exact"/>
        <w:tabs>
          <w:tab w:val="left" w:pos="210" w:leader="none"/>
          <w:tab w:val="left" w:pos="840"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合同备案：</w:t>
      </w:r>
      <w:r/>
    </w:p>
    <w:p>
      <w:pPr>
        <w:ind w:firstLine="480"/>
        <w:spacing w:line="440" w:lineRule="exact"/>
        <w:tabs>
          <w:tab w:val="left" w:pos="210" w:leader="none"/>
          <w:tab w:val="left" w:pos="735"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合同一式</w:t>
      </w:r>
      <w:r>
        <w:rPr>
          <w:rFonts w:hint="eastAsia" w:ascii="宋体" w:hAnsi="宋体"/>
          <w:bCs/>
          <w:color w:val="000000"/>
          <w:sz w:val="24"/>
          <w:highlight w:val="none"/>
          <w:lang w:val="en-US" w:eastAsia="zh-CN"/>
        </w:rPr>
        <w:t xml:space="preserve">四</w:t>
      </w:r>
      <w:r>
        <w:rPr>
          <w:rFonts w:hint="eastAsia" w:ascii="宋体" w:hAnsi="宋体"/>
          <w:bCs/>
          <w:color w:val="000000"/>
          <w:sz w:val="24"/>
          <w:highlight w:val="none"/>
        </w:rPr>
        <w:t xml:space="preserve">份，供需双方各执</w:t>
      </w:r>
      <w:r>
        <w:rPr>
          <w:rFonts w:hint="eastAsia" w:ascii="宋体" w:hAnsi="宋体"/>
          <w:bCs/>
          <w:color w:val="000000"/>
          <w:sz w:val="24"/>
          <w:highlight w:val="none"/>
          <w:lang w:eastAsia="zh-CN"/>
        </w:rPr>
        <w:t xml:space="preserve">二份</w:t>
      </w:r>
      <w:r>
        <w:rPr>
          <w:rFonts w:hint="eastAsia" w:ascii="宋体" w:hAnsi="宋体"/>
          <w:bCs/>
          <w:color w:val="000000"/>
          <w:sz w:val="24"/>
          <w:highlight w:val="none"/>
        </w:rPr>
        <w:t xml:space="preserve">。</w:t>
      </w:r>
      <w:r/>
    </w:p>
    <w:p>
      <w:pPr>
        <w:numPr>
          <w:ilvl w:val="0"/>
          <w:numId w:val="6"/>
        </w:numPr>
        <w:ind w:left="0" w:firstLine="523"/>
        <w:spacing w:line="440" w:lineRule="exact"/>
        <w:tabs>
          <w:tab w:val="left" w:pos="210" w:leader="none"/>
          <w:tab w:val="left" w:pos="840"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合同生效：</w:t>
      </w:r>
      <w:r/>
    </w:p>
    <w:p>
      <w:pPr>
        <w:ind w:firstLine="480"/>
        <w:spacing w:line="440" w:lineRule="exact"/>
        <w:tabs>
          <w:tab w:val="left" w:pos="210" w:leader="none"/>
          <w:tab w:val="left" w:pos="840"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本合同由供需双方签字、盖章后生效。</w:t>
      </w:r>
      <w:r/>
    </w:p>
    <w:p>
      <w:pPr>
        <w:spacing w:line="440" w:lineRule="exact"/>
        <w:rPr>
          <w:rFonts w:ascii="宋体" w:hAnsi="宋体"/>
          <w:bCs/>
          <w:color w:val="000000"/>
          <w:sz w:val="24"/>
          <w:highlight w:val="none"/>
          <w:u w:val="single"/>
        </w:rPr>
      </w:pPr>
      <w:r>
        <w:rPr>
          <w:rFonts w:hint="eastAsia" w:ascii="宋体" w:hAnsi="宋体"/>
          <w:bCs/>
          <w:color w:val="000000"/>
          <w:sz w:val="24"/>
          <w:highlight w:val="none"/>
        </w:rPr>
        <w:t xml:space="preserve">需方（采购人）：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   供方（中标方）：</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w:t>
      </w:r>
      <w:r/>
    </w:p>
    <w:p>
      <w:pPr>
        <w:spacing w:line="440" w:lineRule="exact"/>
        <w:rPr>
          <w:rFonts w:ascii="宋体" w:hAnsi="宋体"/>
          <w:bCs/>
          <w:color w:val="000000"/>
          <w:sz w:val="24"/>
          <w:highlight w:val="none"/>
          <w:u w:val="single"/>
        </w:rPr>
      </w:pPr>
      <w:r>
        <w:rPr>
          <w:rFonts w:hint="eastAsia" w:ascii="宋体" w:hAnsi="宋体"/>
          <w:bCs/>
          <w:color w:val="000000"/>
          <w:sz w:val="24"/>
          <w:highlight w:val="none"/>
        </w:rPr>
        <w:t xml:space="preserve">法定（授权）代表人：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法定（授权）代表人：</w:t>
      </w:r>
      <w:r>
        <w:rPr>
          <w:rFonts w:hint="eastAsia" w:ascii="宋体" w:hAnsi="宋体"/>
          <w:bCs/>
          <w:color w:val="000000"/>
          <w:sz w:val="24"/>
          <w:highlight w:val="none"/>
          <w:u w:val="single"/>
        </w:rPr>
        <w:t xml:space="preserve">                   </w:t>
      </w:r>
      <w:r/>
    </w:p>
    <w:p>
      <w:pPr>
        <w:spacing w:line="44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          </w:t>
      </w:r>
      <w:r/>
    </w:p>
    <w:p>
      <w:pPr>
        <w:spacing w:line="440" w:lineRule="exact"/>
        <w:rPr>
          <w:rFonts w:ascii="宋体" w:hAnsi="宋体"/>
          <w:bCs/>
          <w:color w:val="000000"/>
          <w:sz w:val="24"/>
          <w:highlight w:val="none"/>
          <w:u w:val="single"/>
        </w:rPr>
      </w:pPr>
      <w:r>
        <w:rPr>
          <w:rFonts w:hint="eastAsia" w:ascii="宋体" w:hAnsi="宋体"/>
          <w:bCs/>
          <w:color w:val="000000"/>
          <w:sz w:val="24"/>
          <w:highlight w:val="none"/>
        </w:rPr>
        <w:t xml:space="preserve">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供方户名：</w:t>
      </w:r>
      <w:r>
        <w:rPr>
          <w:rFonts w:hint="eastAsia" w:ascii="宋体" w:hAnsi="宋体"/>
          <w:bCs/>
          <w:color w:val="000000"/>
          <w:sz w:val="24"/>
          <w:highlight w:val="none"/>
          <w:u w:val="single"/>
        </w:rPr>
        <w:t xml:space="preserve">                           </w:t>
      </w:r>
      <w:r/>
    </w:p>
    <w:p>
      <w:pPr>
        <w:spacing w:line="440" w:lineRule="exact"/>
        <w:rPr>
          <w:rFonts w:ascii="宋体" w:hAnsi="宋体"/>
          <w:bCs/>
          <w:color w:val="000000"/>
          <w:sz w:val="24"/>
          <w:highlight w:val="none"/>
          <w:u w:val="single"/>
        </w:rPr>
      </w:pPr>
      <w:r>
        <w:rPr>
          <w:rFonts w:hint="eastAsia" w:ascii="宋体" w:hAnsi="宋体"/>
          <w:bCs/>
          <w:color w:val="000000"/>
          <w:sz w:val="24"/>
          <w:highlight w:val="none"/>
        </w:rPr>
        <w:t xml:space="preserve">                                            供方开户银行：</w:t>
      </w:r>
      <w:r>
        <w:rPr>
          <w:rFonts w:hint="eastAsia" w:ascii="宋体" w:hAnsi="宋体"/>
          <w:bCs/>
          <w:color w:val="000000"/>
          <w:sz w:val="24"/>
          <w:highlight w:val="none"/>
          <w:u w:val="single"/>
        </w:rPr>
        <w:t xml:space="preserve">                       </w:t>
      </w:r>
      <w:r/>
    </w:p>
    <w:p>
      <w:pPr>
        <w:spacing w:line="440" w:lineRule="exact"/>
        <w:rPr>
          <w:rFonts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u w:val="none"/>
          <w:lang w:val="en-US" w:eastAsia="zh-CN"/>
        </w:rPr>
        <w:t xml:space="preserve">                           </w:t>
      </w:r>
      <w:r>
        <w:rPr>
          <w:rFonts w:hint="eastAsia" w:ascii="宋体" w:hAnsi="宋体"/>
          <w:bCs/>
          <w:color w:val="000000"/>
          <w:sz w:val="24"/>
          <w:highlight w:val="none"/>
        </w:rPr>
        <w:t xml:space="preserve">     供方</w:t>
      </w:r>
      <w:r>
        <w:rPr>
          <w:rFonts w:hint="eastAsia" w:ascii="宋体" w:hAnsi="宋体"/>
          <w:bCs/>
          <w:color w:val="000000"/>
          <w:sz w:val="24"/>
          <w:highlight w:val="none"/>
          <w:lang w:eastAsia="zh-CN"/>
        </w:rPr>
        <w:t xml:space="preserve">账号</w:t>
      </w:r>
      <w:r>
        <w:rPr>
          <w:rFonts w:hint="eastAsia" w:ascii="宋体" w:hAnsi="宋体"/>
          <w:bCs/>
          <w:color w:val="000000"/>
          <w:sz w:val="24"/>
          <w:highlight w:val="none"/>
        </w:rPr>
        <w:t xml:space="preserve">：</w:t>
      </w:r>
      <w:r>
        <w:rPr>
          <w:rFonts w:hint="eastAsia" w:ascii="宋体" w:hAnsi="宋体"/>
          <w:bCs/>
          <w:color w:val="000000"/>
          <w:sz w:val="24"/>
          <w:highlight w:val="none"/>
          <w:u w:val="single"/>
        </w:rPr>
        <w:t xml:space="preserve">                           </w:t>
      </w:r>
      <w:r/>
    </w:p>
    <w:p>
      <w:pPr>
        <w:jc w:val="left"/>
        <w:rPr>
          <w:rFonts w:ascii="宋体" w:hAnsi="宋体"/>
          <w:bCs/>
          <w:color w:val="000000"/>
          <w:sz w:val="24"/>
          <w:highlight w:val="none"/>
        </w:rPr>
      </w:pPr>
      <w:r/>
      <w:bookmarkStart w:id="187" w:name="五．合同条款"/>
      <w:r/>
      <w:bookmarkEnd w:id="187"/>
      <w:r>
        <w:rPr>
          <w:rFonts w:hint="eastAsia" w:ascii="宋体" w:hAnsi="宋体"/>
          <w:bCs/>
          <w:color w:val="000000"/>
          <w:sz w:val="24"/>
          <w:highlight w:val="none"/>
        </w:rPr>
        <w:t xml:space="preserve">★.</w:t>
      </w:r>
      <w:r>
        <w:rPr>
          <w:rFonts w:hint="eastAsia" w:ascii="宋体" w:hAnsi="宋体"/>
          <w:b/>
          <w:bCs/>
          <w:color w:val="000000"/>
          <w:sz w:val="24"/>
          <w:highlight w:val="none"/>
        </w:rPr>
        <w:t xml:space="preserve">备注：</w:t>
      </w:r>
      <w:r>
        <w:rPr>
          <w:rFonts w:hint="eastAsia" w:ascii="宋体" w:hAnsi="宋体"/>
          <w:bCs/>
          <w:color w:val="000000"/>
          <w:sz w:val="24"/>
          <w:highlight w:val="none"/>
        </w:rPr>
        <w:t xml:space="preserve">方按照招标文件和中标人投标文件的规定，与中标人签订书面合同。所签订的合同不得对招标文件确定的事项和中标人投标文件作实质性修改。</w:t>
      </w:r>
      <w:r/>
    </w:p>
    <w:p>
      <w:pPr>
        <w:jc w:val="center"/>
        <w:spacing w:line="360" w:lineRule="auto"/>
        <w:rPr>
          <w:rFonts w:eastAsia="黑体"/>
          <w:bCs/>
          <w:color w:val="000000"/>
          <w:sz w:val="28"/>
          <w:szCs w:val="28"/>
          <w:highlight w:val="none"/>
          <w:lang w:val="de-DE"/>
        </w:rPr>
      </w:pPr>
      <w:r>
        <w:rPr>
          <w:rFonts w:hint="eastAsia" w:ascii="黑体" w:eastAsia="黑体"/>
          <w:bCs/>
          <w:color w:val="000000"/>
          <w:sz w:val="28"/>
          <w:szCs w:val="28"/>
          <w:highlight w:val="none"/>
        </w:rPr>
        <w:br w:type="page" w:clear="all"/>
      </w:r>
      <w:r>
        <w:rPr>
          <w:rFonts w:hint="eastAsia" w:ascii="黑体" w:eastAsia="黑体"/>
          <w:bCs/>
          <w:color w:val="000000"/>
          <w:sz w:val="28"/>
          <w:szCs w:val="28"/>
          <w:highlight w:val="none"/>
          <w:lang w:eastAsia="zh-CN"/>
        </w:rPr>
        <w:t xml:space="preserve">五、</w:t>
      </w:r>
      <w:r>
        <w:rPr>
          <w:rFonts w:hint="eastAsia" w:ascii="黑体" w:eastAsia="黑体"/>
          <w:bCs/>
          <w:color w:val="000000"/>
          <w:sz w:val="28"/>
          <w:szCs w:val="28"/>
          <w:highlight w:val="none"/>
          <w:lang w:val="en-US" w:eastAsia="zh-CN"/>
        </w:rPr>
        <w:t xml:space="preserve"> </w:t>
      </w:r>
      <w:r>
        <w:rPr>
          <w:rFonts w:hint="eastAsia" w:ascii="黑体" w:eastAsia="黑体"/>
          <w:bCs/>
          <w:color w:val="000000"/>
          <w:sz w:val="28"/>
          <w:szCs w:val="28"/>
          <w:highlight w:val="none"/>
        </w:rPr>
        <w:t xml:space="preserve">合同条款（格式）</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根据编号JSZC-320292-JING-G2026-0024采购文件和该文件的中标通知书及供方投标文件，供需双方就此次无锡经开和畅实验中学实验室装备采购项目及相关问题，同意按下列条款规定执行。</w:t>
      </w:r>
      <w:r/>
    </w:p>
    <w:p>
      <w:pPr>
        <w:ind w:firstLine="525"/>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 合同内容： 需方向供方购买</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w:t>
      </w:r>
      <w:r/>
    </w:p>
    <w:p>
      <w:pPr>
        <w:ind w:firstLine="525"/>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 价格及支付：</w:t>
      </w:r>
      <w:r/>
    </w:p>
    <w:p>
      <w:pPr>
        <w:ind w:firstLine="523"/>
        <w:spacing w:line="440" w:lineRule="exact"/>
        <w:tabs>
          <w:tab w:val="left" w:pos="525" w:leader="none"/>
          <w:tab w:val="left" w:pos="105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 按此次中标价格执行，合同总标的额为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元。</w:t>
      </w:r>
      <w:r/>
    </w:p>
    <w:p>
      <w:pPr>
        <w:ind w:left="0" w:firstLine="523"/>
        <w:spacing w:line="440" w:lineRule="exact"/>
        <w:tabs>
          <w:tab w:val="left" w:pos="525" w:leader="none"/>
          <w:tab w:val="left" w:pos="1050" w:leader="none"/>
          <w:tab w:val="left" w:pos="1155" w:leader="none"/>
        </w:tabs>
        <w:rPr>
          <w:rFonts w:hint="eastAsia" w:ascii="宋体" w:hAnsi="宋体" w:eastAsia="宋体" w:cs="宋体"/>
          <w:bCs/>
          <w:color w:val="000000"/>
          <w:sz w:val="24"/>
          <w:szCs w:val="24"/>
          <w:highlight w:val="none"/>
          <w:u w:val="none"/>
        </w:rPr>
      </w:pPr>
      <w:r>
        <w:rPr>
          <w:rFonts w:hint="eastAsia" w:ascii="宋体" w:hAnsi="宋体" w:eastAsia="宋体" w:cs="宋体"/>
          <w:bCs/>
          <w:color w:val="000000"/>
          <w:sz w:val="24"/>
          <w:szCs w:val="24"/>
          <w:highlight w:val="none"/>
        </w:rPr>
        <w:t xml:space="preserve">2. 付款方式：</w:t>
      </w:r>
      <w:r>
        <w:rPr>
          <w:rFonts w:hint="eastAsia" w:ascii="宋体" w:hAnsi="宋体" w:eastAsia="宋体" w:cs="宋体"/>
          <w:bCs/>
          <w:color w:val="000000"/>
          <w:sz w:val="24"/>
          <w:szCs w:val="24"/>
          <w:highlight w:val="none"/>
          <w:u w:val="single"/>
        </w:rPr>
        <w:t xml:space="preserve">全部货物安装调试完成并验收合格后，支付合同结算价的</w:t>
      </w:r>
      <w:r>
        <w:rPr>
          <w:rFonts w:hint="eastAsia" w:ascii="宋体" w:hAnsi="宋体" w:eastAsia="宋体" w:cs="宋体"/>
          <w:bCs/>
          <w:color w:val="000000"/>
          <w:sz w:val="24"/>
          <w:szCs w:val="24"/>
          <w:highlight w:val="none"/>
          <w:u w:val="single"/>
          <w:lang w:val="en-US" w:eastAsia="zh-CN"/>
        </w:rPr>
        <w:t xml:space="preserve">95</w:t>
      </w:r>
      <w:r>
        <w:rPr>
          <w:rFonts w:hint="eastAsia" w:ascii="宋体" w:hAnsi="宋体" w:eastAsia="宋体" w:cs="宋体"/>
          <w:bCs/>
          <w:color w:val="000000"/>
          <w:sz w:val="24"/>
          <w:szCs w:val="24"/>
          <w:highlight w:val="none"/>
          <w:u w:val="single"/>
        </w:rPr>
        <w:t xml:space="preserve">%</w:t>
      </w:r>
      <w:r>
        <w:rPr>
          <w:rFonts w:hint="eastAsia" w:ascii="宋体" w:hAnsi="宋体" w:eastAsia="宋体" w:cs="宋体"/>
          <w:bCs/>
          <w:color w:val="000000"/>
          <w:sz w:val="24"/>
          <w:szCs w:val="24"/>
          <w:highlight w:val="none"/>
          <w:u w:val="single"/>
          <w:lang w:eastAsia="zh-CN"/>
        </w:rPr>
        <w:t xml:space="preserve">；余款自项目验收合格之日起满</w:t>
      </w:r>
      <w:r>
        <w:rPr>
          <w:rFonts w:hint="eastAsia" w:ascii="宋体" w:hAnsi="宋体" w:eastAsia="宋体" w:cs="宋体"/>
          <w:bCs/>
          <w:color w:val="000000"/>
          <w:sz w:val="24"/>
          <w:szCs w:val="24"/>
          <w:highlight w:val="none"/>
          <w:u w:val="single"/>
          <w:lang w:val="en-US" w:eastAsia="zh-CN"/>
        </w:rPr>
        <w:t xml:space="preserve">1</w:t>
      </w:r>
      <w:r>
        <w:rPr>
          <w:rFonts w:hint="eastAsia" w:ascii="宋体" w:hAnsi="宋体" w:eastAsia="宋体" w:cs="宋体"/>
          <w:bCs/>
          <w:color w:val="000000"/>
          <w:sz w:val="24"/>
          <w:szCs w:val="24"/>
          <w:highlight w:val="none"/>
          <w:u w:val="single"/>
          <w:lang w:eastAsia="zh-CN"/>
        </w:rPr>
        <w:t xml:space="preserve">年无息付清</w:t>
      </w:r>
      <w:r>
        <w:rPr>
          <w:rFonts w:hint="eastAsia" w:ascii="宋体" w:hAnsi="宋体" w:eastAsia="宋体" w:cs="宋体"/>
          <w:bCs/>
          <w:color w:val="000000"/>
          <w:sz w:val="24"/>
          <w:szCs w:val="24"/>
          <w:highlight w:val="none"/>
          <w:u w:val="single"/>
        </w:rPr>
        <w:t xml:space="preserve">。每次付款时供方需出具符合</w:t>
      </w:r>
      <w:r>
        <w:rPr>
          <w:rFonts w:hint="eastAsia" w:ascii="宋体" w:hAnsi="宋体" w:eastAsia="宋体" w:cs="宋体"/>
          <w:bCs/>
          <w:color w:val="000000"/>
          <w:sz w:val="24"/>
          <w:szCs w:val="24"/>
          <w:highlight w:val="none"/>
          <w:u w:val="single"/>
          <w:lang w:eastAsia="zh-CN"/>
        </w:rPr>
        <w:t xml:space="preserve">需方</w:t>
      </w:r>
      <w:r>
        <w:rPr>
          <w:rFonts w:hint="eastAsia" w:ascii="宋体" w:hAnsi="宋体" w:eastAsia="宋体" w:cs="宋体"/>
          <w:bCs/>
          <w:color w:val="000000"/>
          <w:sz w:val="24"/>
          <w:szCs w:val="24"/>
          <w:highlight w:val="none"/>
          <w:u w:val="single"/>
        </w:rPr>
        <w:t xml:space="preserve">财务要求的正规税金发票，若供方未能按期开具发票，需方可顺延付款。款项实际支付时间，以需方财政资金拨付时间为准。</w:t>
      </w:r>
      <w:r/>
    </w:p>
    <w:p>
      <w:pPr>
        <w:ind w:firstLine="523"/>
        <w:spacing w:line="440" w:lineRule="exact"/>
        <w:tabs>
          <w:tab w:val="left" w:pos="525" w:leader="none"/>
          <w:tab w:val="left" w:pos="1050" w:leader="none"/>
          <w:tab w:val="left" w:pos="1155" w:leader="none"/>
        </w:tabs>
        <w:rPr>
          <w:rFonts w:hint="eastAsia" w:ascii="宋体" w:hAnsi="宋体" w:eastAsia="宋体" w:cs="宋体"/>
          <w:bCs/>
          <w:color w:val="000000"/>
          <w:sz w:val="24"/>
          <w:szCs w:val="24"/>
          <w:highlight w:val="none"/>
          <w:u w:val="none"/>
          <w:lang w:val="en-US" w:eastAsia="zh-CN"/>
        </w:rPr>
      </w:pPr>
      <w:r>
        <w:rPr>
          <w:rFonts w:hint="eastAsia" w:ascii="宋体" w:hAnsi="宋体" w:eastAsia="宋体" w:cs="宋体"/>
          <w:bCs/>
          <w:color w:val="000000"/>
          <w:sz w:val="24"/>
          <w:szCs w:val="24"/>
          <w:highlight w:val="none"/>
          <w:u w:val="none"/>
          <w:lang w:val="en-US" w:eastAsia="zh-CN"/>
        </w:rPr>
        <w:t xml:space="preserve">3. 合同价款的确定：本项目为固定总价合同。本项目投标总报价包括设备、配件、包装、运输、装卸、安装调试、税金及售后服务等从项目中标起到项目正式交付以及免费质保期内所发生的一切费用。</w:t>
      </w:r>
      <w:r>
        <w:rPr>
          <w:rFonts w:hint="eastAsia" w:ascii="宋体" w:hAnsi="宋体" w:eastAsia="宋体" w:cs="宋体"/>
          <w:bCs/>
          <w:color w:val="000000"/>
          <w:sz w:val="24"/>
          <w:szCs w:val="24"/>
          <w:highlight w:val="none"/>
          <w:lang w:val="en-US" w:eastAsia="zh-CN"/>
        </w:rPr>
        <w:t xml:space="preserve">上述</w:t>
      </w:r>
      <w:r>
        <w:rPr>
          <w:rFonts w:hint="eastAsia" w:ascii="宋体" w:hAnsi="宋体" w:eastAsia="宋体" w:cs="宋体"/>
          <w:bCs/>
          <w:color w:val="000000"/>
          <w:sz w:val="24"/>
          <w:szCs w:val="24"/>
          <w:highlight w:val="none"/>
          <w:u w:val="none"/>
          <w:lang w:val="en-US" w:eastAsia="zh-CN"/>
        </w:rPr>
        <w:t xml:space="preserve">招标内容所需的所有费用全部由中标单位包干。</w:t>
      </w:r>
      <w:r/>
    </w:p>
    <w:p>
      <w:pPr>
        <w:ind w:firstLine="523"/>
        <w:spacing w:line="440" w:lineRule="exact"/>
        <w:tabs>
          <w:tab w:val="left" w:pos="525" w:leader="none"/>
          <w:tab w:val="left" w:pos="1050" w:leader="none"/>
          <w:tab w:val="left" w:pos="1155"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u w:val="none"/>
          <w:lang w:val="en-US" w:eastAsia="zh-CN"/>
        </w:rPr>
        <w:t xml:space="preserve">4. 在项目实施过程中，项目范围内的某个分项不需实施时，结算时应扣除该项费用</w:t>
      </w:r>
      <w:r>
        <w:rPr>
          <w:rFonts w:hint="eastAsia" w:ascii="宋体" w:hAnsi="宋体" w:eastAsia="宋体" w:cs="宋体"/>
          <w:bCs/>
          <w:color w:val="000000"/>
          <w:sz w:val="24"/>
          <w:szCs w:val="24"/>
          <w:highlight w:val="none"/>
          <w:u w:val="none"/>
          <w:lang w:eastAsia="zh-CN"/>
        </w:rPr>
        <w:t xml:space="preserve">。</w:t>
      </w:r>
      <w:r/>
    </w:p>
    <w:p>
      <w:pPr>
        <w:numPr>
          <w:ilvl w:val="0"/>
          <w:numId w:val="7"/>
        </w:numPr>
        <w:ind w:left="0" w:firstLine="525"/>
        <w:spacing w:line="440" w:lineRule="exact"/>
        <w:tabs>
          <w:tab w:val="left" w:pos="0" w:leader="none"/>
          <w:tab w:val="left" w:pos="136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知识产权</w:t>
      </w:r>
      <w:r/>
    </w:p>
    <w:p>
      <w:pPr>
        <w:ind w:firstLine="480"/>
        <w:spacing w:line="440" w:lineRule="exact"/>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numPr>
          <w:ilvl w:val="0"/>
          <w:numId w:val="7"/>
        </w:numPr>
        <w:ind w:left="0" w:firstLine="520"/>
        <w:spacing w:line="440" w:lineRule="exact"/>
        <w:tabs>
          <w:tab w:val="left" w:pos="73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质量与检验：</w:t>
      </w:r>
      <w:r/>
    </w:p>
    <w:p>
      <w:pPr>
        <w:ind w:firstLine="520"/>
        <w:spacing w:line="440" w:lineRule="exact"/>
        <w:tabs>
          <w:tab w:val="left" w:pos="105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rPr>
        <w:t xml:space="preserve">供方应严格按照招标文件的有关规定和供方投标文件提供合格的货物及服务。供方应保证货物是全新、未使用过的原装合格正品，并完全符合招标文件及本合同规定的质量、规格和性能的要求。 </w:t>
      </w:r>
      <w:r/>
    </w:p>
    <w:p>
      <w:pPr>
        <w:ind w:firstLine="520"/>
        <w:spacing w:line="440" w:lineRule="exact"/>
        <w:tabs>
          <w:tab w:val="left" w:pos="105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2.货物的技术标准按国家标准执行，无国家标准的，按行业标准执行，无国家和行业标准的，按企业标准执行；但在招标文件中有特别要求的，按招标文件中规定的要求执行，并且符合相关</w:t>
      </w:r>
      <w:r>
        <w:rPr>
          <w:rFonts w:hint="eastAsia" w:ascii="宋体" w:hAnsi="宋体" w:cs="宋体"/>
          <w:bCs/>
          <w:color w:val="000000"/>
          <w:sz w:val="24"/>
          <w:szCs w:val="24"/>
          <w:highlight w:val="none"/>
          <w:lang w:eastAsia="zh-CN"/>
        </w:rPr>
        <w:t xml:space="preserve">法律法规</w:t>
      </w:r>
      <w:r>
        <w:rPr>
          <w:rFonts w:hint="eastAsia" w:ascii="宋体" w:hAnsi="宋体" w:eastAsia="宋体" w:cs="宋体"/>
          <w:bCs/>
          <w:color w:val="000000"/>
          <w:sz w:val="24"/>
          <w:szCs w:val="24"/>
          <w:highlight w:val="none"/>
        </w:rPr>
        <w:t xml:space="preserve">规定的要求。</w:t>
      </w:r>
      <w:r/>
    </w:p>
    <w:p>
      <w:pPr>
        <w:ind w:firstLine="520"/>
        <w:spacing w:line="440" w:lineRule="exact"/>
        <w:tabs>
          <w:tab w:val="left" w:pos="105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3.货物的包装，国家或行业主管部门有规定的，按规定执行。货物的到货验收包括：数量、外观、质量、性能、随机备件、装箱单、质量证书等随机资料及包装完整无破损。 </w:t>
      </w:r>
      <w:r/>
    </w:p>
    <w:p>
      <w:pPr>
        <w:ind w:firstLine="520"/>
        <w:spacing w:line="440" w:lineRule="exact"/>
        <w:tabs>
          <w:tab w:val="left" w:pos="105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520"/>
        <w:spacing w:line="440" w:lineRule="exact"/>
        <w:tabs>
          <w:tab w:val="left" w:pos="105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5.供方应保证提供的货物不得侵犯第三方专利权、商标权和工业设计权、版权等。否则，供方应负全部责任，并承担由此引起的一切后果。</w:t>
      </w:r>
      <w:r/>
    </w:p>
    <w:p>
      <w:pPr>
        <w:ind w:firstLine="520"/>
        <w:spacing w:line="440" w:lineRule="exact"/>
        <w:tabs>
          <w:tab w:val="left" w:pos="105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6.供方应保证其货物在正确安装、正常使用和保养条件下，在其使用寿命期内应具有满意的性能。</w:t>
      </w:r>
      <w:r/>
    </w:p>
    <w:p>
      <w:pPr>
        <w:ind w:firstLine="520"/>
        <w:spacing w:line="440" w:lineRule="exact"/>
        <w:tabs>
          <w:tab w:val="left" w:pos="105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7.供方应采取必要的安全措施保证设备的运输及安装的安全，并承担设备的运输及安装过程中产生的风险。</w:t>
      </w:r>
      <w:r/>
    </w:p>
    <w:p>
      <w:pPr>
        <w:ind w:firstLine="520"/>
        <w:spacing w:line="440" w:lineRule="exact"/>
        <w:tabs>
          <w:tab w:val="left" w:pos="105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8.货物最终验收后，供方应对由于设计、工艺或材料的缺陷而发生的任何不足或故障负责，并承担由此引起的一切后果。                               </w:t>
      </w:r>
      <w:r/>
    </w:p>
    <w:p>
      <w:pPr>
        <w:ind w:firstLine="520"/>
        <w:spacing w:line="440" w:lineRule="exact"/>
        <w:tabs>
          <w:tab w:val="left" w:pos="105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9.货物和系统调试验收标准：按行业通行标准、厂方出厂标准、招标文件要求和供方投标文件的承诺，100%一次性通过技术监督局验收合格标准，并不低于国家相关标准。</w:t>
      </w:r>
      <w:r/>
    </w:p>
    <w:p>
      <w:pPr>
        <w:ind w:firstLine="520"/>
        <w:spacing w:line="440" w:lineRule="exact"/>
        <w:tabs>
          <w:tab w:val="left" w:pos="105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10.货物运到需方指定地点并经需方验证签收后，由于需方保管不善造成的质量问题，供方应负责修理，但有关费用由需方承担。</w:t>
      </w:r>
      <w:r/>
    </w:p>
    <w:p>
      <w:pPr>
        <w:ind w:firstLine="520"/>
        <w:spacing w:line="440" w:lineRule="exact"/>
        <w:tabs>
          <w:tab w:val="left" w:pos="105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r/>
    </w:p>
    <w:p>
      <w:pPr>
        <w:ind w:firstLine="520"/>
        <w:spacing w:line="440" w:lineRule="exact"/>
        <w:tabs>
          <w:tab w:val="left" w:pos="105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12.需方不得擅自变更招投标文件约定的性能、指标等相关内容，如有变更应按《中华人民共和国政府采购法》、财政部《政府采购货物和服务招标投标管理办法》的相关程序执行。</w:t>
      </w:r>
      <w:r/>
    </w:p>
    <w:p>
      <w:pPr>
        <w:ind w:left="-2" w:firstLine="5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（五） 交货条件：</w:t>
      </w:r>
      <w:r/>
    </w:p>
    <w:p>
      <w:pPr>
        <w:ind w:firstLine="520"/>
        <w:spacing w:line="440" w:lineRule="exact"/>
        <w:tabs>
          <w:tab w:val="left" w:pos="42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rPr>
        <w:t xml:space="preserve">交货日期（或完工期）：</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w:t>
      </w:r>
      <w:r/>
    </w:p>
    <w:p>
      <w:pPr>
        <w:ind w:firstLine="520"/>
        <w:spacing w:line="440" w:lineRule="exact"/>
        <w:tabs>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2.</w:t>
      </w:r>
      <w:r>
        <w:rPr>
          <w:rFonts w:hint="eastAsia" w:ascii="宋体" w:hAnsi="宋体" w:eastAsia="宋体" w:cs="宋体"/>
          <w:bCs/>
          <w:color w:val="000000"/>
          <w:sz w:val="24"/>
          <w:szCs w:val="24"/>
          <w:highlight w:val="none"/>
        </w:rPr>
        <w:t xml:space="preserve">供方在验收时应先用信函、传真、电子邮件等书面方式通知需方。</w:t>
      </w:r>
      <w:r/>
    </w:p>
    <w:p>
      <w:pPr>
        <w:ind w:firstLine="520"/>
        <w:spacing w:line="440" w:lineRule="exact"/>
        <w:tabs>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 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520"/>
        <w:spacing w:line="440" w:lineRule="exact"/>
        <w:tabs>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 货物交货时，所有货物必须带有货物质量检验合格证书、中文质保单、装箱单、中文货物安装使用说明书。</w:t>
      </w:r>
      <w:r>
        <w:rPr>
          <w:rFonts w:hint="eastAsia" w:ascii="宋体" w:hAnsi="宋体" w:eastAsia="宋体" w:cs="宋体"/>
          <w:bCs/>
          <w:color w:val="000000"/>
          <w:sz w:val="24"/>
          <w:szCs w:val="24"/>
          <w:highlight w:val="none"/>
          <w:lang w:eastAsia="zh-CN"/>
        </w:rPr>
        <w:t xml:space="preserve">其他附件</w:t>
      </w:r>
      <w:r>
        <w:rPr>
          <w:rFonts w:hint="eastAsia" w:ascii="宋体" w:hAnsi="宋体" w:eastAsia="宋体" w:cs="宋体"/>
          <w:bCs/>
          <w:color w:val="000000"/>
          <w:sz w:val="24"/>
          <w:szCs w:val="24"/>
          <w:highlight w:val="none"/>
        </w:rPr>
        <w:t xml:space="preserve">所有部件必须原包装。</w:t>
      </w:r>
      <w:r/>
    </w:p>
    <w:p>
      <w:pPr>
        <w:ind w:left="2" w:firstLine="520"/>
        <w:spacing w:line="44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 运输及到货地点：由供方负责办理运输并承担所有费用，直接送到需方指定地点，即：以合同书上的地点为准。    </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（六） 安装调试及售后服务：</w:t>
      </w:r>
      <w:r/>
    </w:p>
    <w:p>
      <w:pPr>
        <w:numPr>
          <w:ilvl w:val="0"/>
          <w:numId w:val="8"/>
        </w:numPr>
        <w:ind w:left="0" w:firstLine="520"/>
        <w:spacing w:line="440" w:lineRule="exact"/>
        <w:tabs>
          <w:tab w:val="left" w:pos="525" w:leader="none"/>
          <w:tab w:val="left" w:pos="840"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供方负责本项目的安装和调试，并保证其提供的货物符合国家、行业、地方、招投标文件及合同规定的质量、性能和标准，并正确且安全地安装。</w:t>
      </w:r>
      <w:r/>
    </w:p>
    <w:p>
      <w:pPr>
        <w:numPr>
          <w:ilvl w:val="0"/>
          <w:numId w:val="8"/>
        </w:numPr>
        <w:ind w:left="0" w:firstLine="520"/>
        <w:spacing w:line="440" w:lineRule="exact"/>
        <w:tabs>
          <w:tab w:val="left" w:pos="525" w:leader="none"/>
          <w:tab w:val="left" w:pos="840"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供方提供的服务全部按照国家有关法律法规规章和“三包”规定以及按招标文件要求和供方投标文件中的承诺执行。</w:t>
      </w:r>
      <w:r/>
    </w:p>
    <w:p>
      <w:pPr>
        <w:numPr>
          <w:ilvl w:val="0"/>
          <w:numId w:val="8"/>
        </w:numPr>
        <w:ind w:left="0" w:firstLine="520"/>
        <w:spacing w:line="440" w:lineRule="exact"/>
        <w:tabs>
          <w:tab w:val="left" w:pos="525" w:leader="none"/>
          <w:tab w:val="left" w:pos="840"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伴随服务：免费质量保证期限为</w:t>
      </w:r>
      <w:r>
        <w:rPr>
          <w:rFonts w:hint="eastAsia" w:ascii="宋体" w:hAnsi="宋体" w:eastAsia="宋体" w:cs="宋体"/>
          <w:bCs/>
          <w:color w:val="000000"/>
          <w:sz w:val="24"/>
          <w:szCs w:val="24"/>
          <w:highlight w:val="none"/>
          <w:u w:val="single"/>
          <w:lang w:val="en-US" w:eastAsia="zh-CN"/>
        </w:rPr>
        <w:t xml:space="preserve"> 3 </w:t>
      </w:r>
      <w:r>
        <w:rPr>
          <w:rFonts w:hint="eastAsia" w:ascii="宋体" w:hAnsi="宋体" w:eastAsia="宋体" w:cs="宋体"/>
          <w:bCs/>
          <w:color w:val="000000"/>
          <w:sz w:val="24"/>
          <w:szCs w:val="24"/>
          <w:highlight w:val="none"/>
        </w:rPr>
        <w:t xml:space="preserve">年，质保期满后，提供产品最优惠的维修保养及零配件供应价格（具体细则由</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自行投报）。</w:t>
      </w:r>
      <w:r/>
    </w:p>
    <w:p>
      <w:pPr>
        <w:numPr>
          <w:ilvl w:val="0"/>
          <w:numId w:val="8"/>
        </w:numPr>
        <w:ind w:left="0" w:firstLine="520"/>
        <w:spacing w:line="440" w:lineRule="exact"/>
        <w:tabs>
          <w:tab w:val="left" w:pos="525" w:leader="none"/>
          <w:tab w:val="left" w:pos="840"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供方</w:t>
      </w:r>
      <w:r>
        <w:rPr>
          <w:rFonts w:hint="eastAsia" w:ascii="宋体" w:hAnsi="宋体" w:eastAsia="宋体" w:cs="宋体"/>
          <w:bCs/>
          <w:color w:val="000000"/>
          <w:sz w:val="24"/>
          <w:szCs w:val="24"/>
          <w:highlight w:val="none"/>
        </w:rPr>
        <w:t xml:space="preserve">在投标文件售后服务方案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r/>
    </w:p>
    <w:p>
      <w:pPr>
        <w:ind w:firstLine="480"/>
        <w:jc w:val="center"/>
        <w:rPr>
          <w:rFonts w:hint="eastAsia" w:ascii="宋体" w:hAnsi="宋体" w:eastAsia="宋体" w:cs="宋体"/>
          <w:color w:val="000000"/>
          <w:sz w:val="24"/>
          <w:szCs w:val="24"/>
          <w:highlight w:val="none"/>
          <w:lang w:val="en-US" w:eastAsia="zh-CN"/>
        </w:rPr>
      </w:pPr>
      <w:r/>
      <w:bookmarkStart w:id="188" w:name="OLE_LINK3"/>
      <w:r>
        <w:rPr>
          <w:rFonts w:hint="eastAsia" w:ascii="宋体" w:hAnsi="宋体" w:eastAsia="宋体" w:cs="宋体"/>
          <w:color w:val="000000"/>
          <w:sz w:val="24"/>
          <w:szCs w:val="24"/>
          <w:highlight w:val="none"/>
          <w:lang w:val="en-US" w:eastAsia="zh-CN"/>
        </w:rPr>
        <w:t xml:space="preserve">配件、易损易耗件备品清单</w:t>
      </w:r>
      <w:r/>
    </w:p>
    <w:tbl>
      <w:tblPr>
        <w:tblStyle w:val="111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4"/>
        <w:gridCol w:w="5351"/>
        <w:gridCol w:w="1342"/>
        <w:gridCol w:w="1342"/>
      </w:tblGrid>
      <w:tr>
        <w:trPr>
          <w:trHeight w:val="590" w:hRule="exact"/>
        </w:trPr>
        <w:tc>
          <w:tcPr>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序号</w:t>
            </w:r>
            <w:r/>
          </w:p>
        </w:tc>
        <w:tc>
          <w:tcPr>
            <w:tcW w:w="5419"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设备名称</w:t>
            </w:r>
            <w:r/>
          </w:p>
        </w:tc>
        <w:tc>
          <w:tcPr>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数量</w:t>
            </w:r>
            <w:r/>
          </w:p>
        </w:tc>
        <w:tc>
          <w:tcPr>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单位</w:t>
            </w:r>
            <w:r/>
          </w:p>
        </w:tc>
      </w:tr>
      <w:tr>
        <w:trPr>
          <w:trHeight w:val="590" w:hRule="exact"/>
        </w:trPr>
        <w:tc>
          <w:tcPr>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w:t>
            </w:r>
            <w:r/>
          </w:p>
        </w:tc>
        <w:tc>
          <w:tcPr>
            <w:tcW w:w="5419"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 </w:t>
            </w:r>
            <w:r/>
          </w:p>
        </w:tc>
        <w:tc>
          <w:tcPr>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rHeight w:val="590" w:hRule="exact"/>
        </w:trPr>
        <w:tc>
          <w:tcPr>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w:t>
            </w:r>
            <w:r/>
          </w:p>
        </w:tc>
        <w:tc>
          <w:tcPr>
            <w:tcW w:w="5419"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 </w:t>
            </w:r>
            <w:r/>
          </w:p>
        </w:tc>
        <w:tc>
          <w:tcPr>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rHeight w:val="590" w:hRule="exact"/>
        </w:trPr>
        <w:tc>
          <w:tcPr>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w:t>
            </w:r>
            <w:r/>
          </w:p>
        </w:tc>
        <w:tc>
          <w:tcPr>
            <w:tcW w:w="5419"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rHeight w:val="590" w:hRule="exact"/>
        </w:trPr>
        <w:tc>
          <w:tcPr>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4</w:t>
            </w:r>
            <w:r/>
          </w:p>
        </w:tc>
        <w:tc>
          <w:tcPr>
            <w:tcW w:w="5419"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000000"/>
                <w:sz w:val="24"/>
                <w:szCs w:val="24"/>
                <w:highlight w:val="none"/>
                <w:vertAlign w:val="baseline"/>
                <w:lang w:val="en-US" w:eastAsia="zh-CN"/>
              </w:rPr>
            </w:pPr>
            <w:r>
              <w:rPr>
                <w:rFonts w:ascii="宋体" w:hAnsi="宋体" w:eastAsia="宋体" w:cs="宋体"/>
                <w:color w:val="000000"/>
                <w:sz w:val="24"/>
                <w:szCs w:val="24"/>
                <w:highlight w:val="none"/>
                <w:vertAlign w:val="baseline"/>
                <w:lang w:val="en-US" w:eastAsia="zh-CN"/>
              </w:rPr>
            </w:r>
            <w:r/>
          </w:p>
        </w:tc>
        <w:tc>
          <w:tcPr>
            <w:tcW w:w="1354"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000000"/>
                <w:sz w:val="24"/>
                <w:szCs w:val="24"/>
                <w:highlight w:val="none"/>
                <w:vertAlign w:val="baseline"/>
                <w:lang w:val="en-US" w:eastAsia="zh-CN"/>
              </w:rPr>
            </w:pPr>
            <w:r>
              <w:rPr>
                <w:rFonts w:ascii="宋体" w:hAnsi="宋体" w:eastAsia="宋体" w:cs="宋体"/>
                <w:color w:val="000000"/>
                <w:sz w:val="24"/>
                <w:szCs w:val="24"/>
                <w:highlight w:val="none"/>
                <w:vertAlign w:val="baseline"/>
                <w:lang w:val="en-US" w:eastAsia="zh-CN"/>
              </w:rPr>
            </w:r>
            <w:r/>
          </w:p>
        </w:tc>
        <w:tc>
          <w:tcPr>
            <w:tcW w:w="1354"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000000"/>
                <w:sz w:val="24"/>
                <w:szCs w:val="24"/>
                <w:highlight w:val="none"/>
                <w:vertAlign w:val="baseline"/>
                <w:lang w:val="en-US" w:eastAsia="zh-CN"/>
              </w:rPr>
            </w:pPr>
            <w:r>
              <w:rPr>
                <w:rFonts w:ascii="宋体" w:hAnsi="宋体" w:eastAsia="宋体" w:cs="宋体"/>
                <w:color w:val="000000"/>
                <w:sz w:val="24"/>
                <w:szCs w:val="24"/>
                <w:highlight w:val="none"/>
                <w:vertAlign w:val="baseline"/>
                <w:lang w:val="en-US" w:eastAsia="zh-CN"/>
              </w:rPr>
            </w:r>
            <w:bookmarkEnd w:id="188"/>
            <w:r/>
            <w:r/>
          </w:p>
        </w:tc>
      </w:tr>
    </w:tbl>
    <w:p>
      <w:pPr>
        <w:numPr>
          <w:ilvl w:val="0"/>
          <w:numId w:val="8"/>
        </w:numPr>
        <w:ind w:left="0" w:firstLine="520"/>
        <w:spacing w:line="440" w:lineRule="exact"/>
        <w:tabs>
          <w:tab w:val="left" w:pos="525" w:leader="none"/>
          <w:tab w:val="left" w:pos="840"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故障处理：在货物保修期内，一旦发生质量问题，</w:t>
      </w:r>
      <w:r>
        <w:rPr>
          <w:rFonts w:hint="eastAsia" w:ascii="宋体" w:hAnsi="宋体" w:eastAsia="宋体" w:cs="宋体"/>
          <w:bCs/>
          <w:color w:val="000000"/>
          <w:sz w:val="24"/>
          <w:szCs w:val="24"/>
          <w:highlight w:val="none"/>
          <w:lang w:val="en-US" w:eastAsia="zh-CN"/>
        </w:rPr>
        <w:t xml:space="preserve">供方</w:t>
      </w:r>
      <w:r>
        <w:rPr>
          <w:rFonts w:hint="eastAsia" w:ascii="宋体" w:hAnsi="宋体" w:eastAsia="宋体" w:cs="宋体"/>
          <w:bCs/>
          <w:color w:val="000000"/>
          <w:sz w:val="24"/>
          <w:szCs w:val="24"/>
          <w:highlight w:val="none"/>
        </w:rPr>
        <w:t xml:space="preserve">在2小时以内响应，4小时内赶到现场进行修理、更换或退货，费用由</w:t>
      </w:r>
      <w:r>
        <w:rPr>
          <w:rFonts w:hint="eastAsia" w:ascii="宋体" w:hAnsi="宋体" w:eastAsia="宋体" w:cs="宋体"/>
          <w:bCs/>
          <w:color w:val="000000"/>
          <w:sz w:val="24"/>
          <w:szCs w:val="24"/>
          <w:highlight w:val="none"/>
          <w:lang w:val="en-US" w:eastAsia="zh-CN"/>
        </w:rPr>
        <w:t xml:space="preserve">供方</w:t>
      </w:r>
      <w:r>
        <w:rPr>
          <w:rFonts w:hint="eastAsia" w:ascii="宋体" w:hAnsi="宋体" w:eastAsia="宋体" w:cs="宋体"/>
          <w:bCs/>
          <w:color w:val="000000"/>
          <w:sz w:val="24"/>
          <w:szCs w:val="24"/>
          <w:highlight w:val="none"/>
        </w:rPr>
        <w:t xml:space="preserve">负责。如需更换设备或送修，在2个工作日内解决。质保期满后的维修内容减免上门费及人工费等费用，仅按原材料的价格收取维修费用，</w:t>
      </w:r>
      <w:r>
        <w:rPr>
          <w:rFonts w:hint="eastAsia" w:ascii="宋体" w:hAnsi="宋体" w:eastAsia="宋体" w:cs="宋体"/>
          <w:bCs/>
          <w:color w:val="000000"/>
          <w:sz w:val="24"/>
          <w:szCs w:val="24"/>
          <w:highlight w:val="none"/>
          <w:lang w:val="en-US" w:eastAsia="zh-CN"/>
        </w:rPr>
        <w:t xml:space="preserve">供方</w:t>
      </w:r>
      <w:r>
        <w:rPr>
          <w:rFonts w:hint="eastAsia" w:ascii="宋体" w:hAnsi="宋体" w:eastAsia="宋体" w:cs="宋体"/>
          <w:bCs/>
          <w:color w:val="000000"/>
          <w:sz w:val="24"/>
          <w:szCs w:val="24"/>
          <w:highlight w:val="none"/>
        </w:rPr>
        <w:t xml:space="preserve">提供“质保期满后备品备件、易损件报价表”，具体原材料价格参照投标文件中“质保期满后备品备件、易损件报价表”执行，表中未注明的视为免费。</w:t>
      </w:r>
      <w:r/>
    </w:p>
    <w:p>
      <w:pPr>
        <w:ind w:firstLine="480"/>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质保期满后</w:t>
      </w:r>
      <w:r>
        <w:rPr>
          <w:rFonts w:hint="eastAsia" w:ascii="宋体" w:hAnsi="宋体" w:eastAsia="宋体" w:cs="宋体"/>
          <w:color w:val="000000"/>
          <w:sz w:val="24"/>
          <w:szCs w:val="24"/>
          <w:highlight w:val="none"/>
          <w:lang w:val="en-US" w:eastAsia="zh-CN"/>
        </w:rPr>
        <w:t xml:space="preserve">备品备件、易损件报价表</w:t>
      </w:r>
      <w:r/>
    </w:p>
    <w:tbl>
      <w:tblPr>
        <w:tblStyle w:val="111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4184"/>
        <w:gridCol w:w="3833"/>
      </w:tblGrid>
      <w:tr>
        <w:trPr>
          <w:trHeight w:val="590" w:hRule="exact"/>
        </w:trPr>
        <w:tc>
          <w:tcPr>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序号</w:t>
            </w:r>
            <w:r/>
          </w:p>
        </w:tc>
        <w:tc>
          <w:tcPr>
            <w:tcW w:w="418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设备名称</w:t>
            </w:r>
            <w:r/>
          </w:p>
        </w:tc>
        <w:tc>
          <w:tcPr>
            <w:tcW w:w="3833"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报价</w:t>
            </w:r>
            <w:r/>
          </w:p>
        </w:tc>
      </w:tr>
      <w:tr>
        <w:trPr>
          <w:trHeight w:val="590" w:hRule="exact"/>
        </w:trPr>
        <w:tc>
          <w:tcPr>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w:t>
            </w:r>
            <w:r/>
          </w:p>
        </w:tc>
        <w:tc>
          <w:tcPr>
            <w:tcW w:w="418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3833"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rHeight w:val="590" w:hRule="exact"/>
        </w:trPr>
        <w:tc>
          <w:tcPr>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w:t>
            </w:r>
            <w:r/>
          </w:p>
        </w:tc>
        <w:tc>
          <w:tcPr>
            <w:tcW w:w="418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3833"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rHeight w:val="590" w:hRule="exact"/>
        </w:trPr>
        <w:tc>
          <w:tcPr>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w:t>
            </w:r>
            <w:r/>
          </w:p>
        </w:tc>
        <w:tc>
          <w:tcPr>
            <w:tcW w:w="418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3833"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rHeight w:val="590" w:hRule="exact"/>
        </w:trPr>
        <w:tc>
          <w:tcPr>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4</w:t>
            </w:r>
            <w:r/>
          </w:p>
        </w:tc>
        <w:tc>
          <w:tcPr>
            <w:tcW w:w="418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3833"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rHeight w:val="590" w:hRule="exact"/>
        </w:trPr>
        <w:tc>
          <w:tcPr>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5</w:t>
            </w:r>
            <w:r/>
          </w:p>
        </w:tc>
        <w:tc>
          <w:tcPr>
            <w:tcW w:w="418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3833"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bl>
    <w:p>
      <w:pPr>
        <w:numPr>
          <w:ilvl w:val="0"/>
          <w:numId w:val="8"/>
        </w:numPr>
        <w:ind w:left="0" w:firstLine="520"/>
        <w:spacing w:line="440" w:lineRule="exact"/>
        <w:tabs>
          <w:tab w:val="left" w:pos="525" w:leader="none"/>
          <w:tab w:val="left" w:pos="840"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供方</w:t>
      </w:r>
      <w:r>
        <w:rPr>
          <w:rFonts w:hint="eastAsia" w:ascii="宋体" w:hAnsi="宋体" w:eastAsia="宋体" w:cs="宋体"/>
          <w:bCs/>
          <w:color w:val="000000"/>
          <w:sz w:val="24"/>
          <w:szCs w:val="24"/>
          <w:highlight w:val="none"/>
        </w:rPr>
        <w:t xml:space="preserve">承诺质保期后终身提供优惠的技术支持和维修服务，保证</w:t>
      </w:r>
      <w:r>
        <w:rPr>
          <w:rFonts w:hint="eastAsia" w:ascii="宋体" w:hAnsi="宋体" w:eastAsia="宋体" w:cs="宋体"/>
          <w:bCs/>
          <w:color w:val="000000"/>
          <w:sz w:val="24"/>
          <w:szCs w:val="24"/>
          <w:highlight w:val="none"/>
          <w:lang w:val="en-US" w:eastAsia="zh-CN"/>
        </w:rPr>
        <w:t xml:space="preserve">需方</w:t>
      </w:r>
      <w:r>
        <w:rPr>
          <w:rFonts w:hint="eastAsia" w:ascii="宋体" w:hAnsi="宋体" w:eastAsia="宋体" w:cs="宋体"/>
          <w:bCs/>
          <w:color w:val="000000"/>
          <w:sz w:val="24"/>
          <w:szCs w:val="24"/>
          <w:highlight w:val="none"/>
        </w:rPr>
        <w:t xml:space="preserve">能及时购买所需的备品备件和易损件。货物的维修、部件更换只收取材料成本费用；维修工时费终身全免。</w:t>
      </w:r>
      <w:r/>
    </w:p>
    <w:p>
      <w:pPr>
        <w:numPr>
          <w:ilvl w:val="0"/>
          <w:numId w:val="8"/>
        </w:numPr>
        <w:ind w:left="0" w:firstLine="520"/>
        <w:spacing w:line="440" w:lineRule="exact"/>
        <w:tabs>
          <w:tab w:val="left" w:pos="525" w:leader="none"/>
          <w:tab w:val="left" w:pos="840"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供方在供货时须提供货物主要材料的鉴定报告原件。</w:t>
      </w:r>
      <w:r/>
    </w:p>
    <w:p>
      <w:pPr>
        <w:numPr>
          <w:ilvl w:val="0"/>
          <w:numId w:val="8"/>
        </w:numPr>
        <w:ind w:left="0" w:firstLine="520"/>
        <w:spacing w:line="440" w:lineRule="exact"/>
        <w:tabs>
          <w:tab w:val="left" w:pos="525" w:leader="none"/>
          <w:tab w:val="left" w:pos="840"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供方根据需方提供设计图纸进行安装，在安装过程中应注意自身安全，加强对安装人员的安全教育，在安装期间发生的安全事故，均由供方负全责。</w:t>
      </w:r>
      <w:r/>
    </w:p>
    <w:p>
      <w:pPr>
        <w:numPr>
          <w:ilvl w:val="0"/>
          <w:numId w:val="8"/>
        </w:numPr>
        <w:ind w:left="0" w:firstLine="520"/>
        <w:spacing w:line="440" w:lineRule="exact"/>
        <w:tabs>
          <w:tab w:val="left" w:pos="525" w:leader="none"/>
          <w:tab w:val="left" w:pos="840"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需方应向供方现场调试的技术人员及维修人员提供方便条件，有关费用由供方负责。</w:t>
      </w:r>
      <w:r/>
    </w:p>
    <w:p>
      <w:pPr>
        <w:numPr>
          <w:ilvl w:val="0"/>
          <w:numId w:val="8"/>
        </w:numPr>
        <w:ind w:left="0" w:firstLine="520"/>
        <w:spacing w:line="440" w:lineRule="exact"/>
        <w:tabs>
          <w:tab w:val="left" w:pos="525" w:leader="none"/>
          <w:tab w:val="left" w:pos="840"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供方</w:t>
      </w:r>
      <w:r>
        <w:rPr>
          <w:rFonts w:hint="eastAsia" w:ascii="宋体" w:hAnsi="宋体" w:eastAsia="宋体" w:cs="宋体"/>
          <w:color w:val="000000"/>
          <w:sz w:val="24"/>
          <w:szCs w:val="24"/>
          <w:highlight w:val="none"/>
        </w:rPr>
        <w:t xml:space="preserve">结合货物安装、调试等阶段，同步地免费对采购人的技术人员就有关系统安装、维护、操作使用等方面进行现场技术培训，使受训人员能熟练掌握所有的安装测试和维护方法以及操作命令的使用。培训前，将该项目安装及维护人员发放培训手册，手册内容包括基本原理、故障排除，维护说明等项目。并且</w:t>
      </w:r>
      <w:r>
        <w:rPr>
          <w:rFonts w:hint="eastAsia" w:ascii="宋体" w:hAnsi="宋体" w:eastAsia="宋体" w:cs="宋体"/>
          <w:bCs/>
          <w:color w:val="000000"/>
          <w:sz w:val="24"/>
          <w:szCs w:val="24"/>
          <w:highlight w:val="none"/>
          <w:lang w:val="en-US" w:eastAsia="zh-CN"/>
        </w:rPr>
        <w:t xml:space="preserve">供方</w:t>
      </w:r>
      <w:r>
        <w:rPr>
          <w:rFonts w:hint="eastAsia" w:ascii="宋体" w:hAnsi="宋体" w:eastAsia="宋体" w:cs="宋体"/>
          <w:color w:val="000000"/>
          <w:sz w:val="24"/>
          <w:szCs w:val="24"/>
          <w:highlight w:val="none"/>
        </w:rPr>
        <w:t xml:space="preserve">会提供两套完整的设备技术资料和出厂及现场测试资料、表格及电子文档。</w:t>
      </w:r>
      <w:r>
        <w:rPr>
          <w:rFonts w:hint="eastAsia" w:ascii="宋体" w:hAnsi="宋体" w:eastAsia="宋体" w:cs="宋体"/>
          <w:color w:val="000000"/>
          <w:sz w:val="24"/>
          <w:szCs w:val="24"/>
          <w:highlight w:val="none"/>
          <w:lang w:val="en-US" w:eastAsia="zh-CN"/>
        </w:rPr>
        <w:t xml:space="preserve">凡</w:t>
      </w:r>
      <w:r>
        <w:rPr>
          <w:rFonts w:hint="eastAsia" w:ascii="宋体" w:hAnsi="宋体" w:eastAsia="宋体" w:cs="宋体"/>
          <w:bCs/>
          <w:color w:val="000000"/>
          <w:sz w:val="24"/>
          <w:szCs w:val="24"/>
          <w:highlight w:val="none"/>
          <w:lang w:val="en-US" w:eastAsia="zh-CN"/>
        </w:rPr>
        <w:t xml:space="preserve">供方</w:t>
      </w:r>
      <w:r>
        <w:rPr>
          <w:rFonts w:hint="eastAsia" w:ascii="宋体" w:hAnsi="宋体" w:eastAsia="宋体" w:cs="宋体"/>
          <w:color w:val="000000"/>
          <w:sz w:val="24"/>
          <w:szCs w:val="24"/>
          <w:highlight w:val="none"/>
        </w:rPr>
        <w:t xml:space="preserve">供货的产品，在工程项目的安装、调试中，在符合技术标准与使用环境下均承诺保证按工程要求派技术人员或胜任者代表到工作现场提供技术服务，以确保所有供货产品正常安装和运行，保证工程质量。</w:t>
      </w:r>
      <w:r/>
    </w:p>
    <w:p>
      <w:pPr>
        <w:numPr>
          <w:ilvl w:val="0"/>
          <w:numId w:val="8"/>
        </w:numPr>
        <w:ind w:left="0" w:firstLine="520"/>
        <w:spacing w:line="440" w:lineRule="exact"/>
        <w:tabs>
          <w:tab w:val="left" w:pos="525" w:leader="none"/>
          <w:tab w:val="left" w:pos="840"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施工现场供方做到随工程的进展不断地对施工现场及使用的机具进行整理、清扫、清洁；做到材料按指定地点整齐堆放，不需要的及时清运。</w:t>
      </w:r>
      <w:r/>
    </w:p>
    <w:p>
      <w:pPr>
        <w:numPr>
          <w:ilvl w:val="0"/>
          <w:numId w:val="8"/>
        </w:numPr>
        <w:ind w:left="0" w:firstLine="520"/>
        <w:spacing w:line="440" w:lineRule="exact"/>
        <w:tabs>
          <w:tab w:val="left" w:pos="525" w:leader="none"/>
          <w:tab w:val="left" w:pos="840"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供方对施工现场产生的建筑垃圾、零散材料，分开堆放，及时外运，做到工完场清。</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（七） 安全要求</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供方应严格遵守国家安全生产的法律法规，贯彻执行国家相关方针政策及采购人各项安全管理制度，依法履行本建设工程安全生产主体责任。健全并落实安全生产检查制度，定期组织安全生产检查活动，对发现的事故隐患，及时组织并落实整改，确保安全生产。</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2.施工现场供方必须有技术人员统一指挥，严格遵循安全施工程序，服从招标人的统一管理。</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3.供方必须加强对从业人员的安全生产教育和培训，保证其具备并掌握必要的安全生产知识和安全操作技能。特种作业人员必须</w:t>
      </w:r>
      <w:r>
        <w:rPr>
          <w:rFonts w:hint="eastAsia" w:ascii="宋体" w:hAnsi="宋体" w:eastAsia="宋体" w:cs="宋体"/>
          <w:bCs/>
          <w:color w:val="000000"/>
          <w:sz w:val="24"/>
          <w:szCs w:val="24"/>
          <w:highlight w:val="none"/>
          <w:lang w:eastAsia="zh-CN"/>
        </w:rPr>
        <w:t xml:space="preserve">经过</w:t>
      </w:r>
      <w:r>
        <w:rPr>
          <w:rFonts w:hint="eastAsia" w:ascii="宋体" w:hAnsi="宋体" w:eastAsia="宋体" w:cs="宋体"/>
          <w:bCs/>
          <w:color w:val="000000"/>
          <w:sz w:val="24"/>
          <w:szCs w:val="24"/>
          <w:highlight w:val="none"/>
        </w:rPr>
        <w:t xml:space="preserve">专门培训，取得岗位操作证书后方能上岗作业。对进入施工现场所有施工单位工作人员，做好安全教育、安全技术交底。确保施工安全，不发生人身伤亡事故和火灾事故，若因供方原因造成安全事故，供方承担由此造成而发生的直接和间接损失，并承担一切责任  </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4.供方必须密切注意，防患于未然，工程技术人员现场检查，确认安装物</w:t>
      </w:r>
      <w:r>
        <w:rPr>
          <w:rFonts w:hint="eastAsia" w:ascii="宋体" w:hAnsi="宋体" w:eastAsia="宋体" w:cs="宋体"/>
          <w:bCs/>
          <w:color w:val="000000"/>
          <w:sz w:val="24"/>
          <w:szCs w:val="24"/>
          <w:highlight w:val="none"/>
          <w:lang w:eastAsia="zh-CN"/>
        </w:rPr>
        <w:t xml:space="preserve">是否</w:t>
      </w:r>
      <w:r>
        <w:rPr>
          <w:rFonts w:hint="eastAsia" w:ascii="宋体" w:hAnsi="宋体" w:eastAsia="宋体" w:cs="宋体"/>
          <w:bCs/>
          <w:color w:val="000000"/>
          <w:sz w:val="24"/>
          <w:szCs w:val="24"/>
          <w:highlight w:val="none"/>
        </w:rPr>
        <w:t xml:space="preserve">加固，做到安全无隐患。　</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5.供方必须保证对安全生产的有效投入，积极推广和应用安全生产先进技术，不使用国家明令淘汰、禁止使用的危及安全生产的工艺、设备，提高安全生产水平。</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6.供方负责施工的本工程在施工</w:t>
      </w:r>
      <w:r>
        <w:rPr>
          <w:rFonts w:hint="eastAsia" w:ascii="宋体" w:hAnsi="宋体" w:cs="宋体"/>
          <w:bCs/>
          <w:color w:val="000000"/>
          <w:sz w:val="24"/>
          <w:szCs w:val="24"/>
          <w:highlight w:val="none"/>
          <w:lang w:eastAsia="zh-CN"/>
        </w:rPr>
        <w:t xml:space="preserve">期间</w:t>
      </w:r>
      <w:r>
        <w:rPr>
          <w:rFonts w:hint="eastAsia" w:ascii="宋体" w:hAnsi="宋体" w:eastAsia="宋体" w:cs="宋体"/>
          <w:bCs/>
          <w:color w:val="000000"/>
          <w:sz w:val="24"/>
          <w:szCs w:val="24"/>
          <w:highlight w:val="none"/>
        </w:rPr>
        <w:t xml:space="preserve">发生对第三方或甲方的人身财产损害的，由乙方承担一切赔偿责任及承担一切法律后果。</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（八） 违约责任：</w:t>
      </w:r>
      <w:r/>
    </w:p>
    <w:p>
      <w:pPr>
        <w:numPr>
          <w:ilvl w:val="0"/>
          <w:numId w:val="9"/>
        </w:numPr>
        <w:ind w:left="0" w:firstLine="520"/>
        <w:spacing w:line="440" w:lineRule="exact"/>
        <w:tabs>
          <w:tab w:val="left" w:pos="0" w:leader="none"/>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r/>
    </w:p>
    <w:p>
      <w:pPr>
        <w:numPr>
          <w:ilvl w:val="0"/>
          <w:numId w:val="9"/>
        </w:numPr>
        <w:ind w:left="0" w:firstLine="520"/>
        <w:spacing w:line="440" w:lineRule="exact"/>
        <w:tabs>
          <w:tab w:val="left" w:pos="0" w:leader="none"/>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供方逾期交货且未经需方同意延长交货时间，除不可抗力外，每逾期一日，供方应按照2000元的标准累计计算向需方支付违约金。逾期超过20个工作日的，需方有权解除合同，需方如已支付费用的，供方全部返还；且供方应按照合同总价的30%向需方支付违约金，如给需方造成损失的，还应赔偿损失。</w:t>
      </w:r>
      <w:r/>
    </w:p>
    <w:p>
      <w:pPr>
        <w:numPr>
          <w:ilvl w:val="0"/>
          <w:numId w:val="9"/>
        </w:numPr>
        <w:ind w:left="0" w:firstLine="520"/>
        <w:spacing w:line="440" w:lineRule="exact"/>
        <w:tabs>
          <w:tab w:val="left" w:pos="105" w:leader="none"/>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方如无不可抗力，又未履行招标文件、投标文件和合同条款的，一经查实，由供方赔偿由此给需方造成的损失，并按照合同总价的10%向需方支付违约金，因招、投标产生的其他责任及后果按招标文件的相关要求及处理方式执行。</w:t>
      </w:r>
      <w:r/>
    </w:p>
    <w:p>
      <w:pPr>
        <w:numPr>
          <w:ilvl w:val="0"/>
          <w:numId w:val="9"/>
        </w:numPr>
        <w:ind w:left="0" w:firstLine="520"/>
        <w:spacing w:line="440" w:lineRule="exact"/>
        <w:tabs>
          <w:tab w:val="left" w:pos="105" w:leader="none"/>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由于供方提供货物质量和安装存在问题和缺陷导致任何人身、财产损害的，供方应负责承担由此产生的责任，与需方无关。或者在质量保证期限内，如果货物的数量，质量或规格与合同不符或证实货物是有缺陷的，包括潜在缺陷或使用不符合要求的材料等时，有权向供方提出赔偿要求，供方在收到需方通知后2</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5天内应免费维修或更换有缺陷的货物或部件。如不可避免地造成需方损失的，需方有权向供方追偿（该等损失包括但不限于损害赔偿金、需方为解决纠纷支付的律师费、诉讼费、差旅费等合理费用）。供方并应按照合同总价的5%向需方支付违约金，如给需方造成其他损失的，供方还应负责赔偿。</w:t>
      </w:r>
      <w:r/>
    </w:p>
    <w:p>
      <w:pPr>
        <w:numPr>
          <w:ilvl w:val="0"/>
          <w:numId w:val="9"/>
        </w:numPr>
        <w:ind w:left="0" w:firstLine="520"/>
        <w:spacing w:line="440" w:lineRule="exact"/>
        <w:tabs>
          <w:tab w:val="left" w:pos="105" w:leader="none"/>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如遭遇不可抗力事件，遭遇不可抗力的一方应尽快以书面形式将不可抗力的情况和原因通知另一方，并积极采取措施防止损失扩大。因不可抗力造成的损失，供、需双方按照法律规定处理。</w:t>
      </w:r>
      <w:r/>
    </w:p>
    <w:p>
      <w:pPr>
        <w:numPr>
          <w:ilvl w:val="0"/>
          <w:numId w:val="9"/>
        </w:numPr>
        <w:ind w:left="0" w:firstLine="520"/>
        <w:spacing w:line="440" w:lineRule="exact"/>
        <w:tabs>
          <w:tab w:val="left" w:pos="105" w:leader="none"/>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招标文件及合同中所述之“不可抗力”系指不可预见、不可避免、不可克服的事件，包括但不限于：战争、洪水、台风、地震及其他</w:t>
      </w:r>
      <w:r>
        <w:rPr>
          <w:rFonts w:hint="eastAsia" w:ascii="宋体" w:hAnsi="宋体" w:cs="宋体"/>
          <w:bCs/>
          <w:color w:val="000000"/>
          <w:sz w:val="24"/>
          <w:szCs w:val="24"/>
          <w:highlight w:val="none"/>
          <w:lang w:eastAsia="zh-CN"/>
        </w:rPr>
        <w:t xml:space="preserve">法律法规</w:t>
      </w:r>
      <w:r>
        <w:rPr>
          <w:rFonts w:hint="eastAsia" w:ascii="宋体" w:hAnsi="宋体" w:eastAsia="宋体" w:cs="宋体"/>
          <w:bCs/>
          <w:color w:val="000000"/>
          <w:sz w:val="24"/>
          <w:szCs w:val="24"/>
          <w:highlight w:val="none"/>
        </w:rPr>
        <w:t xml:space="preserve">规定的事件。</w:t>
      </w:r>
      <w:r/>
    </w:p>
    <w:p>
      <w:pPr>
        <w:ind w:left="-2" w:firstLine="5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（九） 合同生效</w:t>
      </w:r>
      <w:r>
        <w:rPr>
          <w:rFonts w:hint="eastAsia" w:ascii="宋体" w:hAnsi="宋体" w:eastAsia="宋体" w:cs="宋体"/>
          <w:bCs/>
          <w:color w:val="000000"/>
          <w:sz w:val="24"/>
          <w:szCs w:val="24"/>
          <w:highlight w:val="none"/>
          <w:lang w:eastAsia="zh-CN"/>
        </w:rPr>
        <w:t xml:space="preserve">及其他</w:t>
      </w:r>
      <w:r>
        <w:rPr>
          <w:rFonts w:hint="eastAsia" w:ascii="宋体" w:hAnsi="宋体" w:eastAsia="宋体" w:cs="宋体"/>
          <w:bCs/>
          <w:color w:val="000000"/>
          <w:sz w:val="24"/>
          <w:szCs w:val="24"/>
          <w:highlight w:val="none"/>
        </w:rPr>
        <w:t xml:space="preserve">：</w:t>
      </w:r>
      <w:r/>
    </w:p>
    <w:p>
      <w:pPr>
        <w:numPr>
          <w:ilvl w:val="0"/>
          <w:numId w:val="10"/>
        </w:numPr>
        <w:ind w:left="0" w:firstLine="520"/>
        <w:spacing w:line="440" w:lineRule="exact"/>
        <w:tabs>
          <w:tab w:val="left" w:pos="0" w:leader="none"/>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合同经供需双方代表签字并盖章后生效。</w:t>
      </w:r>
      <w:r/>
    </w:p>
    <w:p>
      <w:pPr>
        <w:numPr>
          <w:ilvl w:val="0"/>
          <w:numId w:val="10"/>
        </w:numPr>
        <w:ind w:left="0" w:firstLine="520"/>
        <w:spacing w:line="440" w:lineRule="exact"/>
        <w:tabs>
          <w:tab w:val="left" w:pos="0" w:leader="none"/>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w:t>
      </w:r>
      <w:r/>
    </w:p>
    <w:p>
      <w:pPr>
        <w:numPr>
          <w:ilvl w:val="0"/>
          <w:numId w:val="0"/>
        </w:numPr>
        <w:ind w:left="520"/>
        <w:spacing w:line="440" w:lineRule="exact"/>
        <w:tabs>
          <w:tab w:val="left" w:pos="0" w:leader="none"/>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本项目收取履约保证金；</w:t>
      </w:r>
      <w:r/>
    </w:p>
    <w:p>
      <w:pPr>
        <w:numPr>
          <w:ilvl w:val="0"/>
          <w:numId w:val="0"/>
        </w:numPr>
        <w:ind w:left="520"/>
        <w:spacing w:line="440" w:lineRule="exact"/>
        <w:tabs>
          <w:tab w:val="left" w:pos="0" w:leader="none"/>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履约保证金缴纳金额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中标金额的1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%，金额为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zh-CN"/>
        </w:rPr>
        <w:t xml:space="preserve">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numPr>
          <w:ilvl w:val="0"/>
          <w:numId w:val="0"/>
        </w:numPr>
        <w:ind w:left="520"/>
        <w:spacing w:line="440" w:lineRule="exact"/>
        <w:tabs>
          <w:tab w:val="left" w:pos="0" w:leader="none"/>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履约保证金的缴纳时间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合同生效后进行缴纳；</w:t>
      </w:r>
      <w:r/>
    </w:p>
    <w:p>
      <w:pPr>
        <w:numPr>
          <w:ilvl w:val="0"/>
          <w:numId w:val="0"/>
        </w:numPr>
        <w:ind w:left="520"/>
        <w:spacing w:line="440" w:lineRule="exact"/>
        <w:tabs>
          <w:tab w:val="left" w:pos="0" w:leader="none"/>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缴纳形式：银行保函等非现金形式缴纳；</w:t>
      </w:r>
      <w:r/>
    </w:p>
    <w:p>
      <w:pPr>
        <w:numPr>
          <w:ilvl w:val="0"/>
          <w:numId w:val="0"/>
        </w:numPr>
        <w:ind w:left="520"/>
        <w:spacing w:line="440" w:lineRule="exact"/>
        <w:tabs>
          <w:tab w:val="left" w:pos="0" w:leader="none"/>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履约保证金的退付时间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履约保证金在本项目验收合格后一次性退还； </w:t>
      </w:r>
      <w:r/>
    </w:p>
    <w:p>
      <w:pPr>
        <w:numPr>
          <w:ilvl w:val="0"/>
          <w:numId w:val="0"/>
        </w:numPr>
        <w:ind w:left="520"/>
        <w:spacing w:line="440" w:lineRule="exact"/>
        <w:tabs>
          <w:tab w:val="left" w:pos="0" w:leader="none"/>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退付办法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原路退回。   </w:t>
      </w:r>
      <w:r/>
    </w:p>
    <w:p>
      <w:pPr>
        <w:numPr>
          <w:ilvl w:val="0"/>
          <w:numId w:val="0"/>
        </w:numPr>
        <w:ind w:left="520"/>
        <w:spacing w:line="440" w:lineRule="exact"/>
        <w:tabs>
          <w:tab w:val="left" w:pos="0" w:leader="none"/>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履约保证金不予退还的情形：</w:t>
      </w:r>
      <w:r/>
    </w:p>
    <w:p>
      <w:pPr>
        <w:numPr>
          <w:ilvl w:val="0"/>
          <w:numId w:val="0"/>
        </w:numPr>
        <w:ind w:left="520"/>
        <w:spacing w:line="440" w:lineRule="exact"/>
        <w:tabs>
          <w:tab w:val="left" w:pos="0" w:leader="none"/>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①由于乙方的原因不能履约的。</w:t>
      </w:r>
      <w:r/>
    </w:p>
    <w:p>
      <w:pPr>
        <w:numPr>
          <w:ilvl w:val="0"/>
          <w:numId w:val="0"/>
        </w:numPr>
        <w:ind w:left="520"/>
        <w:spacing w:line="440" w:lineRule="exact"/>
        <w:tabs>
          <w:tab w:val="left" w:pos="0" w:leader="none"/>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②在履行合同期间发生重大安全事故，给甲方造成不良影响和严重经济损失的。</w:t>
      </w:r>
      <w:r/>
    </w:p>
    <w:p>
      <w:pPr>
        <w:numPr>
          <w:ilvl w:val="0"/>
          <w:numId w:val="0"/>
        </w:numPr>
        <w:ind w:left="520"/>
        <w:spacing w:line="440" w:lineRule="exact"/>
        <w:tabs>
          <w:tab w:val="left" w:pos="0" w:leader="none"/>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逾期退还履约保证金的违约责任：承担履约保证金金额千分之二/天的违约金</w:t>
      </w:r>
      <w:r>
        <w:rPr>
          <w:rFonts w:hint="eastAsia" w:ascii="宋体" w:hAnsi="宋体" w:eastAsia="宋体" w:cs="宋体"/>
          <w:color w:val="000000"/>
          <w:sz w:val="24"/>
          <w:szCs w:val="24"/>
          <w:highlight w:val="none"/>
          <w:lang w:eastAsia="zh-CN"/>
        </w:rPr>
        <w:t xml:space="preserve">。</w:t>
      </w:r>
      <w:r/>
    </w:p>
    <w:p>
      <w:pPr>
        <w:numPr>
          <w:ilvl w:val="0"/>
          <w:numId w:val="10"/>
        </w:numPr>
        <w:ind w:left="0" w:firstLine="520"/>
        <w:spacing w:line="440" w:lineRule="exact"/>
        <w:tabs>
          <w:tab w:val="left" w:pos="0" w:leader="none"/>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合同签订后供需双方即直接产生权利与义务的关系，合同执行过程中出现的问题应按照合同约定、法律法规的规定办理，在合同履行过程中，双方如有争议，由招标代理协调解决。如协商不能解决，双方可</w:t>
      </w:r>
      <w:r>
        <w:rPr>
          <w:rFonts w:hint="eastAsia" w:ascii="宋体" w:hAnsi="宋体" w:eastAsia="宋体" w:cs="宋体"/>
          <w:color w:val="000000"/>
          <w:sz w:val="24"/>
          <w:szCs w:val="24"/>
          <w:highlight w:val="none"/>
        </w:rPr>
        <w:t xml:space="preserve">向无锡仲裁委员会申请仲裁</w:t>
      </w:r>
      <w:r>
        <w:rPr>
          <w:rFonts w:hint="eastAsia" w:ascii="宋体" w:hAnsi="宋体" w:eastAsia="宋体" w:cs="宋体"/>
          <w:bCs/>
          <w:color w:val="000000"/>
          <w:sz w:val="24"/>
          <w:szCs w:val="24"/>
          <w:highlight w:val="none"/>
        </w:rPr>
        <w:t xml:space="preserve">，仲裁期间，除仲裁委员会要求停止履行合同或出现一方确实无法继续履行合同的情形外，本合同应继续履行。</w:t>
      </w:r>
      <w:r/>
    </w:p>
    <w:p>
      <w:pPr>
        <w:numPr>
          <w:ilvl w:val="0"/>
          <w:numId w:val="10"/>
        </w:numPr>
        <w:ind w:left="0" w:firstLine="520"/>
        <w:spacing w:line="440" w:lineRule="exact"/>
        <w:tabs>
          <w:tab w:val="left" w:pos="0" w:leader="none"/>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合同在执行过程中出现的未尽事宜，双方在不违背本合同和采购文件的原则下协商解决，协商结果以书面形式签订补充协议，且补充协议与本合同具有同等效力。</w:t>
      </w:r>
      <w:r/>
    </w:p>
    <w:p>
      <w:pPr>
        <w:numPr>
          <w:ilvl w:val="0"/>
          <w:numId w:val="10"/>
        </w:numPr>
        <w:ind w:left="0" w:firstLine="520"/>
        <w:spacing w:line="440" w:lineRule="exact"/>
        <w:tabs>
          <w:tab w:val="left" w:pos="0" w:leader="none"/>
          <w:tab w:val="left" w:pos="525" w:leader="none"/>
          <w:tab w:val="left" w:pos="945" w:leader="none"/>
        </w:tabs>
        <w:rPr>
          <w:bCs/>
          <w:color w:val="000000"/>
          <w:highlight w:val="none"/>
        </w:rPr>
      </w:pPr>
      <w:r>
        <w:rPr>
          <w:rFonts w:hint="eastAsia" w:ascii="宋体" w:hAnsi="宋体" w:eastAsia="宋体" w:cs="宋体"/>
          <w:bCs/>
          <w:color w:val="000000"/>
          <w:sz w:val="24"/>
          <w:szCs w:val="24"/>
          <w:highlight w:val="none"/>
        </w:rPr>
        <w:t xml:space="preserve">供需双方确认：对本合同条款及后果均已知悉，一致确认不存在欺诈、胁迫、乘人之危、重大误解、显失公平等任何可能导致合同无效或被撤销的情形。</w:t>
      </w:r>
      <w:r/>
    </w:p>
    <w:p>
      <w:pPr>
        <w:numPr>
          <w:ilvl w:val="0"/>
          <w:numId w:val="0"/>
        </w:numPr>
        <w:spacing w:line="360" w:lineRule="auto"/>
        <w:tabs>
          <w:tab w:val="left" w:pos="0" w:leader="none"/>
          <w:tab w:val="left" w:pos="525" w:leader="none"/>
          <w:tab w:val="left" w:pos="945" w:leader="none"/>
        </w:tabs>
        <w:rPr>
          <w:rFonts w:ascii="宋体" w:hAnsi="宋体"/>
          <w:bCs/>
          <w:color w:val="000000"/>
          <w:sz w:val="24"/>
          <w:highlight w:val="none"/>
        </w:rPr>
      </w:pPr>
      <w:r>
        <w:rPr>
          <w:rFonts w:ascii="宋体" w:hAnsi="宋体"/>
          <w:bCs/>
          <w:color w:val="000000"/>
          <w:sz w:val="24"/>
          <w:highlight w:val="none"/>
        </w:rPr>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pStyle w:val="1120"/>
        <w:rPr>
          <w:rFonts w:hint="eastAsia" w:eastAsia="宋体"/>
          <w:bCs/>
          <w:color w:val="000000"/>
          <w:highlight w:val="none"/>
          <w:lang w:val="en-US" w:eastAsia="zh-CN"/>
        </w:rPr>
      </w:pPr>
      <w:r/>
      <w:bookmarkStart w:id="189" w:name="OLE_LINK6"/>
      <w:r>
        <w:rPr>
          <w:rFonts w:hint="eastAsia" w:eastAsia="宋体"/>
          <w:bCs/>
          <w:color w:val="000000"/>
          <w:highlight w:val="none"/>
          <w:lang w:eastAsia="zh-CN"/>
        </w:rPr>
        <w:t xml:space="preserve">附件</w:t>
      </w:r>
      <w:r>
        <w:rPr>
          <w:rFonts w:hint="eastAsia" w:eastAsia="宋体"/>
          <w:bCs/>
          <w:color w:val="000000"/>
          <w:highlight w:val="none"/>
          <w:lang w:val="en-US" w:eastAsia="zh-CN"/>
        </w:rPr>
        <w:t xml:space="preserve">1《明细报价表》</w:t>
      </w:r>
      <w:bookmarkEnd w:id="189"/>
      <w:r/>
      <w:r/>
    </w:p>
    <w:p>
      <w:pPr>
        <w:pStyle w:val="1120"/>
        <w:rPr>
          <w:rFonts w:eastAsia="宋体"/>
          <w:bCs/>
          <w:color w:val="000000"/>
          <w:highlight w:val="none"/>
          <w:lang w:val="en-US" w:eastAsia="zh-CN"/>
        </w:rPr>
      </w:pPr>
      <w:r/>
      <w:bookmarkStart w:id="190" w:name="OLE_LINK14"/>
      <w:r>
        <w:rPr>
          <w:rFonts w:hint="eastAsia" w:eastAsia="宋体"/>
          <w:bCs/>
          <w:color w:val="000000"/>
          <w:highlight w:val="none"/>
          <w:lang w:eastAsia="zh-CN"/>
        </w:rPr>
        <w:t xml:space="preserve">附件</w:t>
      </w:r>
      <w:r>
        <w:rPr>
          <w:rFonts w:hint="eastAsia" w:eastAsia="宋体"/>
          <w:bCs/>
          <w:color w:val="000000"/>
          <w:highlight w:val="none"/>
          <w:lang w:val="en-US" w:eastAsia="zh-CN"/>
        </w:rPr>
        <w:t xml:space="preserve">2《</w:t>
      </w:r>
      <w:bookmarkStart w:id="191" w:name="_Toc9312"/>
      <w:r>
        <w:rPr>
          <w:rFonts w:hint="eastAsia" w:eastAsia="宋体"/>
          <w:bCs/>
          <w:color w:val="000000"/>
          <w:highlight w:val="none"/>
          <w:lang w:val="en-US" w:eastAsia="zh-CN"/>
        </w:rPr>
        <w:t xml:space="preserve">售后服务承诺</w:t>
      </w:r>
      <w:bookmarkEnd w:id="191"/>
      <w:r>
        <w:rPr>
          <w:rFonts w:hint="eastAsia" w:eastAsia="宋体"/>
          <w:bCs/>
          <w:color w:val="000000"/>
          <w:highlight w:val="none"/>
          <w:lang w:val="en-US" w:eastAsia="zh-CN"/>
        </w:rPr>
        <w:t xml:space="preserve">》</w:t>
      </w:r>
      <w:bookmarkEnd w:id="190"/>
      <w:r/>
      <w:r/>
    </w:p>
    <w:p>
      <w:pPr>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ind w:firstLine="720"/>
        <w:jc w:val="center"/>
        <w:spacing w:line="288" w:lineRule="auto"/>
        <w:rPr>
          <w:rFonts w:hAnsi="宋体"/>
          <w:color w:val="000000"/>
          <w:sz w:val="36"/>
          <w:szCs w:val="36"/>
          <w:highlight w:val="none"/>
        </w:rPr>
      </w:pPr>
      <w:r>
        <w:rPr>
          <w:rFonts w:hint="eastAsia" w:ascii="宋体" w:hAnsi="宋体"/>
          <w:b/>
          <w:color w:val="000000"/>
          <w:sz w:val="30"/>
          <w:szCs w:val="30"/>
          <w:highlight w:val="none"/>
        </w:rPr>
        <w:br w:type="page" w:clear="all"/>
      </w:r>
      <w:r>
        <w:rPr>
          <w:rFonts w:hint="eastAsia" w:ascii="黑体" w:eastAsia="黑体"/>
          <w:bCs/>
          <w:color w:val="000000"/>
          <w:sz w:val="36"/>
          <w:szCs w:val="36"/>
          <w:highlight w:val="none"/>
        </w:rPr>
        <w:t xml:space="preserve">第四章 采购需求</w:t>
      </w:r>
      <w:r/>
    </w:p>
    <w:p>
      <w:pPr>
        <w:ind w:firstLine="600"/>
        <w:jc w:val="left"/>
        <w:spacing w:line="360" w:lineRule="auto"/>
        <w:rPr>
          <w:rFonts w:ascii="黑体" w:hAnsi="黑体" w:eastAsia="黑体"/>
          <w:color w:val="000000"/>
          <w:sz w:val="30"/>
          <w:szCs w:val="30"/>
          <w:highlight w:val="none"/>
        </w:rPr>
      </w:pPr>
      <w:r>
        <w:rPr>
          <w:rFonts w:hint="eastAsia" w:ascii="黑体" w:hAnsi="黑体" w:eastAsia="黑体"/>
          <w:color w:val="000000"/>
          <w:sz w:val="30"/>
          <w:szCs w:val="30"/>
          <w:highlight w:val="none"/>
        </w:rPr>
        <w:t xml:space="preserve">本项目属性：货物类项目</w:t>
      </w:r>
      <w:r/>
    </w:p>
    <w:p>
      <w:pPr>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投标人所投内容必须满足以下要求，不得有负偏离。</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本项目标的物所属行业：工业 </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本项目核心产品：学生实验桌。</w:t>
      </w:r>
      <w:r/>
    </w:p>
    <w:p>
      <w:pPr>
        <w:numPr>
          <w:ilvl w:val="0"/>
          <w:numId w:val="11"/>
        </w:numPr>
        <w:ind w:firstLine="0"/>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 项目技术要求</w:t>
      </w:r>
      <w:r/>
    </w:p>
    <w:p>
      <w:pPr>
        <w:spacing w:line="360" w:lineRule="auto"/>
        <w:rPr>
          <w:rFonts w:ascii="宋体" w:hAnsi="宋体"/>
          <w:b/>
          <w:color w:val="000000"/>
          <w:sz w:val="24"/>
          <w:highlight w:val="none"/>
        </w:rPr>
      </w:pPr>
      <w:r>
        <w:rPr>
          <w:rFonts w:hint="eastAsia"/>
          <w:b/>
          <w:color w:val="000000"/>
          <w:sz w:val="24"/>
          <w:highlight w:val="none"/>
          <w:lang w:eastAsia="zh-CN"/>
        </w:rPr>
        <w:t xml:space="preserve">1.</w:t>
      </w:r>
      <w:r>
        <w:rPr>
          <w:rFonts w:hint="eastAsia"/>
          <w:b/>
          <w:color w:val="000000"/>
          <w:sz w:val="24"/>
          <w:highlight w:val="none"/>
        </w:rPr>
        <w:t xml:space="preserve">采购设备清单</w:t>
      </w:r>
      <w:r>
        <w:rPr>
          <w:rFonts w:hint="eastAsia"/>
          <w:b/>
          <w:color w:val="000000"/>
          <w:sz w:val="24"/>
          <w:highlight w:val="none"/>
          <w:lang w:val="en-US" w:eastAsia="zh-CN"/>
        </w:rPr>
        <w:t xml:space="preserve">及设备技术参数</w:t>
      </w:r>
      <w:r>
        <w:rPr>
          <w:rFonts w:hint="eastAsia"/>
          <w:b/>
          <w:color w:val="000000"/>
          <w:sz w:val="24"/>
          <w:highlight w:val="none"/>
          <w:lang w:eastAsia="zh-CN"/>
        </w:rPr>
        <w:t xml:space="preserve">（</w:t>
      </w:r>
      <w:r>
        <w:rPr>
          <w:rFonts w:hint="eastAsia"/>
          <w:b/>
          <w:color w:val="000000"/>
          <w:sz w:val="24"/>
          <w:highlight w:val="none"/>
          <w:lang w:val="en-US" w:eastAsia="zh-CN"/>
        </w:rPr>
        <w:t xml:space="preserve">详见清单附件）。</w:t>
      </w:r>
      <w:r/>
    </w:p>
    <w:p>
      <w:pPr>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项目整体质保期：三年（自设备验收合格之日开始计算）。所投产品质保期内质量出现问题，中标单位应包退、包换、包修，费用由中标单位负责。</w:t>
      </w:r>
      <w:r/>
    </w:p>
    <w:p>
      <w:pPr>
        <w:spacing w:line="360" w:lineRule="auto"/>
        <w:rPr>
          <w:rFonts w:hint="eastAsia" w:ascii="宋体" w:hAnsi="宋体"/>
          <w:color w:val="000000"/>
          <w:sz w:val="24"/>
          <w:highlight w:val="none"/>
          <w:lang w:eastAsia="zh-CN"/>
        </w:rPr>
      </w:pPr>
      <w:r>
        <w:rPr>
          <w:rFonts w:hint="eastAsia" w:ascii="宋体" w:hAnsi="宋体"/>
          <w:color w:val="000000"/>
          <w:sz w:val="24"/>
          <w:highlight w:val="none"/>
          <w:lang w:eastAsia="zh-CN"/>
        </w:rPr>
        <w:t xml:space="preserve">3.</w:t>
      </w:r>
      <w:r>
        <w:rPr>
          <w:rFonts w:hint="eastAsia" w:ascii="宋体" w:hAnsi="宋体"/>
          <w:color w:val="000000"/>
          <w:sz w:val="24"/>
          <w:highlight w:val="none"/>
        </w:rPr>
        <w:t xml:space="preserve">产品质量必须符合《中华人民共和国国家标准》及我国最新颁布的与之相关的技术规范与正宗合格产品标准，同时必须满足采购清单中所列全部规格、型号、具体配置、技术条件及功能要求和供方承诺的其他指标；产品质量出现问题，供方负责包退、包换、包修，其费用由供方负责</w:t>
      </w:r>
      <w:r>
        <w:rPr>
          <w:rFonts w:hint="eastAsia" w:ascii="宋体" w:hAnsi="宋体"/>
          <w:color w:val="000000"/>
          <w:sz w:val="24"/>
          <w:highlight w:val="none"/>
          <w:lang w:eastAsia="zh-CN"/>
        </w:rPr>
        <w:t xml:space="preserve">。</w:t>
      </w:r>
      <w:r/>
    </w:p>
    <w:p>
      <w:pPr>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维修服务响应时间：在本项目产品质保期内，一旦产品发生质量问题，中标人保证在接到通知12小时内响应，1日历天内赶到现场进行修理、更换或退货，费用由中标人负责。如中标人在接到通知后12小时内没有答复，则视为中标人承认质量问题并承担由此发生的一切费用。质保期内产品的一切质量问题，更换部件及产品本身质量原因造成的直接经济损失应全部由中标人负责。</w:t>
      </w:r>
      <w:r/>
    </w:p>
    <w:p>
      <w:pPr>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5.本项目合同履行地点：采购人指定地点。中标方必须按采购人要求将本项目中货物送到指定地点（包括可能的分布范围），并分地实施安装调试。</w:t>
      </w:r>
      <w:r/>
    </w:p>
    <w:p>
      <w:pPr>
        <w:ind w:firstLine="0"/>
        <w:spacing w:line="360" w:lineRule="auto"/>
        <w:rPr>
          <w:rFonts w:ascii="宋体" w:hAnsi="宋体"/>
          <w:b/>
          <w:color w:val="000000"/>
          <w:sz w:val="30"/>
          <w:szCs w:val="30"/>
          <w:highlight w:val="none"/>
        </w:rPr>
      </w:pPr>
      <w:r>
        <w:rPr>
          <w:rFonts w:hint="eastAsia" w:ascii="宋体" w:hAnsi="宋体"/>
          <w:b/>
          <w:color w:val="000000"/>
          <w:sz w:val="30"/>
          <w:szCs w:val="30"/>
          <w:highlight w:val="none"/>
        </w:rPr>
        <w:t xml:space="preserve">第二部分  有关说明</w:t>
      </w:r>
      <w:r/>
    </w:p>
    <w:p>
      <w:pPr>
        <w:numPr>
          <w:ilvl w:val="1"/>
          <w:numId w:val="12"/>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投标总报价包括满足本项目要求的所有产品及其配件、包装、运杂、安装调试及售后服务等从项目中标起到项目正式交付以及质保期内所发生的一切费用。</w:t>
      </w:r>
      <w:r/>
    </w:p>
    <w:p>
      <w:pPr>
        <w:numPr>
          <w:ilvl w:val="1"/>
          <w:numId w:val="12"/>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进口产品是指通过中国海关报关验放进入中国境内且产自关境外的产品</w:t>
      </w:r>
      <w:r>
        <w:rPr>
          <w:rFonts w:hint="eastAsia" w:ascii="宋体" w:hAnsi="宋体"/>
          <w:bCs/>
          <w:color w:val="000000"/>
          <w:sz w:val="24"/>
          <w:szCs w:val="24"/>
          <w:highlight w:val="none"/>
        </w:rPr>
        <w:t xml:space="preserve">。</w:t>
      </w:r>
      <w:r/>
    </w:p>
    <w:p>
      <w:pPr>
        <w:numPr>
          <w:ilvl w:val="1"/>
          <w:numId w:val="12"/>
        </w:numPr>
        <w:ind w:left="0" w:firstLine="480"/>
        <w:spacing w:line="360" w:lineRule="auto"/>
        <w:tabs>
          <w:tab w:val="left" w:pos="525" w:leader="none"/>
          <w:tab w:val="left" w:pos="840" w:leader="none"/>
          <w:tab w:val="left" w:pos="945" w:leader="none"/>
        </w:tabs>
        <w:rPr>
          <w:rFonts w:hint="eastAsia" w:ascii="宋体" w:hAnsi="宋体" w:cs="宋体"/>
          <w:bCs/>
          <w:color w:val="000000"/>
          <w:sz w:val="24"/>
          <w:szCs w:val="24"/>
          <w:highlight w:val="none"/>
        </w:rPr>
      </w:pPr>
      <w:r>
        <w:rPr>
          <w:rFonts w:hint="eastAsia" w:ascii="宋体"/>
          <w:bCs/>
          <w:color w:val="000000"/>
          <w:sz w:val="24"/>
          <w:szCs w:val="24"/>
          <w:highlight w:val="none"/>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12"/>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供货期间，采购人可随时委托具有资质的第三方专业检测机构进行全过程跟踪检测，检测内容包括但不限于原材料、半成品、成品等。检测标准以国家、行业标准、招标文件及投标承诺为依据。供应商须无条件配合采购人、检测单位完成跟踪检测工作，并由采购人委托的检测单位出具检测报告及验收报告。相关检测费用由中标单位承担，若检测结果没有达到中标单位投标文件中承诺的技术要求，采购人有权因此而终止部分直至全部合同，由此而造成的后果和责任由供应商全部承担。</w:t>
      </w:r>
      <w:r/>
    </w:p>
    <w:p>
      <w:pPr>
        <w:numPr>
          <w:ilvl w:val="1"/>
          <w:numId w:val="12"/>
        </w:numPr>
        <w:ind w:left="0" w:firstLine="480"/>
        <w:spacing w:line="360" w:lineRule="auto"/>
        <w:tabs>
          <w:tab w:val="left" w:pos="525" w:leader="none"/>
          <w:tab w:val="left" w:pos="945" w:leader="none"/>
        </w:tabs>
        <w:rPr>
          <w:color w:val="000000"/>
          <w:highlight w:val="none"/>
        </w:rPr>
      </w:pPr>
      <w:r>
        <w:rPr>
          <w:rFonts w:hint="eastAsia" w:ascii="宋体" w:hAnsi="宋体" w:cs="宋体"/>
          <w:bCs/>
          <w:color w:val="000000"/>
          <w:sz w:val="24"/>
          <w:szCs w:val="24"/>
          <w:highlight w:val="none"/>
        </w:rPr>
        <w:t xml:space="preserve">交货期或完工期：</w:t>
      </w:r>
      <w:r>
        <w:rPr>
          <w:rFonts w:hint="eastAsia" w:ascii="宋体" w:hAnsi="宋体"/>
          <w:color w:val="000000"/>
          <w:sz w:val="24"/>
          <w:highlight w:val="none"/>
        </w:rPr>
        <w:t xml:space="preserve">自合同签订生效起且接到采购人通知后30日内送货到指定地点并安装完毕交付使用。</w:t>
      </w:r>
      <w:r/>
    </w:p>
    <w:p>
      <w:pPr>
        <w:numPr>
          <w:ilvl w:val="1"/>
          <w:numId w:val="12"/>
        </w:numPr>
        <w:ind w:left="0" w:firstLine="480"/>
        <w:spacing w:line="360" w:lineRule="auto"/>
        <w:tabs>
          <w:tab w:val="left" w:pos="525" w:leader="none"/>
          <w:tab w:val="left" w:pos="945" w:leader="none"/>
        </w:tabs>
        <w:rPr>
          <w:color w:val="000000"/>
          <w:highlight w:val="none"/>
        </w:rPr>
      </w:pPr>
      <w:r>
        <w:rPr>
          <w:rFonts w:hint="eastAsia" w:ascii="宋体" w:hAnsi="宋体"/>
          <w:color w:val="000000"/>
          <w:sz w:val="24"/>
          <w:highlight w:val="none"/>
        </w:rPr>
        <w:t xml:space="preserve">货物保管：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numPr>
          <w:ilvl w:val="1"/>
          <w:numId w:val="12"/>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cs="宋体"/>
          <w:bCs/>
          <w:color w:val="000000"/>
          <w:sz w:val="24"/>
          <w:szCs w:val="24"/>
          <w:highlight w:val="none"/>
          <w:u w:val="none"/>
          <w:lang w:val="en-US" w:eastAsia="zh-CN"/>
        </w:rPr>
        <w:t xml:space="preserve">付款方式：全部货物安装调试完成并验收合格后，支付合同结算价的95%；余款自项目验收合格之日起满1年无息付清。付款时中标供应商须出具符合采购人财务要求的正规税金发票，若中标人未能按期开具发票，采购人可顺延付款。款项实际支付时间，以采购人财政资金拨付时间为准</w:t>
      </w:r>
      <w:r>
        <w:rPr>
          <w:rFonts w:hint="eastAsia" w:ascii="宋体" w:hAnsi="宋体" w:cs="宋体"/>
          <w:bCs/>
          <w:color w:val="000000"/>
          <w:sz w:val="24"/>
          <w:szCs w:val="24"/>
          <w:highlight w:val="none"/>
        </w:rPr>
        <w:t xml:space="preserve">。</w:t>
      </w:r>
      <w:r/>
    </w:p>
    <w:p>
      <w:pPr>
        <w:numPr>
          <w:ilvl w:val="1"/>
          <w:numId w:val="12"/>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履约担保：</w:t>
      </w:r>
      <w:r>
        <w:rPr>
          <w:rFonts w:hint="eastAsia" w:ascii="宋体" w:hAnsi="宋体" w:cs="宋体"/>
          <w:color w:val="000000"/>
          <w:sz w:val="24"/>
          <w:szCs w:val="24"/>
          <w:highlight w:val="none"/>
        </w:rPr>
        <w:t xml:space="preserve">中标（成交）供应商以履约保函（保险）形式按签约合同价的10%提供履约担保。中标（成交）供应商可采用电子履约保函（保险）形式，具体操作可登录江苏政府采购网的保险保函模块进行办理。</w:t>
      </w:r>
      <w:r/>
    </w:p>
    <w:p>
      <w:pPr>
        <w:numPr>
          <w:ilvl w:val="1"/>
          <w:numId w:val="12"/>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本项目合同履行地点：</w:t>
      </w:r>
      <w:r>
        <w:rPr>
          <w:rFonts w:hint="eastAsia" w:ascii="宋体" w:hAnsi="宋体" w:cs="宋体"/>
          <w:color w:val="000000"/>
          <w:sz w:val="24"/>
          <w:highlight w:val="none"/>
        </w:rPr>
        <w:t xml:space="preserve">该项目位于</w:t>
      </w:r>
      <w:r>
        <w:rPr>
          <w:rFonts w:hint="eastAsia" w:ascii="宋体" w:hAnsi="宋体" w:cs="宋体"/>
          <w:color w:val="000000"/>
          <w:sz w:val="24"/>
          <w:highlight w:val="none"/>
          <w:lang w:eastAsia="zh-CN"/>
        </w:rPr>
        <w:t xml:space="preserve">无锡经开和畅实验中学</w:t>
      </w:r>
      <w:r>
        <w:rPr>
          <w:rFonts w:hint="eastAsia" w:ascii="宋体" w:hAnsi="宋体"/>
          <w:bCs/>
          <w:color w:val="000000"/>
          <w:sz w:val="24"/>
          <w:szCs w:val="24"/>
          <w:highlight w:val="none"/>
        </w:rPr>
        <w:t xml:space="preserve">，具体地点以合同书约定为准。中标方必须按采购人要求将本项目中货物送到指定地点（包括可能的分布范围），并分地实施安装调试。</w:t>
      </w:r>
      <w:r/>
    </w:p>
    <w:p>
      <w:pPr>
        <w:numPr>
          <w:ilvl w:val="1"/>
          <w:numId w:val="12"/>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12"/>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12"/>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12"/>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12"/>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spacing w:line="360" w:lineRule="auto"/>
        <w:rPr>
          <w:rFonts w:ascii="宋体"/>
          <w:bCs/>
          <w:color w:val="000000"/>
          <w:sz w:val="24"/>
          <w:szCs w:val="24"/>
          <w:highlight w:val="none"/>
        </w:rPr>
      </w:pPr>
      <w:r>
        <w:rPr>
          <w:rFonts w:ascii="宋体"/>
          <w:bCs/>
          <w:color w:val="000000"/>
          <w:sz w:val="24"/>
          <w:szCs w:val="24"/>
          <w:highlight w:val="none"/>
        </w:rPr>
      </w:r>
      <w:r/>
    </w:p>
    <w:p>
      <w:pPr>
        <w:ind w:firstLine="480"/>
        <w:spacing w:line="360" w:lineRule="auto"/>
        <w:tabs>
          <w:tab w:val="left" w:pos="525" w:leader="none"/>
          <w:tab w:val="left" w:pos="630" w:leader="none"/>
          <w:tab w:val="left" w:pos="735" w:leader="none"/>
          <w:tab w:val="left" w:pos="945" w:leader="none"/>
        </w:tabs>
        <w:rPr>
          <w:rFonts w:ascii="宋体" w:hAnsi="宋体"/>
          <w:b/>
          <w:bCs/>
          <w:color w:val="000000"/>
          <w:sz w:val="30"/>
          <w:szCs w:val="30"/>
          <w:highlight w:val="none"/>
        </w:rPr>
      </w:pPr>
      <w:r>
        <w:rPr>
          <w:rFonts w:hint="eastAsia" w:ascii="宋体" w:hAnsi="宋体"/>
          <w:bCs/>
          <w:color w:val="000000"/>
          <w:sz w:val="24"/>
          <w:highlight w:val="none"/>
        </w:rPr>
        <w:br w:type="page" w:clear="all"/>
      </w:r>
      <w:r>
        <w:rPr>
          <w:rFonts w:hint="eastAsia" w:ascii="宋体" w:hAnsi="宋体"/>
          <w:b/>
          <w:color w:val="000000"/>
          <w:sz w:val="30"/>
          <w:szCs w:val="30"/>
          <w:highlight w:val="none"/>
        </w:rPr>
        <w:t xml:space="preserve">第三部分  政府采购政策（包括但不限于下列具体政策要求）</w:t>
      </w:r>
      <w:r/>
    </w:p>
    <w:p>
      <w:pPr>
        <w:numPr>
          <w:ilvl w:val="1"/>
          <w:numId w:val="13"/>
        </w:numPr>
        <w:ind w:left="0" w:firstLine="525"/>
        <w:spacing w:line="360" w:lineRule="auto"/>
        <w:tabs>
          <w:tab w:val="left" w:pos="525" w:leader="none"/>
          <w:tab w:val="left" w:pos="945" w:leader="none"/>
        </w:tabs>
        <w:rPr>
          <w:rFonts w:hint="eastAsia" w:ascii="宋体"/>
          <w:bCs/>
          <w:color w:val="000000"/>
          <w:sz w:val="24"/>
          <w:szCs w:val="24"/>
          <w:highlight w:val="none"/>
        </w:rPr>
      </w:pPr>
      <w:r/>
      <w:bookmarkStart w:id="192" w:name="三．项目技术配置和有关说明"/>
      <w:r/>
      <w:bookmarkEnd w:id="192"/>
      <w:r/>
      <w:bookmarkStart w:id="193" w:name="四．合同书"/>
      <w:r/>
      <w:bookmarkEnd w:id="193"/>
      <w:r>
        <w:rPr>
          <w:rFonts w:hint="eastAsia" w:ascii="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w:t>
      </w:r>
      <w:r>
        <w:rPr>
          <w:rFonts w:hint="eastAsia" w:ascii="宋体"/>
          <w:bCs/>
          <w:color w:val="000000"/>
          <w:sz w:val="24"/>
          <w:szCs w:val="24"/>
          <w:highlight w:val="none"/>
          <w:lang w:eastAsia="zh-CN"/>
        </w:rPr>
        <w:t xml:space="preserve">件中</w:t>
      </w:r>
      <w:r>
        <w:rPr>
          <w:rFonts w:hint="eastAsia" w:ascii="宋体"/>
          <w:bCs/>
          <w:color w:val="000000"/>
          <w:sz w:val="24"/>
          <w:szCs w:val="24"/>
          <w:highlight w:val="none"/>
        </w:rPr>
        <w:t xml:space="preserve">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3"/>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hAnsi="宋体" w:eastAsia="宋体" w:cs="宋体"/>
          <w:color w:val="000000"/>
          <w:sz w:val="24"/>
          <w:szCs w:val="24"/>
          <w:highlight w:val="none"/>
        </w:rPr>
        <w:t xml:space="preserve">本项目中如有被列入《强制性产品认证目录》的强制性产品，应当按照《中华人民共和国产品质量法》《中华人民共和国认证认可条例》等法律、行政法规以及国家有关规定，由市场监管总局指定的认证机构对其生产、销售或者进口的产品进行认证合格后，方可出厂、销售、进口或在其他经营活动中使用。</w:t>
      </w:r>
      <w:r/>
    </w:p>
    <w:p>
      <w:pPr>
        <w:numPr>
          <w:ilvl w:val="1"/>
          <w:numId w:val="13"/>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13"/>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3"/>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p>
    <w:p>
      <w:pPr>
        <w:numPr>
          <w:ilvl w:val="1"/>
          <w:numId w:val="13"/>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中标、成交供应商可采用合同融资形式，中标人可凭政府采购合同办理融资贷款，详见政府采购网“政采贷”专栏。</w:t>
      </w:r>
      <w:r/>
    </w:p>
    <w:p>
      <w:pPr>
        <w:numPr>
          <w:ilvl w:val="1"/>
          <w:numId w:val="13"/>
        </w:numPr>
        <w:ind w:left="0" w:firstLine="480"/>
        <w:jc w:val="left"/>
        <w:spacing w:line="360" w:lineRule="auto"/>
        <w:tabs>
          <w:tab w:val="left" w:pos="525" w:leader="none"/>
          <w:tab w:val="left" w:pos="945" w:leader="none"/>
        </w:tabs>
        <w:rPr>
          <w:rFonts w:hint="eastAsia" w:ascii="宋体" w:hAnsi="Times New Roman" w:eastAsia="宋体" w:cs="Times New Roman"/>
          <w:bCs/>
          <w:color w:val="000000"/>
          <w:sz w:val="24"/>
          <w:szCs w:val="24"/>
          <w:highlight w:val="none"/>
        </w:rPr>
      </w:pPr>
      <w:r>
        <w:rPr>
          <w:rFonts w:hint="eastAsia" w:ascii="宋体" w:hAnsi="Times New Roman" w:eastAsia="宋体" w:cs="Times New Roman"/>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US" w:eastAsia="zh-CN"/>
        </w:rPr>
        <w:t xml:space="preserve">7.</w:t>
      </w:r>
      <w:r>
        <w:rPr>
          <w:rFonts w:hint="eastAsia" w:ascii="宋体"/>
          <w:bCs/>
          <w:color w:val="000000"/>
          <w:sz w:val="24"/>
          <w:szCs w:val="24"/>
          <w:highlight w:val="none"/>
        </w:rPr>
        <w:t xml:space="preserve">本项目中如有涉及数据库、操作系</w:t>
      </w:r>
      <w:r>
        <w:rPr>
          <w:rFonts w:hint="eastAsia" w:ascii="宋体"/>
          <w:bCs/>
          <w:color w:val="000000"/>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US" w:eastAsia="zh-CN"/>
        </w:rPr>
        <w:t xml:space="preserve">8.</w:t>
      </w:r>
      <w:r>
        <w:rPr>
          <w:rFonts w:hint="eastAsia" w:ascii="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采购人原则上应当自收到发票后10个工作日内将资金支付到合同约定的供应商账户。</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US" w:eastAsia="zh-CN"/>
        </w:rPr>
        <w:t xml:space="preserve">9.</w:t>
      </w:r>
      <w:r>
        <w:rPr>
          <w:rFonts w:hint="eastAsia" w:ascii="宋体"/>
          <w:bCs/>
          <w:color w:val="000000"/>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US" w:eastAsia="zh-CN"/>
        </w:rPr>
        <w:t xml:space="preserve">10.</w:t>
      </w:r>
      <w:r>
        <w:rPr>
          <w:rFonts w:hint="eastAsia" w:ascii="宋体"/>
          <w:bCs/>
          <w:color w:val="000000"/>
          <w:sz w:val="24"/>
          <w:szCs w:val="24"/>
          <w:highlight w:val="none"/>
        </w:rPr>
        <w:t xml:space="preserve">根据</w:t>
      </w:r>
      <w:bookmarkStart w:id="194" w:name="OLE_LINK2"/>
      <w:r/>
      <w:bookmarkStart w:id="195" w:name="OLE_LINK1"/>
      <w:r>
        <w:rPr>
          <w:rFonts w:hint="eastAsia" w:ascii="宋体"/>
          <w:bCs/>
          <w:color w:val="000000"/>
          <w:sz w:val="24"/>
          <w:szCs w:val="24"/>
          <w:highlight w:val="none"/>
        </w:rPr>
        <w:t xml:space="preserve">《保障中小企业款项支付条例》（中华人民共和国国务院令第802号）</w:t>
      </w:r>
      <w:bookmarkEnd w:id="194"/>
      <w:r/>
      <w:bookmarkEnd w:id="195"/>
      <w:r>
        <w:rPr>
          <w:rFonts w:hint="eastAsia" w:ascii="宋体"/>
          <w:bCs/>
          <w:color w:val="000000"/>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中小企业应当依法经营，诚实守信，按照合同约定提供合格的货物、工程和服务。</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US" w:eastAsia="zh-C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US" w:eastAsia="zh-CN"/>
        </w:rPr>
        <w:t xml:space="preserve">12.</w:t>
      </w:r>
      <w:r>
        <w:rPr>
          <w:rFonts w:hint="eastAsia" w:ascii="宋体"/>
          <w:bCs/>
          <w:color w:val="000000"/>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sz w:val="36"/>
          <w:szCs w:val="36"/>
          <w:highlight w:val="none"/>
        </w:rPr>
      </w:pPr>
      <w:r>
        <w:rPr>
          <w:rFonts w:ascii="宋体"/>
          <w:bCs/>
          <w:color w:val="000000"/>
          <w:sz w:val="24"/>
          <w:szCs w:val="24"/>
          <w:highlight w:val="none"/>
        </w:rPr>
        <w:br w:type="page" w:clear="all"/>
      </w:r>
      <w:bookmarkStart w:id="196" w:name="_Toc120614281"/>
      <w:r>
        <w:rPr>
          <w:rFonts w:hint="eastAsia" w:ascii="黑体" w:hAnsi="黑体" w:eastAsia="黑体"/>
          <w:bCs/>
          <w:color w:val="000000"/>
          <w:sz w:val="36"/>
          <w:szCs w:val="36"/>
          <w:highlight w:val="none"/>
        </w:rPr>
        <w:t xml:space="preserve">第五章  </w:t>
      </w:r>
      <w:r>
        <w:rPr>
          <w:rFonts w:hint="eastAsia" w:ascii="黑体" w:hAnsi="黑体" w:eastAsia="黑体"/>
          <w:b/>
          <w:bCs/>
          <w:color w:val="000000"/>
          <w:sz w:val="36"/>
          <w:szCs w:val="36"/>
          <w:highlight w:val="none"/>
        </w:rPr>
        <w:t xml:space="preserve">评标方法与评标标准</w:t>
      </w:r>
      <w:r/>
    </w:p>
    <w:p>
      <w:pPr>
        <w:pStyle w:val="1067"/>
        <w:ind w:firstLine="602"/>
        <w:spacing w:before="0" w:after="0" w:line="500" w:lineRule="exact"/>
        <w:rPr>
          <w:rFonts w:cs="Arial"/>
          <w:b/>
          <w:color w:val="000000"/>
          <w:sz w:val="30"/>
          <w:szCs w:val="30"/>
          <w:highlight w:val="none"/>
        </w:rPr>
      </w:pPr>
      <w:r>
        <w:rPr>
          <w:rFonts w:hint="eastAsia" w:cs="Arial"/>
          <w:b/>
          <w:color w:val="000000"/>
          <w:sz w:val="30"/>
          <w:szCs w:val="30"/>
          <w:highlight w:val="none"/>
        </w:rPr>
        <w:t xml:space="preserve">第一部分  评标方法</w:t>
      </w:r>
      <w:r/>
    </w:p>
    <w:p>
      <w:pPr>
        <w:pStyle w:val="1067"/>
        <w:spacing w:before="0" w:after="0" w:line="500" w:lineRule="exact"/>
        <w:rPr>
          <w:rFonts w:cs="Arial"/>
          <w:color w:val="000000"/>
          <w:highlight w:val="none"/>
        </w:rPr>
      </w:pPr>
      <w:r>
        <w:rPr>
          <w:rFonts w:hint="eastAsia" w:cs="Arial"/>
          <w:color w:val="000000"/>
          <w:highlight w:val="none"/>
        </w:rPr>
        <w:t xml:space="preserve">投标人通过初审的，方可进入比较与评价程序。</w:t>
      </w:r>
      <w:r/>
    </w:p>
    <w:p>
      <w:pPr>
        <w:pStyle w:val="1067"/>
        <w:spacing w:before="0" w:after="0" w:line="500" w:lineRule="exact"/>
        <w:rPr>
          <w:rFonts w:cs="Arial"/>
          <w:color w:val="000000"/>
          <w:highlight w:val="none"/>
        </w:rPr>
      </w:pPr>
      <w:r>
        <w:rPr>
          <w:rFonts w:hint="eastAsia" w:cs="Arial"/>
          <w:color w:val="000000"/>
          <w:highlight w:val="none"/>
        </w:rPr>
        <w:t xml:space="preserve">比较与评价采用综合评分法。</w:t>
      </w:r>
      <w:r/>
    </w:p>
    <w:p>
      <w:pPr>
        <w:pStyle w:val="1067"/>
        <w:spacing w:before="0" w:after="0" w:line="500" w:lineRule="exact"/>
        <w:rPr>
          <w:rFonts w:ascii="宋体" w:hAnsi="宋体"/>
          <w:bCs/>
          <w:color w:val="000000"/>
          <w:highlight w:val="none"/>
        </w:rPr>
      </w:pPr>
      <w:r>
        <w:rPr>
          <w:rFonts w:hint="eastAsia" w:ascii="宋体" w:hAnsi="宋体"/>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1067"/>
        <w:spacing w:before="0" w:after="0" w:line="500" w:lineRule="exact"/>
        <w:rPr>
          <w:rFonts w:ascii="宋体" w:hAnsi="宋体"/>
          <w:bCs/>
          <w:color w:val="000000"/>
          <w:highlight w:val="none"/>
        </w:rPr>
      </w:pPr>
      <w:r>
        <w:rPr>
          <w:rFonts w:hint="eastAsia" w:ascii="宋体" w:hAnsi="宋体"/>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67"/>
        <w:spacing w:before="0" w:after="0" w:line="500" w:lineRule="exact"/>
        <w:rPr>
          <w:rFonts w:ascii="宋体" w:hAnsi="宋体"/>
          <w:bCs/>
          <w:color w:val="000000"/>
          <w:highlight w:val="none"/>
        </w:rPr>
      </w:pPr>
      <w:r>
        <w:rPr>
          <w:rFonts w:cs="Arial"/>
          <w:color w:val="000000"/>
          <w:highlight w:val="none"/>
          <w:shd w:val="clear" w:color="ffffff" w:fill="d9d9d9"/>
        </w:rPr>
        <w:br w:type="page" w:clear="all"/>
      </w:r>
      <w:r>
        <w:rPr>
          <w:rFonts w:hint="eastAsia" w:cs="Arial"/>
          <w:b/>
          <w:color w:val="000000"/>
          <w:sz w:val="30"/>
          <w:szCs w:val="30"/>
          <w:highlight w:val="none"/>
        </w:rPr>
        <w:t xml:space="preserve">第二部分  评标标准</w:t>
      </w:r>
      <w:r/>
    </w:p>
    <w:p>
      <w:pPr>
        <w:pStyle w:val="1067"/>
        <w:ind w:firstLine="0"/>
        <w:spacing w:before="0" w:after="0" w:line="500" w:lineRule="exact"/>
        <w:rPr>
          <w:rFonts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bidi="ar"/>
        </w:rPr>
        <w:t xml:space="preserve">1.</w:t>
      </w:r>
      <w:r>
        <w:rPr>
          <w:rFonts w:hint="eastAsia" w:ascii="宋体" w:hAnsi="宋体" w:cs="宋体"/>
          <w:bCs/>
          <w:color w:val="000000"/>
          <w:sz w:val="24"/>
          <w:szCs w:val="24"/>
          <w:highlight w:val="none"/>
          <w:lang w:val="en-US" w:eastAsia="zh-CN" w:bidi="ar"/>
        </w:rPr>
        <w:t xml:space="preserve">1</w:t>
      </w:r>
      <w:r>
        <w:rPr>
          <w:rFonts w:hint="eastAsia" w:ascii="宋体" w:hAnsi="宋体" w:cs="宋体"/>
          <w:bCs/>
          <w:color w:val="000000"/>
          <w:sz w:val="24"/>
          <w:szCs w:val="24"/>
          <w:highlight w:val="none"/>
          <w:lang w:bidi="ar"/>
        </w:rPr>
        <w:t xml:space="preserve">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80"/>
        <w:jc w:val="left"/>
        <w:spacing w:line="5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bidi="ar"/>
        </w:rPr>
        <w:t xml:space="preserve">1.2</w:t>
      </w:r>
      <w:r>
        <w:rPr>
          <w:rFonts w:hint="eastAsia" w:ascii="宋体" w:hAnsi="宋体" w:cs="宋体"/>
          <w:bCs/>
          <w:color w:val="000000"/>
          <w:sz w:val="24"/>
          <w:szCs w:val="24"/>
          <w:highlight w:val="none"/>
          <w:lang w:bidi="ar"/>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bidi="ar"/>
        </w:rPr>
        <w:t xml:space="preserve">1.</w:t>
      </w:r>
      <w:r>
        <w:rPr>
          <w:rFonts w:hint="eastAsia" w:ascii="宋体" w:hAnsi="宋体" w:cs="宋体"/>
          <w:bCs/>
          <w:color w:val="000000"/>
          <w:sz w:val="24"/>
          <w:szCs w:val="24"/>
          <w:highlight w:val="none"/>
          <w:lang w:bidi="ar"/>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bidi="ar"/>
        </w:rPr>
        <w:t xml:space="preserve">1.</w:t>
      </w:r>
      <w:r>
        <w:rPr>
          <w:rFonts w:hint="eastAsia" w:ascii="宋体" w:hAnsi="宋体" w:cs="宋体"/>
          <w:bCs/>
          <w:color w:val="000000"/>
          <w:sz w:val="24"/>
          <w:szCs w:val="24"/>
          <w:highlight w:val="none"/>
          <w:lang w:bidi="ar"/>
        </w:rPr>
        <w:t xml:space="preserve">4残疾人福利单位、监狱企业属于小型、微型企业的，不重复享受政策。</w:t>
      </w:r>
      <w:r/>
    </w:p>
    <w:p>
      <w:pPr>
        <w:ind w:firstLine="480"/>
        <w:jc w:val="left"/>
        <w:spacing w:line="5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bidi="ar"/>
        </w:rPr>
        <w:t xml:space="preserve">1.</w:t>
      </w:r>
      <w:r>
        <w:rPr>
          <w:rFonts w:hint="eastAsia" w:ascii="宋体" w:hAnsi="宋体" w:cs="宋体"/>
          <w:bCs/>
          <w:color w:val="000000"/>
          <w:sz w:val="24"/>
          <w:szCs w:val="24"/>
          <w:highlight w:val="none"/>
          <w:lang w:bidi="ar"/>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p>
    <w:p>
      <w:pPr>
        <w:ind w:firstLine="480"/>
        <w:jc w:val="left"/>
        <w:spacing w:line="5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bidi="ar"/>
        </w:rPr>
        <w:t xml:space="preserve">联合体各方均为小型、微型企业的，联合体视同为小型、微型企业按规定享受价格扣除。</w:t>
      </w:r>
      <w:r/>
    </w:p>
    <w:p>
      <w:pPr>
        <w:ind w:firstLine="480"/>
        <w:jc w:val="left"/>
        <w:spacing w:line="500" w:lineRule="exact"/>
        <w:rPr>
          <w:rFonts w:hint="eastAsia" w:ascii="宋体" w:hAnsi="宋体" w:cs="宋体"/>
          <w:bCs/>
          <w:color w:val="000000"/>
          <w:sz w:val="24"/>
          <w:szCs w:val="24"/>
          <w:highlight w:val="none"/>
          <w:lang w:bidi="ar"/>
        </w:rPr>
      </w:pPr>
      <w:r>
        <w:rPr>
          <w:rFonts w:hint="eastAsia" w:ascii="宋体" w:hAnsi="宋体" w:cs="宋体"/>
          <w:bCs/>
          <w:color w:val="000000"/>
          <w:sz w:val="24"/>
          <w:szCs w:val="24"/>
          <w:highlight w:val="none"/>
          <w:lang w:bidi="ar"/>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2.对本国产品的支持政策：根据</w:t>
      </w:r>
      <w:r>
        <w:rPr>
          <w:rFonts w:hint="eastAsia" w:ascii="宋体"/>
          <w:b/>
          <w:bCs/>
          <w:color w:val="000000"/>
          <w:sz w:val="24"/>
          <w:szCs w:val="24"/>
          <w:highlight w:val="none"/>
        </w:rPr>
        <w:t xml:space="preserve">《国务院办公厅关于在政府采购中实施本国产品标准及相关政策的通知》（国办发〔2025〕34号）要求，</w:t>
      </w:r>
      <w:r>
        <w:rPr>
          <w:rFonts w:hint="eastAsia" w:ascii="宋体" w:hAnsi="宋体"/>
          <w:b/>
          <w:bCs/>
          <w:color w:val="000000"/>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2.2注意事项</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厂名</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其中，“符合本国产品标准的产品成本之和”是指本项目或采购包中符合本国产品标准的</w:t>
      </w:r>
      <w:r>
        <w:rPr>
          <w:rFonts w:hint="eastAsia" w:ascii="宋体" w:hAnsi="宋体"/>
          <w:b/>
          <w:bCs/>
          <w:color w:val="000000"/>
          <w:sz w:val="24"/>
          <w:szCs w:val="24"/>
          <w:highlight w:val="none"/>
        </w:rPr>
        <w:t xml:space="preserve">货物成本之和</w:t>
      </w:r>
      <w:r>
        <w:rPr>
          <w:rFonts w:hint="eastAsia" w:ascii="宋体" w:hAnsi="宋体"/>
          <w:bCs/>
          <w:color w:val="000000"/>
          <w:sz w:val="24"/>
          <w:szCs w:val="24"/>
          <w:highlight w:val="none"/>
        </w:rPr>
        <w:t xml:space="preserve">；“全部产品成本之和”是指货物或服务项目（或者采购包）中包含的</w:t>
      </w:r>
      <w:r>
        <w:rPr>
          <w:rFonts w:hint="eastAsia" w:ascii="宋体" w:hAnsi="宋体"/>
          <w:b/>
          <w:bCs/>
          <w:color w:val="000000"/>
          <w:sz w:val="24"/>
          <w:szCs w:val="24"/>
          <w:highlight w:val="none"/>
        </w:rPr>
        <w:t xml:space="preserve">全部货物、服务产品的成本之和</w:t>
      </w:r>
      <w:r>
        <w:rPr>
          <w:rFonts w:hint="eastAsia" w:ascii="宋体" w:hAnsi="宋体"/>
          <w:bCs/>
          <w:color w:val="000000"/>
          <w:sz w:val="24"/>
          <w:szCs w:val="24"/>
          <w:highlight w:val="none"/>
        </w:rPr>
        <w:t xml:space="preserve">。</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w:t>
      </w:r>
      <w:r>
        <w:rPr>
          <w:rFonts w:hint="eastAsia" w:ascii="宋体" w:hAnsi="宋体"/>
          <w:bCs/>
          <w:color w:val="000000"/>
          <w:sz w:val="24"/>
          <w:szCs w:val="24"/>
          <w:highlight w:val="none"/>
          <w:lang w:eastAsia="zh-CN"/>
        </w:rPr>
        <w:t xml:space="preserve">》和</w:t>
      </w:r>
      <w:r>
        <w:rPr>
          <w:rFonts w:hint="eastAsia" w:ascii="宋体" w:hAnsi="宋体"/>
          <w:bCs/>
          <w:color w:val="000000"/>
          <w:sz w:val="24"/>
          <w:szCs w:val="24"/>
          <w:highlight w:val="none"/>
        </w:rPr>
        <w:t xml:space="preserve">《财政部关于进一步加大政府采购支持中小企业力度的通知</w:t>
      </w:r>
      <w:r>
        <w:rPr>
          <w:rFonts w:hint="eastAsia" w:ascii="宋体" w:hAnsi="宋体"/>
          <w:bCs/>
          <w:color w:val="000000"/>
          <w:sz w:val="24"/>
          <w:szCs w:val="24"/>
          <w:highlight w:val="none"/>
          <w:lang w:eastAsia="zh-CN"/>
        </w:rPr>
        <w:t xml:space="preserve">》等</w:t>
      </w:r>
      <w:r>
        <w:rPr>
          <w:rFonts w:hint="eastAsia" w:ascii="宋体" w:hAnsi="宋体"/>
          <w:bCs/>
          <w:color w:val="000000"/>
          <w:sz w:val="24"/>
          <w:szCs w:val="24"/>
          <w:highlight w:val="none"/>
        </w:rPr>
        <w:t xml:space="preserve">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1000000×[1-（10%+20%）]=700000元</w:t>
      </w:r>
      <w:r/>
    </w:p>
    <w:p>
      <w:pPr>
        <w:pStyle w:val="1067"/>
        <w:numPr>
          <w:ilvl w:val="0"/>
          <w:numId w:val="0"/>
        </w:numPr>
        <w:ind w:firstLine="0"/>
        <w:jc w:val="both"/>
        <w:spacing w:before="0" w:after="0" w:line="360" w:lineRule="auto"/>
        <w:rPr>
          <w:rFonts w:ascii="宋体" w:hAnsi="宋体"/>
          <w:b/>
          <w:color w:val="000000"/>
          <w:sz w:val="28"/>
          <w:szCs w:val="28"/>
          <w:highlight w:val="none"/>
        </w:rPr>
      </w:pPr>
      <w:r>
        <w:rPr>
          <w:rFonts w:hint="eastAsia" w:ascii="宋体" w:hAnsi="宋体"/>
          <w:b/>
          <w:color w:val="000000"/>
          <w:sz w:val="28"/>
          <w:szCs w:val="28"/>
          <w:highlight w:val="none"/>
          <w:lang w:val="en-US" w:eastAsia="zh-CN"/>
        </w:rPr>
        <w:t xml:space="preserve">二、</w:t>
      </w:r>
      <w:r>
        <w:rPr>
          <w:rFonts w:hint="eastAsia" w:ascii="宋体" w:hAnsi="宋体"/>
          <w:b/>
          <w:color w:val="000000"/>
          <w:sz w:val="28"/>
          <w:szCs w:val="28"/>
          <w:highlight w:val="none"/>
        </w:rPr>
        <w:t xml:space="preserve">评分标准</w:t>
      </w:r>
      <w:r/>
    </w:p>
    <w:p>
      <w:pPr>
        <w:ind w:firstLine="0"/>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一）</w:t>
      </w:r>
      <w:r>
        <w:rPr>
          <w:rFonts w:hint="eastAsia" w:ascii="宋体" w:hAnsi="宋体" w:cs="宋体"/>
          <w:b/>
          <w:color w:val="000000"/>
          <w:sz w:val="24"/>
          <w:szCs w:val="24"/>
          <w:highlight w:val="none"/>
        </w:rPr>
        <w:t xml:space="preserve">报价（50分）</w:t>
      </w:r>
      <w:r/>
    </w:p>
    <w:p>
      <w:pPr>
        <w:ind w:firstLine="480"/>
        <w:spacing w:line="360" w:lineRule="auto"/>
        <w:tabs>
          <w:tab w:val="left" w:pos="945" w:leader="none"/>
          <w:tab w:val="left" w:pos="1146" w:leader="none"/>
        </w:tabs>
        <w:rPr>
          <w:color w:val="000000"/>
          <w:sz w:val="24"/>
          <w:highlight w:val="none"/>
        </w:rPr>
      </w:pPr>
      <w:r>
        <w:rPr>
          <w:rFonts w:hint="eastAsia"/>
          <w:color w:val="000000"/>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630" w:leader="none"/>
        </w:tabs>
        <w:rPr>
          <w:color w:val="000000"/>
          <w:sz w:val="24"/>
          <w:highlight w:val="none"/>
        </w:rPr>
      </w:pPr>
      <w:r>
        <w:rPr>
          <w:rFonts w:hint="eastAsia"/>
          <w:color w:val="000000"/>
          <w:sz w:val="24"/>
          <w:highlight w:val="none"/>
        </w:rPr>
        <w:t xml:space="preserve">投标报价得分=（评标基准价/投标报价）×50。</w:t>
      </w:r>
      <w:r/>
    </w:p>
    <w:p>
      <w:pPr>
        <w:ind w:firstLine="480"/>
        <w:jc w:val="left"/>
        <w:spacing w:line="360" w:lineRule="auto"/>
        <w:rPr>
          <w:rFonts w:hint="eastAsia" w:ascii="宋体" w:hAnsi="宋体"/>
          <w:b/>
          <w:bCs w:val="0"/>
          <w:color w:val="000000"/>
          <w:sz w:val="24"/>
          <w:szCs w:val="24"/>
          <w:highlight w:val="none"/>
        </w:rPr>
      </w:pPr>
      <w:r>
        <w:rPr>
          <w:rFonts w:hint="eastAsia" w:ascii="宋体" w:hAnsi="宋体"/>
          <w:b/>
          <w:bCs w:val="0"/>
          <w:color w:val="000000"/>
          <w:sz w:val="24"/>
          <w:szCs w:val="24"/>
          <w:highlight w:val="none"/>
        </w:rPr>
        <w:t xml:space="preserve">价格扣除：本项目专门面向中小微企业，不再执行价格评审优惠的扶持政策。</w:t>
      </w:r>
      <w:r/>
    </w:p>
    <w:p>
      <w:pPr>
        <w:ind w:firstLine="480"/>
        <w:spacing w:line="360" w:lineRule="auto"/>
        <w:tabs>
          <w:tab w:val="left" w:pos="945" w:leader="none"/>
          <w:tab w:val="left" w:pos="1155" w:leader="none"/>
        </w:tabs>
        <w:rPr>
          <w:rFonts w:hint="eastAsia" w:ascii="宋体" w:hAnsi="宋体" w:cs="宋体"/>
          <w:b/>
          <w:color w:val="000000"/>
          <w:sz w:val="24"/>
          <w:szCs w:val="24"/>
          <w:highlight w:val="none"/>
          <w:lang w:bidi="ar"/>
        </w:rPr>
      </w:pPr>
      <w:r>
        <w:rPr>
          <w:rFonts w:hint="eastAsia" w:ascii="宋体" w:hAnsi="宋体"/>
          <w:b/>
          <w:bCs w:val="0"/>
          <w:color w:val="000000"/>
          <w:sz w:val="24"/>
          <w:szCs w:val="24"/>
          <w:highlight w:val="none"/>
        </w:rPr>
        <w:t xml:space="preserve">评标委员会认为投标人的报价明显低于其他通过符合性审查投标人的报价，有可能影响产品质量或者不能诚信履约的，将要求其在合理的时间内（自江苏省政府采购（苏采云）平台通知之时起一小时内）提供书面说明，必要时提交相关证明材料；投标人不能证明其报价合理性的，评标委员会将其作为无效投标处理。</w:t>
      </w:r>
      <w:r/>
    </w:p>
    <w:p>
      <w:pPr>
        <w:ind w:firstLine="0"/>
        <w:jc w:val="left"/>
        <w:spacing w:line="360" w:lineRule="auto"/>
        <w:rPr>
          <w:rFonts w:hint="eastAsia" w:ascii="宋体" w:hAnsi="宋体" w:cs="宋体"/>
          <w:b/>
          <w:color w:val="000000"/>
          <w:sz w:val="24"/>
          <w:szCs w:val="24"/>
          <w:highlight w:val="none"/>
          <w:lang w:bidi="ar"/>
        </w:rPr>
      </w:pPr>
      <w:r>
        <w:rPr>
          <w:rFonts w:hint="eastAsia" w:ascii="宋体" w:hAnsi="宋体" w:cs="宋体"/>
          <w:b/>
          <w:color w:val="000000"/>
          <w:sz w:val="24"/>
          <w:szCs w:val="24"/>
          <w:highlight w:val="none"/>
          <w:lang w:eastAsia="zh-CN" w:bidi="ar"/>
        </w:rPr>
        <w:t xml:space="preserve">（二）</w:t>
      </w:r>
      <w:r>
        <w:rPr>
          <w:rFonts w:hint="eastAsia" w:ascii="宋体" w:hAnsi="宋体" w:cs="宋体"/>
          <w:b/>
          <w:color w:val="000000"/>
          <w:sz w:val="24"/>
          <w:szCs w:val="24"/>
          <w:highlight w:val="none"/>
          <w:lang w:bidi="ar"/>
        </w:rPr>
        <w:t xml:space="preserve">技术</w:t>
      </w:r>
      <w:r>
        <w:rPr>
          <w:rFonts w:hint="eastAsia" w:ascii="宋体" w:hAnsi="宋体" w:eastAsia="宋体" w:cs="宋体"/>
          <w:b/>
          <w:color w:val="000000"/>
          <w:sz w:val="24"/>
          <w:szCs w:val="24"/>
          <w:highlight w:val="none"/>
          <w:lang w:val="en-US" w:eastAsia="zh-CN"/>
        </w:rPr>
        <w:t xml:space="preserve">参数</w:t>
      </w:r>
      <w:r>
        <w:rPr>
          <w:rFonts w:hint="eastAsia" w:ascii="宋体" w:hAnsi="宋体" w:cs="宋体"/>
          <w:b/>
          <w:color w:val="000000"/>
          <w:sz w:val="24"/>
          <w:szCs w:val="24"/>
          <w:highlight w:val="none"/>
          <w:lang w:bidi="ar"/>
        </w:rPr>
        <w:t xml:space="preserve">响应（</w:t>
      </w:r>
      <w:r>
        <w:rPr>
          <w:rFonts w:hint="eastAsia" w:ascii="宋体" w:hAnsi="宋体" w:eastAsia="宋体" w:cs="宋体"/>
          <w:b/>
          <w:color w:val="000000"/>
          <w:sz w:val="24"/>
          <w:szCs w:val="24"/>
          <w:highlight w:val="none"/>
          <w:lang w:val="en-US" w:eastAsia="zh-CN" w:bidi="ar"/>
        </w:rPr>
        <w:t xml:space="preserve">15</w:t>
      </w:r>
      <w:r>
        <w:rPr>
          <w:rFonts w:hint="eastAsia" w:ascii="宋体" w:hAnsi="宋体" w:cs="宋体"/>
          <w:b/>
          <w:color w:val="000000"/>
          <w:sz w:val="24"/>
          <w:szCs w:val="24"/>
          <w:highlight w:val="none"/>
          <w:lang w:bidi="ar"/>
        </w:rPr>
        <w:t xml:space="preserve">分）</w:t>
      </w:r>
      <w:r>
        <w:rPr>
          <w:rFonts w:hint="eastAsia" w:ascii="宋体" w:hAnsi="宋体" w:cs="宋体"/>
          <w:b/>
          <w:color w:val="000000"/>
          <w:sz w:val="24"/>
          <w:szCs w:val="24"/>
          <w:highlight w:val="none"/>
          <w:lang w:eastAsia="zh-CN" w:bidi="ar"/>
        </w:rPr>
        <w:t xml:space="preserve">：</w:t>
      </w:r>
      <w:r>
        <w:rPr>
          <w:rFonts w:hint="eastAsia" w:ascii="宋体" w:hAnsi="宋体" w:cs="宋体"/>
          <w:b/>
          <w:color w:val="000000"/>
          <w:sz w:val="24"/>
          <w:highlight w:val="none"/>
        </w:rPr>
        <w:t xml:space="preserve">投标人或其制造商须提供通过CMA资质认定的检验检测机构所出具的带有CMA标识的检测报告复印件并加盖原厂公章的得</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rPr>
        <w:t xml:space="preserve">分，未提供不得分。</w:t>
      </w:r>
      <w:r/>
    </w:p>
    <w:p>
      <w:pPr>
        <w:ind w:firstLine="480"/>
        <w:spacing w:line="360" w:lineRule="auto"/>
        <w:rPr>
          <w:rFonts w:hint="eastAsia" w:ascii="宋体" w:hAnsi="宋体" w:eastAsia="宋体" w:cs="宋体"/>
          <w:b w:val="0"/>
          <w:bCs/>
          <w:color w:val="000000"/>
          <w:position w:val="0"/>
          <w:sz w:val="24"/>
          <w:szCs w:val="24"/>
          <w:highlight w:val="none"/>
          <w:lang w:val="en-US" w:eastAsia="zh-CN"/>
        </w:rPr>
      </w:pPr>
      <w:r>
        <w:rPr>
          <w:rFonts w:hint="eastAsia" w:ascii="宋体" w:hAnsi="宋体" w:eastAsia="宋体" w:cs="宋体"/>
          <w:b w:val="0"/>
          <w:bCs/>
          <w:color w:val="000000"/>
          <w:sz w:val="24"/>
          <w:highlight w:val="none"/>
          <w:lang w:val="en-US" w:eastAsia="zh-CN"/>
        </w:rPr>
        <w:t xml:space="preserve">1.技术指标</w:t>
      </w:r>
      <w:r>
        <w:rPr>
          <w:rFonts w:hint="eastAsia" w:ascii="宋体" w:hAnsi="宋体" w:eastAsia="宋体" w:cs="宋体"/>
          <w:b w:val="0"/>
          <w:bCs/>
          <w:color w:val="000000"/>
          <w:sz w:val="24"/>
          <w:highlight w:val="none"/>
        </w:rPr>
        <w:t xml:space="preserve">（</w:t>
      </w:r>
      <w:r>
        <w:rPr>
          <w:rFonts w:hint="eastAsia" w:ascii="宋体" w:hAnsi="宋体" w:eastAsia="宋体" w:cs="宋体"/>
          <w:b w:val="0"/>
          <w:bCs/>
          <w:color w:val="000000"/>
          <w:sz w:val="24"/>
          <w:highlight w:val="none"/>
          <w:lang w:val="en-US" w:eastAsia="zh-CN"/>
        </w:rPr>
        <w:t xml:space="preserve">11</w:t>
      </w:r>
      <w:r>
        <w:rPr>
          <w:rFonts w:hint="eastAsia" w:ascii="宋体" w:hAnsi="宋体" w:eastAsia="宋体" w:cs="宋体"/>
          <w:b w:val="0"/>
          <w:bCs/>
          <w:color w:val="000000"/>
          <w:sz w:val="24"/>
          <w:highlight w:val="none"/>
        </w:rPr>
        <w:t xml:space="preserve">分）：</w:t>
      </w:r>
      <w:r/>
    </w:p>
    <w:p>
      <w:pPr>
        <w:ind w:firstLine="480"/>
        <w:spacing w:line="360" w:lineRule="auto"/>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rPr>
        <w:t xml:space="preserve">.1所投教师演示台依据GB/T 24820-2024《实验室家具通用技术条件》标准，力学性能：水平耐久性试验、垂直耐久性试验、水平静载荷试验检测符合标准要求。</w:t>
      </w:r>
      <w:r/>
    </w:p>
    <w:p>
      <w:pPr>
        <w:ind w:firstLine="480"/>
        <w:spacing w:line="360" w:lineRule="auto"/>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rPr>
        <w:t xml:space="preserve">.2所投实验桌依据GB/T 24820-2024《实验室家具通用技术条件》检测标准，力学性能满足：独立操作台垂直加载稳定性试验：水平静载荷试验、活动操作台跌落检测均符合标准要求。</w:t>
      </w:r>
      <w:r/>
    </w:p>
    <w:p>
      <w:pPr>
        <w:ind w:firstLine="480"/>
        <w:spacing w:line="360" w:lineRule="auto"/>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rPr>
        <w:t xml:space="preserve">.3所投实验桌阻水边依据GB/T 23266-2009检测标准，弹性限度mm≥12，断裂模数MPa：平均值≥45，单值≥40；单项结论均为符合。</w:t>
      </w:r>
      <w:r/>
    </w:p>
    <w:p>
      <w:pPr>
        <w:ind w:firstLine="480"/>
        <w:spacing w:line="360" w:lineRule="auto"/>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rPr>
        <w:t xml:space="preserve">.4所投吊装主体框架依据GB/T9286-2021和GB/T17657-2022检测标准，理化性能</w:t>
      </w:r>
      <w:r>
        <w:rPr>
          <w:rFonts w:hint="eastAsia" w:ascii="宋体" w:hAnsi="宋体" w:cs="宋体"/>
          <w:b w:val="0"/>
          <w:bCs/>
          <w:color w:val="000000"/>
          <w:sz w:val="24"/>
          <w:szCs w:val="24"/>
          <w:highlight w:val="none"/>
          <w:lang w:eastAsia="zh-CN"/>
        </w:rPr>
        <w:t xml:space="preserve">检测</w:t>
      </w:r>
      <w:r>
        <w:rPr>
          <w:rFonts w:hint="eastAsia" w:ascii="宋体" w:hAnsi="宋体" w:cs="宋体"/>
          <w:b w:val="0"/>
          <w:bCs/>
          <w:color w:val="000000"/>
          <w:sz w:val="24"/>
          <w:szCs w:val="24"/>
          <w:highlight w:val="none"/>
        </w:rPr>
        <w:t xml:space="preserve">结果为合格。环保性能：甲醛释放量不大于 0.1mg/l；附着力应不低于 2 级</w:t>
      </w:r>
      <w:r/>
    </w:p>
    <w:p>
      <w:pPr>
        <w:ind w:firstLine="480"/>
        <w:spacing w:line="360" w:lineRule="auto"/>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rPr>
        <w:t xml:space="preserve">.5所投产品ABS原材料必须符合以下技术参数及要求：（1）依据GB/T1633-2000检测标准，检测项目至少包含：维卡软化温度，判定基准：≥95℃，检测结论：符合。依据GB/T 3682.1-2018检测标准，检测项目至少包含：熔体质量流动速率，判定基准：≥1.98</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检测结论：符合。（2）依据GB/T 1033.1-2008检测标准，检测项目至少包含：密度，判定基准：≥1.0g/cm³，检测结论</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符合。依据GB/T 9345.1-2008检测标准，检测项目至少包含：灰分，判定基准：≥0.3，检测结论</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符合。依据GB/T 2411-2008检测标准，检测项目至少包含：邵氏硬度，判定基准：≥73，检测结论</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符合。（3）依</w:t>
      </w:r>
      <w:r>
        <w:rPr>
          <w:rFonts w:hint="eastAsia" w:ascii="宋体" w:hAnsi="宋体" w:cs="宋体"/>
          <w:b w:val="0"/>
          <w:bCs/>
          <w:color w:val="000000"/>
          <w:sz w:val="24"/>
          <w:szCs w:val="24"/>
          <w:highlight w:val="none"/>
        </w:rPr>
        <w:t xml:space="preserve">据GB/T1040.2-2022标准：拉伸强度、断裂伸长率，拉伸强度检测判定基准：≥41，检测结论：符合。断裂伸长率检测判定基准：≥17.4，检测结论：符合。依据 GB/T 9341-2008 检测标准，检测项目至少包含：弯曲强度，判定基准：≥63.8，检测结论：符合。依据 GB/T 1843-2008 检测标准，检测项目至少包含：悬臂梁缺口冲击强度，判定基准：≥19，检测结论：符合。依据GB/T 1043.1-2008 检测标准，检测项目至少包含：简支梁缺口冲击，判定基准：≥18.7，检测结论：符合。（4</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依据GB/T1041-2008标准，压缩强度检测判定基准：≥628Mpa，压缩模量检测判定基准≥1092Mpa，结论：符合。</w:t>
      </w:r>
      <w:r/>
    </w:p>
    <w:p>
      <w:pPr>
        <w:ind w:firstLine="480"/>
        <w:spacing w:line="360" w:lineRule="auto"/>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rPr>
        <w:t xml:space="preserve">.6所投实验演示多目仪依据GB/T 3325-2024《金属家具通用技术条件》标准，金属喷漆（塑）涂层附着力检测结果为0级：切割边缘完全平滑，网格内无脱落。外观性能</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金属件</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管材：无裂缝、叠缝；外露管口端面封闭。</w:t>
      </w:r>
      <w:r/>
    </w:p>
    <w:p>
      <w:pPr>
        <w:ind w:firstLine="480"/>
        <w:spacing w:line="360" w:lineRule="auto"/>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rPr>
        <w:t xml:space="preserve">.7所投智慧环境监测系统主机设备通过下列检测：GB/T2423.1-2008《电子电工产品环境试验第2部分</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试验方法试验A</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低温试验》，耐低温性能；GB/T2423.2-2008《电工电子产品环境试验第2部分</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试验方法试验B</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高温》，耐高温性能；GB/T2423.3-2016《环境试验第2部分</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试验方法试验Cab</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恒定湿热试验》，耐湿热工作性能；GB/T2423.10-2019《环境试验第2部分</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试验方法试验Fc</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振动</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正弦</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》，振动试验。</w:t>
      </w:r>
      <w:r/>
    </w:p>
    <w:p>
      <w:pPr>
        <w:ind w:firstLine="480"/>
        <w:spacing w:line="360" w:lineRule="auto"/>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rPr>
        <w:t xml:space="preserve">.8所投智慧环境监测系统主机设备符合GB/T26125-2011《电子电气产品六种限用物质</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铅、汞、镉、六价铬、多溴联苯和多溴二苯醚</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》、GB/T26572-2011《电子电气产品中限用物质的限量要求</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电器电子产品有害物质限制使用自愿性认证实施规则</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达标管理目录限用物质应用例外清单》。</w:t>
      </w:r>
      <w:r/>
    </w:p>
    <w:p>
      <w:pPr>
        <w:ind w:firstLine="480"/>
        <w:spacing w:line="360" w:lineRule="auto"/>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rPr>
        <w:t xml:space="preserve">.9所投智慧环境监测系统主机软件中所有技术参数指标要求应符合GB/T25000.51-2016《系统与软件工程系统与软件质量要求和评价</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SQuaRE</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第51部分：就绪可用软件产品</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RUSP</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的质量要求和测试细则》标准。</w:t>
      </w:r>
      <w:r/>
    </w:p>
    <w:p>
      <w:pPr>
        <w:ind w:firstLine="480"/>
        <w:spacing w:line="360" w:lineRule="auto"/>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rPr>
        <w:t xml:space="preserve">.10所投焦耳定律演示器检测内容如下：（1）核心技术指标需满足：外形尺寸666*470mm（±5mm</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上下为铝型材结构</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6063-T5材料，具有良好的抗拉强度、表面黑色氧化细喷砂处理。左右为ABS塑料精密注塑成型边框</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仪器面板表面印有原理电路图。配有</w:t>
      </w:r>
      <w:r>
        <w:rPr>
          <w:rFonts w:hint="eastAsia" w:ascii="宋体" w:hAnsi="宋体" w:cs="宋体"/>
          <w:b w:val="0"/>
          <w:bCs/>
          <w:color w:val="000000"/>
          <w:sz w:val="24"/>
          <w:szCs w:val="24"/>
          <w:highlight w:val="none"/>
          <w:lang w:eastAsia="zh-CN"/>
        </w:rPr>
        <w:t xml:space="preserve">透明</w:t>
      </w:r>
      <w:r>
        <w:rPr>
          <w:rFonts w:hint="eastAsia" w:ascii="宋体" w:hAnsi="宋体" w:cs="宋体"/>
          <w:b w:val="0"/>
          <w:bCs/>
          <w:color w:val="000000"/>
          <w:sz w:val="24"/>
          <w:szCs w:val="24"/>
          <w:highlight w:val="none"/>
        </w:rPr>
        <w:t xml:space="preserve">贮液筒（带底座）3个</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电阻4个。（2）可完成以下焦耳定律相关实验：①观察电能转化为内能的实验现象②探究电流产生热量与哪些因素有关；电流热效应；焦耳定律中热量与电阻的关系；焦耳定律中热量与电流的关系；焦耳定律中热量与通电时间的关系。结果为：符合。</w:t>
      </w:r>
      <w:r/>
    </w:p>
    <w:p>
      <w:pPr>
        <w:ind w:firstLine="480"/>
        <w:spacing w:line="360" w:lineRule="auto"/>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rPr>
        <w:t xml:space="preserve">.11所投电学实验箱检测内容如下：（1）核心技术指标需满足：电学模块组件：规格：尺寸64x64x32mm</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主要材质：ABS工程塑料、PC</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工艺</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塑料注塑成型</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功能描述：①结构特点：镀金触点连接</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拼图式插接方式</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上盖四边凹凸式对插接口</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 下盖四边滑槽</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 底部一个磁钢卡槽。可扩展为磁吸式电学模块</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 ②可用多种电子元件组成功能模块</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经过拼插组合可以组合成多种电学功能电路</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也可以在电学模块上插接拓展功能组件</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形成特定功能产品</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用以完成对应的实验。四联电池盒规格：尺寸120x96x45mm,3个4mm香蕉插座接口</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配4节5号AA电池双电源输出DC3V\DC6V</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开关1个</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LED灯1个</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主要材质：壳体为ABS工程塑料、下盖为半透明PC</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工艺：塑料注塑成型</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功能描述：提供两档电压DC3V\DC6V</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开关控制输出</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自带LED输出显示灯</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有输出电压时LED点亮。（2）可完成以下电学相关实验：①观察摩擦起电现象</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②探究电流与电压、电阻的关系</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③用电流表测量电流</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④用电压表测量电压</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⑤连接串联电路和并联电路</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⑥用电流表和电压表测量电阻</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⑦探究串联电路和并联电路中电流、电压的特点。结论为：符合。</w:t>
      </w:r>
      <w:r/>
    </w:p>
    <w:p>
      <w:pPr>
        <w:ind w:firstLine="482"/>
        <w:spacing w:line="360" w:lineRule="auto"/>
        <w:rPr>
          <w:rFonts w:hint="eastAsia" w:eastAsia="宋体"/>
          <w:color w:val="000000"/>
          <w:sz w:val="24"/>
          <w:highlight w:val="none"/>
          <w:lang w:val="en-US" w:eastAsia="zh-CN"/>
        </w:rPr>
      </w:pPr>
      <w:r>
        <w:rPr>
          <w:rFonts w:hint="eastAsia" w:ascii="宋体" w:hAnsi="宋体" w:cs="宋体"/>
          <w:b/>
          <w:color w:val="000000"/>
          <w:sz w:val="24"/>
          <w:szCs w:val="24"/>
          <w:highlight w:val="none"/>
        </w:rPr>
        <w:t xml:space="preserve">注：检测报告须清晰且完整含封底及封面，检测结果必须包含每项要求内注明条目，检测报告上的名称与要求中所对应的名称不同但内容实质相同的视作等同，检测报告不完整视作无效；受检单位须为投标人或其制造商，任意条件不满足或检测缺项不得分。</w:t>
      </w:r>
      <w:r/>
    </w:p>
    <w:p>
      <w:pPr>
        <w:ind w:firstLine="480"/>
        <w:spacing w:line="360" w:lineRule="auto"/>
        <w:rPr>
          <w:rFonts w:hint="eastAsia" w:ascii="Times New Roman" w:hAnsi="Times New Roman" w:eastAsia="宋体" w:cs="Times New Roman"/>
          <w:color w:val="000000"/>
          <w:sz w:val="24"/>
          <w:highlight w:val="none"/>
          <w:lang w:val="en-US" w:eastAsia="zh-CN"/>
        </w:rPr>
      </w:pPr>
      <w:r>
        <w:rPr>
          <w:rFonts w:hint="eastAsia" w:eastAsia="宋体"/>
          <w:color w:val="000000"/>
          <w:sz w:val="24"/>
          <w:highlight w:val="none"/>
          <w:lang w:val="en-US" w:eastAsia="zh-CN"/>
        </w:rPr>
        <w:t xml:space="preserve">2.</w:t>
      </w:r>
      <w:r>
        <w:rPr>
          <w:rFonts w:hint="eastAsia" w:ascii="Times New Roman" w:hAnsi="Times New Roman" w:eastAsia="宋体" w:cs="Times New Roman"/>
          <w:color w:val="000000"/>
          <w:sz w:val="24"/>
          <w:highlight w:val="none"/>
          <w:lang w:val="en-US" w:eastAsia="zh-CN"/>
        </w:rPr>
        <w:t xml:space="preserve">软件著作证书（2分）：</w:t>
      </w:r>
      <w:r/>
    </w:p>
    <w:p>
      <w:pPr>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2.1所投app吊装控制系统：提供吊装控制系统软件著作权证书原件扫描件佐证的得1分。</w:t>
      </w:r>
      <w:r/>
    </w:p>
    <w:p>
      <w:pPr>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2.2所投实验演示多目仪配套VR版资源包：提供理化生VR软件著作权证书原件扫描件佐证得1分。</w:t>
      </w:r>
      <w:r/>
    </w:p>
    <w:p>
      <w:pPr>
        <w:ind w:firstLine="482"/>
        <w:spacing w:line="360" w:lineRule="auto"/>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软件著作证书扫描件上传至系统中并加盖公章。名称与上述名称不同，但内容实际相同的视作等同。</w:t>
      </w:r>
      <w:r/>
    </w:p>
    <w:p>
      <w:pPr>
        <w:ind w:firstLine="480"/>
        <w:spacing w:line="360" w:lineRule="auto"/>
        <w:rPr>
          <w:rFonts w:hint="eastAsia"/>
          <w:color w:val="000000"/>
          <w:sz w:val="24"/>
          <w:highlight w:val="none"/>
        </w:rPr>
      </w:pPr>
      <w:r>
        <w:rPr>
          <w:rFonts w:hint="eastAsia" w:eastAsia="宋体"/>
          <w:color w:val="000000"/>
          <w:sz w:val="24"/>
          <w:highlight w:val="none"/>
          <w:lang w:val="en-US" w:eastAsia="zh-CN"/>
        </w:rPr>
        <w:t xml:space="preserve">3.</w:t>
      </w:r>
      <w:r>
        <w:rPr>
          <w:rFonts w:hint="eastAsia" w:ascii="Times New Roman" w:hAnsi="Times New Roman" w:eastAsia="宋体" w:cs="Times New Roman"/>
          <w:color w:val="000000"/>
          <w:sz w:val="24"/>
          <w:highlight w:val="none"/>
          <w:lang w:val="en-US" w:eastAsia="zh-CN"/>
        </w:rPr>
        <w:t xml:space="preserve">政策性</w:t>
      </w:r>
      <w:r>
        <w:rPr>
          <w:rFonts w:hint="eastAsia"/>
          <w:color w:val="000000"/>
          <w:sz w:val="24"/>
          <w:highlight w:val="none"/>
        </w:rPr>
        <w:t xml:space="preserve">因素（2分）：本项目明确可加分</w:t>
      </w:r>
      <w:r>
        <w:rPr>
          <w:rFonts w:hint="eastAsia"/>
          <w:color w:val="000000"/>
          <w:sz w:val="24"/>
          <w:highlight w:val="none"/>
        </w:rPr>
        <w:t xml:space="preserve">的节能、环境标志产品仅限本项目采购清单内设备/材料，须在财政部、发展改革委最新发布的节能产品政府采购品目清单、环境标志产品政府采购品目清单对应范围内；供应商提供由《市场监管总局关于发布参与实施政府采购节能产品、环境标志产品认证机构名录的公告》（2019年第16号）名录内认证机构出具、有效期内的对应产品节能产品/环境标志产品认证证书，1个有效产品项加1分，最多加2分；同一产品同时具备两类证书不重复加分，非本项目采购产品、不在对应品目清单内、证书不在有效期内均不予加分；投标文件中须上传证书扫描件，否则不予计分。</w:t>
      </w:r>
      <w:r/>
    </w:p>
    <w:p>
      <w:pPr>
        <w:pStyle w:val="830"/>
        <w:numPr>
          <w:ilvl w:val="0"/>
          <w:numId w:val="0"/>
        </w:numPr>
        <w:ind w:left="0" w:firstLine="0"/>
        <w:spacing w:line="360" w:lineRule="auto"/>
        <w:rPr>
          <w:rFonts w:hint="eastAsia" w:ascii="宋体" w:hAnsi="宋体"/>
          <w:b/>
          <w:color w:val="000000"/>
          <w:sz w:val="24"/>
          <w:highlight w:val="none"/>
        </w:rPr>
        <w:outlineLvl w:val="0"/>
      </w:pPr>
      <w:r>
        <w:rPr>
          <w:rFonts w:hint="eastAsia" w:ascii="宋体" w:hAnsi="宋体"/>
          <w:b/>
          <w:color w:val="000000"/>
          <w:sz w:val="24"/>
          <w:highlight w:val="none"/>
          <w:lang w:val="en-US" w:eastAsia="zh-CN"/>
        </w:rPr>
        <w:t xml:space="preserve">（三）服务</w:t>
      </w:r>
      <w:r>
        <w:rPr>
          <w:rFonts w:hint="eastAsia" w:ascii="宋体" w:hAnsi="宋体"/>
          <w:b/>
          <w:color w:val="000000"/>
          <w:sz w:val="24"/>
          <w:highlight w:val="none"/>
        </w:rPr>
        <w:t xml:space="preserve">方案（</w:t>
      </w:r>
      <w:r>
        <w:rPr>
          <w:rFonts w:hint="eastAsia" w:ascii="宋体" w:hAnsi="宋体"/>
          <w:b/>
          <w:color w:val="000000"/>
          <w:sz w:val="24"/>
          <w:highlight w:val="none"/>
          <w:lang w:val="en-US" w:eastAsia="zh-CN"/>
        </w:rPr>
        <w:t xml:space="preserve">20</w:t>
      </w:r>
      <w:r>
        <w:rPr>
          <w:rFonts w:hint="eastAsia" w:ascii="宋体" w:hAnsi="宋体"/>
          <w:b/>
          <w:color w:val="000000"/>
          <w:sz w:val="24"/>
          <w:highlight w:val="none"/>
        </w:rPr>
        <w:t xml:space="preserve">分）</w:t>
      </w:r>
      <w:r/>
    </w:p>
    <w:p>
      <w:pPr>
        <w:pStyle w:val="919"/>
        <w:ind w:left="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1.</w:t>
      </w:r>
      <w:r>
        <w:rPr>
          <w:rFonts w:hint="eastAsia" w:ascii="宋体" w:hAnsi="宋体" w:eastAsia="宋体" w:cs="宋体"/>
          <w:b/>
          <w:bCs w:val="0"/>
          <w:color w:val="000000"/>
          <w:sz w:val="24"/>
          <w:szCs w:val="24"/>
          <w:highlight w:val="none"/>
        </w:rPr>
        <w:t xml:space="preserve">项目实施方案（</w:t>
      </w: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rPr>
        <w:t xml:space="preserve">分）</w:t>
      </w:r>
      <w:r/>
    </w:p>
    <w:p>
      <w:pPr>
        <w:pStyle w:val="830"/>
        <w:ind w:left="0"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投标人根据项目特点提供详尽的实施方案，具体包括以下核心内容：①实施计划；②采购、运输、安装</w:t>
      </w:r>
      <w:r>
        <w:rPr>
          <w:rFonts w:hint="eastAsia" w:ascii="宋体" w:hAnsi="宋体" w:eastAsia="宋体" w:cs="宋体"/>
          <w:bCs/>
          <w:color w:val="000000"/>
          <w:sz w:val="24"/>
          <w:szCs w:val="24"/>
          <w:highlight w:val="none"/>
          <w:lang w:eastAsia="zh-CN"/>
        </w:rPr>
        <w:t xml:space="preserve">调试</w:t>
      </w:r>
      <w:r>
        <w:rPr>
          <w:rFonts w:hint="eastAsia" w:ascii="宋体" w:hAnsi="宋体" w:eastAsia="宋体" w:cs="宋体"/>
          <w:bCs/>
          <w:color w:val="000000"/>
          <w:sz w:val="24"/>
          <w:szCs w:val="24"/>
          <w:highlight w:val="none"/>
        </w:rPr>
        <w:t xml:space="preserve">及交付方案；③项目进度计划④风险识别与应急预案。</w:t>
      </w:r>
      <w:r/>
    </w:p>
    <w:p>
      <w:pPr>
        <w:pStyle w:val="830"/>
        <w:ind w:left="0"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针对上述每一项要求作出了清晰、完整、可行方案且符合采购需求的得5分；内容安排相对完善、基本可行、较为符合实际情况的得2分；内容空泛，有待完善且针对性一般的，得1分；未进行阐述或存在逻辑错误、前后矛盾或存在违反现行相关规范的，该条不得分。</w:t>
      </w:r>
      <w:r/>
    </w:p>
    <w:p>
      <w:pPr>
        <w:pStyle w:val="919"/>
        <w:ind w:left="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2.</w:t>
      </w:r>
      <w:r>
        <w:rPr>
          <w:rFonts w:hint="eastAsia" w:ascii="宋体" w:hAnsi="宋体" w:eastAsia="宋体" w:cs="宋体"/>
          <w:b/>
          <w:bCs w:val="0"/>
          <w:color w:val="000000"/>
          <w:sz w:val="24"/>
          <w:szCs w:val="24"/>
          <w:highlight w:val="none"/>
        </w:rPr>
        <w:t xml:space="preserve">质量控制方案（5分）</w:t>
      </w:r>
      <w:r/>
    </w:p>
    <w:p>
      <w:pPr>
        <w:pStyle w:val="830"/>
        <w:ind w:left="0"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投标人根据项目特点提供详尽的质量控制方案，具体包括以下核心内容：①项目质量控制目标；②质量控制组织架构与职责分工；③ 关键环节/工序的质量控制措施与方法；④ 质量风险识别与预防措施。</w:t>
      </w:r>
      <w:r/>
    </w:p>
    <w:p>
      <w:pPr>
        <w:pStyle w:val="830"/>
        <w:ind w:left="0"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针对上述每一项要求作出了清晰、完整、可行方案且符合采购需求的得5分；内容安排相对完善、基本可行、较为符合实际情况的得2分；内容空泛，有待完善且针对性一般的，得1分；未进行阐述或存在逻辑错误、前后矛盾或存在违反现行相关规范的，该条不得分。</w:t>
      </w:r>
      <w:r/>
    </w:p>
    <w:p>
      <w:pPr>
        <w:pStyle w:val="919"/>
        <w:numPr>
          <w:ilvl w:val="0"/>
          <w:numId w:val="0"/>
        </w:numP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 xml:space="preserve">3.</w:t>
      </w:r>
      <w:r>
        <w:rPr>
          <w:rFonts w:hint="eastAsia" w:ascii="宋体" w:hAnsi="宋体" w:eastAsia="宋体" w:cs="宋体"/>
          <w:b/>
          <w:color w:val="000000"/>
          <w:sz w:val="24"/>
          <w:highlight w:val="none"/>
        </w:rPr>
        <w:t xml:space="preserve">售后服务方案（</w:t>
      </w:r>
      <w:r>
        <w:rPr>
          <w:rFonts w:hint="eastAsia" w:ascii="宋体" w:hAnsi="宋体" w:eastAsia="宋体" w:cs="宋体"/>
          <w:b/>
          <w:color w:val="000000"/>
          <w:sz w:val="24"/>
          <w:highlight w:val="none"/>
          <w:lang w:val="en-US" w:eastAsia="zh-CN"/>
        </w:rPr>
        <w:t xml:space="preserve">5</w:t>
      </w:r>
      <w:r>
        <w:rPr>
          <w:rFonts w:hint="eastAsia" w:ascii="宋体" w:hAnsi="宋体" w:eastAsia="宋体" w:cs="宋体"/>
          <w:b/>
          <w:color w:val="000000"/>
          <w:sz w:val="24"/>
          <w:highlight w:val="none"/>
        </w:rPr>
        <w:t xml:space="preserve">分）</w:t>
      </w:r>
      <w:r/>
    </w:p>
    <w:p>
      <w:pPr>
        <w:pStyle w:val="830"/>
        <w:ind w:left="0"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投标人根据项目特点提供详尽的售后服务方案，具体包括以下核心内容：①售后服务内容及流程、响应时间；②售后服务专门机构、网点分布及售后人员配置；③备品备件方案；④培训计划</w:t>
      </w:r>
      <w:r>
        <w:rPr>
          <w:rFonts w:hint="eastAsia" w:ascii="宋体" w:hAnsi="宋体" w:eastAsia="宋体" w:cs="宋体"/>
          <w:bCs/>
          <w:color w:val="000000"/>
          <w:sz w:val="24"/>
          <w:szCs w:val="24"/>
          <w:highlight w:val="none"/>
          <w:lang w:eastAsia="zh-CN"/>
        </w:rPr>
        <w:t xml:space="preserve">。</w:t>
      </w:r>
      <w:r/>
    </w:p>
    <w:p>
      <w:pPr>
        <w:pStyle w:val="830"/>
        <w:ind w:left="0"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针对上述每一项要求作出了清晰、完整、可行方案且符合采购需求的得5分；内容安排相对完善、基本可行、较为符合实际情况的得2分；内容空泛，有待完善且针对性一般的，得1分；未进行阐述或存在逻辑错误、前后矛盾或存在违反现行相关规范的，该条不得分。</w:t>
      </w:r>
      <w:r/>
    </w:p>
    <w:p>
      <w:pPr>
        <w:spacing w:line="360" w:lineRule="auto"/>
        <w:rPr>
          <w:rFonts w:hint="eastAsia" w:ascii="宋体" w:hAnsi="宋体" w:cs="宋体"/>
          <w:color w:val="000000"/>
          <w:sz w:val="24"/>
          <w:highlight w:val="none"/>
        </w:rPr>
      </w:pPr>
      <w:r>
        <w:rPr>
          <w:rFonts w:hint="eastAsia" w:ascii="宋体" w:hAnsi="宋体" w:cs="宋体"/>
          <w:b/>
          <w:bCs/>
          <w:color w:val="000000"/>
          <w:sz w:val="24"/>
          <w:highlight w:val="none"/>
          <w:lang w:eastAsia="zh-CN"/>
        </w:rPr>
        <w:t xml:space="preserve">4.</w:t>
      </w:r>
      <w:r>
        <w:rPr>
          <w:rFonts w:hint="eastAsia" w:ascii="宋体" w:hAnsi="宋体" w:cs="宋体"/>
          <w:b/>
          <w:bCs/>
          <w:color w:val="000000"/>
          <w:sz w:val="24"/>
          <w:highlight w:val="none"/>
        </w:rPr>
        <w:t xml:space="preserve">项目培训方案（</w:t>
      </w:r>
      <w:r>
        <w:rPr>
          <w:rFonts w:hint="eastAsia" w:ascii="宋体" w:hAnsi="宋体" w:cs="宋体"/>
          <w:b/>
          <w:bCs/>
          <w:color w:val="000000"/>
          <w:sz w:val="24"/>
          <w:highlight w:val="none"/>
          <w:lang w:val="en-US" w:eastAsia="zh-CN"/>
        </w:rPr>
        <w:t xml:space="preserve">5</w:t>
      </w:r>
      <w:r>
        <w:rPr>
          <w:rFonts w:hint="eastAsia" w:ascii="宋体" w:hAnsi="宋体" w:cs="宋体"/>
          <w:b/>
          <w:bCs/>
          <w:color w:val="000000"/>
          <w:sz w:val="24"/>
          <w:highlight w:val="none"/>
        </w:rPr>
        <w:t xml:space="preserve">分）</w:t>
      </w:r>
      <w:r/>
    </w:p>
    <w:p>
      <w:pPr>
        <w:pStyle w:val="830"/>
        <w:ind w:left="0"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根据项目特点提供完善的培训方案，包括①培训讲师团队；②时间计划；③培训内容；④培训时长等内容；</w:t>
      </w:r>
      <w:r/>
    </w:p>
    <w:p>
      <w:pPr>
        <w:pStyle w:val="830"/>
        <w:ind w:left="0"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针对上述每一项要求作出了清晰、完整、可行方案且符合采购需求的得5分；内容安排相对完善、基本可行、较为符合实际情况的得2分；内容空泛，有待完善且针对性一般的，得1分；未进行阐述或存在逻辑错误、前后矛盾或存在违反现行相关规范的，该条不得分。</w:t>
      </w:r>
      <w:r/>
    </w:p>
    <w:p>
      <w:pPr>
        <w:ind w:firstLine="0"/>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四）产品演示</w:t>
      </w:r>
      <w:r>
        <w:rPr>
          <w:rFonts w:hint="eastAsia" w:ascii="宋体" w:hAnsi="宋体" w:cs="宋体"/>
          <w:b/>
          <w:bCs/>
          <w:color w:val="000000"/>
          <w:sz w:val="24"/>
          <w:szCs w:val="24"/>
          <w:highlight w:val="none"/>
        </w:rPr>
        <w:t xml:space="preserve">（1</w:t>
      </w:r>
      <w:r>
        <w:rPr>
          <w:rFonts w:hint="eastAsia" w:ascii="宋体" w:hAnsi="宋体" w:cs="宋体"/>
          <w:b/>
          <w:bCs/>
          <w:color w:val="000000"/>
          <w:sz w:val="24"/>
          <w:szCs w:val="24"/>
          <w:highlight w:val="none"/>
          <w:lang w:val="en-US" w:eastAsia="zh-CN"/>
        </w:rPr>
        <w:t xml:space="preserve">5</w:t>
      </w:r>
      <w:r>
        <w:rPr>
          <w:rFonts w:hint="eastAsia" w:ascii="宋体" w:hAnsi="宋体" w:cs="宋体"/>
          <w:b/>
          <w:bCs/>
          <w:color w:val="000000"/>
          <w:sz w:val="24"/>
          <w:szCs w:val="24"/>
          <w:highlight w:val="none"/>
        </w:rPr>
        <w:t xml:space="preserve">分）</w:t>
      </w:r>
      <w:r>
        <w:rPr>
          <w:rFonts w:hint="eastAsia" w:ascii="宋体" w:hAnsi="宋体" w:cs="宋体"/>
          <w:b/>
          <w:color w:val="000000"/>
          <w:sz w:val="24"/>
          <w:szCs w:val="24"/>
          <w:highlight w:val="none"/>
        </w:rPr>
        <w:t xml:space="preserve">：</w:t>
      </w:r>
      <w:r/>
    </w:p>
    <w:p>
      <w:pPr>
        <w:pStyle w:val="759"/>
        <w:ind w:firstLine="480"/>
        <w:spacing w:line="360" w:lineRule="auto"/>
        <w:rPr>
          <w:rFonts w:ascii="宋体" w:hAnsi="宋体"/>
          <w:b/>
          <w:color w:val="000000"/>
          <w:sz w:val="24"/>
          <w:highlight w:val="none"/>
        </w:rPr>
      </w:pPr>
      <w:r>
        <w:rPr>
          <w:rFonts w:hint="eastAsia" w:ascii="宋体" w:hAnsi="宋体"/>
          <w:b/>
          <w:bCs/>
          <w:color w:val="000000"/>
          <w:sz w:val="24"/>
          <w:szCs w:val="24"/>
          <w:highlight w:val="none"/>
          <w:lang w:eastAsia="zh-CN"/>
        </w:rPr>
        <w:t xml:space="preserve">投标人</w:t>
      </w:r>
      <w:r>
        <w:rPr>
          <w:rFonts w:hint="eastAsia" w:ascii="宋体" w:hAnsi="宋体"/>
          <w:b/>
          <w:bCs/>
          <w:color w:val="000000"/>
          <w:sz w:val="24"/>
          <w:szCs w:val="24"/>
          <w:highlight w:val="none"/>
        </w:rPr>
        <w:t xml:space="preserve">需提供功能演示视频上传至投标系统中。视频文件的格式为*.mp4或*.avi，投标人须将视频文件压缩为*.zip文件上传（单个文件不得大于50M，所有文件总共不得大于300M）。视频时长总计不超过</w:t>
      </w:r>
      <w:r>
        <w:rPr>
          <w:rFonts w:hint="eastAsia" w:ascii="宋体" w:hAnsi="宋体" w:eastAsia="宋体"/>
          <w:b/>
          <w:bCs/>
          <w:color w:val="000000"/>
          <w:sz w:val="24"/>
          <w:szCs w:val="24"/>
          <w:highlight w:val="none"/>
          <w:lang w:val="en-US" w:eastAsia="zh-CN"/>
        </w:rPr>
        <w:t xml:space="preserve">15</w:t>
      </w:r>
      <w:r>
        <w:rPr>
          <w:rFonts w:hint="eastAsia" w:ascii="宋体" w:hAnsi="宋体"/>
          <w:b/>
          <w:bCs/>
          <w:color w:val="000000"/>
          <w:sz w:val="24"/>
          <w:szCs w:val="24"/>
          <w:highlight w:val="none"/>
        </w:rPr>
        <w:t xml:space="preserve">分钟。根据投标人视频演示情况和以下功能得分点进行打分，未按要求进行演示或未提供演示视频的不得分。具体要求如下：</w:t>
      </w:r>
      <w:r/>
    </w:p>
    <w:p>
      <w:pPr>
        <w:ind w:firstLine="482"/>
        <w:spacing w:line="360" w:lineRule="auto"/>
        <w:rPr>
          <w:rFonts w:hint="eastAsia" w:ascii="宋体" w:hAnsi="宋体"/>
          <w:color w:val="000000"/>
          <w:sz w:val="24"/>
          <w:highlight w:val="none"/>
        </w:rPr>
      </w:pPr>
      <w:r>
        <w:rPr>
          <w:rFonts w:hint="eastAsia" w:ascii="宋体" w:hAnsi="宋体"/>
          <w:b/>
          <w:bCs/>
          <w:color w:val="000000"/>
          <w:sz w:val="24"/>
          <w:highlight w:val="none"/>
          <w:lang w:eastAsia="zh-CN"/>
        </w:rPr>
        <w:t xml:space="preserve">1.</w:t>
      </w:r>
      <w:r>
        <w:rPr>
          <w:rFonts w:hint="eastAsia" w:ascii="宋体" w:hAnsi="宋体"/>
          <w:b/>
          <w:bCs/>
          <w:color w:val="000000"/>
          <w:sz w:val="24"/>
          <w:highlight w:val="none"/>
        </w:rPr>
        <w:t xml:space="preserve">实验演示多目仪（</w:t>
      </w:r>
      <w:r>
        <w:rPr>
          <w:rFonts w:hint="eastAsia" w:ascii="宋体" w:hAnsi="宋体"/>
          <w:b/>
          <w:bCs/>
          <w:color w:val="000000"/>
          <w:sz w:val="24"/>
          <w:highlight w:val="none"/>
          <w:lang w:val="en-US" w:eastAsia="zh-CN"/>
        </w:rPr>
        <w:t xml:space="preserve">3</w:t>
      </w:r>
      <w:r>
        <w:rPr>
          <w:rFonts w:hint="eastAsia" w:ascii="宋体" w:hAnsi="宋体"/>
          <w:b/>
          <w:bCs/>
          <w:color w:val="000000"/>
          <w:sz w:val="24"/>
          <w:highlight w:val="none"/>
        </w:rPr>
        <w:t xml:space="preserve">分）</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①具有两个摄像头，整机一体化设计；主拍摄像和侧拍摄像可折叠，通过USB接入一体机或智慧黑板，演示多目仪直播画面可自由组合切换成画中画、双画面、单镜头功能演示；演示多目仪支持同步录制教学音频、截取实验搭建视频画面为图片和支持打开本地视频进行播放功能演示；满足以上要求得1分。</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②VR版多目仪软件支持理化生VR软件功能，能够打开的化学学科实验数量≥50个。满足以上要求得1分。</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③提供二维码扫描打开实验功能，扫描后可打开含对应版本的VR实验资源</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如滴水生烟，硫酸铜溶液和氢氧化钠溶液的反应实验，无色酚酞分别与酸和碱的作用，氢氧化钠与盐酸的反应，酸、碱与指示剂的作用，碱的化学性质，探究氢氧化钠与二氧化碳反应</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压强差</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，探究氢氧化钠与二氧化碳反应</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气球变化</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，探究氢氧化钠与二氧化碳反应</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验证产物</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，紫色石蕊试液分别与酸和碱的作用实验。满足以上要求得1分。</w:t>
      </w:r>
      <w:r/>
    </w:p>
    <w:p>
      <w:pPr>
        <w:ind w:firstLine="482"/>
        <w:spacing w:line="360" w:lineRule="auto"/>
        <w:rPr>
          <w:rFonts w:hint="eastAsia" w:ascii="宋体" w:hAnsi="宋体"/>
          <w:color w:val="000000"/>
          <w:sz w:val="24"/>
          <w:highlight w:val="none"/>
        </w:rPr>
      </w:pPr>
      <w:r>
        <w:rPr>
          <w:rFonts w:hint="eastAsia" w:ascii="宋体" w:hAnsi="宋体"/>
          <w:b/>
          <w:bCs/>
          <w:color w:val="000000"/>
          <w:sz w:val="24"/>
          <w:highlight w:val="none"/>
          <w:lang w:eastAsia="zh-CN"/>
        </w:rPr>
        <w:t xml:space="preserve">2.</w:t>
      </w:r>
      <w:r>
        <w:rPr>
          <w:rFonts w:hint="eastAsia" w:ascii="宋体" w:hAnsi="宋体"/>
          <w:b/>
          <w:bCs/>
          <w:color w:val="000000"/>
          <w:sz w:val="24"/>
          <w:highlight w:val="none"/>
        </w:rPr>
        <w:t xml:space="preserve">智慧环境监测系统（</w:t>
      </w:r>
      <w:r>
        <w:rPr>
          <w:rFonts w:hint="eastAsia" w:ascii="宋体" w:hAnsi="宋体"/>
          <w:b/>
          <w:bCs/>
          <w:color w:val="000000"/>
          <w:sz w:val="24"/>
          <w:highlight w:val="none"/>
          <w:lang w:val="en-US" w:eastAsia="zh-CN"/>
        </w:rPr>
        <w:t xml:space="preserve">4</w:t>
      </w:r>
      <w:r>
        <w:rPr>
          <w:rFonts w:hint="eastAsia" w:ascii="宋体" w:hAnsi="宋体"/>
          <w:b/>
          <w:bCs/>
          <w:color w:val="000000"/>
          <w:sz w:val="24"/>
          <w:highlight w:val="none"/>
        </w:rPr>
        <w:t xml:space="preserve">分）</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①室内环境监测预警功能：系统可实现室内环境监测预警，通过设置预警参数以及预警间隔提醒时间，当监测数据达到设定的</w:t>
      </w:r>
      <w:r>
        <w:rPr>
          <w:rFonts w:hint="eastAsia" w:ascii="宋体" w:hAnsi="宋体"/>
          <w:color w:val="000000"/>
          <w:sz w:val="24"/>
          <w:highlight w:val="none"/>
          <w:lang w:eastAsia="zh-CN"/>
        </w:rPr>
        <w:t xml:space="preserve">阈值</w:t>
      </w:r>
      <w:r>
        <w:rPr>
          <w:rFonts w:hint="eastAsia" w:ascii="宋体" w:hAnsi="宋体"/>
          <w:color w:val="000000"/>
          <w:sz w:val="24"/>
          <w:highlight w:val="none"/>
        </w:rPr>
        <w:t xml:space="preserve">，系统自动进行预警提醒，监测预警信息查询功能：监测预警信息可以在本地进行查看，也可以通过互联网访问云平台进行查看。满足以上要求得1分。</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②监测数据功能：支持本地查看室内温湿度、光照、甲醛、C02、TVOC、PM2.5和PM10以及烟雾的实时数据，并可查看统计分钟监测数据、小时监测数据，也可以通过互联网访问云平台进行查看。满足以上要求得1分。</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③室外监测数据查询功能：支持查看室外12种天气实况参数（天气现象、室外温度、体感温度、气压、相对湿度、能见度、风向、风向角度、风速、风力等级、云量、露点温度）以及8种室外空气质量实况（室外空气质量、室外首要污染物、PM2.5、PM10、S02、N02、C0、03）。满足以上要求得1分。</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④远程设备管理功能：支持利用手机微信扫码，查看设备信息以及监测数据。满足以上要求得1分。</w:t>
      </w:r>
      <w:r/>
    </w:p>
    <w:p>
      <w:pPr>
        <w:ind w:firstLine="482"/>
        <w:spacing w:line="360" w:lineRule="auto"/>
        <w:rPr>
          <w:rFonts w:hint="eastAsia" w:ascii="宋体" w:hAnsi="宋体" w:eastAsia="宋体"/>
          <w:color w:val="000000"/>
          <w:sz w:val="24"/>
          <w:highlight w:val="none"/>
          <w:lang w:eastAsia="zh-CN"/>
        </w:rPr>
      </w:pPr>
      <w:r>
        <w:rPr>
          <w:rFonts w:hint="eastAsia" w:ascii="宋体" w:hAnsi="宋体"/>
          <w:b/>
          <w:bCs/>
          <w:color w:val="000000"/>
          <w:sz w:val="24"/>
          <w:highlight w:val="none"/>
          <w:lang w:eastAsia="zh-CN"/>
        </w:rPr>
        <w:t xml:space="preserve">3.</w:t>
      </w:r>
      <w:r>
        <w:rPr>
          <w:rFonts w:hint="eastAsia" w:ascii="宋体" w:hAnsi="宋体"/>
          <w:b/>
          <w:bCs/>
          <w:color w:val="000000"/>
          <w:sz w:val="24"/>
          <w:highlight w:val="none"/>
        </w:rPr>
        <w:t xml:space="preserve">能源与可持续发展实验箱（</w:t>
      </w:r>
      <w:r>
        <w:rPr>
          <w:rFonts w:hint="eastAsia" w:ascii="宋体" w:hAnsi="宋体"/>
          <w:b/>
          <w:bCs/>
          <w:color w:val="000000"/>
          <w:sz w:val="24"/>
          <w:highlight w:val="none"/>
          <w:lang w:val="en-US" w:eastAsia="zh-CN"/>
        </w:rPr>
        <w:t xml:space="preserve">2</w:t>
      </w:r>
      <w:r>
        <w:rPr>
          <w:rFonts w:hint="eastAsia" w:ascii="宋体" w:hAnsi="宋体"/>
          <w:b/>
          <w:bCs/>
          <w:color w:val="000000"/>
          <w:sz w:val="24"/>
          <w:highlight w:val="none"/>
        </w:rPr>
        <w:t xml:space="preserve">分）</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①带支撑杆电机由铝制电机壳、不锈钢支撑杆、2个4mm香蕉插座等组成。小电机模块、单插座模块均为电学模块组件，为ABS工程塑料注塑成型，具有镀金触点连接，拼图式插接方式，上盖四边凹凸式对插接口，下盖四边滑槽，底部一个磁钢卡槽，可扩展为磁吸式电学模块。满足以上要求得1分。</w:t>
      </w:r>
      <w:r/>
    </w:p>
    <w:p>
      <w:pPr>
        <w:ind w:firstLine="480"/>
        <w:spacing w:line="360" w:lineRule="auto"/>
        <w:rPr>
          <w:rFonts w:hint="eastAsia" w:ascii="宋体" w:hAnsi="宋体"/>
          <w:color w:val="000000"/>
          <w:sz w:val="24"/>
          <w:highlight w:val="none"/>
        </w:rPr>
      </w:pPr>
      <w:r>
        <w:rPr>
          <w:rFonts w:hint="eastAsia" w:ascii="宋体" w:hAnsi="宋体" w:eastAsia="宋体" w:cs="Times New Roman"/>
          <w:color w:val="000000"/>
          <w:sz w:val="24"/>
          <w:highlight w:val="none"/>
        </w:rPr>
        <w:t xml:space="preserve">②将三叶桨固定在带支撑杆电机上，600mm支撑杆的公母杆与X型支座对接组成支撑座，锁紧自</w:t>
      </w:r>
      <w:r>
        <w:rPr>
          <w:rFonts w:hint="eastAsia" w:ascii="宋体" w:hAnsi="宋体" w:eastAsia="宋体" w:cs="Times New Roman"/>
          <w:color w:val="000000"/>
          <w:sz w:val="24"/>
          <w:highlight w:val="none"/>
        </w:rPr>
        <w:t xml:space="preserve">锁紧双下压扣，在X支座的插孔上固定带支撑杆风机，将带支撑杆电机固定在滑行座上。按照单端插座模块+小电机模块+单端插座模块的顺序拼接好。用4mm红黑香蕉导线连接移动式多功能电源与带支撑杆风机，并使带支撑杆风机与带支撑杆电机的三叶桨面对面放置，带支撑杆电机的电源孔和2个单端插座模块分别用4mm红黑香蕉导线连接好。调节移动式多功能电源的AC/DC切换按钮和电压调档旋钮，使输出电压为DC直流12伏，打开电源开关，适当调节带支撑杆风机与带支撑杆电机的三叶桨之间的距离，可以观察到小电机上的风扇转动。满足以上要求得1分。</w:t>
      </w:r>
      <w:r/>
    </w:p>
    <w:p>
      <w:pPr>
        <w:ind w:firstLine="482"/>
        <w:spacing w:line="360" w:lineRule="auto"/>
        <w:rPr>
          <w:rFonts w:hint="eastAsia" w:ascii="宋体" w:hAnsi="宋体"/>
          <w:color w:val="000000"/>
          <w:sz w:val="24"/>
          <w:highlight w:val="none"/>
        </w:rPr>
      </w:pPr>
      <w:r>
        <w:rPr>
          <w:rFonts w:hint="eastAsia" w:ascii="宋体" w:hAnsi="宋体"/>
          <w:b/>
          <w:bCs/>
          <w:color w:val="000000"/>
          <w:sz w:val="24"/>
          <w:highlight w:val="none"/>
          <w:lang w:eastAsia="zh-CN"/>
        </w:rPr>
        <w:t xml:space="preserve">4.</w:t>
      </w:r>
      <w:r>
        <w:rPr>
          <w:rFonts w:hint="eastAsia" w:ascii="宋体" w:hAnsi="宋体"/>
          <w:b/>
          <w:bCs/>
          <w:color w:val="000000"/>
          <w:sz w:val="24"/>
          <w:highlight w:val="none"/>
        </w:rPr>
        <w:t xml:space="preserve">眼球仪（</w:t>
      </w:r>
      <w:r>
        <w:rPr>
          <w:rFonts w:hint="eastAsia" w:ascii="宋体" w:hAnsi="宋体"/>
          <w:b/>
          <w:bCs/>
          <w:color w:val="000000"/>
          <w:sz w:val="24"/>
          <w:highlight w:val="none"/>
          <w:lang w:val="en-US" w:eastAsia="zh-CN"/>
        </w:rPr>
        <w:t xml:space="preserve">4</w:t>
      </w:r>
      <w:r>
        <w:rPr>
          <w:rFonts w:hint="eastAsia" w:ascii="宋体" w:hAnsi="宋体"/>
          <w:b/>
          <w:bCs/>
          <w:color w:val="000000"/>
          <w:sz w:val="24"/>
          <w:highlight w:val="none"/>
        </w:rPr>
        <w:t xml:space="preserve">分）</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①上下为铝型材结构，具有良好的抗拉强度，表面黑色氧化细喷砂处理。左右为ABS塑料精密注塑成型边框。五线激光源：工作电压DC3V；主要材质：ABS工程塑料、铜；工艺：塑料注塑成型；功能描述：激光光学光源，磁吸式，内置电池可充电，提供1～5线平行光源（中间绿色光源）。光学透镜：厚度20mm；主要材质：PMMA；磁吸式；演示所有配件吸附在眼球仪主体上。满足以上要求得1分。</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②由眼球仪主体（含眼球剖面图）、五线激光源、光学零件（正常眼球玻璃、远视眼球玻璃、近视眼球玻璃、近视镜玻璃、远视镜玻璃）组成。满足以上要求得1分。</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③近视矫正演示：将近视眼球玻璃放在指定虚线位置，将五线激光源电源打开，射向近视眼球玻璃，可以看到光源的焦点在视网膜前面，说明眼睛近视；将近视镜玻璃放在近视眼球玻璃前面，可以看到光源的焦点在视网膜上，说明通过近视镜玻璃矫正，眼睛视力恢复正常。满足以上要求得1分。</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④远视矫正演示：将远视眼球玻璃放在指定虚线位置，将五线激光源电源打开，射向远视眼球玻璃，可以看到光源的焦点在视网膜后面，说明眼睛远视；将远视镜玻璃放在远视眼球玻璃前面，可以看到光源的焦点在视网膜上，说明通过远视镜玻璃矫正，眼睛视力恢复正常。满足以上要求得1分。</w:t>
      </w:r>
      <w:r/>
    </w:p>
    <w:p>
      <w:pPr>
        <w:ind w:firstLine="482"/>
        <w:spacing w:line="360" w:lineRule="auto"/>
        <w:rPr>
          <w:rFonts w:hint="eastAsia" w:ascii="宋体" w:hAnsi="宋体"/>
          <w:b/>
          <w:bCs/>
          <w:color w:val="000000"/>
          <w:sz w:val="24"/>
          <w:highlight w:val="none"/>
        </w:rPr>
      </w:pPr>
      <w:r>
        <w:rPr>
          <w:rFonts w:hint="eastAsia" w:ascii="宋体" w:hAnsi="宋体" w:eastAsia="宋体" w:cs="Times New Roman"/>
          <w:b/>
          <w:bCs/>
          <w:color w:val="000000"/>
          <w:sz w:val="24"/>
          <w:highlight w:val="none"/>
          <w:lang w:val="en-US" w:eastAsia="zh-CN"/>
        </w:rPr>
        <w:t xml:space="preserve">5.磁吸电路实验箱</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2</w:t>
      </w:r>
      <w:r>
        <w:rPr>
          <w:rFonts w:hint="eastAsia" w:ascii="宋体" w:hAnsi="宋体"/>
          <w:b/>
          <w:bCs/>
          <w:color w:val="000000"/>
          <w:sz w:val="24"/>
          <w:highlight w:val="none"/>
        </w:rPr>
        <w:t xml:space="preserve">分）</w:t>
      </w:r>
      <w:r/>
    </w:p>
    <w:p>
      <w:pPr>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①</w:t>
      </w:r>
      <w:r>
        <w:rPr>
          <w:rFonts w:hint="eastAsia" w:ascii="宋体" w:hAnsi="宋体" w:eastAsia="宋体" w:cs="Times New Roman"/>
          <w:color w:val="000000"/>
          <w:sz w:val="24"/>
          <w:highlight w:val="none"/>
        </w:rPr>
        <w:t xml:space="preserve">演示电流表</w:t>
      </w:r>
      <w:r>
        <w:rPr>
          <w:rFonts w:hint="eastAsia" w:ascii="宋体" w:hAnsi="宋体" w:eastAsia="宋体" w:cs="Times New Roman"/>
          <w:color w:val="000000"/>
          <w:sz w:val="24"/>
          <w:highlight w:val="none"/>
          <w:lang w:val="en-US" w:eastAsia="zh-CN"/>
        </w:rPr>
        <w:t xml:space="preserve">由外壳、表盘、调零旋钮、香蕉插头接线柱等组成。工艺：ABS塑料精密注塑成型；量程：-0.2A～0.6 A/-1A～3 A 双量程，功能描述：磁吸式。1号电池盒（磁吸）由壳体、弹簧、弹片、</w:t>
      </w:r>
      <w:r>
        <w:rPr>
          <w:rFonts w:hint="eastAsia" w:ascii="宋体" w:hAnsi="宋体" w:eastAsia="宋体" w:cs="Times New Roman"/>
          <w:color w:val="000000"/>
          <w:sz w:val="24"/>
          <w:highlight w:val="none"/>
        </w:rPr>
        <w:t xml:space="preserve">4mm</w:t>
      </w:r>
      <w:r>
        <w:rPr>
          <w:rFonts w:hint="eastAsia" w:ascii="宋体" w:hAnsi="宋体" w:eastAsia="宋体" w:cs="Times New Roman"/>
          <w:color w:val="000000"/>
          <w:sz w:val="24"/>
          <w:highlight w:val="none"/>
          <w:lang w:val="en-US" w:eastAsia="zh-CN"/>
        </w:rPr>
        <w:t xml:space="preserve">香蕉插头接线柱等组成；壳体材质工艺：ABS塑料精密注塑成型，功能描述：磁吸式，内嵌磁铁。灯座和单刀单掷开关：材质工艺：ABS塑料精密注塑成型；功能描述：磁吸式，内嵌磁铁。</w:t>
      </w:r>
      <w:r>
        <w:rPr>
          <w:rFonts w:hint="eastAsia" w:ascii="宋体" w:hAnsi="宋体" w:eastAsia="宋体" w:cs="Times New Roman"/>
          <w:color w:val="000000"/>
          <w:sz w:val="24"/>
          <w:highlight w:val="none"/>
        </w:rPr>
        <w:t xml:space="preserve">满足以上要求得1分</w:t>
      </w:r>
      <w:r>
        <w:rPr>
          <w:rFonts w:hint="eastAsia" w:ascii="宋体" w:hAnsi="宋体" w:eastAsia="宋体" w:cs="Times New Roman"/>
          <w:color w:val="000000"/>
          <w:sz w:val="24"/>
          <w:highlight w:val="none"/>
          <w:lang w:eastAsia="zh-CN"/>
        </w:rPr>
        <w:t xml:space="preserve">。</w:t>
      </w:r>
      <w:r/>
    </w:p>
    <w:p>
      <w:pPr>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②在黑板上通过磁吸电学模块进行搭建串联电路，用手拨动调零旋钮对电流表进行调零（不用工具）。将电流表放在第一个小灯泡的前面</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闭合开关，观察电流表的读数；将电流表放在两个小灯泡的中间</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闭合开关，观察电流表的读数；将电流表放在第二个小灯泡的后面</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闭合开关，观察电流表的读数</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通过实验得知，串联电路中处处电流相等。</w:t>
      </w:r>
      <w:r>
        <w:rPr>
          <w:rFonts w:hint="eastAsia" w:ascii="宋体" w:hAnsi="宋体" w:eastAsia="宋体" w:cs="Times New Roman"/>
          <w:color w:val="000000"/>
          <w:sz w:val="24"/>
          <w:highlight w:val="none"/>
        </w:rPr>
        <w:t xml:space="preserve">满足以上要求得1分</w:t>
      </w:r>
      <w:r>
        <w:rPr>
          <w:rFonts w:hint="eastAsia" w:ascii="宋体" w:hAnsi="宋体" w:eastAsia="宋体" w:cs="Times New Roman"/>
          <w:color w:val="000000"/>
          <w:sz w:val="24"/>
          <w:highlight w:val="none"/>
          <w:lang w:eastAsia="zh-CN"/>
        </w:rPr>
        <w:t xml:space="preserve">。</w:t>
      </w:r>
      <w:r/>
    </w:p>
    <w:p>
      <w:pPr>
        <w:ind w:firstLine="482"/>
        <w:spacing w:line="36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r>
      <w:r/>
    </w:p>
    <w:p>
      <w:pPr>
        <w:spacing w:line="360" w:lineRule="auto"/>
        <w:rPr>
          <w:color w:val="000000"/>
          <w:sz w:val="24"/>
          <w:szCs w:val="24"/>
          <w:highlight w:val="none"/>
        </w:rPr>
      </w:pPr>
      <w:r>
        <w:rPr>
          <w:rFonts w:hint="eastAsia" w:ascii="宋体" w:hAnsi="宋体" w:cs="宋体"/>
          <w:b/>
          <w:bCs/>
          <w:color w:val="000000"/>
          <w:sz w:val="24"/>
          <w:szCs w:val="24"/>
          <w:highlight w:val="none"/>
          <w:shd w:val="clear" w:color="auto" w:fill="ffffff"/>
        </w:rPr>
        <w:t xml:space="preserve">未列入本评分细则的其他条件不作为评分内容。</w:t>
      </w:r>
      <w:r/>
    </w:p>
    <w:p>
      <w:pPr>
        <w:ind w:firstLine="480"/>
        <w:spacing w:line="360" w:lineRule="auto"/>
        <w:rPr>
          <w:rFonts w:ascii="黑体" w:hAnsi="宋体" w:eastAsia="黑体"/>
          <w:bCs/>
          <w:color w:val="000000"/>
          <w:sz w:val="24"/>
          <w:szCs w:val="24"/>
          <w:highlight w:val="none"/>
        </w:rPr>
      </w:pPr>
      <w:r>
        <w:rPr>
          <w:rFonts w:hint="eastAsia" w:ascii="宋体" w:hAnsi="宋体" w:cs="宋体"/>
          <w:color w:val="000000"/>
          <w:sz w:val="24"/>
          <w:szCs w:val="24"/>
          <w:highlight w:val="none"/>
        </w:rPr>
        <w:t xml:space="preserve">注：评委在5人及5人以上的，取所有</w:t>
      </w:r>
      <w:r>
        <w:rPr>
          <w:rFonts w:hint="eastAsia" w:ascii="宋体" w:cs="宋体"/>
          <w:bCs/>
          <w:color w:val="000000"/>
          <w:sz w:val="24"/>
          <w:szCs w:val="24"/>
          <w:highlight w:val="none"/>
        </w:rPr>
        <w:t xml:space="preserve">评委</w:t>
      </w:r>
      <w:r>
        <w:rPr>
          <w:rFonts w:hint="eastAsia" w:ascii="宋体" w:hAnsi="宋体" w:cs="宋体"/>
          <w:color w:val="000000"/>
          <w:sz w:val="24"/>
          <w:szCs w:val="24"/>
          <w:highlight w:val="none"/>
        </w:rPr>
        <w:t xml:space="preserve">的平均值。</w:t>
      </w:r>
      <w:r>
        <w:rPr>
          <w:rFonts w:hint="eastAsia" w:ascii="宋体" w:hAnsi="宋体"/>
          <w:bCs/>
          <w:color w:val="000000"/>
          <w:sz w:val="24"/>
          <w:szCs w:val="24"/>
          <w:highlight w:val="none"/>
        </w:rPr>
        <w:t xml:space="preserve">未列入本评分细则的其他条件不作为评分内容。</w:t>
      </w:r>
      <w:r/>
    </w:p>
    <w:p>
      <w:pPr>
        <w:pStyle w:val="1067"/>
        <w:ind w:firstLine="0"/>
        <w:jc w:val="both"/>
        <w:spacing w:before="0" w:after="0" w:line="500" w:lineRule="exact"/>
        <w:rPr>
          <w:rFonts w:ascii="黑体" w:eastAsia="黑体"/>
          <w:bCs/>
          <w:color w:val="000000"/>
          <w:sz w:val="36"/>
          <w:szCs w:val="36"/>
          <w:highlight w:val="none"/>
        </w:rPr>
      </w:pPr>
      <w:r>
        <w:rPr>
          <w:rFonts w:hint="eastAsia" w:ascii="黑体" w:eastAsia="黑体"/>
          <w:bCs/>
          <w:color w:val="000000"/>
          <w:sz w:val="36"/>
          <w:szCs w:val="36"/>
          <w:highlight w:val="none"/>
        </w:rPr>
        <w:br w:type="page" w:clear="all"/>
      </w:r>
      <w:r>
        <w:rPr>
          <w:rFonts w:hint="eastAsia" w:ascii="黑体" w:eastAsia="黑体"/>
          <w:bCs/>
          <w:color w:val="000000"/>
          <w:sz w:val="36"/>
          <w:szCs w:val="36"/>
          <w:highlight w:val="none"/>
        </w:rPr>
        <w:t xml:space="preserve">第六章  </w:t>
      </w:r>
      <w:bookmarkEnd w:id="185"/>
      <w:r/>
      <w:bookmarkEnd w:id="186"/>
      <w:r/>
      <w:bookmarkEnd w:id="196"/>
      <w:r>
        <w:rPr>
          <w:rFonts w:hint="eastAsia" w:ascii="黑体" w:eastAsia="黑体"/>
          <w:bCs/>
          <w:color w:val="000000"/>
          <w:sz w:val="36"/>
          <w:szCs w:val="36"/>
          <w:highlight w:val="none"/>
        </w:rPr>
        <w:t xml:space="preserve">投标文件内容与格式</w:t>
      </w:r>
      <w:r/>
    </w:p>
    <w:p>
      <w:pPr>
        <w:pStyle w:val="1067"/>
        <w:ind w:firstLine="602"/>
        <w:spacing w:before="0" w:after="0" w:line="500" w:lineRule="exact"/>
        <w:rPr>
          <w:rFonts w:cs="Arial"/>
          <w:b/>
          <w:color w:val="000000"/>
          <w:sz w:val="30"/>
          <w:szCs w:val="30"/>
          <w:highlight w:val="none"/>
        </w:rPr>
      </w:pPr>
      <w:r/>
      <w:bookmarkStart w:id="197" w:name="_Hlt26955039"/>
      <w:r/>
      <w:bookmarkEnd w:id="197"/>
      <w:r/>
      <w:bookmarkStart w:id="198" w:name="_Hlt26671244"/>
      <w:r/>
      <w:bookmarkEnd w:id="198"/>
      <w:r/>
      <w:bookmarkStart w:id="199" w:name="_Toc49090576"/>
      <w:r/>
      <w:bookmarkStart w:id="200" w:name="_Toc26554094"/>
      <w:r/>
      <w:bookmarkStart w:id="201" w:name="_Toc120614282"/>
      <w:r>
        <w:rPr>
          <w:rFonts w:hint="eastAsia" w:cs="Arial"/>
          <w:b/>
          <w:color w:val="000000"/>
          <w:sz w:val="30"/>
          <w:szCs w:val="30"/>
          <w:highlight w:val="none"/>
        </w:rPr>
        <w:t xml:space="preserve">第一部分  投标文件内容</w:t>
      </w:r>
      <w:r/>
    </w:p>
    <w:p>
      <w:pPr>
        <w:pStyle w:val="1067"/>
        <w:ind w:firstLine="0"/>
        <w:spacing w:before="0" w:after="0" w:line="500" w:lineRule="exact"/>
        <w:rPr>
          <w:rFonts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p>
    <w:tbl>
      <w:tblPr>
        <w:tblStyle w:val="72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tcPr>
          <w:p>
            <w:pPr>
              <w:pStyle w:val="1067"/>
              <w:ind w:firstLine="0"/>
              <w:jc w:val="center"/>
              <w:spacing w:before="0" w:after="0" w:line="240" w:lineRule="auto"/>
              <w:rPr>
                <w:rFonts w:ascii="宋体" w:hAnsi="宋体" w:cs="宋体"/>
                <w:b/>
                <w:color w:val="000000"/>
                <w:highlight w:val="none"/>
              </w:rPr>
            </w:pPr>
            <w:r>
              <w:rPr>
                <w:rFonts w:hint="eastAsia" w:ascii="宋体" w:hAnsi="宋体" w:cs="宋体"/>
                <w:b/>
                <w:color w:val="000000"/>
                <w:highlight w:val="none"/>
              </w:rPr>
              <w:t xml:space="preserve">序号</w:t>
            </w:r>
            <w:r/>
          </w:p>
        </w:tc>
        <w:tc>
          <w:tcPr>
            <w:tcW w:w="6104" w:type="dxa"/>
            <w:vAlign w:val="center"/>
            <w:textDirection w:val="lrTb"/>
            <w:noWrap/>
          </w:tcPr>
          <w:p>
            <w:pPr>
              <w:pStyle w:val="1067"/>
              <w:jc w:val="center"/>
              <w:spacing w:before="0" w:after="0" w:line="240" w:lineRule="auto"/>
              <w:rPr>
                <w:rFonts w:ascii="宋体" w:hAnsi="宋体" w:cs="宋体"/>
                <w:b/>
                <w:color w:val="000000"/>
                <w:highlight w:val="none"/>
              </w:rPr>
            </w:pPr>
            <w:r>
              <w:rPr>
                <w:rFonts w:hint="eastAsia" w:ascii="宋体" w:hAnsi="宋体" w:cs="宋体"/>
                <w:b/>
                <w:color w:val="000000"/>
                <w:highlight w:val="none"/>
              </w:rPr>
              <w:t xml:space="preserve">评审项目及评审要求</w:t>
            </w:r>
            <w:r/>
          </w:p>
        </w:tc>
        <w:tc>
          <w:tcPr>
            <w:tcW w:w="2449" w:type="dxa"/>
            <w:vAlign w:val="center"/>
            <w:textDirection w:val="lrTb"/>
            <w:noWrap/>
          </w:tcPr>
          <w:p>
            <w:pPr>
              <w:pStyle w:val="1067"/>
              <w:ind w:firstLine="0"/>
              <w:jc w:val="center"/>
              <w:spacing w:before="0" w:after="0" w:line="240" w:lineRule="auto"/>
              <w:rPr>
                <w:rFonts w:ascii="宋体" w:hAnsi="宋体" w:cs="宋体"/>
                <w:b/>
                <w:color w:val="000000"/>
                <w:highlight w:val="none"/>
              </w:rPr>
            </w:pPr>
            <w:r>
              <w:rPr>
                <w:rFonts w:hint="eastAsia" w:ascii="宋体" w:hAnsi="宋体" w:cs="宋体"/>
                <w:b/>
                <w:color w:val="000000"/>
                <w:highlight w:val="none"/>
              </w:rPr>
              <w:t xml:space="preserve">审查因素</w:t>
            </w:r>
            <w:r/>
          </w:p>
        </w:tc>
      </w:tr>
      <w:tr>
        <w:trPr>
          <w:cantSplit/>
          <w:jc w:val="center"/>
          <w:trHeight w:val="1335"/>
        </w:trPr>
        <w:tc>
          <w:tcPr>
            <w:tcW w:w="719" w:type="dxa"/>
            <w:vAlign w:val="center"/>
            <w:textDirection w:val="lrTb"/>
            <w:noWrap/>
          </w:tcPr>
          <w:p>
            <w:pPr>
              <w:pStyle w:val="1067"/>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1</w:t>
            </w:r>
            <w:r/>
          </w:p>
        </w:tc>
        <w:tc>
          <w:tcPr>
            <w:tcW w:w="6104" w:type="dxa"/>
            <w:vAlign w:val="center"/>
            <w:textDirection w:val="lrTb"/>
            <w:noWrap/>
          </w:tcPr>
          <w:p>
            <w:pPr>
              <w:pStyle w:val="1067"/>
              <w:ind w:firstLine="0"/>
              <w:jc w:val="both"/>
              <w:spacing w:before="0" w:after="0" w:line="240" w:lineRule="auto"/>
              <w:rPr>
                <w:rFonts w:ascii="宋体" w:hAnsi="宋体" w:cs="宋体"/>
                <w:color w:val="000000"/>
                <w:highlight w:val="none"/>
              </w:rPr>
            </w:pPr>
            <w:r>
              <w:rPr>
                <w:rFonts w:hint="eastAsia" w:ascii="宋体" w:hAnsi="宋体" w:cs="宋体"/>
                <w:color w:val="000000"/>
                <w:highlight w:val="none"/>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449" w:type="dxa"/>
            <w:vAlign w:val="center"/>
            <w:vMerge w:val="restart"/>
            <w:textDirection w:val="lrTb"/>
            <w:noWrap/>
          </w:tcPr>
          <w:p>
            <w:pPr>
              <w:pStyle w:val="1067"/>
              <w:ind w:firstLine="0"/>
              <w:spacing w:before="0" w:after="0" w:line="240" w:lineRule="auto"/>
              <w:rPr>
                <w:rFonts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p>
        </w:tc>
      </w:tr>
      <w:tr>
        <w:trPr>
          <w:cantSplit/>
          <w:jc w:val="center"/>
          <w:trHeight w:val="812"/>
        </w:trPr>
        <w:tc>
          <w:tcPr>
            <w:tcW w:w="719" w:type="dxa"/>
            <w:vAlign w:val="center"/>
            <w:textDirection w:val="lrTb"/>
            <w:noWrap/>
          </w:tcPr>
          <w:p>
            <w:pPr>
              <w:pStyle w:val="1067"/>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2</w:t>
            </w:r>
            <w:r/>
          </w:p>
        </w:tc>
        <w:tc>
          <w:tcPr>
            <w:tcW w:w="6104" w:type="dxa"/>
            <w:vAlign w:val="center"/>
            <w:textDirection w:val="lrTb"/>
            <w:noWrap/>
          </w:tcPr>
          <w:p>
            <w:pPr>
              <w:pStyle w:val="1067"/>
              <w:ind w:firstLine="0"/>
              <w:jc w:val="both"/>
              <w:spacing w:before="0" w:after="0" w:line="240" w:lineRule="auto"/>
              <w:rPr>
                <w:rFonts w:ascii="宋体" w:hAnsi="宋体" w:cs="宋体"/>
                <w:color w:val="000000"/>
                <w:highlight w:val="none"/>
              </w:rPr>
            </w:pPr>
            <w:r>
              <w:rPr>
                <w:rFonts w:hint="eastAsia" w:ascii="宋体" w:hAnsi="宋体" w:cs="宋体"/>
                <w:color w:val="000000"/>
                <w:highlight w:val="none"/>
              </w:rPr>
              <w:t xml:space="preserve">《授权委托书》（给定格式；投标人如是自然人情形的，可不提供）。</w:t>
            </w:r>
            <w:r/>
          </w:p>
        </w:tc>
        <w:tc>
          <w:tcPr>
            <w:tcW w:w="2449" w:type="dxa"/>
            <w:vAlign w:val="center"/>
            <w:vMerge w:val="continue"/>
            <w:textDirection w:val="lrTb"/>
            <w:noWrap/>
          </w:tcPr>
          <w:p>
            <w:pPr>
              <w:pStyle w:val="1067"/>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1684"/>
        </w:trPr>
        <w:tc>
          <w:tcPr>
            <w:tcW w:w="719" w:type="dxa"/>
            <w:vAlign w:val="center"/>
            <w:textDirection w:val="lrTb"/>
            <w:noWrap/>
          </w:tcPr>
          <w:p>
            <w:pPr>
              <w:pStyle w:val="1067"/>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3</w:t>
            </w:r>
            <w:r/>
          </w:p>
        </w:tc>
        <w:tc>
          <w:tcPr>
            <w:tcW w:w="6104" w:type="dxa"/>
            <w:vAlign w:val="center"/>
            <w:textDirection w:val="lrTb"/>
            <w:noWrap/>
          </w:tcPr>
          <w:p>
            <w:pPr>
              <w:pStyle w:val="1067"/>
              <w:ind w:firstLine="0"/>
              <w:jc w:val="both"/>
              <w:spacing w:before="0" w:after="0" w:line="240" w:lineRule="auto"/>
              <w:rPr>
                <w:rFonts w:ascii="宋体" w:hAnsi="宋体" w:cs="宋体"/>
                <w:color w:val="000000"/>
                <w:highlight w:val="none"/>
              </w:rPr>
            </w:pPr>
            <w:r>
              <w:rPr>
                <w:rFonts w:hint="eastAsia" w:ascii="宋体" w:hAnsi="宋体" w:cs="宋体"/>
                <w:color w:val="000000"/>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17"/>
                <w:rFonts w:hint="eastAsia" w:ascii="宋体" w:hAnsi="宋体" w:cs="宋体"/>
                <w:color w:val="000000"/>
                <w:sz w:val="24"/>
                <w:szCs w:val="24"/>
                <w:highlight w:val="none"/>
              </w:rPr>
              <w:t xml:space="preserve">。</w:t>
            </w:r>
            <w:r/>
          </w:p>
        </w:tc>
        <w:tc>
          <w:tcPr>
            <w:tcW w:w="2449" w:type="dxa"/>
            <w:vAlign w:val="center"/>
            <w:vMerge w:val="continue"/>
            <w:textDirection w:val="lrTb"/>
            <w:noWrap/>
          </w:tcPr>
          <w:p>
            <w:pPr>
              <w:pStyle w:val="1067"/>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963"/>
        </w:trPr>
        <w:tc>
          <w:tcPr>
            <w:tcW w:w="719" w:type="dxa"/>
            <w:vAlign w:val="center"/>
            <w:textDirection w:val="lrTb"/>
            <w:noWrap/>
          </w:tcPr>
          <w:p>
            <w:pPr>
              <w:pStyle w:val="1067"/>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4</w:t>
            </w:r>
            <w:r/>
          </w:p>
        </w:tc>
        <w:tc>
          <w:tcPr>
            <w:tcW w:w="6104" w:type="dxa"/>
            <w:vAlign w:val="center"/>
            <w:textDirection w:val="lrTb"/>
            <w:noWrap/>
          </w:tcPr>
          <w:p>
            <w:pPr>
              <w:pStyle w:val="1067"/>
              <w:ind w:firstLine="0"/>
              <w:jc w:val="both"/>
              <w:spacing w:before="0" w:after="0" w:line="240" w:lineRule="auto"/>
              <w:rPr>
                <w:rFonts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tcPr>
          <w:p>
            <w:pPr>
              <w:pStyle w:val="1067"/>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1023"/>
        </w:trPr>
        <w:tc>
          <w:tcPr>
            <w:tcW w:w="719" w:type="dxa"/>
            <w:vAlign w:val="center"/>
            <w:textDirection w:val="lrTb"/>
            <w:noWrap/>
          </w:tcPr>
          <w:p>
            <w:pPr>
              <w:pStyle w:val="1067"/>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5</w:t>
            </w:r>
            <w:r/>
          </w:p>
        </w:tc>
        <w:tc>
          <w:tcPr>
            <w:tcW w:w="6104" w:type="dxa"/>
            <w:vAlign w:val="center"/>
            <w:textDirection w:val="lrTb"/>
            <w:noWrap/>
          </w:tcPr>
          <w:p>
            <w:pPr>
              <w:pStyle w:val="1067"/>
              <w:ind w:firstLine="0"/>
              <w:jc w:val="both"/>
              <w:spacing w:before="0" w:after="0" w:line="240" w:lineRule="auto"/>
              <w:rPr>
                <w:rFonts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tcPr>
          <w:p>
            <w:pPr>
              <w:pStyle w:val="1067"/>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705"/>
        </w:trPr>
        <w:tc>
          <w:tcPr>
            <w:tcW w:w="719" w:type="dxa"/>
            <w:vAlign w:val="center"/>
            <w:textDirection w:val="lrTb"/>
            <w:noWrap/>
          </w:tcPr>
          <w:p>
            <w:pPr>
              <w:pStyle w:val="1067"/>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6</w:t>
            </w:r>
            <w:r/>
          </w:p>
        </w:tc>
        <w:tc>
          <w:tcPr>
            <w:tcW w:w="6104" w:type="dxa"/>
            <w:vAlign w:val="center"/>
            <w:textDirection w:val="lrTb"/>
            <w:noWrap/>
          </w:tcPr>
          <w:p>
            <w:pPr>
              <w:pStyle w:val="1067"/>
              <w:ind w:firstLine="0"/>
              <w:jc w:val="both"/>
              <w:spacing w:before="0" w:after="0" w:line="240" w:lineRule="auto"/>
              <w:rPr>
                <w:rFonts w:ascii="宋体" w:hAnsi="宋体" w:cs="宋体"/>
                <w:color w:val="000000"/>
                <w:highlight w:val="none"/>
              </w:rPr>
            </w:pPr>
            <w:r>
              <w:rPr>
                <w:rFonts w:hint="eastAsia" w:ascii="宋体" w:hAnsi="宋体" w:cs="宋体"/>
                <w:color w:val="000000"/>
                <w:highlight w:val="none"/>
              </w:rPr>
              <w:t xml:space="preserve">《资格声明函》（给定格式）。</w:t>
            </w:r>
            <w:r/>
          </w:p>
        </w:tc>
        <w:tc>
          <w:tcPr>
            <w:tcW w:w="2449" w:type="dxa"/>
            <w:vAlign w:val="center"/>
            <w:vMerge w:val="continue"/>
            <w:textDirection w:val="lrTb"/>
            <w:noWrap/>
          </w:tcPr>
          <w:p>
            <w:pPr>
              <w:pStyle w:val="1067"/>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jc w:val="center"/>
          <w:trHeight w:val="700"/>
        </w:trPr>
        <w:tc>
          <w:tcPr>
            <w:tcW w:w="719" w:type="dxa"/>
            <w:vAlign w:val="center"/>
            <w:textDirection w:val="lrTb"/>
            <w:noWrap/>
          </w:tcPr>
          <w:p>
            <w:pPr>
              <w:pStyle w:val="1067"/>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7</w:t>
            </w:r>
            <w:r/>
          </w:p>
        </w:tc>
        <w:tc>
          <w:tcPr>
            <w:tcW w:w="6104" w:type="dxa"/>
            <w:vAlign w:val="center"/>
            <w:textDirection w:val="lrTb"/>
            <w:noWrap/>
          </w:tcPr>
          <w:p>
            <w:pPr>
              <w:pStyle w:val="1067"/>
              <w:ind w:firstLine="0"/>
              <w:spacing w:before="0" w:after="0" w:line="240" w:lineRule="auto"/>
              <w:rPr>
                <w:rFonts w:ascii="宋体" w:hAnsi="宋体" w:cs="宋体"/>
                <w:color w:val="000000"/>
                <w:highlight w:val="none"/>
              </w:rPr>
            </w:pPr>
            <w:r>
              <w:rPr>
                <w:rFonts w:hint="eastAsia" w:ascii="宋体" w:hAnsi="宋体" w:cs="宋体"/>
                <w:color w:val="000000"/>
                <w:highlight w:val="none"/>
              </w:rPr>
              <w:t xml:space="preserve">满足中小企业政策的证明文件（如有中小企业政策要求的）。</w:t>
            </w:r>
            <w:r/>
          </w:p>
        </w:tc>
        <w:tc>
          <w:tcPr>
            <w:tcW w:w="2449" w:type="dxa"/>
            <w:vAlign w:val="center"/>
            <w:textDirection w:val="lrTb"/>
            <w:noWrap/>
          </w:tcPr>
          <w:p>
            <w:pPr>
              <w:pStyle w:val="1067"/>
              <w:ind w:firstLine="0"/>
              <w:spacing w:before="0" w:after="0" w:line="240" w:lineRule="auto"/>
              <w:rPr>
                <w:rFonts w:ascii="宋体" w:hAnsi="宋体" w:cs="宋体"/>
                <w:color w:val="000000"/>
                <w:highlight w:val="none"/>
              </w:rPr>
            </w:pPr>
            <w:r>
              <w:rPr>
                <w:rFonts w:hint="eastAsia" w:ascii="宋体" w:hAnsi="宋体" w:cs="宋体"/>
                <w:color w:val="000000"/>
                <w:highlight w:val="none"/>
              </w:rPr>
              <w:t xml:space="preserve">落实政府采购政策需满足的资格要求，详见第一章《投标邀请》</w:t>
            </w:r>
            <w:r/>
          </w:p>
        </w:tc>
      </w:tr>
      <w:tr>
        <w:trPr>
          <w:jc w:val="center"/>
          <w:trHeight w:val="726"/>
        </w:trPr>
        <w:tc>
          <w:tcPr>
            <w:tcW w:w="719" w:type="dxa"/>
            <w:vAlign w:val="center"/>
            <w:textDirection w:val="lrTb"/>
            <w:noWrap/>
          </w:tcPr>
          <w:p>
            <w:pPr>
              <w:pStyle w:val="1067"/>
              <w:ind w:firstLine="0"/>
              <w:jc w:val="center"/>
              <w:spacing w:before="0" w:after="0" w:line="240" w:lineRule="auto"/>
              <w:rPr>
                <w:rFonts w:ascii="宋体" w:hAnsi="宋体" w:cs="宋体"/>
                <w:bCs/>
                <w:color w:val="000000"/>
                <w:highlight w:val="none"/>
              </w:rPr>
            </w:pPr>
            <w:r>
              <w:rPr>
                <w:rFonts w:hint="eastAsia" w:ascii="宋体" w:hAnsi="宋体" w:cs="宋体"/>
                <w:bCs/>
                <w:color w:val="000000"/>
                <w:highlight w:val="none"/>
              </w:rPr>
              <w:t xml:space="preserve">8</w:t>
            </w:r>
            <w:r/>
          </w:p>
        </w:tc>
        <w:tc>
          <w:tcPr>
            <w:tcW w:w="6104" w:type="dxa"/>
            <w:vAlign w:val="center"/>
            <w:textDirection w:val="lrTb"/>
            <w:noWrap/>
          </w:tcPr>
          <w:p>
            <w:pPr>
              <w:pStyle w:val="1067"/>
              <w:ind w:firstLine="0"/>
              <w:jc w:val="both"/>
              <w:spacing w:before="0" w:after="0" w:line="240" w:lineRule="auto"/>
              <w:rPr>
                <w:rFonts w:ascii="宋体" w:hAnsi="宋体" w:cs="宋体"/>
                <w:bCs/>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文件：无</w:t>
            </w:r>
            <w:r/>
          </w:p>
        </w:tc>
        <w:tc>
          <w:tcPr>
            <w:tcW w:w="2449" w:type="dxa"/>
            <w:vAlign w:val="center"/>
            <w:textDirection w:val="lrTb"/>
            <w:noWrap/>
          </w:tcPr>
          <w:p>
            <w:pPr>
              <w:pStyle w:val="1067"/>
              <w:ind w:firstLine="0"/>
              <w:spacing w:before="0" w:after="0" w:line="240" w:lineRule="auto"/>
              <w:rPr>
                <w:rFonts w:ascii="宋体" w:hAnsi="宋体" w:cs="宋体"/>
                <w:bCs/>
                <w:color w:val="000000"/>
                <w:highlight w:val="none"/>
              </w:rPr>
            </w:pPr>
            <w:r>
              <w:rPr>
                <w:rFonts w:hint="eastAsia" w:ascii="宋体" w:hAnsi="宋体" w:cs="宋体"/>
                <w:color w:val="000000"/>
                <w:highlight w:val="none"/>
              </w:rPr>
              <w:t xml:space="preserve">特定资格要求，详见第一章《投标邀请》</w:t>
            </w:r>
            <w:r/>
          </w:p>
        </w:tc>
      </w:tr>
      <w:tr>
        <w:trPr>
          <w:jc w:val="center"/>
          <w:trHeight w:val="632"/>
        </w:trPr>
        <w:tc>
          <w:tcPr>
            <w:tcW w:w="719" w:type="dxa"/>
            <w:vAlign w:val="center"/>
            <w:textDirection w:val="lrTb"/>
            <w:noWrap/>
          </w:tcPr>
          <w:p>
            <w:pPr>
              <w:pStyle w:val="1067"/>
              <w:ind w:firstLine="0"/>
              <w:jc w:val="center"/>
              <w:spacing w:before="0" w:after="0" w:line="240" w:lineRule="auto"/>
              <w:rPr>
                <w:rFonts w:ascii="宋体" w:hAnsi="宋体" w:cs="宋体"/>
                <w:bCs/>
                <w:color w:val="000000"/>
                <w:highlight w:val="none"/>
              </w:rPr>
            </w:pPr>
            <w:r>
              <w:rPr>
                <w:rFonts w:hint="eastAsia" w:ascii="宋体" w:hAnsi="宋体" w:cs="宋体"/>
                <w:bCs/>
                <w:color w:val="000000"/>
                <w:highlight w:val="none"/>
              </w:rPr>
              <w:t xml:space="preserve">9</w:t>
            </w:r>
            <w:r/>
          </w:p>
        </w:tc>
        <w:tc>
          <w:tcPr>
            <w:gridSpan w:val="2"/>
            <w:tcW w:w="8553" w:type="dxa"/>
            <w:vAlign w:val="center"/>
            <w:textDirection w:val="lrTb"/>
            <w:noWrap/>
          </w:tcPr>
          <w:p>
            <w:pPr>
              <w:pStyle w:val="1067"/>
              <w:ind w:firstLine="0"/>
              <w:spacing w:before="0" w:after="0" w:line="240" w:lineRule="auto"/>
              <w:rPr>
                <w:rFonts w:ascii="宋体" w:hAnsi="宋体" w:cs="宋体"/>
                <w:color w:val="000000"/>
                <w:highlight w:val="none"/>
              </w:rPr>
            </w:pPr>
            <w:r>
              <w:rPr>
                <w:rFonts w:hint="eastAsia" w:ascii="宋体" w:hAnsi="宋体" w:cs="宋体"/>
                <w:bCs/>
                <w:color w:val="000000"/>
                <w:highlight w:val="none"/>
              </w:rPr>
              <w:t xml:space="preserve">《联合体协议》（</w:t>
            </w:r>
            <w:r>
              <w:rPr>
                <w:rFonts w:hint="eastAsia" w:ascii="宋体" w:hAnsi="宋体"/>
                <w:color w:val="000000"/>
                <w:highlight w:val="none"/>
              </w:rPr>
              <w:t xml:space="preserve">如接受联合体投标且投标人为联合体时须提供</w:t>
            </w:r>
            <w:r>
              <w:rPr>
                <w:rFonts w:hint="eastAsia" w:ascii="宋体" w:hAnsi="宋体" w:cs="宋体"/>
                <w:bCs/>
                <w:color w:val="000000"/>
                <w:highlight w:val="none"/>
              </w:rPr>
              <w:t xml:space="preserve">，格式自拟）。</w:t>
            </w:r>
            <w:r/>
          </w:p>
        </w:tc>
      </w:tr>
    </w:tbl>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说明：</w:t>
      </w:r>
      <w:r/>
    </w:p>
    <w:p>
      <w:pPr>
        <w:numPr>
          <w:ilvl w:val="0"/>
          <w:numId w:val="14"/>
        </w:numPr>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如遇年检、换证，则必须提供法定年检、换证单位出具的有效证明扫描件。</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），必须提供相关政策规定或相关单位出具的有效证明扫描件；如因新成立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4"/>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4"/>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8项，如本项目有特定资格要求的（详见第一章《投标邀请》），须提供相应的特定资格证明文件。</w:t>
      </w:r>
      <w:r/>
    </w:p>
    <w:p>
      <w:pPr>
        <w:numPr>
          <w:ilvl w:val="0"/>
          <w:numId w:val="14"/>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中：第2、6项可由联合体主体单位（即联合体牵头人）代表联合体提供；第1、3、4、5、7（如有要求）、8（如有要求）项，联合体各方均须提供。</w:t>
      </w:r>
      <w:r/>
    </w:p>
    <w:p>
      <w:pPr>
        <w:rPr>
          <w:b/>
          <w:color w:val="000000"/>
          <w:sz w:val="28"/>
          <w:szCs w:val="28"/>
          <w:highlight w:val="none"/>
        </w:rPr>
      </w:pPr>
      <w:r>
        <w:rPr>
          <w:rFonts w:hint="eastAsia" w:ascii="宋体" w:hAnsi="宋体"/>
          <w:color w:val="000000"/>
          <w:highlight w:val="none"/>
        </w:rPr>
        <w:br w:type="page" w:clear="all"/>
      </w:r>
      <w:r>
        <w:rPr>
          <w:rFonts w:hint="eastAsia"/>
          <w:b/>
          <w:color w:val="000000"/>
          <w:sz w:val="28"/>
          <w:szCs w:val="28"/>
          <w:highlight w:val="none"/>
        </w:rPr>
        <w:t xml:space="preserve">二、符合性证明文件及其他证明文件</w:t>
      </w:r>
      <w:r/>
    </w:p>
    <w:p>
      <w:pPr>
        <w:rPr>
          <w:b/>
          <w:color w:val="000000"/>
          <w:sz w:val="28"/>
          <w:szCs w:val="28"/>
          <w:highlight w:val="none"/>
        </w:rPr>
      </w:pPr>
      <w:r>
        <w:rPr>
          <w:rFonts w:hint="eastAsia"/>
          <w:b/>
          <w:color w:val="000000"/>
          <w:sz w:val="28"/>
          <w:szCs w:val="28"/>
          <w:highlight w:val="none"/>
        </w:rPr>
        <w:t xml:space="preserve">（一）符合性证明文件</w:t>
      </w:r>
      <w:r/>
    </w:p>
    <w:tbl>
      <w:tblPr>
        <w:tblStyle w:val="7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tcPr>
          <w:p>
            <w:pPr>
              <w:pStyle w:val="1067"/>
              <w:ind w:firstLine="0"/>
              <w:jc w:val="center"/>
              <w:spacing w:before="0" w:after="0" w:line="240" w:lineRule="auto"/>
              <w:rPr>
                <w:rFonts w:cs="Arial"/>
                <w:b/>
                <w:color w:val="000000"/>
                <w:highlight w:val="none"/>
              </w:rPr>
            </w:pPr>
            <w:r>
              <w:rPr>
                <w:rFonts w:hint="eastAsia" w:cs="Arial"/>
                <w:b/>
                <w:color w:val="000000"/>
                <w:highlight w:val="none"/>
              </w:rPr>
              <w:t xml:space="preserve">序号</w:t>
            </w:r>
            <w:r/>
          </w:p>
        </w:tc>
        <w:tc>
          <w:tcPr>
            <w:tcW w:w="6095" w:type="dxa"/>
            <w:vAlign w:val="center"/>
            <w:textDirection w:val="lrTb"/>
            <w:noWrap/>
          </w:tcPr>
          <w:p>
            <w:pPr>
              <w:pStyle w:val="1067"/>
              <w:ind w:firstLine="0"/>
              <w:jc w:val="center"/>
              <w:spacing w:before="0" w:after="0" w:line="240" w:lineRule="auto"/>
              <w:rPr>
                <w:rFonts w:cs="Arial"/>
                <w:b/>
                <w:color w:val="000000"/>
                <w:highlight w:val="none"/>
              </w:rPr>
            </w:pPr>
            <w:r>
              <w:rPr>
                <w:rFonts w:hint="eastAsia" w:ascii="宋体" w:hAnsi="宋体" w:cs="宋体"/>
                <w:b/>
                <w:color w:val="000000"/>
                <w:highlight w:val="none"/>
              </w:rPr>
              <w:t xml:space="preserve">评审项目及评审要求</w:t>
            </w:r>
            <w:r/>
          </w:p>
        </w:tc>
        <w:tc>
          <w:tcPr>
            <w:tcW w:w="1979" w:type="dxa"/>
            <w:vAlign w:val="center"/>
            <w:textDirection w:val="lrTb"/>
            <w:noWrap/>
          </w:tcPr>
          <w:p>
            <w:pPr>
              <w:pStyle w:val="1067"/>
              <w:ind w:firstLine="0"/>
              <w:jc w:val="center"/>
              <w:spacing w:before="0" w:after="0" w:line="240" w:lineRule="auto"/>
              <w:rPr>
                <w:rFonts w:cs="Arial"/>
                <w:b/>
                <w:color w:val="000000"/>
                <w:highlight w:val="none"/>
              </w:rPr>
            </w:pPr>
            <w:r>
              <w:rPr>
                <w:rFonts w:hint="eastAsia" w:cs="Arial"/>
                <w:b/>
                <w:color w:val="000000"/>
                <w:highlight w:val="none"/>
              </w:rPr>
              <w:t xml:space="preserve">审查因素</w:t>
            </w:r>
            <w:r/>
          </w:p>
        </w:tc>
      </w:tr>
      <w:tr>
        <w:trPr>
          <w:cantSplit/>
          <w:jc w:val="center"/>
          <w:trHeight w:val="567"/>
        </w:trPr>
        <w:tc>
          <w:tcPr>
            <w:tcW w:w="823" w:type="dxa"/>
            <w:vAlign w:val="center"/>
            <w:textDirection w:val="lrTb"/>
            <w:noWrap/>
          </w:tcPr>
          <w:p>
            <w:pPr>
              <w:pStyle w:val="1067"/>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1</w:t>
            </w:r>
            <w:r/>
          </w:p>
        </w:tc>
        <w:tc>
          <w:tcPr>
            <w:tcW w:w="6095" w:type="dxa"/>
            <w:vAlign w:val="center"/>
            <w:textDirection w:val="lrTb"/>
            <w:noWrap/>
          </w:tcPr>
          <w:p>
            <w:pPr>
              <w:pStyle w:val="1067"/>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投标函（给定格式）</w:t>
            </w:r>
            <w:r/>
          </w:p>
        </w:tc>
        <w:tc>
          <w:tcPr>
            <w:tcW w:w="1979" w:type="dxa"/>
            <w:vAlign w:val="center"/>
            <w:vMerge w:val="restart"/>
            <w:textDirection w:val="lrTb"/>
            <w:noWrap/>
          </w:tcPr>
          <w:p>
            <w:pPr>
              <w:pStyle w:val="1067"/>
              <w:ind w:firstLine="0"/>
              <w:jc w:val="center"/>
              <w:spacing w:before="0" w:after="0" w:line="240" w:lineRule="auto"/>
              <w:rPr>
                <w:rFonts w:cs="Arial"/>
                <w:color w:val="000000"/>
                <w:highlight w:val="none"/>
              </w:rPr>
            </w:pPr>
            <w:r>
              <w:rPr>
                <w:rFonts w:hint="eastAsia" w:cs="Arial"/>
                <w:color w:val="000000"/>
                <w:highlight w:val="none"/>
              </w:rPr>
              <w:t xml:space="preserve">商务符合性</w:t>
            </w:r>
            <w:r/>
          </w:p>
        </w:tc>
      </w:tr>
      <w:tr>
        <w:trPr>
          <w:cantSplit/>
          <w:jc w:val="center"/>
          <w:trHeight w:val="567"/>
        </w:trPr>
        <w:tc>
          <w:tcPr>
            <w:tcW w:w="823" w:type="dxa"/>
            <w:vAlign w:val="center"/>
            <w:textDirection w:val="lrTb"/>
            <w:noWrap/>
          </w:tcPr>
          <w:p>
            <w:pPr>
              <w:pStyle w:val="1067"/>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2</w:t>
            </w:r>
            <w:r/>
          </w:p>
        </w:tc>
        <w:tc>
          <w:tcPr>
            <w:tcW w:w="6095" w:type="dxa"/>
            <w:vAlign w:val="center"/>
            <w:textDirection w:val="lrTb"/>
            <w:noWrap/>
          </w:tcPr>
          <w:p>
            <w:pPr>
              <w:pStyle w:val="1067"/>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承诺书（给定格式）</w:t>
            </w:r>
            <w:r/>
          </w:p>
        </w:tc>
        <w:tc>
          <w:tcPr>
            <w:tcW w:w="1979" w:type="dxa"/>
            <w:vAlign w:val="center"/>
            <w:vMerge w:val="continue"/>
            <w:textDirection w:val="lrTb"/>
            <w:noWrap/>
          </w:tcPr>
          <w:p>
            <w:pPr>
              <w:pStyle w:val="1067"/>
              <w:ind w:firstLine="0"/>
              <w:jc w:val="center"/>
              <w:spacing w:before="0" w:after="0" w:line="240" w:lineRule="auto"/>
              <w:rPr>
                <w:rFonts w:cs="Arial"/>
                <w:color w:val="000000"/>
                <w:highlight w:val="none"/>
              </w:rPr>
            </w:pPr>
            <w:r>
              <w:rPr>
                <w:rFonts w:cs="Arial"/>
                <w:color w:val="000000"/>
                <w:highlight w:val="none"/>
              </w:rPr>
            </w:r>
            <w:r/>
          </w:p>
        </w:tc>
      </w:tr>
      <w:tr>
        <w:trPr>
          <w:cantSplit/>
          <w:jc w:val="center"/>
          <w:trHeight w:val="567"/>
        </w:trPr>
        <w:tc>
          <w:tcPr>
            <w:tcW w:w="823" w:type="dxa"/>
            <w:vAlign w:val="center"/>
            <w:textDirection w:val="lrTb"/>
            <w:noWrap/>
          </w:tcPr>
          <w:p>
            <w:pPr>
              <w:pStyle w:val="1067"/>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3</w:t>
            </w:r>
            <w:r/>
          </w:p>
        </w:tc>
        <w:tc>
          <w:tcPr>
            <w:tcW w:w="6095" w:type="dxa"/>
            <w:vAlign w:val="center"/>
            <w:textDirection w:val="lrTb"/>
            <w:noWrap/>
          </w:tcPr>
          <w:p>
            <w:pPr>
              <w:pStyle w:val="1067"/>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开标一览表（“苏采云”系统中给定格式）</w:t>
            </w:r>
            <w:r/>
          </w:p>
        </w:tc>
        <w:tc>
          <w:tcPr>
            <w:tcW w:w="1979" w:type="dxa"/>
            <w:vAlign w:val="center"/>
            <w:vMerge w:val="restart"/>
            <w:textDirection w:val="lrTb"/>
            <w:noWrap/>
          </w:tcPr>
          <w:p>
            <w:pPr>
              <w:pStyle w:val="1067"/>
              <w:ind w:firstLine="0"/>
              <w:jc w:val="center"/>
              <w:spacing w:before="0" w:after="0" w:line="240" w:lineRule="auto"/>
              <w:rPr>
                <w:rFonts w:cs="Arial"/>
                <w:color w:val="000000"/>
                <w:highlight w:val="none"/>
              </w:rPr>
            </w:pPr>
            <w:r>
              <w:rPr>
                <w:rFonts w:hint="eastAsia" w:cs="Arial"/>
                <w:color w:val="000000"/>
                <w:highlight w:val="none"/>
              </w:rPr>
              <w:t xml:space="preserve">报价符合性</w:t>
            </w:r>
            <w:r/>
          </w:p>
        </w:tc>
      </w:tr>
      <w:tr>
        <w:trPr>
          <w:cantSplit/>
          <w:jc w:val="center"/>
          <w:trHeight w:val="567"/>
        </w:trPr>
        <w:tc>
          <w:tcPr>
            <w:tcW w:w="823" w:type="dxa"/>
            <w:vAlign w:val="center"/>
            <w:textDirection w:val="lrTb"/>
            <w:noWrap/>
          </w:tcPr>
          <w:p>
            <w:pPr>
              <w:pStyle w:val="1067"/>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4</w:t>
            </w:r>
            <w:r/>
          </w:p>
        </w:tc>
        <w:tc>
          <w:tcPr>
            <w:tcW w:w="6095" w:type="dxa"/>
            <w:vAlign w:val="center"/>
            <w:textDirection w:val="lrTb"/>
            <w:noWrap/>
          </w:tcPr>
          <w:p>
            <w:pPr>
              <w:pStyle w:val="1067"/>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分项报价表（给定格式）</w:t>
            </w:r>
            <w:r/>
          </w:p>
        </w:tc>
        <w:tc>
          <w:tcPr>
            <w:tcW w:w="1979" w:type="dxa"/>
            <w:vAlign w:val="center"/>
            <w:vMerge w:val="continue"/>
            <w:textDirection w:val="lrTb"/>
            <w:noWrap/>
          </w:tcPr>
          <w:p>
            <w:pPr>
              <w:pStyle w:val="1067"/>
              <w:ind w:firstLine="0"/>
              <w:jc w:val="center"/>
              <w:spacing w:before="0" w:after="0" w:line="240" w:lineRule="auto"/>
              <w:rPr>
                <w:rFonts w:cs="Arial"/>
                <w:color w:val="000000"/>
                <w:highlight w:val="none"/>
              </w:rPr>
            </w:pPr>
            <w:r>
              <w:rPr>
                <w:rFonts w:cs="Arial"/>
                <w:color w:val="000000"/>
                <w:highlight w:val="none"/>
              </w:rPr>
            </w:r>
            <w:r/>
          </w:p>
        </w:tc>
      </w:tr>
      <w:tr>
        <w:trPr>
          <w:cantSplit/>
          <w:jc w:val="center"/>
          <w:trHeight w:val="567"/>
        </w:trPr>
        <w:tc>
          <w:tcPr>
            <w:tcW w:w="823" w:type="dxa"/>
            <w:vAlign w:val="center"/>
            <w:textDirection w:val="lrTb"/>
            <w:noWrap/>
          </w:tcPr>
          <w:p>
            <w:pPr>
              <w:pStyle w:val="1067"/>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5</w:t>
            </w:r>
            <w:r/>
          </w:p>
        </w:tc>
        <w:tc>
          <w:tcPr>
            <w:tcW w:w="6095" w:type="dxa"/>
            <w:vAlign w:val="center"/>
            <w:textDirection w:val="lrTb"/>
            <w:noWrap/>
          </w:tcPr>
          <w:p>
            <w:pPr>
              <w:pStyle w:val="1067"/>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投标偏离表（给定格式）</w:t>
            </w:r>
            <w:r/>
          </w:p>
        </w:tc>
        <w:tc>
          <w:tcPr>
            <w:tcW w:w="1979" w:type="dxa"/>
            <w:vAlign w:val="center"/>
            <w:vMerge w:val="restart"/>
            <w:textDirection w:val="lrTb"/>
            <w:noWrap/>
          </w:tcPr>
          <w:p>
            <w:pPr>
              <w:pStyle w:val="1067"/>
              <w:ind w:firstLine="0"/>
              <w:jc w:val="center"/>
              <w:spacing w:before="0" w:after="0" w:line="240" w:lineRule="auto"/>
              <w:rPr>
                <w:rFonts w:cs="Arial"/>
                <w:color w:val="000000"/>
                <w:highlight w:val="none"/>
              </w:rPr>
            </w:pPr>
            <w:r>
              <w:rPr>
                <w:rFonts w:hint="eastAsia" w:cs="Arial"/>
                <w:color w:val="000000"/>
                <w:highlight w:val="none"/>
              </w:rPr>
              <w:t xml:space="preserve">技术符合性</w:t>
            </w:r>
            <w:r/>
          </w:p>
        </w:tc>
      </w:tr>
      <w:tr>
        <w:trPr>
          <w:cantSplit/>
          <w:jc w:val="center"/>
          <w:trHeight w:val="567"/>
        </w:trPr>
        <w:tc>
          <w:tcPr>
            <w:tcW w:w="823" w:type="dxa"/>
            <w:vAlign w:val="center"/>
            <w:textDirection w:val="lrTb"/>
            <w:noWrap/>
          </w:tcPr>
          <w:p>
            <w:pPr>
              <w:pStyle w:val="1067"/>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6</w:t>
            </w:r>
            <w:r/>
          </w:p>
        </w:tc>
        <w:tc>
          <w:tcPr>
            <w:tcW w:w="6095" w:type="dxa"/>
            <w:vAlign w:val="center"/>
            <w:textDirection w:val="lrTb"/>
            <w:noWrap/>
          </w:tcPr>
          <w:p>
            <w:pPr>
              <w:pStyle w:val="1067"/>
              <w:ind w:firstLine="0"/>
              <w:jc w:val="both"/>
              <w:spacing w:before="0" w:after="0" w:line="240" w:lineRule="auto"/>
              <w:rPr>
                <w:rFonts w:ascii="宋体" w:hAnsi="宋体"/>
                <w:color w:val="000000"/>
                <w:highlight w:val="none"/>
              </w:rPr>
            </w:pPr>
            <w:r>
              <w:rPr>
                <w:rFonts w:hint="eastAsia" w:ascii="宋体" w:hAnsi="宋体"/>
                <w:color w:val="000000"/>
                <w:highlight w:val="none"/>
              </w:rPr>
              <w:t xml:space="preserve">《采购需求》中要求提供的证明材料（如有）</w:t>
            </w:r>
            <w:r/>
          </w:p>
        </w:tc>
        <w:tc>
          <w:tcPr>
            <w:tcW w:w="1979" w:type="dxa"/>
            <w:vAlign w:val="center"/>
            <w:vMerge w:val="continue"/>
            <w:textDirection w:val="lrTb"/>
            <w:noWrap/>
          </w:tcPr>
          <w:p>
            <w:pPr>
              <w:pStyle w:val="1067"/>
              <w:ind w:firstLine="0"/>
              <w:jc w:val="center"/>
              <w:spacing w:before="0" w:after="0" w:line="240" w:lineRule="auto"/>
              <w:rPr>
                <w:rFonts w:cs="Arial"/>
                <w:color w:val="000000"/>
                <w:highlight w:val="none"/>
              </w:rPr>
            </w:pPr>
            <w:r>
              <w:rPr>
                <w:rFonts w:cs="Arial"/>
                <w:color w:val="000000"/>
                <w:highlight w:val="none"/>
              </w:rPr>
            </w:r>
            <w:r/>
          </w:p>
        </w:tc>
      </w:tr>
    </w:tbl>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说明：</w:t>
      </w:r>
      <w:r/>
    </w:p>
    <w:p>
      <w:pPr>
        <w:numPr>
          <w:ilvl w:val="0"/>
          <w:numId w:val="15"/>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符合性证明文件第</w:t>
      </w:r>
      <w:r>
        <w:rPr>
          <w:rFonts w:hint="eastAsia" w:ascii="宋体" w:hAnsi="宋体"/>
          <w:color w:val="000000"/>
          <w:sz w:val="24"/>
          <w:szCs w:val="24"/>
          <w:highlight w:val="none"/>
        </w:rPr>
        <w:t xml:space="preserve">1～5项必须按要求全部提供（有给定格式的，必须按给定格式的要求正确填报并提供，相应格式见本章第二部分），否则投标文件无效。</w:t>
      </w:r>
      <w:r/>
    </w:p>
    <w:p>
      <w:pPr>
        <w:numPr>
          <w:ilvl w:val="0"/>
          <w:numId w:val="15"/>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ascii="宋体" w:hAnsi="宋体" w:cs="Arial"/>
          <w:color w:val="000000"/>
          <w:sz w:val="24"/>
          <w:szCs w:val="24"/>
          <w:highlight w:val="none"/>
        </w:rPr>
        <w:t xml:space="preserve">符合性证明文件第6项，《采购需求》中如有要求提供证明材料的，须按要求提供，否则投标文件无效。</w:t>
      </w:r>
      <w:r/>
    </w:p>
    <w:p>
      <w:pPr>
        <w:numPr>
          <w:ilvl w:val="0"/>
          <w:numId w:val="15"/>
        </w:num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如项目接受联合体投标，且投标人为联合体时，上述</w:t>
      </w:r>
      <w:r>
        <w:rPr>
          <w:rFonts w:hint="eastAsia" w:cs="Arial"/>
          <w:color w:val="000000"/>
          <w:sz w:val="24"/>
          <w:szCs w:val="24"/>
          <w:highlight w:val="none"/>
        </w:rPr>
        <w:t xml:space="preserve">符合性证明文件</w:t>
      </w:r>
      <w:r>
        <w:rPr>
          <w:rFonts w:hint="eastAsia" w:ascii="宋体" w:hAnsi="宋体" w:cs="宋体"/>
          <w:color w:val="000000"/>
          <w:sz w:val="24"/>
          <w:szCs w:val="24"/>
          <w:highlight w:val="none"/>
        </w:rPr>
        <w:t xml:space="preserve">第1～5项可由联合体主体单位（即联合体牵头人）代表联合体提供。第6项按《采购需求》中的相应要求（如有）进行提供。</w:t>
      </w:r>
      <w:r/>
    </w:p>
    <w:p>
      <w:pPr>
        <w:rPr>
          <w:b/>
          <w:color w:val="000000"/>
          <w:sz w:val="28"/>
          <w:szCs w:val="28"/>
          <w:highlight w:val="none"/>
        </w:rPr>
      </w:pPr>
      <w:r>
        <w:rPr>
          <w:b/>
          <w:color w:val="000000"/>
          <w:sz w:val="28"/>
          <w:szCs w:val="28"/>
          <w:highlight w:val="none"/>
        </w:rPr>
      </w:r>
      <w:r/>
    </w:p>
    <w:p>
      <w:pPr>
        <w:rPr>
          <w:b/>
          <w:color w:val="000000"/>
          <w:sz w:val="28"/>
          <w:szCs w:val="28"/>
          <w:highlight w:val="none"/>
        </w:rPr>
      </w:pPr>
      <w:r>
        <w:rPr>
          <w:rFonts w:hint="eastAsia"/>
          <w:b/>
          <w:color w:val="000000"/>
          <w:sz w:val="28"/>
          <w:szCs w:val="28"/>
          <w:highlight w:val="none"/>
        </w:rPr>
        <w:t xml:space="preserve">（二）其他证明文件</w:t>
      </w:r>
      <w:r/>
    </w:p>
    <w:p>
      <w:pPr>
        <w:ind w:left="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1.《评标方法与评标标准》中涉及的证明文件。</w:t>
      </w:r>
      <w:r/>
    </w:p>
    <w:p>
      <w:pPr>
        <w:ind w:left="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2.投标人认为如有其他应附的文件可自拟并自行添加。</w:t>
      </w:r>
      <w:r/>
    </w:p>
    <w:p>
      <w:pPr>
        <w:rPr>
          <w:rFonts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 xml:space="preserve">第二部分  投标文件格式</w:t>
      </w:r>
      <w:r/>
    </w:p>
    <w:p>
      <w:pPr>
        <w:pStyle w:val="1067"/>
        <w:ind w:firstLine="0"/>
        <w:spacing w:before="0" w:after="0"/>
        <w:rPr>
          <w:rFonts w:cs="Arial"/>
          <w:b/>
          <w:color w:val="000000"/>
          <w:sz w:val="28"/>
          <w:szCs w:val="28"/>
          <w:highlight w:val="none"/>
        </w:rPr>
      </w:pPr>
      <w:r>
        <w:rPr>
          <w:rFonts w:hint="eastAsia" w:cs="Arial"/>
          <w:b/>
          <w:color w:val="000000"/>
          <w:sz w:val="28"/>
          <w:szCs w:val="28"/>
          <w:highlight w:val="none"/>
        </w:rPr>
        <w:t xml:space="preserve">一、封面格式（参考格式）：</w:t>
      </w:r>
      <w:r/>
    </w:p>
    <w:p>
      <w:pPr>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jc w:val="center"/>
        <w:rPr>
          <w:rFonts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投  标  文  件</w:t>
      </w:r>
      <w:r/>
    </w:p>
    <w:p>
      <w:pPr>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ind w:firstLine="18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项目编号：JSZC-320292-JING-G2026-0024</w:t>
      </w:r>
      <w:r/>
    </w:p>
    <w:p>
      <w:pPr>
        <w:ind w:firstLine="18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项目名称：</w:t>
      </w:r>
      <w:r>
        <w:rPr>
          <w:rFonts w:hint="eastAsia" w:ascii="黑体" w:hAnsi="华文中宋" w:eastAsia="黑体"/>
          <w:bCs/>
          <w:color w:val="000000"/>
          <w:sz w:val="30"/>
          <w:szCs w:val="30"/>
          <w:highlight w:val="none"/>
          <w:lang w:eastAsia="zh-CN"/>
        </w:rPr>
        <w:t xml:space="preserve">无锡经开和畅实验中学2026年实验室设施设备采购项目</w:t>
      </w:r>
      <w:r/>
    </w:p>
    <w:p>
      <w:pPr>
        <w:ind w:firstLine="18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投 标 人：</w:t>
      </w:r>
      <w:r/>
    </w:p>
    <w:p>
      <w:pPr>
        <w:ind w:firstLine="18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p>
    <w:p>
      <w:pPr>
        <w:spacing w:line="440" w:lineRule="exact"/>
        <w:rPr>
          <w:rFonts w:ascii="Arial" w:hAnsi="Arial"/>
          <w:b/>
          <w:color w:val="000000"/>
          <w:sz w:val="28"/>
          <w:szCs w:val="28"/>
          <w:highlight w:val="none"/>
        </w:rPr>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 xml:space="preserve">二、授权委托书（给定格式）：</w:t>
      </w:r>
      <w:r/>
    </w:p>
    <w:p>
      <w:pPr>
        <w:jc w:val="center"/>
        <w:spacing w:line="360" w:lineRule="auto"/>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p>
    <w:p>
      <w:pPr>
        <w:pStyle w:val="1065"/>
        <w:ind w:firstLine="480"/>
        <w:spacing w:line="360" w:lineRule="auto"/>
        <w:rPr>
          <w:color w:val="000000"/>
          <w:sz w:val="24"/>
          <w:szCs w:val="24"/>
          <w:highlight w:val="none"/>
        </w:rPr>
      </w:pPr>
      <w:r>
        <w:rPr>
          <w:rFonts w:hint="eastAsia"/>
          <w:color w:val="000000"/>
          <w:sz w:val="24"/>
          <w:szCs w:val="24"/>
          <w:highlight w:val="none"/>
        </w:rPr>
        <w:t xml:space="preserve">我公司（单位、联合体）针对</w:t>
      </w:r>
      <w:r>
        <w:rPr>
          <w:rFonts w:hint="eastAsia" w:ascii="宋体" w:hAnsi="宋体"/>
          <w:bCs/>
          <w:color w:val="000000"/>
          <w:sz w:val="24"/>
          <w:szCs w:val="24"/>
          <w:highlight w:val="none"/>
        </w:rPr>
        <w:t xml:space="preserve"> JSZC-320292-JING-G2026-0024项目，兹授权：</w:t>
      </w:r>
      <w:r/>
    </w:p>
    <w:p>
      <w:pPr>
        <w:pStyle w:val="1065"/>
        <w:ind w:firstLine="480"/>
        <w:spacing w:line="360" w:lineRule="auto"/>
        <w:rPr>
          <w:color w:val="000000"/>
          <w:sz w:val="24"/>
          <w:szCs w:val="24"/>
          <w:highlight w:val="none"/>
          <w:u w:val="single"/>
        </w:rPr>
      </w:pPr>
      <w:r>
        <w:rPr>
          <w:rFonts w:hint="eastAsia"/>
          <w:color w:val="000000"/>
          <w:sz w:val="24"/>
          <w:szCs w:val="24"/>
          <w:highlight w:val="none"/>
        </w:rPr>
        <w:t xml:space="preserve">被授权人的姓名</w:t>
      </w:r>
      <w:r>
        <w:rPr>
          <w:rFonts w:hint="eastAsia"/>
          <w:color w:val="000000"/>
          <w:sz w:val="24"/>
          <w:szCs w:val="24"/>
          <w:highlight w:val="none"/>
          <w:u w:val="single"/>
        </w:rPr>
        <w:t xml:space="preserve">   </w:t>
      </w:r>
      <w:r>
        <w:rPr>
          <w:rFonts w:hint="eastAsia"/>
          <w:color w:val="000000"/>
          <w:sz w:val="24"/>
          <w:szCs w:val="24"/>
          <w:highlight w:val="none"/>
          <w:u w:val="single"/>
          <w:lang w:val="en-US" w:eastAsia="zh-CN"/>
        </w:rPr>
        <w:t xml:space="preserve">    </w:t>
      </w:r>
      <w:r>
        <w:rPr>
          <w:rFonts w:hint="eastAsia"/>
          <w:color w:val="000000"/>
          <w:sz w:val="24"/>
          <w:szCs w:val="24"/>
          <w:highlight w:val="none"/>
          <w:u w:val="single"/>
        </w:rPr>
        <w:t xml:space="preserve">  </w:t>
      </w:r>
      <w:r>
        <w:rPr>
          <w:rFonts w:hint="eastAsia"/>
          <w:color w:val="000000"/>
          <w:sz w:val="24"/>
          <w:szCs w:val="24"/>
          <w:highlight w:val="none"/>
        </w:rPr>
        <w:t xml:space="preserve"> 性别</w:t>
      </w:r>
      <w:r>
        <w:rPr>
          <w:rFonts w:hint="eastAsia"/>
          <w:color w:val="000000"/>
          <w:sz w:val="24"/>
          <w:szCs w:val="24"/>
          <w:highlight w:val="none"/>
          <w:u w:val="single"/>
        </w:rPr>
        <w:t xml:space="preserve">     </w:t>
      </w:r>
      <w:r>
        <w:rPr>
          <w:rFonts w:hint="eastAsia"/>
          <w:color w:val="000000"/>
          <w:sz w:val="24"/>
          <w:szCs w:val="24"/>
          <w:highlight w:val="none"/>
        </w:rPr>
        <w:t xml:space="preserve">年龄</w:t>
      </w:r>
      <w:r>
        <w:rPr>
          <w:rFonts w:hint="eastAsia"/>
          <w:color w:val="000000"/>
          <w:sz w:val="24"/>
          <w:szCs w:val="24"/>
          <w:highlight w:val="none"/>
          <w:u w:val="single"/>
        </w:rPr>
        <w:t xml:space="preserve">         </w:t>
      </w:r>
      <w:r>
        <w:rPr>
          <w:rFonts w:hint="eastAsia"/>
          <w:color w:val="000000"/>
          <w:sz w:val="24"/>
          <w:szCs w:val="24"/>
          <w:highlight w:val="none"/>
        </w:rPr>
        <w:t xml:space="preserve">职务</w:t>
      </w:r>
      <w:r>
        <w:rPr>
          <w:rFonts w:hint="eastAsia"/>
          <w:color w:val="000000"/>
          <w:sz w:val="24"/>
          <w:szCs w:val="24"/>
          <w:highlight w:val="none"/>
          <w:u w:val="single"/>
        </w:rPr>
        <w:t xml:space="preserve">  </w:t>
      </w:r>
      <w:r>
        <w:rPr>
          <w:rFonts w:hint="eastAsia"/>
          <w:color w:val="000000"/>
          <w:sz w:val="24"/>
          <w:szCs w:val="24"/>
          <w:highlight w:val="none"/>
          <w:u w:val="single"/>
          <w:lang w:val="en-US" w:eastAsia="zh-CN"/>
        </w:rPr>
        <w:t xml:space="preserve">   </w:t>
      </w:r>
      <w:r>
        <w:rPr>
          <w:rFonts w:hint="eastAsia"/>
          <w:color w:val="000000"/>
          <w:sz w:val="24"/>
          <w:szCs w:val="24"/>
          <w:highlight w:val="none"/>
          <w:u w:val="single"/>
        </w:rPr>
        <w:t xml:space="preserve"> </w:t>
      </w:r>
      <w:r/>
    </w:p>
    <w:p>
      <w:pPr>
        <w:pStyle w:val="1065"/>
        <w:ind w:firstLine="480"/>
        <w:spacing w:line="360" w:lineRule="auto"/>
        <w:rPr>
          <w:color w:val="000000"/>
          <w:sz w:val="24"/>
          <w:szCs w:val="24"/>
          <w:highlight w:val="none"/>
          <w:u w:val="single"/>
        </w:rPr>
      </w:pPr>
      <w:r>
        <w:rPr>
          <w:rFonts w:hint="eastAsia"/>
          <w:color w:val="000000"/>
          <w:sz w:val="24"/>
          <w:szCs w:val="24"/>
          <w:highlight w:val="none"/>
        </w:rPr>
        <w:t xml:space="preserve">被授权人的身份证号码：</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 </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rFonts w:hint="eastAsia"/>
          <w:color w:val="000000"/>
          <w:sz w:val="24"/>
          <w:szCs w:val="24"/>
          <w:highlight w:val="none"/>
          <w:u w:val="single"/>
          <w:lang w:val="en-US" w:eastAsia="zh-CN"/>
        </w:rPr>
        <w:t xml:space="preserve">   </w:t>
      </w:r>
      <w:r>
        <w:rPr>
          <w:rFonts w:hint="eastAsia"/>
          <w:color w:val="000000"/>
          <w:sz w:val="24"/>
          <w:szCs w:val="24"/>
          <w:highlight w:val="none"/>
          <w:u w:val="single"/>
        </w:rPr>
        <w:t xml:space="preserve"> </w:t>
      </w:r>
      <w:r>
        <w:rPr>
          <w:rFonts w:hint="eastAsia"/>
          <w:color w:val="000000"/>
          <w:sz w:val="24"/>
          <w:szCs w:val="24"/>
          <w:highlight w:val="none"/>
          <w:u w:val="single"/>
          <w:lang w:val="en-US" w:eastAsia="zh-CN"/>
        </w:rPr>
        <w:t xml:space="preserve"> </w:t>
      </w:r>
      <w:r/>
    </w:p>
    <w:p>
      <w:pPr>
        <w:pStyle w:val="1065"/>
        <w:ind w:firstLine="480"/>
        <w:spacing w:line="360" w:lineRule="auto"/>
        <w:rPr>
          <w:color w:val="000000"/>
          <w:sz w:val="24"/>
          <w:szCs w:val="24"/>
          <w:highlight w:val="none"/>
        </w:rPr>
      </w:pPr>
      <w:r>
        <w:rPr>
          <w:rFonts w:hint="eastAsia"/>
          <w:color w:val="000000"/>
          <w:sz w:val="24"/>
          <w:szCs w:val="24"/>
          <w:highlight w:val="none"/>
        </w:rPr>
        <w:t xml:space="preserve">为我方合法代理人，以本单位名义全权处理</w:t>
      </w:r>
      <w:r>
        <w:rPr>
          <w:rFonts w:hint="eastAsia" w:ascii="宋体" w:hAnsi="宋体"/>
          <w:bCs/>
          <w:color w:val="000000"/>
          <w:sz w:val="24"/>
          <w:szCs w:val="24"/>
          <w:highlight w:val="none"/>
        </w:rPr>
        <w:t xml:space="preserve">针对本次项目的投标、参与开标、评标、签约等具体工作，并签署全部有关的文件、协议及合同以及其他</w:t>
      </w:r>
      <w:r>
        <w:rPr>
          <w:rFonts w:hint="eastAsia"/>
          <w:color w:val="000000"/>
          <w:sz w:val="24"/>
          <w:szCs w:val="24"/>
          <w:highlight w:val="none"/>
        </w:rPr>
        <w:t xml:space="preserve">一切与该项目采购有关的事务。</w:t>
      </w:r>
      <w:r/>
    </w:p>
    <w:p>
      <w:pPr>
        <w:pStyle w:val="1065"/>
        <w:ind w:firstLine="480"/>
        <w:spacing w:line="360" w:lineRule="auto"/>
        <w:rPr>
          <w:rFonts w:ascii="宋体" w:hAnsi="宋体"/>
          <w:bCs/>
          <w:color w:val="000000"/>
          <w:sz w:val="24"/>
          <w:szCs w:val="24"/>
          <w:highlight w:val="none"/>
        </w:rPr>
      </w:pPr>
      <w:r>
        <w:rPr>
          <w:rFonts w:hint="eastAsia"/>
          <w:color w:val="000000"/>
          <w:sz w:val="24"/>
          <w:szCs w:val="24"/>
          <w:highlight w:val="none"/>
        </w:rPr>
        <w:t xml:space="preserve">本授权委托书自授权之日起生效，</w:t>
      </w:r>
      <w:r>
        <w:rPr>
          <w:rFonts w:hint="eastAsia" w:ascii="宋体" w:hAnsi="宋体"/>
          <w:bCs/>
          <w:color w:val="000000"/>
          <w:sz w:val="24"/>
          <w:szCs w:val="24"/>
          <w:highlight w:val="none"/>
        </w:rPr>
        <w:t xml:space="preserve">在撤销授权的书面通知送达你处以前，本授权书一直有效，被授权人签署的所有文件（在</w:t>
      </w:r>
      <w:r>
        <w:rPr>
          <w:rFonts w:hint="eastAsia"/>
          <w:color w:val="000000"/>
          <w:sz w:val="24"/>
          <w:szCs w:val="24"/>
          <w:highlight w:val="none"/>
        </w:rPr>
        <w:t xml:space="preserve">授权委托</w:t>
      </w:r>
      <w:r>
        <w:rPr>
          <w:rFonts w:hint="eastAsia" w:ascii="宋体" w:hAnsi="宋体"/>
          <w:bCs/>
          <w:color w:val="000000"/>
          <w:sz w:val="24"/>
          <w:szCs w:val="24"/>
          <w:highlight w:val="none"/>
        </w:rPr>
        <w:t xml:space="preserve">书有效期内签署的）不因授权的撤销而失效。</w:t>
      </w:r>
      <w:r/>
    </w:p>
    <w:p>
      <w:pPr>
        <w:pStyle w:val="1065"/>
        <w:ind w:firstLine="480"/>
        <w:spacing w:line="360" w:lineRule="auto"/>
        <w:rPr>
          <w:color w:val="000000"/>
          <w:sz w:val="24"/>
          <w:szCs w:val="24"/>
          <w:highlight w:val="none"/>
        </w:rPr>
      </w:pPr>
      <w:r>
        <w:rPr>
          <w:rFonts w:hint="eastAsia"/>
          <w:color w:val="000000"/>
          <w:sz w:val="24"/>
          <w:szCs w:val="24"/>
          <w:highlight w:val="none"/>
        </w:rPr>
        <w:t xml:space="preserve">特此授权委托。</w:t>
      </w:r>
      <w:r/>
    </w:p>
    <w:p>
      <w:pPr>
        <w:pStyle w:val="1065"/>
        <w:ind w:firstLine="0"/>
        <w:spacing w:line="360" w:lineRule="auto"/>
        <w:rPr>
          <w:color w:val="000000"/>
          <w:sz w:val="24"/>
          <w:szCs w:val="24"/>
          <w:highlight w:val="none"/>
          <w:u w:val="single"/>
        </w:rPr>
      </w:pPr>
      <w:r>
        <w:rPr>
          <w:rFonts w:hint="eastAsia"/>
          <w:color w:val="000000"/>
          <w:sz w:val="24"/>
          <w:szCs w:val="24"/>
          <w:highlight w:val="none"/>
        </w:rPr>
        <w:t xml:space="preserve">授权日期：年月日                     投标人名称</w:t>
      </w:r>
      <w:r>
        <w:rPr>
          <w:rFonts w:hint="eastAsia" w:ascii="宋体" w:hAnsi="宋体"/>
          <w:bCs/>
          <w:color w:val="000000"/>
          <w:sz w:val="24"/>
          <w:szCs w:val="24"/>
          <w:highlight w:val="none"/>
        </w:rPr>
        <w:t xml:space="preserve">（盖章）</w:t>
      </w:r>
      <w:r>
        <w:rPr>
          <w:rFonts w:hint="eastAsia"/>
          <w:color w:val="000000"/>
          <w:sz w:val="24"/>
          <w:szCs w:val="24"/>
          <w:highlight w:val="none"/>
        </w:rPr>
        <w:t xml:space="preserve">：</w:t>
      </w:r>
      <w:r/>
    </w:p>
    <w:p>
      <w:pPr>
        <w:pStyle w:val="1065"/>
        <w:ind w:firstLine="0"/>
        <w:spacing w:line="360" w:lineRule="auto"/>
        <w:rPr>
          <w:color w:val="000000"/>
          <w:sz w:val="24"/>
          <w:szCs w:val="24"/>
          <w:highlight w:val="none"/>
        </w:rPr>
      </w:pPr>
      <w:r>
        <w:rPr>
          <w:rFonts w:hint="eastAsia"/>
          <w:color w:val="000000"/>
          <w:sz w:val="24"/>
          <w:szCs w:val="24"/>
          <w:highlight w:val="none"/>
        </w:rPr>
        <w:t xml:space="preserve">法定代表人签字或盖章：               被授权人签字或盖章：</w:t>
      </w:r>
      <w:r/>
    </w:p>
    <w:p>
      <w:pPr>
        <w:pStyle w:val="1065"/>
        <w:ind w:firstLine="0"/>
        <w:spacing w:line="360" w:lineRule="auto"/>
        <w:rPr>
          <w:color w:val="000000"/>
          <w:sz w:val="24"/>
          <w:szCs w:val="24"/>
          <w:highlight w:val="none"/>
        </w:rPr>
      </w:pPr>
      <w:r>
        <w:rPr>
          <w:rFonts w:hint="eastAsia" w:ascii="宋体" w:hAnsi="宋体" w:cs="宋体"/>
          <w:b/>
          <w:color w:val="000000"/>
          <w:sz w:val="30"/>
          <w:highlight w:val="none"/>
        </w:rPr>
        <w:t xml:space="preserve">（被授权人身份证原件扫描件附后）</w:t>
      </w:r>
      <w:r/>
    </w:p>
    <w:p>
      <w:pPr>
        <w:pStyle w:val="1065"/>
        <w:ind w:firstLine="0"/>
        <w:spacing w:line="360" w:lineRule="auto"/>
        <w:rPr>
          <w:color w:val="000000"/>
          <w:sz w:val="24"/>
          <w:szCs w:val="24"/>
          <w:highlight w:val="none"/>
        </w:rPr>
      </w:pPr>
      <w:r>
        <w:rPr>
          <w:rFonts w:hint="eastAsia"/>
          <w:color w:val="000000"/>
          <w:sz w:val="24"/>
          <w:szCs w:val="24"/>
          <w:highlight w:val="none"/>
        </w:rPr>
        <w:t xml:space="preserve">说明：</w:t>
      </w:r>
      <w:r/>
    </w:p>
    <w:p>
      <w:pPr>
        <w:pStyle w:val="1065"/>
        <w:numPr>
          <w:ilvl w:val="0"/>
          <w:numId w:val="16"/>
        </w:numPr>
        <w:ind w:firstLine="480"/>
        <w:spacing w:line="360" w:lineRule="auto"/>
        <w:rPr>
          <w:rFonts w:ascii="宋体" w:hAnsi="宋体"/>
          <w:color w:val="000000"/>
          <w:sz w:val="24"/>
          <w:szCs w:val="20"/>
          <w:highlight w:val="none"/>
        </w:rPr>
      </w:pPr>
      <w:r>
        <w:rPr>
          <w:rFonts w:ascii="宋体" w:hAnsi="宋体"/>
          <w:color w:val="000000"/>
          <w:sz w:val="24"/>
          <w:szCs w:val="20"/>
          <w:highlight w:val="none"/>
        </w:rPr>
        <w:t xml:space="preserve">若</w:t>
      </w:r>
      <w:r>
        <w:rPr>
          <w:rFonts w:hint="eastAsia" w:ascii="宋体" w:hAnsi="宋体"/>
          <w:color w:val="000000"/>
          <w:sz w:val="24"/>
          <w:szCs w:val="20"/>
          <w:highlight w:val="none"/>
        </w:rPr>
        <w:t xml:space="preserve">投标人</w:t>
      </w:r>
      <w:r>
        <w:rPr>
          <w:rFonts w:ascii="宋体" w:hAnsi="宋体"/>
          <w:color w:val="000000"/>
          <w:sz w:val="24"/>
          <w:szCs w:val="20"/>
          <w:highlight w:val="none"/>
        </w:rPr>
        <w:t xml:space="preserve">为事业单位或其他组织或分支机构（仅</w:t>
      </w:r>
      <w:r>
        <w:rPr>
          <w:rFonts w:hint="eastAsia" w:ascii="宋体" w:hAnsi="宋体"/>
          <w:color w:val="000000"/>
          <w:sz w:val="24"/>
          <w:szCs w:val="20"/>
          <w:highlight w:val="none"/>
        </w:rPr>
        <w:t xml:space="preserve">限招标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投标情形</w:t>
      </w:r>
      <w:r>
        <w:rPr>
          <w:rFonts w:ascii="宋体" w:hAnsi="宋体"/>
          <w:color w:val="000000"/>
          <w:sz w:val="24"/>
          <w:szCs w:val="20"/>
          <w:highlight w:val="none"/>
        </w:rPr>
        <w:t xml:space="preserve">的），则法定代表人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w:t>
      </w:r>
      <w:r>
        <w:rPr>
          <w:rFonts w:hint="eastAsia" w:ascii="宋体" w:hAnsi="宋体"/>
          <w:color w:val="000000"/>
          <w:sz w:val="24"/>
          <w:szCs w:val="20"/>
          <w:highlight w:val="none"/>
        </w:rPr>
        <w:t xml:space="preserve">字</w:t>
      </w:r>
      <w:r>
        <w:rPr>
          <w:rFonts w:ascii="宋体" w:hAnsi="宋体"/>
          <w:color w:val="000000"/>
          <w:sz w:val="24"/>
          <w:szCs w:val="20"/>
          <w:highlight w:val="none"/>
        </w:rPr>
        <w:t xml:space="preserve">人可为单位负责人</w:t>
      </w:r>
      <w:r>
        <w:rPr>
          <w:rFonts w:hint="eastAsia" w:ascii="宋体" w:hAnsi="宋体"/>
          <w:color w:val="000000"/>
          <w:sz w:val="24"/>
          <w:szCs w:val="20"/>
          <w:highlight w:val="none"/>
        </w:rPr>
        <w:t xml:space="preserve">。</w:t>
      </w:r>
      <w:r/>
    </w:p>
    <w:p>
      <w:pPr>
        <w:pStyle w:val="1065"/>
        <w:numPr>
          <w:ilvl w:val="0"/>
          <w:numId w:val="16"/>
        </w:numPr>
        <w:ind w:firstLine="480"/>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当被授权人为法定代表人（或上述情况的单位负责人）时，只需在</w:t>
      </w:r>
      <w:r>
        <w:rPr>
          <w:rFonts w:ascii="宋体" w:hAnsi="宋体"/>
          <w:color w:val="000000"/>
          <w:sz w:val="24"/>
          <w:szCs w:val="20"/>
          <w:highlight w:val="none"/>
        </w:rPr>
        <w:t xml:space="preserve">法定代表人</w:t>
      </w:r>
      <w:r>
        <w:rPr>
          <w:rFonts w:hint="eastAsia" w:ascii="宋体" w:hAnsi="宋体"/>
          <w:color w:val="000000"/>
          <w:sz w:val="24"/>
          <w:szCs w:val="20"/>
          <w:highlight w:val="none"/>
        </w:rPr>
        <w:t xml:space="preserve">处签字</w:t>
      </w:r>
      <w:r>
        <w:rPr>
          <w:rFonts w:hint="eastAsia"/>
          <w:color w:val="000000"/>
          <w:sz w:val="24"/>
          <w:szCs w:val="24"/>
          <w:highlight w:val="none"/>
        </w:rPr>
        <w:t xml:space="preserve">或盖章</w:t>
      </w:r>
      <w:r>
        <w:rPr>
          <w:rFonts w:hint="eastAsia" w:ascii="宋体" w:hAnsi="宋体"/>
          <w:color w:val="000000"/>
          <w:sz w:val="24"/>
          <w:szCs w:val="20"/>
          <w:highlight w:val="none"/>
        </w:rPr>
        <w:t xml:space="preserve">即可。</w:t>
      </w:r>
      <w:r/>
    </w:p>
    <w:p>
      <w:pPr>
        <w:pStyle w:val="1065"/>
        <w:numPr>
          <w:ilvl w:val="0"/>
          <w:numId w:val="16"/>
        </w:numPr>
        <w:ind w:firstLine="480"/>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供应商为自然人情形的，可不提供本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p>
    <w:p>
      <w:pPr>
        <w:pStyle w:val="1065"/>
        <w:numPr>
          <w:ilvl w:val="0"/>
          <w:numId w:val="16"/>
        </w:numPr>
        <w:ind w:firstLine="480"/>
        <w:spacing w:line="360" w:lineRule="auto"/>
        <w:rPr>
          <w:rFonts w:ascii="宋体" w:hAnsi="宋体"/>
          <w:color w:val="000000"/>
          <w:sz w:val="24"/>
          <w:szCs w:val="20"/>
          <w:highlight w:val="none"/>
        </w:rPr>
      </w:pPr>
      <w:r>
        <w:rPr>
          <w:rFonts w:hint="eastAsia" w:ascii="宋体" w:hAnsi="宋体"/>
          <w:bCs/>
          <w:color w:val="000000"/>
          <w:sz w:val="24"/>
          <w:szCs w:val="24"/>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1065"/>
        <w:ind w:firstLine="0"/>
        <w:spacing w:line="360" w:lineRule="auto"/>
        <w:rPr>
          <w:rFonts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p>
    <w:p>
      <w:pPr>
        <w:jc w:val="center"/>
        <w:rPr>
          <w:rFonts w:ascii="黑体" w:eastAsia="黑体"/>
          <w:bCs/>
          <w:color w:val="000000"/>
          <w:sz w:val="28"/>
          <w:szCs w:val="28"/>
          <w:highlight w:val="none"/>
        </w:rPr>
        <w:outlineLvl w:val="0"/>
      </w:pPr>
      <w:r/>
      <w:bookmarkStart w:id="202" w:name="报价方关于资格的声明函（格式）"/>
      <w:r/>
      <w:bookmarkEnd w:id="202"/>
      <w:r>
        <w:rPr>
          <w:rFonts w:hint="eastAsia" w:ascii="黑体" w:eastAsia="黑体"/>
          <w:bCs/>
          <w:color w:val="000000"/>
          <w:sz w:val="28"/>
          <w:szCs w:val="28"/>
          <w:highlight w:val="none"/>
        </w:rPr>
        <w:t xml:space="preserve">资格声明函</w:t>
      </w:r>
      <w:r/>
    </w:p>
    <w:p>
      <w:pPr>
        <w:jc w:val="cente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bCs/>
          <w:color w:val="000000"/>
          <w:sz w:val="24"/>
          <w:szCs w:val="24"/>
          <w:highlight w:val="none"/>
          <w:lang w:eastAsia="zh-CN"/>
        </w:rPr>
        <w:t xml:space="preserve">江苏经天纬地建设项目管理有限公司</w:t>
      </w:r>
      <w:r>
        <w:rPr>
          <w:rFonts w:hint="eastAsia" w:ascii="宋体" w:hAnsi="宋体"/>
          <w:bCs/>
          <w:color w:val="000000"/>
          <w:sz w:val="24"/>
          <w:szCs w:val="24"/>
          <w:highlight w:val="none"/>
        </w:rPr>
        <w:t xml:space="preserve">：</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我公司（单位、联合体）针对本次项目JSZC-320292-JING-G2026-0024进行投标，</w:t>
      </w:r>
      <w:r>
        <w:rPr>
          <w:rFonts w:hint="eastAsia" w:ascii="宋体" w:hAnsi="宋体"/>
          <w:bCs/>
          <w:color w:val="000000"/>
          <w:sz w:val="24"/>
          <w:szCs w:val="24"/>
          <w:highlight w:val="none"/>
          <w:lang w:eastAsia="zh-CN"/>
        </w:rPr>
        <w:t xml:space="preserve">并作</w:t>
      </w:r>
      <w:r>
        <w:rPr>
          <w:rFonts w:hint="eastAsia" w:ascii="宋体" w:hAnsi="宋体"/>
          <w:bCs/>
          <w:color w:val="000000"/>
          <w:sz w:val="24"/>
          <w:szCs w:val="24"/>
          <w:highlight w:val="none"/>
        </w:rPr>
        <w:t xml:space="preserve">如下声明</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p>
    <w:p>
      <w:pPr>
        <w:ind w:firstLine="482"/>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2"/>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p>
    <w:p>
      <w:pPr>
        <w:spacing w:line="360" w:lineRule="auto"/>
        <w:rPr>
          <w:rFonts w:ascii="宋体" w:hAnsi="宋体" w:cs="宋体"/>
          <w:b/>
          <w:color w:val="000000"/>
          <w:sz w:val="28"/>
          <w:szCs w:val="28"/>
          <w:highlight w:val="none"/>
        </w:rPr>
      </w:pP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四、政府采购政策相关声明函（给定格式）：</w:t>
      </w:r>
      <w:r/>
    </w:p>
    <w:p>
      <w:pPr>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中小企业声明函（货物）</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号）的规定，本公司（联合体）参加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 </w:t>
      </w:r>
      <w:r>
        <w:rPr>
          <w:rFonts w:ascii="宋体" w:hAnsi="宋体"/>
          <w:bCs/>
          <w:color w:val="000000"/>
          <w:sz w:val="24"/>
          <w:szCs w:val="24"/>
          <w:highlight w:val="none"/>
          <w:u w:val="single"/>
        </w:rPr>
        <w:t xml:space="preserve">（标的名称）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 行业</w:t>
      </w:r>
      <w:r>
        <w:rPr>
          <w:rFonts w:ascii="宋体" w:hAnsi="宋体"/>
          <w:bCs/>
          <w:color w:val="000000"/>
          <w:sz w:val="24"/>
          <w:szCs w:val="24"/>
          <w:highlight w:val="none"/>
        </w:rPr>
        <w:t xml:space="preserve">；制造商为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（中型企业、小型企业、微型企业）</w:t>
      </w: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 行业</w:t>
      </w:r>
      <w:r>
        <w:rPr>
          <w:rFonts w:ascii="宋体" w:hAnsi="宋体"/>
          <w:bCs/>
          <w:color w:val="000000"/>
          <w:sz w:val="24"/>
          <w:szCs w:val="24"/>
          <w:highlight w:val="none"/>
        </w:rPr>
        <w:t xml:space="preserve">；制造商为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（中型企业、小 型企业、微型企业）</w:t>
      </w: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p>
    <w:p>
      <w:pPr>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ind w:firstLine="420"/>
        <w:spacing w:line="360" w:lineRule="auto"/>
        <w:rPr>
          <w:color w:val="000000"/>
          <w:highlight w:val="none"/>
        </w:rPr>
      </w:pPr>
      <w:r>
        <w:rPr>
          <w:rFonts w:hint="eastAsia"/>
          <w:color w:val="000000"/>
          <w:highlight w:val="none"/>
        </w:rPr>
        <w:t xml:space="preserve">注：（1）项目技术要求中如对本项目标的及其所属行业进行逐一列明的，投标人须根据项目</w:t>
      </w:r>
      <w:r>
        <w:rPr>
          <w:rFonts w:hint="eastAsia"/>
          <w:color w:val="000000"/>
          <w:highlight w:val="none"/>
        </w:rPr>
        <w:t xml:space="preserve">清单</w:t>
      </w:r>
      <w:r>
        <w:rPr>
          <w:rFonts w:hint="eastAsia"/>
          <w:color w:val="000000"/>
          <w:highlight w:val="none"/>
        </w:rPr>
        <w:t xml:space="preserve">所列明的标的及其所属行业逐一进行填报。根据本《中小企业声明函》类型，项目属性为货物类的，只需按项目</w:t>
      </w:r>
      <w:r>
        <w:rPr>
          <w:rFonts w:hint="eastAsia"/>
          <w:color w:val="000000"/>
          <w:highlight w:val="none"/>
        </w:rPr>
        <w:t xml:space="preserve">清单</w:t>
      </w:r>
      <w:r>
        <w:rPr>
          <w:rFonts w:hint="eastAsia"/>
          <w:color w:val="000000"/>
          <w:highlight w:val="none"/>
        </w:rPr>
        <w:t xml:space="preserve">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highlight w:val="none"/>
        </w:rPr>
      </w:pPr>
      <w:r>
        <w:rPr>
          <w:rFonts w:hint="eastAsia"/>
          <w:color w:val="000000"/>
          <w:highlight w:val="none"/>
        </w:rPr>
        <w:t xml:space="preserve">（2）从业人员、营业收入、资产总额填报上一年度数据，无上一年度数据的新成立企业可不填报。</w:t>
      </w:r>
      <w:r/>
    </w:p>
    <w:p>
      <w:pPr>
        <w:ind w:firstLine="420"/>
        <w:spacing w:line="360" w:lineRule="auto"/>
        <w:rPr>
          <w:color w:val="000000"/>
          <w:highlight w:val="none"/>
        </w:rPr>
      </w:pPr>
      <w:r>
        <w:rPr>
          <w:rFonts w:hint="eastAsia"/>
          <w:color w:val="000000"/>
          <w:highlight w:val="none"/>
        </w:rPr>
        <w:t xml:space="preserve">（3）在货物采购项目中，供应商提供的货物既有中小企业制造货物，也有大型企业制造货物的，不享受本办法规定的中小企业扶持政策。</w:t>
      </w:r>
      <w:r/>
    </w:p>
    <w:p>
      <w:pPr>
        <w:ind w:firstLine="420"/>
        <w:spacing w:line="360" w:lineRule="auto"/>
        <w:rPr>
          <w:color w:val="000000"/>
          <w:highlight w:val="none"/>
        </w:rPr>
      </w:pPr>
      <w:r>
        <w:rPr>
          <w:rFonts w:hint="eastAsia"/>
          <w:color w:val="000000"/>
          <w:highlight w:val="none"/>
        </w:rPr>
        <w:t xml:space="preserve">（4）中标供应商的《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560"/>
        <w:jc w:val="center"/>
        <w:spacing w:line="360" w:lineRule="auto"/>
        <w:rPr>
          <w:rFonts w:hint="eastAsia" w:ascii="黑体" w:eastAsia="黑体"/>
          <w:bCs/>
          <w:color w:val="000000"/>
          <w:sz w:val="28"/>
          <w:szCs w:val="28"/>
          <w:highlight w:val="none"/>
        </w:rPr>
      </w:pPr>
      <w:r>
        <w:rPr>
          <w:rFonts w:hint="eastAsia"/>
          <w:color w:val="000000"/>
          <w:highlight w:val="none"/>
        </w:rPr>
        <w:br w:type="page" w:clear="all"/>
      </w:r>
      <w:r>
        <w:rPr>
          <w:rFonts w:hint="eastAsia" w:ascii="黑体" w:eastAsia="黑体"/>
          <w:bCs/>
          <w:color w:val="000000"/>
          <w:sz w:val="28"/>
          <w:szCs w:val="28"/>
          <w:highlight w:val="none"/>
        </w:rPr>
        <w:t xml:space="preserve">关于符合本国产品标准的声明函</w:t>
      </w:r>
      <w:r/>
    </w:p>
    <w:p>
      <w:pPr>
        <w:ind w:firstLine="420"/>
        <w:spacing w:line="360" w:lineRule="auto"/>
        <w:rPr>
          <w:color w:val="000000"/>
          <w:highlight w:val="none"/>
        </w:rPr>
      </w:pPr>
      <w:r>
        <w:rPr>
          <w:color w:val="000000"/>
          <w:highlight w:val="none"/>
        </w:rPr>
        <w:t xml:space="preserve"> </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 </w:t>
      </w:r>
      <w:r/>
    </w:p>
    <w:p>
      <w:pPr>
        <w:ind w:firstLine="480"/>
        <w:jc w:val="righ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p>
    <w:p>
      <w:pPr>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sz w:val="18"/>
          <w:szCs w:val="18"/>
          <w:highlight w:val="none"/>
        </w:rPr>
      </w:pPr>
      <w:r>
        <w:rPr>
          <w:rFonts w:ascii="宋体" w:hAnsi="宋体" w:cs="宋体"/>
          <w:color w:val="000000"/>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ascii="宋体" w:hAnsi="宋体"/>
          <w:bCs/>
          <w:color w:val="000000"/>
          <w:sz w:val="24"/>
          <w:szCs w:val="24"/>
          <w:highlight w:val="none"/>
        </w:rPr>
      </w:pPr>
      <w:r>
        <w:rPr>
          <w:rFonts w:hint="eastAsia" w:ascii="宋体" w:hAnsi="宋体" w:cs="宋体"/>
          <w:b/>
          <w:color w:val="000000"/>
          <w:sz w:val="18"/>
          <w:szCs w:val="18"/>
          <w:highlight w:val="none"/>
        </w:rPr>
        <w:t xml:space="preserve">注：划删除线的地方无需填写。</w:t>
      </w:r>
      <w:r/>
    </w:p>
    <w:p>
      <w:pPr>
        <w:spacing w:line="360" w:lineRule="auto"/>
        <w:rPr>
          <w:rFonts w:hint="eastAsia"/>
          <w:color w:val="000000"/>
          <w:highlight w:val="none"/>
        </w:rPr>
      </w:pPr>
      <w:r>
        <w:rPr>
          <w:rFonts w:hint="eastAsia"/>
          <w:color w:val="000000"/>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ascii="宋体" w:hAnsi="宋体" w:cs="宋体"/>
          <w:b/>
          <w:color w:val="000000"/>
          <w:sz w:val="28"/>
          <w:szCs w:val="28"/>
          <w:highlight w:val="none"/>
        </w:rPr>
      </w:pP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p>
    <w:p>
      <w:pPr>
        <w:ind w:firstLine="482"/>
        <w:spacing w:line="440" w:lineRule="exact"/>
        <w:rPr>
          <w:rFonts w:ascii="Arial" w:hAnsi="Arial"/>
          <w:b/>
          <w:color w:val="000000"/>
          <w:sz w:val="24"/>
          <w:highlight w:val="none"/>
        </w:rPr>
      </w:pPr>
      <w:r>
        <w:rPr>
          <w:rFonts w:ascii="Arial" w:hAnsi="Arial"/>
          <w:b/>
          <w:color w:val="000000"/>
          <w:sz w:val="24"/>
          <w:highlight w:val="none"/>
        </w:rPr>
      </w:r>
      <w:r/>
    </w:p>
    <w:p>
      <w:pPr>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p>
    <w:p>
      <w:pPr>
        <w:jc w:val="center"/>
        <w:rPr>
          <w:rFonts w:ascii="黑体" w:eastAsia="黑体"/>
          <w:bCs/>
          <w:color w:val="000000"/>
          <w:sz w:val="28"/>
          <w:szCs w:val="28"/>
          <w:highlight w:val="none"/>
        </w:rPr>
      </w:pPr>
      <w:r>
        <w:rPr>
          <w:rFonts w:ascii="黑体" w:eastAsia="黑体"/>
          <w:bCs/>
          <w:color w:val="000000"/>
          <w:sz w:val="28"/>
          <w:szCs w:val="28"/>
          <w:highlight w:val="none"/>
        </w:rPr>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b/>
          <w:color w:val="000000"/>
          <w:sz w:val="30"/>
          <w:szCs w:val="30"/>
          <w:highlight w:val="none"/>
        </w:rPr>
      </w:pPr>
      <w:r>
        <w:rPr>
          <w:rFonts w:ascii="宋体" w:hAnsi="宋体"/>
          <w:bCs/>
          <w:color w:val="000000"/>
          <w:sz w:val="24"/>
          <w:szCs w:val="24"/>
          <w:highlight w:val="none"/>
        </w:rPr>
        <w:br w:type="page" w:clear="all"/>
      </w:r>
      <w:r>
        <w:rPr>
          <w:rFonts w:hint="eastAsia"/>
          <w:b/>
          <w:color w:val="000000"/>
          <w:sz w:val="28"/>
          <w:szCs w:val="28"/>
          <w:highlight w:val="none"/>
          <w:lang w:val="en-US" w:eastAsia="zh-CN"/>
        </w:rPr>
        <w:t xml:space="preserve">六</w:t>
      </w:r>
      <w:r>
        <w:rPr>
          <w:b/>
          <w:color w:val="000000"/>
          <w:sz w:val="28"/>
          <w:szCs w:val="28"/>
          <w:highlight w:val="none"/>
        </w:rPr>
        <w:t xml:space="preserve">、投标函</w:t>
      </w:r>
      <w:r>
        <w:rPr>
          <w:rFonts w:hint="eastAsia"/>
          <w:b/>
          <w:color w:val="000000"/>
          <w:sz w:val="28"/>
          <w:szCs w:val="28"/>
          <w:highlight w:val="none"/>
        </w:rPr>
        <w:t xml:space="preserve">（给定格式）：</w:t>
      </w:r>
      <w:r/>
    </w:p>
    <w:p>
      <w:pPr>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投标函</w:t>
      </w:r>
      <w:r/>
    </w:p>
    <w:p>
      <w:pPr>
        <w:ind w:firstLine="0"/>
        <w:spacing w:line="240" w:lineRule="auto"/>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江苏经天纬地建设项目管理有限公司</w:t>
      </w:r>
      <w:r>
        <w:rPr>
          <w:rFonts w:hint="eastAsia" w:ascii="宋体" w:hAnsi="宋体"/>
          <w:bCs/>
          <w:color w:val="000000"/>
          <w:sz w:val="24"/>
          <w:szCs w:val="24"/>
          <w:highlight w:val="none"/>
        </w:rPr>
        <w:t xml:space="preserve">：</w:t>
      </w:r>
      <w:r/>
    </w:p>
    <w:p>
      <w:pPr>
        <w:ind w:firstLine="480"/>
        <w:spacing w:line="240" w:lineRule="auto"/>
        <w:rPr>
          <w:rFonts w:ascii="宋体"/>
          <w:bCs/>
          <w:color w:val="000000"/>
          <w:sz w:val="24"/>
          <w:szCs w:val="24"/>
          <w:highlight w:val="none"/>
        </w:rPr>
      </w:pPr>
      <w:r>
        <w:rPr>
          <w:rFonts w:hint="eastAsia" w:ascii="宋体" w:hAnsi="宋体"/>
          <w:bCs/>
          <w:color w:val="000000"/>
          <w:sz w:val="24"/>
          <w:szCs w:val="24"/>
          <w:highlight w:val="none"/>
        </w:rPr>
        <w:t xml:space="preserve">我方收到贵方JSZC-320292-JING-G2026-0024招标文件，经仔细阅读和研究，我方决定参加此项目的投标。</w:t>
      </w:r>
      <w:r/>
    </w:p>
    <w:p>
      <w:pPr>
        <w:numPr>
          <w:ilvl w:val="0"/>
          <w:numId w:val="17"/>
        </w:numPr>
        <w:ind w:left="0" w:firstLine="525"/>
        <w:spacing w:line="240" w:lineRule="auto"/>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p>
    <w:p>
      <w:pPr>
        <w:numPr>
          <w:ilvl w:val="0"/>
          <w:numId w:val="17"/>
        </w:numPr>
        <w:ind w:left="0" w:firstLine="523"/>
        <w:spacing w:line="240" w:lineRule="auto"/>
        <w:tabs>
          <w:tab w:val="left" w:pos="0" w:leader="none"/>
          <w:tab w:val="left" w:pos="315" w:leader="none"/>
          <w:tab w:val="left" w:pos="525" w:leader="none"/>
          <w:tab w:val="left" w:pos="840" w:leader="none"/>
          <w:tab w:val="left" w:pos="945" w:leader="none"/>
          <w:tab w:val="left" w:pos="1050" w:leader="none"/>
        </w:tabs>
        <w:rPr>
          <w:rStyle w:val="915"/>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江苏经天纬地建设项目管理有限公司</w:t>
      </w:r>
      <w:r>
        <w:rPr>
          <w:rFonts w:hint="eastAsia" w:ascii="宋体" w:hAnsi="宋体"/>
          <w:bCs/>
          <w:color w:val="000000"/>
          <w:sz w:val="24"/>
          <w:szCs w:val="24"/>
          <w:highlight w:val="none"/>
        </w:rPr>
        <w:t xml:space="preserve">在招标文件中要求的文件、资料。</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我方同意按招标文件中的规定，从规定的开标日期起遵循本投标文件，并在规定的投标有效期期满之前均具有约束力。</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w:t>
      </w:r>
      <w:r>
        <w:rPr>
          <w:rFonts w:hint="eastAsia" w:ascii="宋体" w:hAnsi="宋体"/>
          <w:bCs/>
          <w:color w:val="000000"/>
          <w:sz w:val="24"/>
          <w:szCs w:val="24"/>
          <w:highlight w:val="none"/>
          <w:lang w:eastAsia="zh-CN"/>
        </w:rPr>
        <w:t xml:space="preserve">按照《中华人民共和国</w:t>
      </w:r>
      <w:r>
        <w:rPr>
          <w:rFonts w:hint="eastAsia" w:ascii="宋体" w:hAnsi="宋体"/>
          <w:bCs/>
          <w:color w:val="000000"/>
          <w:sz w:val="24"/>
          <w:szCs w:val="24"/>
          <w:highlight w:val="none"/>
        </w:rPr>
        <w:t xml:space="preserve">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highlight w:val="none"/>
        </w:rPr>
      </w:pPr>
      <w:r>
        <w:rPr>
          <w:rFonts w:ascii="宋体"/>
          <w:bCs/>
          <w:color w:val="000000"/>
          <w:sz w:val="24"/>
          <w:szCs w:val="24"/>
          <w:highlight w:val="none"/>
        </w:rPr>
      </w:r>
      <w:r/>
    </w:p>
    <w:p>
      <w:pPr>
        <w:ind w:firstLine="480"/>
        <w:spacing w:line="400" w:lineRule="exact"/>
        <w:rPr>
          <w:rFonts w:ascii="宋体"/>
          <w:bCs/>
          <w:color w:val="000000"/>
          <w:sz w:val="24"/>
          <w:szCs w:val="24"/>
          <w:highlight w:val="none"/>
          <w:u w:val="singl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；传真：</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lang w:val="en-US" w:eastAsia="zh-CN"/>
        </w:rPr>
        <w:t xml:space="preserve">              </w:t>
      </w:r>
      <w:r/>
    </w:p>
    <w:p>
      <w:pPr>
        <w:ind w:firstLine="480"/>
        <w:spacing w:line="400" w:lineRule="exact"/>
        <w:rPr>
          <w:rFonts w:ascii="宋体" w:hAnsi="宋体" w:eastAsia="宋体"/>
          <w:bCs/>
          <w:color w:val="000000"/>
          <w:sz w:val="24"/>
          <w:szCs w:val="24"/>
          <w:highlight w:val="none"/>
          <w:u w:val="single"/>
          <w:lang w:val="en-US" w:eastAsia="zh-CN"/>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lang w:val="en-US" w:eastAsia="zh-CN"/>
        </w:rPr>
        <w:t xml:space="preserve">                                      </w:t>
      </w:r>
      <w:r/>
    </w:p>
    <w:p>
      <w:pPr>
        <w:spacing w:line="46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p>
    <w:p>
      <w:pPr>
        <w:spacing w:line="360" w:lineRule="auto"/>
        <w:rPr>
          <w:b/>
          <w:color w:val="000000"/>
          <w:sz w:val="28"/>
          <w:szCs w:val="28"/>
          <w:highlight w:val="none"/>
        </w:rPr>
      </w:pPr>
      <w:r>
        <w:rPr>
          <w:rFonts w:hint="eastAsia" w:ascii="宋体" w:hAnsi="宋体"/>
          <w:bCs/>
          <w:color w:val="000000"/>
          <w:sz w:val="24"/>
          <w:szCs w:val="24"/>
          <w:highlight w:val="none"/>
        </w:rPr>
        <w:br w:type="page" w:clear="all"/>
      </w:r>
      <w:r>
        <w:rPr>
          <w:rFonts w:hint="eastAsia"/>
          <w:b/>
          <w:color w:val="000000"/>
          <w:sz w:val="28"/>
          <w:szCs w:val="28"/>
          <w:highlight w:val="none"/>
          <w:lang w:val="en-US" w:eastAsia="zh-CN"/>
        </w:rPr>
        <w:t xml:space="preserve">七</w:t>
      </w:r>
      <w:r>
        <w:rPr>
          <w:rFonts w:hint="eastAsia"/>
          <w:b/>
          <w:color w:val="000000"/>
          <w:sz w:val="28"/>
          <w:szCs w:val="28"/>
          <w:highlight w:val="none"/>
        </w:rPr>
        <w:t xml:space="preserve">、承诺书（给定格式）：</w:t>
      </w:r>
      <w:r/>
    </w:p>
    <w:p>
      <w:pPr>
        <w:jc w:val="center"/>
        <w:spacing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p>
    <w:p>
      <w:pPr>
        <w:ind w:firstLine="240"/>
        <w:spacing w:line="360" w:lineRule="auto"/>
        <w:rPr>
          <w:rFonts w:ascii="宋体" w:hAnsi="宋体"/>
          <w:color w:val="000000"/>
          <w:sz w:val="24"/>
          <w:szCs w:val="24"/>
          <w:highlight w:val="none"/>
        </w:rPr>
      </w:pP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投标人</w:t>
      </w:r>
      <w:r>
        <w:rPr>
          <w:rFonts w:hint="eastAsia" w:ascii="宋体" w:hAnsi="宋体"/>
          <w:color w:val="000000"/>
          <w:sz w:val="24"/>
          <w:szCs w:val="24"/>
          <w:highlight w:val="none"/>
        </w:rPr>
        <w:t xml:space="preserve">名称）针对本项目JSZC-320292-JING-G2026-0024在此承诺：</w:t>
      </w:r>
      <w:r/>
    </w:p>
    <w:p>
      <w:pPr>
        <w:ind w:firstLine="480"/>
        <w:spacing w:line="360" w:lineRule="auto"/>
        <w:rPr>
          <w:rFonts w:ascii="宋体" w:hAnsi="宋体"/>
          <w:bCs/>
          <w:color w:val="000000"/>
          <w:sz w:val="24"/>
          <w:szCs w:val="24"/>
          <w:highlight w:val="none"/>
        </w:rPr>
      </w:pPr>
      <w:r>
        <w:rPr>
          <w:rFonts w:hint="eastAsia" w:ascii="宋体" w:hAnsi="宋体"/>
          <w:color w:val="000000"/>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对本项目所提供的货物均为原厂全新合</w:t>
      </w:r>
      <w:r>
        <w:rPr>
          <w:rFonts w:hint="eastAsia" w:ascii="宋体" w:hAnsi="宋体"/>
          <w:bCs/>
          <w:color w:val="000000"/>
          <w:sz w:val="24"/>
          <w:szCs w:val="24"/>
          <w:highlight w:val="none"/>
          <w:lang w:eastAsia="zh-CN"/>
        </w:rPr>
        <w:t xml:space="preserve">格产</w:t>
      </w:r>
      <w:r>
        <w:rPr>
          <w:rFonts w:hint="eastAsia" w:ascii="宋体" w:hAnsi="宋体"/>
          <w:bCs/>
          <w:color w:val="000000"/>
          <w:sz w:val="24"/>
          <w:szCs w:val="24"/>
          <w:highlight w:val="none"/>
        </w:rPr>
        <w:t xml:space="preserve">品，提供的服务符合采购文件要求。</w:t>
      </w:r>
      <w:r/>
    </w:p>
    <w:p>
      <w:pPr>
        <w:ind w:firstLine="480"/>
        <w:spacing w:line="360" w:lineRule="auto"/>
        <w:rPr>
          <w:rFonts w:ascii="宋体"/>
          <w:bCs/>
          <w:color w:val="000000"/>
          <w:sz w:val="24"/>
          <w:szCs w:val="24"/>
          <w:highlight w:val="none"/>
        </w:rPr>
      </w:pPr>
      <w:r>
        <w:rPr>
          <w:rFonts w:hint="eastAsia" w:ascii="宋体"/>
          <w:bCs/>
          <w:color w:val="000000"/>
          <w:sz w:val="24"/>
          <w:szCs w:val="24"/>
          <w:highlight w:val="none"/>
        </w:rPr>
        <w:t xml:space="preserve">2.本项目中如有涉及商品包装、快递包装要求的，本公司（单位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）对于成交产品的包装将严格按照《关于印发〈商品包装政府采购需求标准（试行）〉、〈快递包装政府采购需求标准（试行）〉的通知》（财办库〔2020〕123号）文件执行。</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3.本项目中如有涉及数据中心相关设备、运维服务的，本公司（单位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将按规定执行国家和我省VOCs含量限制标准；如非强制性标准的，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hint="eastAsia" w:ascii="宋体"/>
          <w:bCs/>
          <w:color w:val="000000"/>
          <w:sz w:val="24"/>
          <w:szCs w:val="24"/>
          <w:highlight w:val="none"/>
        </w:rPr>
      </w:pPr>
      <w:r>
        <w:rPr>
          <w:rFonts w:hint="eastAsia" w:ascii="宋体"/>
          <w:bCs/>
          <w:color w:val="000000"/>
          <w:sz w:val="24"/>
          <w:szCs w:val="24"/>
          <w:highlight w:val="none"/>
        </w:rPr>
        <w:t xml:space="preserve">5.</w:t>
      </w:r>
      <w:r>
        <w:rPr>
          <w:rFonts w:hint="eastAsia" w:ascii="宋体" w:hAnsi="宋体" w:cs="宋体"/>
          <w:color w:val="000000"/>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）将所报产品符合相关要求和标准。在满足</w:t>
      </w:r>
      <w:r>
        <w:rPr>
          <w:rFonts w:hint="eastAsia" w:ascii="宋体" w:hAnsi="宋体" w:cs="宋体"/>
          <w:color w:val="000000"/>
          <w:sz w:val="24"/>
          <w:szCs w:val="24"/>
          <w:highlight w:val="none"/>
        </w:rPr>
        <w:t xml:space="preserve">《需求标准》的前提下，如采购文件中对七种软硬件有其他要求的，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）所投产品将</w:t>
      </w:r>
      <w:r>
        <w:rPr>
          <w:rFonts w:hint="eastAsia" w:ascii="宋体" w:hAnsi="宋体" w:cs="宋体"/>
          <w:color w:val="000000"/>
          <w:sz w:val="24"/>
          <w:szCs w:val="24"/>
          <w:highlight w:val="none"/>
        </w:rPr>
        <w:t xml:space="preserve">满足采购文件要求。如采购人在</w:t>
      </w:r>
      <w:r>
        <w:rPr>
          <w:rFonts w:hint="eastAsia" w:ascii="宋体"/>
          <w:bCs/>
          <w:color w:val="000000"/>
          <w:sz w:val="24"/>
          <w:szCs w:val="24"/>
          <w:highlight w:val="none"/>
        </w:rPr>
        <w:t xml:space="preserve">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）将予以配合。</w:t>
      </w:r>
      <w:r/>
    </w:p>
    <w:p>
      <w:pPr>
        <w:ind w:firstLine="480"/>
        <w:spacing w:line="360" w:lineRule="auto"/>
        <w:rPr>
          <w:rFonts w:hint="eastAsia" w:ascii="宋体" w:hAnsi="宋体" w:cs="宋体"/>
          <w:color w:val="000000"/>
          <w:sz w:val="24"/>
          <w:szCs w:val="24"/>
          <w:highlight w:val="none"/>
        </w:rPr>
      </w:pPr>
      <w:r>
        <w:rPr>
          <w:rFonts w:hint="eastAsia" w:ascii="宋体"/>
          <w:bCs/>
          <w:color w:val="000000"/>
          <w:sz w:val="24"/>
          <w:szCs w:val="24"/>
          <w:highlight w:val="none"/>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360" w:lineRule="auto"/>
        <w:rPr>
          <w:rFonts w:hint="eastAsia" w:ascii="宋体"/>
          <w:bCs/>
          <w:color w:val="000000"/>
          <w:sz w:val="24"/>
          <w:szCs w:val="24"/>
          <w:highlight w:val="none"/>
        </w:rPr>
      </w:pPr>
      <w:r>
        <w:rPr>
          <w:rFonts w:hint="eastAsia" w:ascii="宋体"/>
          <w:bCs/>
          <w:color w:val="000000"/>
          <w:sz w:val="24"/>
          <w:szCs w:val="24"/>
          <w:highlight w:val="none"/>
        </w:rPr>
      </w:r>
      <w:r/>
    </w:p>
    <w:p>
      <w:pPr>
        <w:ind w:firstLine="480"/>
        <w:spacing w:line="360" w:lineRule="auto"/>
        <w:rPr>
          <w:rFonts w:ascii="宋体"/>
          <w:bCs/>
          <w:color w:val="000000"/>
          <w:sz w:val="24"/>
          <w:szCs w:val="24"/>
          <w:highlight w:val="none"/>
        </w:rPr>
      </w:pPr>
      <w:r>
        <w:rPr>
          <w:rFonts w:ascii="宋体"/>
          <w:bCs/>
          <w:color w:val="000000"/>
          <w:sz w:val="24"/>
          <w:szCs w:val="24"/>
          <w:highlight w:val="none"/>
        </w:rPr>
        <w:t xml:space="preserve">……</w:t>
      </w:r>
      <w:r>
        <w:rPr>
          <w:rFonts w:hint="eastAsia" w:ascii="宋体"/>
          <w:bCs/>
          <w:color w:val="000000"/>
          <w:sz w:val="24"/>
          <w:szCs w:val="24"/>
          <w:highlight w:val="none"/>
        </w:rPr>
        <w:t xml:space="preserve">（投标人如有其他承诺的可在此处添加）</w:t>
      </w:r>
      <w:r/>
    </w:p>
    <w:p>
      <w:pPr>
        <w:ind w:firstLine="480"/>
        <w:spacing w:line="360" w:lineRule="auto"/>
        <w:rPr>
          <w:rFonts w:ascii="宋体"/>
          <w:bCs/>
          <w:color w:val="000000"/>
          <w:sz w:val="24"/>
          <w:szCs w:val="24"/>
          <w:highlight w:val="none"/>
        </w:rPr>
      </w:pPr>
      <w:r>
        <w:rPr>
          <w:rFonts w:ascii="宋体"/>
          <w:bCs/>
          <w:color w:val="000000"/>
          <w:sz w:val="24"/>
          <w:szCs w:val="24"/>
          <w:highlight w:val="none"/>
        </w:rPr>
      </w:r>
      <w:r/>
    </w:p>
    <w:p>
      <w:pPr>
        <w:ind w:firstLine="480"/>
        <w:spacing w:line="360" w:lineRule="auto"/>
        <w:rPr>
          <w:rFonts w:ascii="宋体" w:hAnsi="宋体"/>
          <w:color w:val="000000"/>
          <w:sz w:val="24"/>
          <w:szCs w:val="20"/>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将承担一切法律责任。</w:t>
      </w:r>
      <w:r/>
    </w:p>
    <w:p>
      <w:pPr>
        <w:ind w:firstLine="540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372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p>
    <w:p>
      <w:pPr>
        <w:rPr>
          <w:b/>
          <w:color w:val="000000"/>
          <w:sz w:val="28"/>
          <w:szCs w:val="28"/>
          <w:highlight w:val="none"/>
        </w:rPr>
        <w:outlineLvl w:val="0"/>
      </w:pPr>
      <w:r>
        <w:rPr>
          <w:rFonts w:ascii="宋体" w:hAnsi="宋体"/>
          <w:bCs/>
          <w:color w:val="000000"/>
          <w:sz w:val="24"/>
          <w:szCs w:val="24"/>
          <w:highlight w:val="none"/>
        </w:rPr>
        <w:br w:type="page" w:clear="all"/>
      </w:r>
      <w:r>
        <w:rPr>
          <w:rFonts w:hint="eastAsia"/>
          <w:b/>
          <w:color w:val="000000"/>
          <w:sz w:val="28"/>
          <w:szCs w:val="28"/>
          <w:highlight w:val="none"/>
          <w:lang w:val="en-US" w:eastAsia="zh-CN"/>
        </w:rPr>
        <w:t xml:space="preserve">八</w:t>
      </w:r>
      <w:r>
        <w:rPr>
          <w:rFonts w:hint="eastAsia"/>
          <w:b/>
          <w:color w:val="000000"/>
          <w:sz w:val="28"/>
          <w:szCs w:val="28"/>
          <w:highlight w:val="none"/>
        </w:rPr>
        <w:t xml:space="preserve">、开标一览表：</w:t>
      </w:r>
      <w:r/>
    </w:p>
    <w:p>
      <w:pPr>
        <w:ind w:firstLine="482"/>
        <w:spacing w:line="440" w:lineRule="exact"/>
        <w:rPr>
          <w:rFonts w:ascii="Arial" w:hAnsi="Arial"/>
          <w:b/>
          <w:color w:val="000000"/>
          <w:sz w:val="24"/>
          <w:highlight w:val="none"/>
        </w:rPr>
      </w:pPr>
      <w:r>
        <w:rPr>
          <w:rFonts w:ascii="Arial" w:hAnsi="Arial"/>
          <w:b/>
          <w:color w:val="000000"/>
          <w:sz w:val="24"/>
          <w:highlight w:val="none"/>
        </w:rPr>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p>
    <w:p>
      <w:pPr>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项目编号：JSZC-320292-JING-G2026-0024</w:t>
      </w:r>
      <w:r/>
    </w:p>
    <w:tbl>
      <w:tblPr>
        <w:tblStyle w:val="725"/>
        <w:tblW w:w="9106"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31"/>
        <w:gridCol w:w="5175"/>
      </w:tblGrid>
      <w:tr>
        <w:trPr>
          <w:cantSplit/>
          <w:trHeight w:val="567"/>
        </w:trPr>
        <w:tc>
          <w:tcPr>
            <w:tcW w:w="3931" w:type="dxa"/>
            <w:vAlign w:val="center"/>
            <w:textDirection w:val="lrTb"/>
            <w:noWrap/>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项目名称</w:t>
            </w:r>
            <w:r/>
          </w:p>
        </w:tc>
        <w:tc>
          <w:tcPr>
            <w:tcW w:w="5175" w:type="dxa"/>
            <w:vAlign w:val="center"/>
            <w:textDirection w:val="lrTb"/>
            <w:noWrap/>
          </w:tcPr>
          <w:p>
            <w:pPr>
              <w:jc w:val="center"/>
              <w:rPr>
                <w:rFonts w:ascii="宋体" w:hAnsi="宋体"/>
                <w:b/>
                <w:bCs/>
                <w:color w:val="000000"/>
                <w:sz w:val="24"/>
                <w:szCs w:val="24"/>
                <w:highlight w:val="none"/>
              </w:rPr>
            </w:pPr>
            <w:r>
              <w:rPr>
                <w:rFonts w:hint="eastAsia" w:ascii="宋体" w:hAnsi="宋体"/>
                <w:b/>
                <w:bCs/>
                <w:color w:val="000000"/>
                <w:sz w:val="24"/>
                <w:szCs w:val="24"/>
                <w:highlight w:val="none"/>
              </w:rPr>
              <w:t xml:space="preserve">投标总报价（小写）</w:t>
            </w:r>
            <w:r/>
          </w:p>
        </w:tc>
      </w:tr>
      <w:tr>
        <w:trPr>
          <w:cantSplit/>
          <w:trHeight w:val="1630"/>
        </w:trPr>
        <w:tc>
          <w:tcPr>
            <w:tcW w:w="3931" w:type="dxa"/>
            <w:vAlign w:val="center"/>
            <w:textDirection w:val="lrTb"/>
            <w:noWrap/>
          </w:tcPr>
          <w:p>
            <w:pPr>
              <w:pStyle w:val="1091"/>
              <w:jc w:val="center"/>
              <w:spacing w:line="400" w:lineRule="exact"/>
              <w:rPr>
                <w:rFonts w:hint="eastAsia" w:hAnsi="宋体" w:eastAsia="宋体"/>
                <w:bCs/>
                <w:color w:val="000000"/>
                <w:szCs w:val="24"/>
                <w:highlight w:val="none"/>
                <w:lang w:eastAsia="zh-CN"/>
              </w:rPr>
            </w:pPr>
            <w:r>
              <w:rPr>
                <w:rFonts w:hint="eastAsia" w:hAnsi="宋体"/>
                <w:bCs/>
                <w:color w:val="000000"/>
                <w:szCs w:val="24"/>
                <w:highlight w:val="none"/>
                <w:lang w:eastAsia="zh-CN"/>
              </w:rPr>
              <w:t xml:space="preserve">无锡经开和畅实验中学2026年实验室设施设备采购项目</w:t>
            </w:r>
            <w:r/>
          </w:p>
        </w:tc>
        <w:tc>
          <w:tcPr>
            <w:tcW w:w="5175" w:type="dxa"/>
            <w:vAlign w:val="center"/>
            <w:textDirection w:val="lrTb"/>
            <w:noWrap/>
          </w:tcPr>
          <w:p>
            <w:pPr>
              <w:pStyle w:val="1091"/>
              <w:jc w:val="center"/>
              <w:rPr>
                <w:rFonts w:hAnsi="宋体"/>
                <w:b/>
                <w:color w:val="000000"/>
                <w:szCs w:val="24"/>
                <w:highlight w:val="none"/>
              </w:rPr>
            </w:pPr>
            <w:r>
              <w:rPr>
                <w:rFonts w:hAnsi="宋体"/>
                <w:b/>
                <w:color w:val="000000"/>
                <w:szCs w:val="24"/>
                <w:highlight w:val="none"/>
              </w:rPr>
            </w:r>
            <w:r/>
          </w:p>
        </w:tc>
      </w:tr>
      <w:tr>
        <w:trPr>
          <w:cantSplit/>
          <w:trHeight w:val="1630"/>
        </w:trPr>
        <w:tc>
          <w:tcPr>
            <w:gridSpan w:val="2"/>
            <w:tcW w:w="9106" w:type="dxa"/>
            <w:vAlign w:val="center"/>
            <w:textDirection w:val="lrTb"/>
            <w:noWrap/>
          </w:tcPr>
          <w:p>
            <w:pPr>
              <w:pStyle w:val="1091"/>
              <w:jc w:val="left"/>
              <w:rPr>
                <w:rFonts w:hAnsi="宋体"/>
                <w:b/>
                <w:color w:val="000000"/>
                <w:szCs w:val="24"/>
                <w:highlight w:val="none"/>
              </w:rPr>
            </w:pPr>
            <w:r>
              <w:rPr>
                <w:rFonts w:hint="eastAsia" w:ascii="黑体" w:eastAsia="黑体"/>
                <w:color w:val="000000"/>
                <w:highlight w:val="none"/>
              </w:rPr>
              <w:t xml:space="preserve">投标总报价（大写）</w:t>
            </w:r>
            <w:r>
              <w:rPr>
                <w:rFonts w:hint="eastAsia" w:hAnsi="宋体"/>
                <w:bCs/>
                <w:color w:val="000000"/>
                <w:szCs w:val="24"/>
                <w:highlight w:val="none"/>
              </w:rPr>
              <w:t xml:space="preserve">：</w:t>
            </w:r>
            <w:r/>
          </w:p>
        </w:tc>
      </w:tr>
    </w:tbl>
    <w:p>
      <w:pPr>
        <w:ind w:firstLine="120"/>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ind w:firstLine="120"/>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ind w:firstLine="120"/>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ind w:firstLine="0"/>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法定代表人或授权委托人（签字</w:t>
      </w:r>
      <w:r>
        <w:rPr>
          <w:rFonts w:hint="eastAsia" w:ascii="黑体" w:eastAsia="黑体"/>
          <w:bCs/>
          <w:color w:val="000000"/>
          <w:sz w:val="24"/>
          <w:szCs w:val="24"/>
          <w:highlight w:val="none"/>
          <w:lang w:val="en-US" w:eastAsia="zh-CN"/>
        </w:rPr>
        <w:t xml:space="preserve">或盖章</w:t>
      </w:r>
      <w:r>
        <w:rPr>
          <w:rFonts w:hint="eastAsia" w:ascii="黑体" w:eastAsia="黑体"/>
          <w:bCs/>
          <w:color w:val="000000"/>
          <w:sz w:val="24"/>
          <w:szCs w:val="24"/>
          <w:highlight w:val="none"/>
        </w:rPr>
        <w:t xml:space="preserve">）：</w:t>
      </w:r>
      <w:r/>
    </w:p>
    <w:p>
      <w:pPr>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                                     日期：     年  月   日</w:t>
      </w:r>
      <w:r/>
    </w:p>
    <w:p>
      <w:pPr>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b/>
          <w:color w:val="000000"/>
          <w:sz w:val="28"/>
          <w:szCs w:val="28"/>
          <w:highlight w:val="none"/>
        </w:rPr>
      </w:pPr>
      <w:r>
        <w:rPr>
          <w:rFonts w:hint="eastAsia" w:ascii="黑体" w:eastAsia="黑体"/>
          <w:bCs/>
          <w:color w:val="000000"/>
          <w:sz w:val="24"/>
          <w:szCs w:val="24"/>
          <w:highlight w:val="none"/>
        </w:rPr>
        <w:br w:type="page" w:clear="all"/>
      </w:r>
      <w:r>
        <w:rPr>
          <w:rFonts w:hint="eastAsia"/>
          <w:b/>
          <w:color w:val="000000"/>
          <w:sz w:val="28"/>
          <w:szCs w:val="28"/>
          <w:highlight w:val="none"/>
          <w:lang w:val="en-US" w:eastAsia="zh-CN"/>
        </w:rPr>
        <w:t xml:space="preserve">九</w:t>
      </w:r>
      <w:r>
        <w:rPr>
          <w:rFonts w:hint="eastAsia"/>
          <w:b/>
          <w:color w:val="000000"/>
          <w:sz w:val="28"/>
          <w:szCs w:val="28"/>
          <w:highlight w:val="none"/>
        </w:rPr>
        <w:t xml:space="preserve">、分项</w:t>
      </w:r>
      <w:r>
        <w:rPr>
          <w:b/>
          <w:color w:val="000000"/>
          <w:sz w:val="28"/>
          <w:szCs w:val="28"/>
          <w:highlight w:val="none"/>
        </w:rPr>
        <w:t xml:space="preserve">报价表</w:t>
      </w:r>
      <w:r>
        <w:rPr>
          <w:rFonts w:hint="eastAsia"/>
          <w:b/>
          <w:color w:val="000000"/>
          <w:sz w:val="28"/>
          <w:szCs w:val="28"/>
          <w:highlight w:val="none"/>
        </w:rPr>
        <w:t xml:space="preserve">（给定格式）：</w:t>
      </w:r>
      <w:r/>
    </w:p>
    <w:p>
      <w:pPr>
        <w:spacing w:line="360" w:lineRule="auto"/>
        <w:rPr>
          <w:b/>
          <w:color w:val="000000"/>
          <w:sz w:val="30"/>
          <w:szCs w:val="30"/>
          <w:highlight w:val="none"/>
        </w:rPr>
      </w:pPr>
      <w:r>
        <w:rPr>
          <w:b/>
          <w:color w:val="000000"/>
          <w:sz w:val="30"/>
          <w:szCs w:val="30"/>
          <w:highlight w:val="none"/>
        </w:rPr>
      </w:r>
      <w:r/>
    </w:p>
    <w:p>
      <w:pPr>
        <w:jc w:val="center"/>
        <w:spacing w:line="400" w:lineRule="exact"/>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分项报价表</w:t>
      </w:r>
      <w:r/>
    </w:p>
    <w:p>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项目编号：JSZC-320292-JING-G2026-0024</w:t>
      </w:r>
      <w:r/>
    </w:p>
    <w:tbl>
      <w:tblPr>
        <w:tblStyle w:val="725"/>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000000"/>
                <w:sz w:val="18"/>
                <w:highlight w:val="none"/>
              </w:rPr>
            </w:pPr>
            <w:r>
              <w:rPr>
                <w:rFonts w:hint="eastAsia"/>
                <w:color w:val="000000"/>
                <w:sz w:val="18"/>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rPr>
                <w:color w:val="000000"/>
                <w:sz w:val="18"/>
                <w:highlight w:val="none"/>
              </w:rPr>
            </w:pPr>
            <w:r>
              <w:rPr>
                <w:rFonts w:hint="eastAsia"/>
                <w:color w:val="000000"/>
                <w:sz w:val="18"/>
                <w:highlight w:val="none"/>
              </w:rPr>
              <w:t xml:space="preserve">名称</w:t>
            </w:r>
            <w:r/>
          </w:p>
        </w:tc>
        <w:tc>
          <w:tcPr>
            <w:tcMar>
              <w:left w:w="15" w:type="dxa"/>
              <w:top w:w="15" w:type="dxa"/>
              <w:right w:w="15" w:type="dxa"/>
              <w:bottom w:w="0" w:type="dxa"/>
            </w:tcMar>
            <w:tcW w:w="945" w:type="dxa"/>
            <w:vAlign w:val="center"/>
            <w:textDirection w:val="lrTb"/>
            <w:noWrap/>
          </w:tcPr>
          <w:p>
            <w:pPr>
              <w:jc w:val="center"/>
              <w:spacing w:before="5"/>
              <w:rPr>
                <w:color w:val="000000"/>
                <w:sz w:val="18"/>
                <w:highlight w:val="none"/>
              </w:rPr>
            </w:pPr>
            <w:r>
              <w:rPr>
                <w:rFonts w:hint="eastAsia"/>
                <w:color w:val="000000"/>
                <w:sz w:val="18"/>
                <w:highlight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color w:val="000000"/>
                <w:sz w:val="18"/>
                <w:highlight w:val="none"/>
              </w:rPr>
            </w:pPr>
            <w:r>
              <w:rPr>
                <w:rFonts w:hint="eastAsia"/>
                <w:color w:val="000000"/>
                <w:sz w:val="18"/>
                <w:highlight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color w:val="000000"/>
                <w:sz w:val="18"/>
                <w:highlight w:val="none"/>
              </w:rPr>
            </w:pPr>
            <w:r>
              <w:rPr>
                <w:rFonts w:hint="eastAsia"/>
                <w:color w:val="000000"/>
                <w:sz w:val="18"/>
                <w:highlight w:val="none"/>
              </w:rPr>
              <w:t xml:space="preserve">数量</w:t>
            </w:r>
            <w:r/>
          </w:p>
        </w:tc>
        <w:tc>
          <w:tcPr>
            <w:tcW w:w="1276" w:type="dxa"/>
            <w:vAlign w:val="center"/>
            <w:textDirection w:val="lrTb"/>
            <w:noWrap w:val="false"/>
          </w:tcPr>
          <w:p>
            <w:pPr>
              <w:jc w:val="center"/>
              <w:spacing w:before="5"/>
              <w:rPr>
                <w:color w:val="000000"/>
                <w:sz w:val="18"/>
                <w:highlight w:val="none"/>
              </w:rPr>
            </w:pPr>
            <w:r>
              <w:rPr>
                <w:rFonts w:hint="eastAsia"/>
                <w:color w:val="000000"/>
                <w:sz w:val="18"/>
                <w:highlight w:val="none"/>
              </w:rPr>
              <w:t xml:space="preserve">产地</w:t>
            </w:r>
            <w:r/>
          </w:p>
        </w:tc>
        <w:tc>
          <w:tcPr>
            <w:tcMar>
              <w:left w:w="15" w:type="dxa"/>
              <w:top w:w="15" w:type="dxa"/>
              <w:right w:w="15" w:type="dxa"/>
              <w:bottom w:w="0" w:type="dxa"/>
            </w:tcMar>
            <w:tcW w:w="992" w:type="dxa"/>
            <w:vAlign w:val="center"/>
            <w:textDirection w:val="lrTb"/>
            <w:noWrap/>
          </w:tcPr>
          <w:p>
            <w:pPr>
              <w:jc w:val="center"/>
              <w:spacing w:before="5"/>
              <w:rPr>
                <w:color w:val="000000"/>
                <w:sz w:val="18"/>
                <w:highlight w:val="none"/>
              </w:rPr>
            </w:pPr>
            <w:r>
              <w:rPr>
                <w:rFonts w:hint="eastAsia"/>
                <w:color w:val="000000"/>
                <w:sz w:val="18"/>
                <w:highlight w:val="none"/>
              </w:rPr>
              <w:t xml:space="preserve">质保期</w:t>
            </w:r>
            <w:r/>
          </w:p>
        </w:tc>
        <w:tc>
          <w:tcPr>
            <w:tcW w:w="709" w:type="dxa"/>
            <w:vAlign w:val="center"/>
            <w:textDirection w:val="lrTb"/>
            <w:noWrap w:val="false"/>
          </w:tcPr>
          <w:p>
            <w:pPr>
              <w:jc w:val="center"/>
              <w:spacing w:before="5"/>
              <w:rPr>
                <w:color w:val="000000"/>
                <w:sz w:val="18"/>
                <w:highlight w:val="none"/>
              </w:rPr>
            </w:pPr>
            <w:r>
              <w:rPr>
                <w:rFonts w:hint="eastAsia"/>
                <w:color w:val="000000"/>
                <w:sz w:val="18"/>
                <w:highlight w:val="none"/>
              </w:rPr>
              <w:t xml:space="preserve">单报价</w:t>
            </w:r>
            <w:r/>
          </w:p>
        </w:tc>
        <w:tc>
          <w:tcPr>
            <w:tcW w:w="939" w:type="dxa"/>
            <w:vAlign w:val="center"/>
            <w:textDirection w:val="lrTb"/>
            <w:noWrap w:val="false"/>
          </w:tcPr>
          <w:p>
            <w:pPr>
              <w:jc w:val="center"/>
              <w:spacing w:before="5"/>
              <w:rPr>
                <w:color w:val="000000"/>
                <w:sz w:val="18"/>
                <w:highlight w:val="none"/>
              </w:rPr>
            </w:pPr>
            <w:r>
              <w:rPr>
                <w:rFonts w:hint="eastAsia"/>
                <w:color w:val="000000"/>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1106"/>
              <w:spacing w:before="5"/>
              <w:tabs>
                <w:tab w:val="clear" w:pos="4153" w:leader="none"/>
                <w:tab w:val="clear" w:pos="8306" w:leader="none"/>
              </w:tabs>
              <w:rPr>
                <w:rFonts w:ascii="宋体"/>
                <w:color w:val="000000"/>
                <w:highlight w:val="none"/>
                <w:lang w:eastAsia="zh-CN"/>
              </w:rPr>
              <w:pBdr>
                <w:bottom w:val="none" w:color="000000" w:sz="0" w:space="0"/>
              </w:pBdr>
            </w:pPr>
            <w:r>
              <w:rPr>
                <w:rFonts w:hint="eastAsia" w:ascii="宋体"/>
                <w:color w:val="000000"/>
                <w:highlight w:val="none"/>
                <w:lang w:eastAsia="zh-CN"/>
              </w:rPr>
              <w:t xml:space="preserve">1</w:t>
            </w:r>
            <w:r/>
          </w:p>
        </w:tc>
        <w:tc>
          <w:tcPr>
            <w:tcMar>
              <w:left w:w="15" w:type="dxa"/>
              <w:top w:w="15" w:type="dxa"/>
              <w:right w:w="15" w:type="dxa"/>
              <w:bottom w:w="0" w:type="dxa"/>
            </w:tcMar>
            <w:tcW w:w="1050" w:type="dxa"/>
            <w:vAlign w:val="center"/>
            <w:textDirection w:val="lrTb"/>
            <w:noWrap/>
          </w:tcPr>
          <w:p>
            <w:pPr>
              <w:pStyle w:val="1106"/>
              <w:tabs>
                <w:tab w:val="clear" w:pos="4153" w:leader="none"/>
                <w:tab w:val="clear" w:pos="8306" w:leader="none"/>
              </w:tabs>
              <w:rPr>
                <w:rFonts w:ascii="宋体"/>
                <w:bCs/>
                <w:color w:val="000000"/>
                <w:highlight w:val="none"/>
                <w:lang w:eastAsia="zh-CN"/>
              </w:rPr>
              <w:pBdr>
                <w:bottom w:val="none" w:color="000000" w:sz="0" w:space="0"/>
              </w:pBdr>
            </w:pPr>
            <w:r>
              <w:rPr>
                <w:rFonts w:ascii="宋体"/>
                <w:bCs/>
                <w:color w:val="000000"/>
                <w:highlight w:val="none"/>
                <w:lang w:eastAsia="zh-CN"/>
              </w:rPr>
            </w:r>
            <w:r/>
          </w:p>
        </w:tc>
        <w:tc>
          <w:tcPr>
            <w:tcMar>
              <w:left w:w="15" w:type="dxa"/>
              <w:top w:w="15" w:type="dxa"/>
              <w:right w:w="15" w:type="dxa"/>
              <w:bottom w:w="0" w:type="dxa"/>
            </w:tcMar>
            <w:tcW w:w="945" w:type="dxa"/>
            <w:vAlign w:val="center"/>
            <w:textDirection w:val="lrTb"/>
            <w:noWrap w:val="false"/>
          </w:tcPr>
          <w:p>
            <w:pPr>
              <w:pStyle w:val="1106"/>
              <w:tabs>
                <w:tab w:val="clear" w:pos="4153" w:leader="none"/>
                <w:tab w:val="clear" w:pos="8306" w:leader="none"/>
              </w:tabs>
              <w:rPr>
                <w:rFonts w:ascii="宋体"/>
                <w:bCs/>
                <w:color w:val="000000"/>
                <w:highlight w:val="none"/>
                <w:lang w:eastAsia="zh-CN"/>
              </w:rPr>
              <w:pBdr>
                <w:bottom w:val="none" w:color="000000" w:sz="0" w:space="0"/>
              </w:pBdr>
            </w:pPr>
            <w:r>
              <w:rPr>
                <w:rFonts w:ascii="宋体"/>
                <w:bCs/>
                <w:color w:val="000000"/>
                <w:highlight w:val="none"/>
                <w:lang w:eastAsia="zh-CN"/>
              </w:rPr>
            </w:r>
            <w:r/>
          </w:p>
        </w:tc>
        <w:tc>
          <w:tcPr>
            <w:tcMar>
              <w:left w:w="15" w:type="dxa"/>
              <w:top w:w="15" w:type="dxa"/>
              <w:right w:w="15" w:type="dxa"/>
              <w:bottom w:w="0" w:type="dxa"/>
            </w:tcMar>
            <w:tcW w:w="3045" w:type="dxa"/>
            <w:vAlign w:val="top"/>
            <w:textDirection w:val="lrTb"/>
            <w:noWrap w:val="false"/>
          </w:tcPr>
          <w:p>
            <w:pPr>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1276"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70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highlight w:val="none"/>
              </w:rPr>
            </w:pPr>
            <w:r>
              <w:rPr>
                <w:rFonts w:hint="eastAsia" w:ascii="宋体"/>
                <w:color w:val="000000"/>
                <w:sz w:val="18"/>
                <w:highlight w:val="none"/>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000000"/>
                <w:highlight w:val="none"/>
              </w:rPr>
            </w:pPr>
            <w:r>
              <w:rPr>
                <w:rFonts w:ascii="宋体"/>
                <w:color w:val="000000"/>
                <w:highlight w:val="none"/>
              </w:rPr>
            </w:r>
            <w:r/>
          </w:p>
        </w:tc>
        <w:tc>
          <w:tcPr>
            <w:tcMar>
              <w:left w:w="15" w:type="dxa"/>
              <w:top w:w="15" w:type="dxa"/>
              <w:right w:w="15" w:type="dxa"/>
              <w:bottom w:w="0" w:type="dxa"/>
            </w:tcMar>
            <w:tcW w:w="945" w:type="dxa"/>
            <w:vAlign w:val="center"/>
            <w:textDirection w:val="lrTb"/>
            <w:noWrap w:val="false"/>
          </w:tcPr>
          <w:p>
            <w:pPr>
              <w:pStyle w:val="1106"/>
              <w:tabs>
                <w:tab w:val="clear" w:pos="4153" w:leader="none"/>
                <w:tab w:val="clear" w:pos="8306" w:leader="none"/>
              </w:tabs>
              <w:rPr>
                <w:rFonts w:ascii="宋体"/>
                <w:bCs/>
                <w:color w:val="000000"/>
                <w:highlight w:val="none"/>
                <w:lang w:eastAsia="zh-CN"/>
              </w:rPr>
              <w:pBdr>
                <w:bottom w:val="none" w:color="000000" w:sz="0" w:space="0"/>
              </w:pBdr>
            </w:pPr>
            <w:r>
              <w:rPr>
                <w:rFonts w:ascii="宋体"/>
                <w:bCs/>
                <w:color w:val="000000"/>
                <w:highlight w:val="none"/>
                <w:lang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1276"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70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highlight w:val="none"/>
              </w:rPr>
            </w:pPr>
            <w:r>
              <w:rPr>
                <w:rFonts w:ascii="宋体"/>
                <w:color w:val="000000"/>
                <w:sz w:val="18"/>
                <w:highlight w:val="none"/>
              </w:rPr>
            </w:r>
            <w:r/>
          </w:p>
        </w:tc>
        <w:tc>
          <w:tcPr>
            <w:tcMar>
              <w:left w:w="15" w:type="dxa"/>
              <w:top w:w="15" w:type="dxa"/>
              <w:right w:w="15" w:type="dxa"/>
              <w:bottom w:w="0" w:type="dxa"/>
            </w:tcMar>
            <w:tcW w:w="1050" w:type="dxa"/>
            <w:vAlign w:val="center"/>
            <w:textDirection w:val="lrTb"/>
            <w:noWrap/>
          </w:tcPr>
          <w:p>
            <w:pPr>
              <w:jc w:val="center"/>
              <w:rPr>
                <w:rFonts w:ascii="宋体"/>
                <w:color w:val="000000"/>
                <w:highlight w:val="none"/>
              </w:rPr>
            </w:pPr>
            <w:r>
              <w:rPr>
                <w:rFonts w:ascii="宋体"/>
                <w:color w:val="000000"/>
                <w:highlight w:val="none"/>
              </w:rPr>
              <w:t xml:space="preserve">……</w:t>
            </w:r>
            <w:r/>
          </w:p>
        </w:tc>
        <w:tc>
          <w:tcPr>
            <w:tcMar>
              <w:left w:w="15" w:type="dxa"/>
              <w:top w:w="15" w:type="dxa"/>
              <w:right w:w="15" w:type="dxa"/>
              <w:bottom w:w="0" w:type="dxa"/>
            </w:tcMar>
            <w:tcW w:w="945" w:type="dxa"/>
            <w:vAlign w:val="center"/>
            <w:textDirection w:val="lrTb"/>
            <w:noWrap w:val="false"/>
          </w:tcPr>
          <w:p>
            <w:pPr>
              <w:pStyle w:val="1106"/>
              <w:tabs>
                <w:tab w:val="clear" w:pos="4153" w:leader="none"/>
                <w:tab w:val="clear" w:pos="8306" w:leader="none"/>
              </w:tabs>
              <w:rPr>
                <w:rFonts w:ascii="宋体"/>
                <w:bCs/>
                <w:color w:val="000000"/>
                <w:highlight w:val="none"/>
                <w:lang w:eastAsia="zh-CN"/>
              </w:rPr>
              <w:pBdr>
                <w:bottom w:val="none" w:color="000000" w:sz="0" w:space="0"/>
              </w:pBdr>
            </w:pPr>
            <w:r>
              <w:rPr>
                <w:rFonts w:ascii="宋体"/>
                <w:bCs/>
                <w:color w:val="000000"/>
                <w:highlight w:val="none"/>
                <w:lang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eastAsia="黑体"/>
                <w:b/>
                <w:bCs/>
                <w:color w:val="000000"/>
                <w:highlight w:val="none"/>
              </w:rPr>
            </w:pPr>
            <w:r>
              <w:rPr>
                <w:rFonts w:ascii="黑体" w:eastAsia="黑体"/>
                <w:b/>
                <w:bCs/>
                <w:color w:val="000000"/>
                <w:highlight w:val="none"/>
              </w:rPr>
            </w:r>
            <w:r/>
          </w:p>
        </w:tc>
        <w:tc>
          <w:tcPr>
            <w:tcW w:w="1276"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eastAsia="黑体"/>
                <w:b/>
                <w:bCs/>
                <w:color w:val="000000"/>
                <w:highlight w:val="none"/>
              </w:rPr>
            </w:pPr>
            <w:r>
              <w:rPr>
                <w:rFonts w:ascii="黑体" w:eastAsia="黑体"/>
                <w:b/>
                <w:bCs/>
                <w:color w:val="000000"/>
                <w:highlight w:val="none"/>
              </w:rPr>
            </w:r>
            <w:r/>
          </w:p>
        </w:tc>
        <w:tc>
          <w:tcPr>
            <w:tcW w:w="70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投标人承诺：</w:t>
            </w:r>
            <w:r/>
          </w:p>
          <w:p>
            <w:pPr>
              <w:jc w:val="center"/>
              <w:rPr>
                <w:rFonts w:ascii="黑体" w:hAnsi="宋体" w:eastAsia="黑体"/>
                <w:b/>
                <w:bCs/>
                <w:color w:val="000000"/>
                <w:sz w:val="24"/>
                <w:szCs w:val="24"/>
                <w:highlight w:val="none"/>
              </w:rPr>
            </w:pPr>
            <w:r>
              <w:rPr>
                <w:rFonts w:hint="eastAsia" w:ascii="宋体" w:hAnsi="宋体"/>
                <w:bCs/>
                <w:color w:val="000000"/>
                <w:sz w:val="24"/>
                <w:szCs w:val="24"/>
                <w:highlight w:val="none"/>
              </w:rPr>
              <w:t xml:space="preserve">本采购</w:t>
            </w:r>
            <w:r>
              <w:rPr>
                <w:rFonts w:hint="eastAsia" w:ascii="宋体" w:hAnsi="宋体"/>
                <w:bCs/>
                <w:color w:val="000000"/>
                <w:sz w:val="24"/>
                <w:szCs w:val="24"/>
                <w:highlight w:val="none"/>
                <w:lang w:val="en-US" w:eastAsia="zh-CN"/>
              </w:rPr>
              <w:t xml:space="preserve">项目或采购</w:t>
            </w:r>
            <w:r>
              <w:rPr>
                <w:rFonts w:hint="eastAsia" w:ascii="宋体" w:hAnsi="宋体"/>
                <w:bCs/>
                <w:color w:val="000000"/>
                <w:sz w:val="24"/>
                <w:szCs w:val="24"/>
                <w:highlight w:val="none"/>
              </w:rPr>
              <w:t xml:space="preserve">包中提供的符合本国产品标准的产品成本之和占提供的全部产品成本之和的比例为</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w:t>
            </w:r>
            <w:r/>
          </w:p>
        </w:tc>
      </w:tr>
    </w:tbl>
    <w:p>
      <w:pPr>
        <w:spacing w:before="5" w:line="560" w:lineRule="atLeast"/>
        <w:rPr>
          <w:b/>
          <w:bCs/>
          <w:color w:val="000000"/>
          <w:sz w:val="24"/>
          <w:szCs w:val="24"/>
          <w:highlight w:val="none"/>
        </w:rPr>
      </w:pPr>
      <w:r>
        <w:rPr>
          <w:rFonts w:hint="eastAsia"/>
          <w:b/>
          <w:bCs/>
          <w:color w:val="000000"/>
          <w:sz w:val="24"/>
          <w:szCs w:val="24"/>
          <w:highlight w:val="none"/>
        </w:rPr>
        <w:t xml:space="preserve">投标人名称（盖章）：</w:t>
      </w:r>
      <w:r/>
    </w:p>
    <w:p>
      <w:pPr>
        <w:spacing w:line="400" w:lineRule="exact"/>
        <w:rPr>
          <w:rFonts w:ascii="宋体"/>
          <w:bCs/>
          <w:color w:val="000000"/>
          <w:highlight w:val="none"/>
        </w:rPr>
        <w:outlineLvl w:val="0"/>
      </w:pPr>
      <w:r>
        <w:rPr>
          <w:rFonts w:hint="eastAsia" w:ascii="宋体" w:hAnsi="宋体"/>
          <w:b/>
          <w:color w:val="000000"/>
          <w:highlight w:val="none"/>
        </w:rPr>
        <w:t xml:space="preserve">注：</w:t>
      </w:r>
      <w:r>
        <w:rPr>
          <w:rFonts w:hint="eastAsia" w:ascii="宋体" w:hAnsi="宋体"/>
          <w:bCs/>
          <w:color w:val="000000"/>
          <w:highlight w:val="none"/>
        </w:rPr>
        <w:t xml:space="preserve">（</w:t>
      </w:r>
      <w:r>
        <w:rPr>
          <w:rFonts w:ascii="宋体" w:hAnsi="宋体"/>
          <w:bCs/>
          <w:color w:val="000000"/>
          <w:highlight w:val="none"/>
        </w:rPr>
        <w:t xml:space="preserve">1</w:t>
      </w:r>
      <w:r>
        <w:rPr>
          <w:rFonts w:hint="eastAsia" w:ascii="宋体" w:hAnsi="宋体"/>
          <w:bCs/>
          <w:color w:val="000000"/>
          <w:highlight w:val="none"/>
        </w:rPr>
        <w:t xml:space="preserve">）</w:t>
      </w:r>
      <w:r>
        <w:rPr>
          <w:rFonts w:hint="eastAsia" w:ascii="宋体"/>
          <w:bCs/>
          <w:color w:val="000000"/>
          <w:highlight w:val="none"/>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000000"/>
          <w:highlight w:val="none"/>
          <w:lang w:val="en-US" w:eastAsia="zh-CN"/>
        </w:rPr>
        <w:t xml:space="preserve">代理机构</w:t>
      </w:r>
      <w:r>
        <w:rPr>
          <w:rFonts w:hint="eastAsia" w:ascii="宋体"/>
          <w:bCs/>
          <w:color w:val="000000"/>
          <w:highlight w:val="none"/>
        </w:rPr>
        <w:t xml:space="preserve">有权将相关内容进行公示。</w:t>
      </w:r>
      <w:r/>
    </w:p>
    <w:p>
      <w:pPr>
        <w:ind w:firstLine="315"/>
        <w:spacing w:line="400" w:lineRule="exact"/>
        <w:rPr>
          <w:rFonts w:ascii="宋体"/>
          <w:bCs/>
          <w:color w:val="000000"/>
          <w:highlight w:val="none"/>
        </w:rPr>
        <w:outlineLvl w:val="0"/>
      </w:pPr>
      <w:r>
        <w:rPr>
          <w:rFonts w:hint="eastAsia" w:ascii="宋体" w:hAnsi="宋体"/>
          <w:bCs/>
          <w:color w:val="000000"/>
          <w:highlight w:val="none"/>
        </w:rPr>
        <w:t xml:space="preserve">（</w:t>
      </w:r>
      <w:r>
        <w:rPr>
          <w:rFonts w:ascii="宋体" w:hAnsi="宋体"/>
          <w:bCs/>
          <w:color w:val="000000"/>
          <w:highlight w:val="none"/>
        </w:rPr>
        <w:t xml:space="preserve">2</w:t>
      </w:r>
      <w:r>
        <w:rPr>
          <w:rFonts w:hint="eastAsia" w:ascii="宋体" w:hAnsi="宋体"/>
          <w:bCs/>
          <w:color w:val="000000"/>
          <w:highlight w:val="none"/>
        </w:rPr>
        <w:t xml:space="preserve">）投标人应当根据“采购需求”的内容在上表中详细填写。</w:t>
      </w:r>
      <w:r/>
    </w:p>
    <w:p>
      <w:pPr>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t xml:space="preserve">（</w:t>
      </w:r>
      <w:r>
        <w:rPr>
          <w:rFonts w:ascii="宋体" w:hAnsi="宋体"/>
          <w:bCs/>
          <w:color w:val="000000"/>
          <w:highlight w:val="none"/>
        </w:rPr>
        <w:t xml:space="preserve">3</w:t>
      </w:r>
      <w:r>
        <w:rPr>
          <w:rFonts w:hint="eastAsia" w:ascii="宋体" w:hAnsi="宋体"/>
          <w:bCs/>
          <w:color w:val="000000"/>
          <w:highlight w:val="none"/>
        </w:rPr>
        <w:t xml:space="preserve">）表格不够可自行延长。</w:t>
      </w:r>
      <w:r/>
    </w:p>
    <w:p>
      <w:pPr>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t xml:space="preserve">（4）</w:t>
      </w:r>
      <w:r>
        <w:rPr>
          <w:rFonts w:hint="eastAsia" w:ascii="宋体" w:hAnsi="宋体"/>
          <w:bCs/>
          <w:color w:val="000000"/>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000000"/>
          <w:highlight w:val="none"/>
          <w:u w:val="single"/>
        </w:rPr>
        <w:outlineLvl w:val="0"/>
      </w:pPr>
      <w:r>
        <w:rPr>
          <w:rFonts w:hint="eastAsia" w:ascii="宋体" w:hAnsi="宋体"/>
          <w:bCs/>
          <w:color w:val="000000"/>
          <w:highlight w:val="none"/>
          <w:u w:val="single"/>
        </w:rPr>
        <w:t xml:space="preserve">特别注意！！“符合本国产品标准的产品成本之和”是指本项目或采购包中符合本国产品标准的</w:t>
      </w:r>
      <w:r>
        <w:rPr>
          <w:rFonts w:hint="eastAsia" w:ascii="宋体" w:hAnsi="宋体"/>
          <w:b/>
          <w:bCs/>
          <w:color w:val="000000"/>
          <w:highlight w:val="none"/>
          <w:u w:val="single"/>
        </w:rPr>
        <w:t xml:space="preserve">货物成本之和</w:t>
      </w:r>
      <w:r>
        <w:rPr>
          <w:rFonts w:hint="eastAsia" w:ascii="宋体" w:hAnsi="宋体"/>
          <w:bCs/>
          <w:color w:val="000000"/>
          <w:highlight w:val="none"/>
          <w:u w:val="single"/>
        </w:rPr>
        <w:t xml:space="preserve">；“全部产品成本之和”是指货物或服务项目（或者采购包）中包含的</w:t>
      </w:r>
      <w:r>
        <w:rPr>
          <w:rFonts w:hint="eastAsia" w:ascii="宋体" w:hAnsi="宋体"/>
          <w:b/>
          <w:bCs/>
          <w:color w:val="000000"/>
          <w:highlight w:val="none"/>
          <w:u w:val="single"/>
        </w:rPr>
        <w:t xml:space="preserve">全部货物、服务产品的成本之和</w:t>
      </w:r>
      <w:r>
        <w:rPr>
          <w:rFonts w:hint="eastAsia" w:ascii="宋体" w:hAnsi="宋体"/>
          <w:bCs/>
          <w:color w:val="000000"/>
          <w:highlight w:val="none"/>
          <w:u w:val="single"/>
        </w:rPr>
        <w:t xml:space="preserve">。</w:t>
      </w:r>
      <w:r/>
    </w:p>
    <w:p>
      <w:pPr>
        <w:spacing w:line="400" w:lineRule="exact"/>
        <w:rPr>
          <w:b/>
          <w:color w:val="000000"/>
          <w:sz w:val="28"/>
          <w:szCs w:val="28"/>
          <w:highlight w:val="none"/>
        </w:rPr>
        <w:outlineLvl w:val="0"/>
      </w:pPr>
      <w:r>
        <w:rPr>
          <w:rFonts w:ascii="宋体" w:hAnsi="宋体"/>
          <w:bCs/>
          <w:color w:val="000000"/>
          <w:highlight w:val="none"/>
        </w:rPr>
        <w:br w:type="page" w:clear="all"/>
      </w:r>
      <w:bookmarkEnd w:id="199"/>
      <w:r/>
      <w:bookmarkEnd w:id="200"/>
      <w:r/>
      <w:bookmarkEnd w:id="201"/>
      <w:r/>
      <w:bookmarkStart w:id="203" w:name="_Toc120614284"/>
      <w:r>
        <w:rPr>
          <w:rFonts w:hint="eastAsia"/>
          <w:b/>
          <w:color w:val="000000"/>
          <w:sz w:val="28"/>
          <w:szCs w:val="28"/>
          <w:highlight w:val="none"/>
        </w:rPr>
        <w:t xml:space="preserve">十</w:t>
      </w:r>
      <w:r>
        <w:rPr>
          <w:b/>
          <w:color w:val="000000"/>
          <w:sz w:val="28"/>
          <w:szCs w:val="28"/>
          <w:highlight w:val="none"/>
        </w:rPr>
        <w:t xml:space="preserve">、</w:t>
      </w:r>
      <w:r>
        <w:rPr>
          <w:rFonts w:hint="eastAsia"/>
          <w:b/>
          <w:color w:val="000000"/>
          <w:sz w:val="28"/>
          <w:szCs w:val="28"/>
          <w:highlight w:val="none"/>
        </w:rPr>
        <w:t xml:space="preserve">投标偏离表（给定格式）：</w:t>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项目编号：JSZC-320292-JING-G2026-0024</w:t>
      </w:r>
      <w:r/>
    </w:p>
    <w:tbl>
      <w:tblPr>
        <w:tblStyle w:val="725"/>
        <w:tblW w:w="8878" w:type="dxa"/>
        <w:jc w:val="center"/>
        <w:tblLayout w:type="fixed"/>
        <w:tblCellMar>
          <w:left w:w="15" w:type="dxa"/>
          <w:top w:w="15" w:type="dxa"/>
          <w:right w:w="15" w:type="dxa"/>
          <w:bottom w:w="0" w:type="dxa"/>
        </w:tblCellMar>
        <w:tblLook w:val="04A0" w:firstRow="1" w:lastRow="0" w:firstColumn="1" w:lastColumn="0" w:noHBand="0" w:noVBand="1"/>
      </w:tblPr>
      <w:tblGrid>
        <w:gridCol w:w="1843"/>
        <w:gridCol w:w="2530"/>
        <w:gridCol w:w="2410"/>
        <w:gridCol w:w="2095"/>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43" w:type="dxa"/>
            <w:vAlign w:val="center"/>
            <w:textDirection w:val="lrTb"/>
            <w:noWrap/>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095" w:type="dxa"/>
            <w:vAlign w:val="center"/>
            <w:textDirection w:val="lrTb"/>
            <w:noWrap/>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43" w:type="dxa"/>
            <w:vAlign w:val="center"/>
            <w:textDirection w:val="lrTb"/>
            <w:noWrap/>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095" w:type="dxa"/>
            <w:vAlign w:val="center"/>
            <w:textDirection w:val="lrTb"/>
            <w:noWrap/>
          </w:tcPr>
          <w:p>
            <w:pPr>
              <w:jc w:val="center"/>
              <w:rPr>
                <w:rFonts w:ascii="宋体"/>
                <w:bCs/>
                <w:color w:val="000000"/>
                <w:highlight w:val="none"/>
              </w:rPr>
            </w:pPr>
            <w:r>
              <w:rPr>
                <w:rFonts w:ascii="宋体"/>
                <w:bCs/>
                <w:color w:val="000000"/>
                <w:highlight w:val="none"/>
              </w:rPr>
            </w:r>
            <w:r/>
          </w:p>
        </w:tc>
      </w:tr>
    </w:tbl>
    <w:p>
      <w:pPr>
        <w:rPr>
          <w:rFonts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p>
    <w:p>
      <w:pPr>
        <w:rPr>
          <w:rFonts w:ascii="宋体"/>
          <w:bCs/>
          <w:color w:val="000000"/>
          <w:sz w:val="30"/>
          <w:highlight w:val="none"/>
        </w:rPr>
      </w:pPr>
      <w:r>
        <w:rPr>
          <w:rFonts w:ascii="宋体"/>
          <w:bCs/>
          <w:color w:val="000000"/>
          <w:sz w:val="30"/>
          <w:highlight w:val="none"/>
        </w:rPr>
      </w:r>
      <w:r/>
    </w:p>
    <w:p>
      <w:pPr>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p>
    <w:p>
      <w:pPr>
        <w:ind w:firstLine="90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）如无任何技术偏离，请于本表 “偏离说明”中注明“无偏离”；</w:t>
      </w:r>
      <w:r/>
    </w:p>
    <w:p>
      <w:pPr>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    （3）如有技术偏离项，请于本表中列明偏离内容，如需要可自行延长，其余无偏离内容</w:t>
      </w:r>
      <w:r>
        <w:rPr>
          <w:rFonts w:hint="eastAsia" w:ascii="宋体" w:hAnsi="宋体"/>
          <w:bCs/>
          <w:color w:val="000000"/>
          <w:sz w:val="24"/>
          <w:szCs w:val="24"/>
          <w:highlight w:val="none"/>
          <w:lang w:eastAsia="zh-CN"/>
        </w:rPr>
        <w:t xml:space="preserve">无需</w:t>
      </w:r>
      <w:r>
        <w:rPr>
          <w:rFonts w:hint="eastAsia" w:ascii="宋体" w:hAnsi="宋体"/>
          <w:bCs/>
          <w:color w:val="000000"/>
          <w:sz w:val="24"/>
          <w:szCs w:val="24"/>
          <w:highlight w:val="none"/>
        </w:rPr>
        <w:t xml:space="preserve">赘述。</w:t>
      </w:r>
      <w:bookmarkEnd w:id="183"/>
      <w:r/>
      <w:bookmarkEnd w:id="184"/>
      <w:r/>
      <w:bookmarkEnd w:id="203"/>
      <w:r/>
      <w:bookmarkStart w:id="204" w:name="_格式2__法定代表人授权书"/>
      <w:r/>
      <w:bookmarkEnd w:id="204"/>
      <w:r/>
      <w:bookmarkStart w:id="205" w:name="_Hlt26955066"/>
      <w:r/>
      <w:bookmarkEnd w:id="205"/>
      <w:r/>
      <w:bookmarkStart w:id="206" w:name="_Hlt26671374"/>
      <w:r/>
      <w:bookmarkEnd w:id="206"/>
      <w:r/>
      <w:bookmarkStart w:id="207" w:name="_Hlt26609389"/>
      <w:r/>
      <w:bookmarkEnd w:id="207"/>
      <w:r/>
      <w:r/>
    </w:p>
    <w:p>
      <w:pPr>
        <w:rPr>
          <w:rFonts w:hint="eastAsia"/>
          <w:color w:val="000000"/>
          <w:highlight w:val="none"/>
          <w:lang w:val="en-US" w:eastAsia="zh-CN"/>
        </w:rPr>
      </w:pPr>
      <w:r>
        <w:rPr>
          <w:rFonts w:hint="eastAsia"/>
          <w:color w:val="000000"/>
          <w:highlight w:val="none"/>
          <w:lang w:val="en-US" w:eastAsia="zh-CN"/>
        </w:rPr>
        <w:t xml:space="preserve">  </w:t>
      </w:r>
      <w:r/>
    </w:p>
    <w:p>
      <w:pPr>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pStyle w:val="796"/>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pStyle w:val="796"/>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pStyle w:val="796"/>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pStyle w:val="796"/>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pStyle w:val="796"/>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pStyle w:val="796"/>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pStyle w:val="796"/>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pStyle w:val="796"/>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pStyle w:val="796"/>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pStyle w:val="796"/>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pStyle w:val="796"/>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pStyle w:val="796"/>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pStyle w:val="796"/>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spacing w:line="400" w:lineRule="exact"/>
        <w:rPr>
          <w:rFonts w:hint="eastAsia" w:ascii="Times New Roman" w:hAnsi="Times New Roman" w:eastAsia="宋体" w:cs="Times New Roman"/>
          <w:b/>
          <w:bCs w:val="0"/>
          <w:color w:val="000000"/>
          <w:sz w:val="28"/>
          <w:szCs w:val="28"/>
          <w:highlight w:val="none"/>
        </w:rPr>
        <w:outlineLvl w:val="0"/>
      </w:pPr>
      <w:r>
        <w:rPr>
          <w:rFonts w:hint="eastAsia" w:ascii="Times New Roman" w:hAnsi="Times New Roman" w:eastAsia="宋体" w:cs="Times New Roman"/>
          <w:b/>
          <w:bCs w:val="0"/>
          <w:color w:val="000000"/>
          <w:sz w:val="28"/>
          <w:szCs w:val="28"/>
          <w:highlight w:val="none"/>
        </w:rPr>
        <w:t xml:space="preserve">（</w:t>
      </w:r>
      <w:r>
        <w:rPr>
          <w:rFonts w:hint="eastAsia" w:ascii="Times New Roman" w:hAnsi="Times New Roman" w:eastAsia="宋体" w:cs="Times New Roman"/>
          <w:b/>
          <w:bCs w:val="0"/>
          <w:color w:val="000000"/>
          <w:sz w:val="28"/>
          <w:szCs w:val="28"/>
          <w:highlight w:val="none"/>
          <w:lang w:val="en-US" w:eastAsia="zh-CN"/>
        </w:rPr>
        <w:t xml:space="preserve">十一</w:t>
      </w:r>
      <w:r>
        <w:rPr>
          <w:rFonts w:hint="eastAsia" w:ascii="Times New Roman" w:hAnsi="Times New Roman" w:eastAsia="宋体" w:cs="Times New Roman"/>
          <w:b/>
          <w:bCs w:val="0"/>
          <w:color w:val="000000"/>
          <w:sz w:val="28"/>
          <w:szCs w:val="28"/>
          <w:highlight w:val="none"/>
        </w:rPr>
        <w:t xml:space="preserve">）</w:t>
      </w:r>
      <w:r>
        <w:rPr>
          <w:rFonts w:hint="eastAsia" w:ascii="Times New Roman" w:hAnsi="Times New Roman" w:eastAsia="宋体" w:cs="Times New Roman"/>
          <w:b/>
          <w:bCs w:val="0"/>
          <w:color w:val="000000"/>
          <w:sz w:val="28"/>
          <w:szCs w:val="28"/>
          <w:highlight w:val="none"/>
          <w:lang w:val="en-US" w:eastAsia="zh-CN"/>
        </w:rPr>
        <w:t xml:space="preserve">服务方案</w:t>
      </w:r>
      <w:r>
        <w:rPr>
          <w:rFonts w:hint="eastAsia" w:ascii="Times New Roman" w:hAnsi="Times New Roman" w:eastAsia="宋体" w:cs="Times New Roman"/>
          <w:b/>
          <w:bCs w:val="0"/>
          <w:color w:val="000000"/>
          <w:sz w:val="28"/>
          <w:szCs w:val="28"/>
          <w:highlight w:val="none"/>
        </w:rPr>
        <w:t xml:space="preserve">（格式）：</w:t>
      </w:r>
      <w:r/>
    </w:p>
    <w:p>
      <w:pPr>
        <w:ind w:firstLine="480"/>
        <w:jc w:val="center"/>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服务方案</w:t>
      </w:r>
      <w:r/>
    </w:p>
    <w:p>
      <w:pPr>
        <w:pStyle w:val="830"/>
        <w:numPr>
          <w:ilvl w:val="0"/>
          <w:numId w:val="0"/>
        </w:num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val="0"/>
          <w:bCs/>
          <w:color w:val="000000"/>
          <w:sz w:val="24"/>
          <w:szCs w:val="24"/>
          <w:highlight w:val="none"/>
        </w:rPr>
        <w:t xml:space="preserve">投标</w:t>
      </w:r>
      <w:r>
        <w:rPr>
          <w:rFonts w:hint="eastAsia" w:ascii="宋体" w:hAnsi="宋体" w:eastAsia="宋体" w:cs="宋体"/>
          <w:b w:val="0"/>
          <w:bCs/>
          <w:color w:val="000000"/>
          <w:sz w:val="24"/>
          <w:szCs w:val="24"/>
          <w:highlight w:val="none"/>
          <w:lang w:val="en-US" w:eastAsia="zh-CN"/>
        </w:rPr>
        <w:t xml:space="preserve">人</w:t>
      </w:r>
      <w:r>
        <w:rPr>
          <w:rFonts w:hint="eastAsia" w:ascii="宋体" w:hAnsi="宋体" w:eastAsia="宋体" w:cs="宋体"/>
          <w:b w:val="0"/>
          <w:bCs/>
          <w:color w:val="000000"/>
          <w:sz w:val="24"/>
          <w:szCs w:val="24"/>
          <w:highlight w:val="none"/>
        </w:rPr>
        <w:t xml:space="preserve">应按评分点编制完整的服务方案，以便评审。</w:t>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t xml:space="preserve">（十</w:t>
      </w:r>
      <w:r>
        <w:rPr>
          <w:rFonts w:hint="eastAsia" w:ascii="Times New Roman" w:hAnsi="Times New Roman" w:eastAsia="宋体" w:cs="Times New Roman"/>
          <w:b/>
          <w:bCs w:val="0"/>
          <w:color w:val="000000"/>
          <w:sz w:val="28"/>
          <w:szCs w:val="28"/>
          <w:highlight w:val="none"/>
          <w:lang w:val="en-US" w:eastAsia="zh-CN"/>
        </w:rPr>
        <w:t xml:space="preserve">二</w:t>
      </w:r>
      <w:r>
        <w:rPr>
          <w:rFonts w:hint="eastAsia" w:ascii="Times New Roman" w:hAnsi="Times New Roman" w:eastAsia="宋体" w:cs="Times New Roman"/>
          <w:b/>
          <w:bCs w:val="0"/>
          <w:color w:val="000000"/>
          <w:sz w:val="28"/>
          <w:szCs w:val="28"/>
          <w:highlight w:val="none"/>
        </w:rPr>
        <w:t xml:space="preserve">）其他资料</w:t>
      </w:r>
      <w:r/>
    </w:p>
    <w:p>
      <w:pPr>
        <w:ind w:firstLine="120"/>
        <w:rPr>
          <w:b/>
          <w:bCs/>
          <w:color w:val="000000"/>
          <w:sz w:val="24"/>
          <w:szCs w:val="24"/>
          <w:highlight w:val="none"/>
        </w:rPr>
      </w:pPr>
      <w:r>
        <w:rPr>
          <w:b/>
          <w:bCs/>
          <w:color w:val="000000"/>
          <w:sz w:val="24"/>
          <w:szCs w:val="24"/>
          <w:highlight w:val="none"/>
        </w:rPr>
      </w:r>
      <w:r/>
    </w:p>
    <w:p>
      <w:pPr>
        <w:ind w:firstLine="120"/>
        <w:rPr>
          <w:b/>
          <w:bCs/>
          <w:color w:val="000000"/>
          <w:sz w:val="24"/>
          <w:szCs w:val="24"/>
          <w:highlight w:val="none"/>
        </w:rPr>
      </w:pPr>
      <w:r>
        <w:rPr>
          <w:b/>
          <w:bCs/>
          <w:color w:val="000000"/>
          <w:sz w:val="24"/>
          <w:szCs w:val="24"/>
          <w:highlight w:val="none"/>
        </w:rPr>
      </w:r>
      <w:r/>
    </w:p>
    <w:p>
      <w:pPr>
        <w:ind w:firstLine="120"/>
        <w:rPr>
          <w:b/>
          <w:bCs/>
          <w:color w:val="000000"/>
          <w:sz w:val="24"/>
          <w:szCs w:val="24"/>
          <w:highlight w:val="none"/>
        </w:rPr>
      </w:pPr>
      <w:r>
        <w:rPr>
          <w:b/>
          <w:bCs/>
          <w:color w:val="000000"/>
          <w:sz w:val="24"/>
          <w:szCs w:val="24"/>
          <w:highlight w:val="none"/>
        </w:rPr>
      </w:r>
      <w:r/>
    </w:p>
    <w:p>
      <w:pPr>
        <w:ind w:firstLine="120"/>
        <w:rPr>
          <w:b/>
          <w:bCs/>
          <w:color w:val="000000"/>
          <w:sz w:val="24"/>
          <w:szCs w:val="24"/>
          <w:highlight w:val="none"/>
        </w:rPr>
      </w:pPr>
      <w:r>
        <w:rPr>
          <w:b/>
          <w:bCs/>
          <w:color w:val="000000"/>
          <w:sz w:val="24"/>
          <w:szCs w:val="24"/>
          <w:highlight w:val="none"/>
        </w:rPr>
      </w:r>
      <w:r/>
    </w:p>
    <w:p>
      <w:pPr>
        <w:ind w:firstLine="120"/>
        <w:rPr>
          <w:b/>
          <w:bCs/>
          <w:color w:val="000000"/>
          <w:sz w:val="24"/>
          <w:szCs w:val="24"/>
          <w:highlight w:val="none"/>
        </w:rPr>
        <w:outlineLvl w:val="0"/>
      </w:pPr>
      <w:r>
        <w:rPr>
          <w:rFonts w:hint="eastAsia"/>
          <w:b/>
          <w:bCs/>
          <w:color w:val="000000"/>
          <w:sz w:val="24"/>
          <w:szCs w:val="24"/>
          <w:highlight w:val="none"/>
        </w:rPr>
        <w:t xml:space="preserve">投标人认为有必要提供的声明和文件，如有自拟并自行添加</w:t>
      </w:r>
      <w:r/>
    </w:p>
    <w:p>
      <w:pPr>
        <w:ind w:firstLine="4440"/>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ind w:firstLine="4440"/>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ind w:firstLine="4440"/>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ind w:firstLine="4440"/>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ind w:firstLine="4440"/>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ind w:firstLine="4440"/>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投标人名称（公章）：</w:t>
      </w:r>
      <w:r/>
    </w:p>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                                     法定代表人或授权委托人（签字）：</w:t>
      </w:r>
      <w:r/>
    </w:p>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日期：     年  月   日</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仿宋">
    <w:panose1 w:val="0201060906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rPr>
        <w:rStyle w:val="913"/>
        <w:rFonts w:ascii="宋体" w:hAnsi="宋体"/>
      </w:rPr>
      <w:framePr w:w="271" w:wrap="around" w:vAnchor="text" w:hAnchor="page" w:x="5596" w:y="-3"/>
    </w:pPr>
    <w:r>
      <w:rPr>
        <w:rFonts w:ascii="宋体" w:hAnsi="宋体"/>
      </w:rPr>
      <w:fldChar w:fldCharType="begin"/>
    </w:r>
    <w:r>
      <w:rPr>
        <w:rStyle w:val="913"/>
        <w:rFonts w:ascii="宋体" w:hAnsi="宋体"/>
      </w:rPr>
      <w:instrText xml:space="preserve">PAGE  </w:instrText>
    </w:r>
    <w:r>
      <w:rPr>
        <w:rFonts w:ascii="宋体" w:hAnsi="宋体"/>
      </w:rPr>
      <w:fldChar w:fldCharType="separate"/>
    </w:r>
    <w:r>
      <w:rPr>
        <w:rStyle w:val="913"/>
        <w:rFonts w:ascii="宋体" w:hAnsi="宋体"/>
      </w:rPr>
      <w:t xml:space="preserve">84</w:t>
    </w:r>
    <w:r>
      <w:rPr>
        <w:rFonts w:ascii="宋体" w:hAnsi="宋体"/>
      </w:rPr>
      <w:fldChar w:fldCharType="end"/>
    </w:r>
    <w:r/>
  </w:p>
  <w:p>
    <w:pPr>
      <w:pStyle w:val="88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rPr>
        <w:rStyle w:val="913"/>
      </w:rPr>
      <w:framePr w:wrap="around" w:vAnchor="text" w:hAnchor="margin" w:xAlign="center" w:y="1"/>
    </w:pPr>
    <w:r>
      <w:fldChar w:fldCharType="begin"/>
    </w:r>
    <w:r>
      <w:rPr>
        <w:rStyle w:val="913"/>
      </w:rPr>
      <w:instrText xml:space="preserve">PAGE  </w:instrText>
    </w:r>
    <w:r>
      <w:fldChar w:fldCharType="separate"/>
    </w:r>
    <w:r>
      <w:rPr>
        <w:rStyle w:val="913"/>
      </w:rPr>
      <w:t xml:space="preserve">1</w:t>
    </w:r>
    <w:r>
      <w:fldChar w:fldCharType="end"/>
    </w:r>
    <w:r/>
  </w:p>
  <w:p>
    <w:pPr>
      <w:pStyle w:val="8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15" w:hanging="315"/>
        <w:tabs>
          <w:tab w:val="left" w:pos="315"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1103"/>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3">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nothing"/>
      <w:lvlText w:val="%2."/>
      <w:lvlJc w:val="left"/>
      <w:pPr>
        <w:ind w:left="780" w:hanging="360"/>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hint="eastAsia" w:cs="Times New Roman"/>
      </w:rPr>
    </w:lvl>
    <w:lvl w:ilvl="4">
      <w:start w:val="1"/>
      <w:numFmt w:val="lowerLetter"/>
      <w:isLgl w:val="false"/>
      <w:suff w:val="tab"/>
      <w:lvlText w:val="%5)"/>
      <w:lvlJc w:val="left"/>
      <w:pPr>
        <w:ind w:left="2100" w:hanging="420"/>
        <w:tabs>
          <w:tab w:val="left" w:pos="2100" w:leader="none"/>
        </w:tabs>
      </w:pPr>
      <w:rPr>
        <w:rFonts w:hint="eastAsia" w:cs="Times New Roman"/>
      </w:rPr>
    </w:lvl>
    <w:lvl w:ilvl="5">
      <w:start w:val="1"/>
      <w:numFmt w:val="lowerRoman"/>
      <w:isLgl w:val="false"/>
      <w:suff w:val="tab"/>
      <w:lvlText w:val="%6."/>
      <w:lvlJc w:val="right"/>
      <w:pPr>
        <w:ind w:left="2520" w:hanging="420"/>
        <w:tabs>
          <w:tab w:val="left" w:pos="2520" w:leader="none"/>
        </w:tabs>
      </w:pPr>
      <w:rPr>
        <w:rFonts w:hint="eastAsia" w:cs="Times New Roman"/>
      </w:rPr>
    </w:lvl>
    <w:lvl w:ilvl="6">
      <w:start w:val="1"/>
      <w:numFmt w:val="decimal"/>
      <w:isLgl w:val="false"/>
      <w:suff w:val="tab"/>
      <w:lvlText w:val="%7."/>
      <w:lvlJc w:val="left"/>
      <w:pPr>
        <w:ind w:left="2940" w:hanging="420"/>
        <w:tabs>
          <w:tab w:val="left" w:pos="2940" w:leader="none"/>
        </w:tabs>
      </w:pPr>
      <w:rPr>
        <w:rFonts w:hint="eastAsia" w:cs="Times New Roman"/>
      </w:rPr>
    </w:lvl>
    <w:lvl w:ilvl="7">
      <w:start w:val="1"/>
      <w:numFmt w:val="lowerLetter"/>
      <w:isLgl w:val="false"/>
      <w:suff w:val="tab"/>
      <w:lvlText w:val="%8)"/>
      <w:lvlJc w:val="left"/>
      <w:pPr>
        <w:ind w:left="3360" w:hanging="420"/>
        <w:tabs>
          <w:tab w:val="left" w:pos="3360" w:leader="none"/>
        </w:tabs>
      </w:pPr>
      <w:rPr>
        <w:rFonts w:hint="eastAsia" w:cs="Times New Roman"/>
      </w:rPr>
    </w:lvl>
    <w:lvl w:ilvl="8">
      <w:start w:val="1"/>
      <w:numFmt w:val="lowerRoman"/>
      <w:isLgl w:val="false"/>
      <w:suff w:val="tab"/>
      <w:lvlText w:val="%9."/>
      <w:lvlJc w:val="right"/>
      <w:pPr>
        <w:ind w:left="3780" w:hanging="420"/>
        <w:tabs>
          <w:tab w:val="left" w:pos="3780" w:leader="none"/>
        </w:tabs>
      </w:pPr>
      <w:rPr>
        <w:rFonts w:hint="eastAsia" w:cs="Times New Roman"/>
      </w:rPr>
    </w:lvl>
  </w:abstractNum>
  <w:abstractNum w:abstractNumId="4">
    <w:multiLevelType w:val="hybridMultilevel"/>
    <w:lvl w:ilvl="0">
      <w:start w:val="1"/>
      <w:numFmt w:val="upperLetter"/>
      <w:pStyle w:val="105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decimal"/>
      <w:isLgl w:val="false"/>
      <w:suff w:val="tab"/>
      <w:lvlText w:val=""/>
      <w:lvlJc w:val="left"/>
      <w:pPr>
        <w:tabs>
          <w:tab w:val="left" w:pos="360" w:leader="none"/>
        </w:tabs>
      </w:pPr>
    </w:lvl>
    <w:lvl w:ilvl="3">
      <w:start w:val="0"/>
      <w:numFmt w:val="decimal"/>
      <w:isLgl w:val="false"/>
      <w:suff w:val="tab"/>
      <w:lvlText w:val=""/>
      <w:lvlJc w:val="left"/>
      <w:pPr>
        <w:tabs>
          <w:tab w:val="left" w:pos="360" w:leader="none"/>
        </w:tabs>
      </w:pPr>
    </w:lvl>
    <w:lvl w:ilvl="4">
      <w:start w:val="0"/>
      <w:numFmt w:val="decimal"/>
      <w:isLgl w:val="false"/>
      <w:suff w:val="tab"/>
      <w:lvlText w:val=""/>
      <w:lvlJc w:val="left"/>
      <w:pPr>
        <w:tabs>
          <w:tab w:val="left" w:pos="360" w:leader="none"/>
        </w:tabs>
      </w:pPr>
    </w:lvl>
    <w:lvl w:ilvl="5">
      <w:start w:val="1"/>
      <w:numFmt w:val="decimal"/>
      <w:pStyle w:val="849"/>
      <w:isLgl w:val="false"/>
      <w:suff w:val="nothing"/>
      <w:lvlText w:val=""/>
      <w:lvlJc w:val="left"/>
      <w:pPr>
        <w:ind w:left="0" w:firstLine="0"/>
      </w:pPr>
      <w:rPr>
        <w:rFonts w:hint="eastAsia"/>
      </w:rPr>
    </w:lvl>
    <w:lvl w:ilvl="6">
      <w:start w:val="1"/>
      <w:numFmt w:val="decimal"/>
      <w:pStyle w:val="851"/>
      <w:isLgl w:val="false"/>
      <w:suff w:val="nothing"/>
      <w:lvlText w:val=""/>
      <w:lvlJc w:val="left"/>
      <w:pPr>
        <w:ind w:left="0" w:firstLine="0"/>
      </w:pPr>
      <w:rPr>
        <w:rFonts w:hint="eastAsia"/>
      </w:rPr>
    </w:lvl>
    <w:lvl w:ilvl="7">
      <w:start w:val="1"/>
      <w:numFmt w:val="decimal"/>
      <w:pStyle w:val="853"/>
      <w:isLgl w:val="false"/>
      <w:suff w:val="nothing"/>
      <w:lvlText w:val=""/>
      <w:lvlJc w:val="left"/>
      <w:pPr>
        <w:ind w:left="0" w:firstLine="0"/>
      </w:pPr>
      <w:rPr>
        <w:rFonts w:hint="eastAsia"/>
      </w:rPr>
    </w:lvl>
    <w:lvl w:ilvl="8">
      <w:start w:val="1"/>
      <w:numFmt w:val="decimal"/>
      <w:pStyle w:val="855"/>
      <w:isLgl w:val="false"/>
      <w:suff w:val="nothing"/>
      <w:lvlText w:val=""/>
      <w:lvlJc w:val="left"/>
      <w:pPr>
        <w:ind w:left="0" w:firstLine="0"/>
      </w:pPr>
      <w:rPr>
        <w:rFonts w:hint="eastAsia"/>
      </w:rPr>
    </w:lvl>
  </w:abstractNum>
  <w:abstractNum w:abstractNumId="8">
    <w:multiLevelType w:val="hybridMultilevel"/>
    <w:lvl w:ilvl="0">
      <w:start w:val="1"/>
      <w:numFmt w:val="decimal"/>
      <w:isLgl w:val="false"/>
      <w:suff w:val="tab"/>
      <w:lvlText w:val="%1．"/>
      <w:lvlJc w:val="left"/>
      <w:pPr>
        <w:ind w:left="315" w:hanging="315"/>
        <w:tabs>
          <w:tab w:val="left" w:pos="315"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3"/>
      <w:numFmt w:val="japaneseCounting"/>
      <w:isLgl w:val="false"/>
      <w:suff w:val="tab"/>
      <w:lvlText w:val="（%1）"/>
      <w:lvlJc w:val="left"/>
      <w:pPr>
        <w:ind w:left="855" w:hanging="855"/>
        <w:tabs>
          <w:tab w:val="left" w:pos="855"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decimal"/>
      <w:pStyle w:val="1075"/>
      <w:isLgl w:val="false"/>
      <w:suff w:val="tab"/>
      <w:lvlText w:val="%1."/>
      <w:lvlJc w:val="left"/>
      <w:pPr>
        <w:ind w:left="709" w:hanging="709"/>
        <w:tabs>
          <w:tab w:val="left" w:pos="709" w:leader="none"/>
        </w:tabs>
      </w:pPr>
      <w:rPr>
        <w:rFonts w:hint="eastAsia"/>
      </w:rPr>
    </w:lvl>
    <w:lvl w:ilvl="1">
      <w:start w:val="0"/>
      <w:numFmt w:val="decimal"/>
      <w:isLgl w:val="false"/>
      <w:suff w:val="tab"/>
      <w:lvlText w:val=""/>
      <w:lvlJc w:val="left"/>
      <w:pPr>
        <w:tabs>
          <w:tab w:val="left" w:pos="360" w:leader="none"/>
        </w:tabs>
      </w:pPr>
    </w:lvl>
    <w:lvl w:ilvl="2">
      <w:start w:val="0"/>
      <w:numFmt w:val="decimal"/>
      <w:isLgl w:val="false"/>
      <w:suff w:val="tab"/>
      <w:lvlText w:val=""/>
      <w:lvlJc w:val="left"/>
      <w:pPr>
        <w:tabs>
          <w:tab w:val="left" w:pos="360" w:leader="none"/>
        </w:tabs>
      </w:pPr>
    </w:lvl>
    <w:lvl w:ilvl="3">
      <w:start w:val="0"/>
      <w:numFmt w:val="decimal"/>
      <w:isLgl w:val="false"/>
      <w:suff w:val="tab"/>
      <w:lvlText w:val=""/>
      <w:lvlJc w:val="left"/>
      <w:pPr>
        <w:tabs>
          <w:tab w:val="left" w:pos="360" w:leader="none"/>
        </w:tabs>
      </w:pPr>
    </w:lvl>
    <w:lvl w:ilvl="4">
      <w:start w:val="0"/>
      <w:numFmt w:val="decimal"/>
      <w:isLgl w:val="false"/>
      <w:suff w:val="tab"/>
      <w:lvlText w:val=""/>
      <w:lvlJc w:val="left"/>
      <w:pPr>
        <w:tabs>
          <w:tab w:val="left" w:pos="360" w:leader="none"/>
        </w:tabs>
      </w:pPr>
    </w:lvl>
    <w:lvl w:ilvl="5">
      <w:start w:val="0"/>
      <w:numFmt w:val="decimal"/>
      <w:isLgl w:val="false"/>
      <w:suff w:val="tab"/>
      <w:lvlText w:val=""/>
      <w:lvlJc w:val="left"/>
      <w:pPr>
        <w:tabs>
          <w:tab w:val="left" w:pos="360" w:leader="none"/>
        </w:tabs>
      </w:pPr>
    </w:lvl>
    <w:lvl w:ilvl="6">
      <w:start w:val="0"/>
      <w:numFmt w:val="decimal"/>
      <w:isLgl w:val="false"/>
      <w:suff w:val="tab"/>
      <w:lvlText w:val=""/>
      <w:lvlJc w:val="left"/>
      <w:pPr>
        <w:tabs>
          <w:tab w:val="left" w:pos="360" w:leader="none"/>
        </w:tabs>
      </w:pPr>
    </w:lvl>
    <w:lvl w:ilvl="7">
      <w:start w:val="0"/>
      <w:numFmt w:val="decimal"/>
      <w:isLgl w:val="false"/>
      <w:suff w:val="tab"/>
      <w:lvlText w:val=""/>
      <w:lvlJc w:val="left"/>
      <w:pPr>
        <w:tabs>
          <w:tab w:val="left" w:pos="360" w:leader="none"/>
        </w:tabs>
      </w:pPr>
    </w:lvl>
    <w:lvl w:ilvl="8">
      <w:start w:val="0"/>
      <w:numFmt w:val="decimal"/>
      <w:isLgl w:val="false"/>
      <w:suff w:val="tab"/>
      <w:lvlText w:val=""/>
      <w:lvlJc w:val="left"/>
      <w:pPr>
        <w:tabs>
          <w:tab w:val="left" w:pos="360" w:leader="none"/>
        </w:tabs>
      </w:pPr>
    </w:lvl>
  </w:abstractNum>
  <w:abstractNum w:abstractNumId="15">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nothing"/>
      <w:lvlText w:val="%2."/>
      <w:lvlJc w:val="left"/>
      <w:pPr>
        <w:ind w:left="780" w:hanging="360"/>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hint="eastAsia" w:cs="Times New Roman"/>
      </w:rPr>
    </w:lvl>
    <w:lvl w:ilvl="4">
      <w:start w:val="1"/>
      <w:numFmt w:val="lowerLetter"/>
      <w:isLgl w:val="false"/>
      <w:suff w:val="tab"/>
      <w:lvlText w:val="%5)"/>
      <w:lvlJc w:val="left"/>
      <w:pPr>
        <w:ind w:left="2100" w:hanging="420"/>
        <w:tabs>
          <w:tab w:val="left" w:pos="2100" w:leader="none"/>
        </w:tabs>
      </w:pPr>
      <w:rPr>
        <w:rFonts w:hint="eastAsia" w:cs="Times New Roman"/>
      </w:rPr>
    </w:lvl>
    <w:lvl w:ilvl="5">
      <w:start w:val="1"/>
      <w:numFmt w:val="lowerRoman"/>
      <w:isLgl w:val="false"/>
      <w:suff w:val="tab"/>
      <w:lvlText w:val="%6."/>
      <w:lvlJc w:val="right"/>
      <w:pPr>
        <w:ind w:left="2520" w:hanging="420"/>
        <w:tabs>
          <w:tab w:val="left" w:pos="2520" w:leader="none"/>
        </w:tabs>
      </w:pPr>
      <w:rPr>
        <w:rFonts w:hint="eastAsia" w:cs="Times New Roman"/>
      </w:rPr>
    </w:lvl>
    <w:lvl w:ilvl="6">
      <w:start w:val="1"/>
      <w:numFmt w:val="decimal"/>
      <w:isLgl w:val="false"/>
      <w:suff w:val="tab"/>
      <w:lvlText w:val="%7."/>
      <w:lvlJc w:val="left"/>
      <w:pPr>
        <w:ind w:left="2940" w:hanging="420"/>
        <w:tabs>
          <w:tab w:val="left" w:pos="2940" w:leader="none"/>
        </w:tabs>
      </w:pPr>
      <w:rPr>
        <w:rFonts w:hint="eastAsia" w:cs="Times New Roman"/>
      </w:rPr>
    </w:lvl>
    <w:lvl w:ilvl="7">
      <w:start w:val="1"/>
      <w:numFmt w:val="lowerLetter"/>
      <w:isLgl w:val="false"/>
      <w:suff w:val="tab"/>
      <w:lvlText w:val="%8)"/>
      <w:lvlJc w:val="left"/>
      <w:pPr>
        <w:ind w:left="3360" w:hanging="420"/>
        <w:tabs>
          <w:tab w:val="left" w:pos="3360" w:leader="none"/>
        </w:tabs>
      </w:pPr>
      <w:rPr>
        <w:rFonts w:hint="eastAsia" w:cs="Times New Roman"/>
      </w:rPr>
    </w:lvl>
    <w:lvl w:ilvl="8">
      <w:start w:val="1"/>
      <w:numFmt w:val="lowerRoman"/>
      <w:isLgl w:val="false"/>
      <w:suff w:val="tab"/>
      <w:lvlText w:val="%9."/>
      <w:lvlJc w:val="right"/>
      <w:pPr>
        <w:ind w:left="3780" w:hanging="420"/>
        <w:tabs>
          <w:tab w:val="left" w:pos="3780" w:leader="none"/>
        </w:tabs>
      </w:pPr>
      <w:rPr>
        <w:rFonts w:hint="eastAsia" w:cs="Times New Roman"/>
      </w:rPr>
    </w:lvl>
  </w:abstractNum>
  <w:abstractNum w:abstractNumId="16">
    <w:multiLevelType w:val="hybridMultilevel"/>
    <w:lvl w:ilvl="0">
      <w:start w:val="1"/>
      <w:numFmt w:val="decimal"/>
      <w:isLgl w:val="false"/>
      <w:suff w:val="tab"/>
      <w:lvlText w:val="%1."/>
      <w:lvlJc w:val="left"/>
      <w:pPr>
        <w:ind w:left="1965" w:hanging="705"/>
        <w:tabs>
          <w:tab w:val="left" w:pos="1965"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7"/>
  </w:num>
  <w:num w:numId="2">
    <w:abstractNumId w:val="4"/>
  </w:num>
  <w:num w:numId="3">
    <w:abstractNumId w:val="14"/>
  </w:num>
  <w:num w:numId="4">
    <w:abstractNumId w:val="2"/>
  </w:num>
  <w:num w:numId="5">
    <w:abstractNumId w:val="1"/>
  </w:num>
  <w:num w:numId="6">
    <w:abstractNumId w:val="9"/>
  </w:num>
  <w:num w:numId="7">
    <w:abstractNumId w:val="11"/>
  </w:num>
  <w:num w:numId="8">
    <w:abstractNumId w:val="16"/>
  </w:num>
  <w:num w:numId="9">
    <w:abstractNumId w:val="8"/>
  </w:num>
  <w:num w:numId="10">
    <w:abstractNumId w:val="0"/>
  </w:num>
  <w:num w:numId="11">
    <w:abstractNumId w:val="12"/>
  </w:num>
  <w:num w:numId="12">
    <w:abstractNumId w:val="15"/>
  </w:num>
  <w:num w:numId="13">
    <w:abstractNumId w:val="3"/>
  </w:num>
  <w:num w:numId="14">
    <w:abstractNumId w:val="13"/>
  </w:num>
  <w:num w:numId="15">
    <w:abstractNumId w:val="6"/>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link w:val="111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5">
    <w:name w:val="Heading 1"/>
    <w:basedOn w:val="714"/>
    <w:next w:val="714"/>
    <w:link w:val="819"/>
    <w:uiPriority w:val="9"/>
    <w:qFormat/>
    <w:pPr>
      <w:keepLines/>
      <w:keepNext/>
      <w:spacing w:before="480" w:after="200"/>
      <w:outlineLvl w:val="0"/>
    </w:pPr>
    <w:rPr>
      <w:rFonts w:ascii="Arial" w:hAnsi="Arial" w:eastAsia="Arial"/>
      <w:sz w:val="40"/>
      <w:szCs w:val="40"/>
    </w:rPr>
  </w:style>
  <w:style w:type="paragraph" w:styleId="716">
    <w:name w:val="Heading 2"/>
    <w:basedOn w:val="714"/>
    <w:next w:val="714"/>
    <w:link w:val="820"/>
    <w:uiPriority w:val="9"/>
    <w:unhideWhenUsed/>
    <w:qFormat/>
    <w:pPr>
      <w:keepLines/>
      <w:keepNext/>
      <w:spacing w:before="360" w:after="200"/>
      <w:outlineLvl w:val="1"/>
    </w:pPr>
    <w:rPr>
      <w:rFonts w:ascii="Arial" w:hAnsi="Arial" w:eastAsia="Arial"/>
      <w:sz w:val="34"/>
      <w:szCs w:val="20"/>
    </w:rPr>
  </w:style>
  <w:style w:type="paragraph" w:styleId="717">
    <w:name w:val="Heading 3"/>
    <w:basedOn w:val="714"/>
    <w:next w:val="714"/>
    <w:link w:val="821"/>
    <w:uiPriority w:val="9"/>
    <w:unhideWhenUsed/>
    <w:qFormat/>
    <w:pPr>
      <w:keepLines/>
      <w:keepNext/>
      <w:spacing w:before="320" w:after="200"/>
      <w:outlineLvl w:val="2"/>
    </w:pPr>
    <w:rPr>
      <w:rFonts w:ascii="Arial" w:hAnsi="Arial" w:eastAsia="Arial"/>
      <w:sz w:val="30"/>
      <w:szCs w:val="30"/>
    </w:rPr>
  </w:style>
  <w:style w:type="paragraph" w:styleId="718">
    <w:name w:val="Heading 4"/>
    <w:basedOn w:val="714"/>
    <w:next w:val="714"/>
    <w:link w:val="802"/>
    <w:uiPriority w:val="9"/>
    <w:unhideWhenUsed/>
    <w:qFormat/>
    <w:pPr>
      <w:keepLines/>
      <w:keepNext/>
      <w:spacing w:before="320" w:after="200"/>
      <w:outlineLvl w:val="3"/>
    </w:pPr>
    <w:rPr>
      <w:rFonts w:ascii="Arial" w:hAnsi="Arial" w:eastAsia="Arial"/>
      <w:b/>
      <w:bCs/>
      <w:sz w:val="26"/>
      <w:szCs w:val="26"/>
    </w:rPr>
  </w:style>
  <w:style w:type="paragraph" w:styleId="719">
    <w:name w:val="Heading 5"/>
    <w:basedOn w:val="714"/>
    <w:next w:val="714"/>
    <w:link w:val="822"/>
    <w:uiPriority w:val="9"/>
    <w:unhideWhenUsed/>
    <w:qFormat/>
    <w:pPr>
      <w:keepLines/>
      <w:keepNext/>
      <w:spacing w:before="320" w:after="200"/>
      <w:outlineLvl w:val="4"/>
    </w:pPr>
    <w:rPr>
      <w:rFonts w:ascii="Arial" w:hAnsi="Arial" w:eastAsia="Arial"/>
      <w:b/>
      <w:bCs/>
      <w:sz w:val="24"/>
      <w:szCs w:val="24"/>
    </w:rPr>
  </w:style>
  <w:style w:type="paragraph" w:styleId="720">
    <w:name w:val="Heading 6"/>
    <w:basedOn w:val="714"/>
    <w:next w:val="714"/>
    <w:link w:val="823"/>
    <w:uiPriority w:val="9"/>
    <w:unhideWhenUsed/>
    <w:qFormat/>
    <w:pPr>
      <w:keepLines/>
      <w:keepNext/>
      <w:spacing w:before="320" w:after="200"/>
      <w:outlineLvl w:val="5"/>
    </w:pPr>
    <w:rPr>
      <w:rFonts w:ascii="Arial" w:hAnsi="Arial" w:eastAsia="Arial"/>
      <w:b/>
      <w:bCs/>
      <w:sz w:val="22"/>
      <w:szCs w:val="22"/>
    </w:rPr>
  </w:style>
  <w:style w:type="paragraph" w:styleId="721">
    <w:name w:val="Heading 7"/>
    <w:basedOn w:val="714"/>
    <w:next w:val="714"/>
    <w:link w:val="824"/>
    <w:uiPriority w:val="9"/>
    <w:unhideWhenUsed/>
    <w:qFormat/>
    <w:pPr>
      <w:keepLines/>
      <w:keepNext/>
      <w:spacing w:before="320" w:after="200"/>
      <w:outlineLvl w:val="6"/>
    </w:pPr>
    <w:rPr>
      <w:rFonts w:ascii="Arial" w:hAnsi="Arial" w:eastAsia="Arial"/>
      <w:b/>
      <w:bCs/>
      <w:i/>
      <w:iCs/>
      <w:sz w:val="22"/>
      <w:szCs w:val="22"/>
    </w:rPr>
  </w:style>
  <w:style w:type="paragraph" w:styleId="722">
    <w:name w:val="Heading 8"/>
    <w:basedOn w:val="714"/>
    <w:next w:val="714"/>
    <w:link w:val="825"/>
    <w:uiPriority w:val="9"/>
    <w:unhideWhenUsed/>
    <w:qFormat/>
    <w:pPr>
      <w:keepLines/>
      <w:keepNext/>
      <w:spacing w:before="320" w:after="200"/>
      <w:outlineLvl w:val="7"/>
    </w:pPr>
    <w:rPr>
      <w:rFonts w:ascii="Arial" w:hAnsi="Arial" w:eastAsia="Arial"/>
      <w:i/>
      <w:iCs/>
      <w:sz w:val="22"/>
      <w:szCs w:val="22"/>
    </w:rPr>
  </w:style>
  <w:style w:type="paragraph" w:styleId="723">
    <w:name w:val="Heading 9"/>
    <w:basedOn w:val="714"/>
    <w:next w:val="714"/>
    <w:link w:val="826"/>
    <w:uiPriority w:val="9"/>
    <w:unhideWhenUsed/>
    <w:qFormat/>
    <w:pPr>
      <w:keepLines/>
      <w:keepNext/>
      <w:spacing w:before="320" w:after="200"/>
      <w:outlineLvl w:val="8"/>
    </w:pPr>
    <w:rPr>
      <w:rFonts w:ascii="Arial" w:hAnsi="Arial" w:eastAsia="Arial"/>
      <w:i/>
      <w:iCs/>
    </w:rPr>
  </w:style>
  <w:style w:type="character" w:styleId="724" w:default="1">
    <w:name w:val="Default Paragraph Font"/>
    <w:uiPriority w:val="1"/>
    <w:semiHidden/>
    <w:unhideWhenUsed/>
  </w:style>
  <w:style w:type="table" w:styleId="725" w:default="1">
    <w:name w:val="Normal Table"/>
    <w:uiPriority w:val="99"/>
    <w:semiHidden/>
    <w:unhideWhenUsed/>
    <w:tblPr>
      <w:tblCellMar>
        <w:left w:w="108" w:type="dxa"/>
        <w:top w:w="0" w:type="dxa"/>
        <w:right w:w="108" w:type="dxa"/>
        <w:bottom w:w="0" w:type="dxa"/>
      </w:tblCellMar>
    </w:tblPr>
  </w:style>
  <w:style w:type="paragraph" w:styleId="726">
    <w:name w:val="toc 7"/>
    <w:basedOn w:val="714"/>
    <w:next w:val="714"/>
    <w:uiPriority w:val="39"/>
    <w:unhideWhenUsed/>
    <w:pPr>
      <w:ind w:left="1701" w:right="0" w:firstLine="0"/>
      <w:spacing w:after="57"/>
    </w:pPr>
  </w:style>
  <w:style w:type="paragraph" w:styleId="727">
    <w:name w:val="Caption"/>
    <w:basedOn w:val="714"/>
    <w:next w:val="7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8">
    <w:name w:val="toc 5"/>
    <w:basedOn w:val="714"/>
    <w:next w:val="714"/>
    <w:uiPriority w:val="39"/>
    <w:unhideWhenUsed/>
    <w:pPr>
      <w:ind w:left="1134" w:right="0" w:firstLine="0"/>
      <w:spacing w:after="57"/>
    </w:pPr>
  </w:style>
  <w:style w:type="paragraph" w:styleId="729">
    <w:name w:val="toc 3"/>
    <w:basedOn w:val="714"/>
    <w:next w:val="714"/>
    <w:uiPriority w:val="39"/>
    <w:unhideWhenUsed/>
    <w:pPr>
      <w:ind w:left="567" w:right="0" w:firstLine="0"/>
      <w:spacing w:after="57"/>
    </w:pPr>
  </w:style>
  <w:style w:type="paragraph" w:styleId="730">
    <w:name w:val="toc 8"/>
    <w:basedOn w:val="714"/>
    <w:next w:val="714"/>
    <w:uiPriority w:val="39"/>
    <w:unhideWhenUsed/>
    <w:pPr>
      <w:ind w:left="1984" w:right="0" w:firstLine="0"/>
      <w:spacing w:after="57"/>
    </w:pPr>
  </w:style>
  <w:style w:type="paragraph" w:styleId="731">
    <w:name w:val="endnote text"/>
    <w:basedOn w:val="714"/>
    <w:uiPriority w:val="99"/>
    <w:semiHidden/>
    <w:unhideWhenUsed/>
    <w:pPr>
      <w:spacing w:after="0" w:line="240" w:lineRule="auto"/>
    </w:pPr>
    <w:rPr>
      <w:sz w:val="20"/>
    </w:rPr>
  </w:style>
  <w:style w:type="paragraph" w:styleId="732">
    <w:name w:val="Footer"/>
    <w:basedOn w:val="714"/>
    <w:uiPriority w:val="99"/>
    <w:unhideWhenUsed/>
    <w:qFormat/>
    <w:pPr>
      <w:spacing w:after="0" w:line="240" w:lineRule="auto"/>
      <w:tabs>
        <w:tab w:val="center" w:pos="7143" w:leader="none"/>
        <w:tab w:val="right" w:pos="14287" w:leader="none"/>
      </w:tabs>
    </w:pPr>
  </w:style>
  <w:style w:type="paragraph" w:styleId="733">
    <w:name w:val="Header"/>
    <w:basedOn w:val="714"/>
    <w:uiPriority w:val="99"/>
    <w:unhideWhenUsed/>
    <w:pPr>
      <w:spacing w:after="0" w:line="240" w:lineRule="auto"/>
      <w:tabs>
        <w:tab w:val="center" w:pos="7143" w:leader="none"/>
        <w:tab w:val="right" w:pos="14287" w:leader="none"/>
      </w:tabs>
    </w:pPr>
  </w:style>
  <w:style w:type="paragraph" w:styleId="734">
    <w:name w:val="toc 1"/>
    <w:basedOn w:val="714"/>
    <w:next w:val="714"/>
    <w:uiPriority w:val="39"/>
    <w:unhideWhenUsed/>
    <w:pPr>
      <w:ind w:left="0" w:right="0" w:firstLine="0"/>
      <w:spacing w:after="57"/>
    </w:pPr>
  </w:style>
  <w:style w:type="paragraph" w:styleId="735">
    <w:name w:val="toc 4"/>
    <w:basedOn w:val="714"/>
    <w:next w:val="714"/>
    <w:uiPriority w:val="39"/>
    <w:unhideWhenUsed/>
    <w:pPr>
      <w:ind w:left="850" w:right="0" w:firstLine="0"/>
      <w:spacing w:after="57"/>
    </w:pPr>
  </w:style>
  <w:style w:type="paragraph" w:styleId="736">
    <w:name w:val="Subtitle"/>
    <w:basedOn w:val="714"/>
    <w:next w:val="714"/>
    <w:uiPriority w:val="11"/>
    <w:qFormat/>
    <w:pPr>
      <w:spacing w:before="200" w:after="200"/>
    </w:pPr>
    <w:rPr>
      <w:sz w:val="24"/>
      <w:szCs w:val="24"/>
    </w:rPr>
  </w:style>
  <w:style w:type="paragraph" w:styleId="737">
    <w:name w:val="footnote text"/>
    <w:basedOn w:val="714"/>
    <w:uiPriority w:val="99"/>
    <w:semiHidden/>
    <w:unhideWhenUsed/>
    <w:pPr>
      <w:spacing w:after="40" w:line="240" w:lineRule="auto"/>
    </w:pPr>
    <w:rPr>
      <w:sz w:val="18"/>
    </w:rPr>
  </w:style>
  <w:style w:type="paragraph" w:styleId="738">
    <w:name w:val="toc 6"/>
    <w:basedOn w:val="714"/>
    <w:next w:val="714"/>
    <w:uiPriority w:val="39"/>
    <w:unhideWhenUsed/>
    <w:pPr>
      <w:ind w:left="1417" w:right="0" w:firstLine="0"/>
      <w:spacing w:after="57"/>
    </w:pPr>
  </w:style>
  <w:style w:type="paragraph" w:styleId="739">
    <w:name w:val="table of figures"/>
    <w:basedOn w:val="714"/>
    <w:next w:val="714"/>
    <w:uiPriority w:val="99"/>
    <w:unhideWhenUsed/>
    <w:pPr>
      <w:spacing w:after="0" w:afterAutospacing="0"/>
    </w:pPr>
  </w:style>
  <w:style w:type="paragraph" w:styleId="740">
    <w:name w:val="toc 2"/>
    <w:basedOn w:val="714"/>
    <w:next w:val="714"/>
    <w:uiPriority w:val="39"/>
    <w:unhideWhenUsed/>
    <w:pPr>
      <w:ind w:left="283" w:right="0" w:firstLine="0"/>
      <w:spacing w:after="57"/>
    </w:pPr>
  </w:style>
  <w:style w:type="paragraph" w:styleId="741">
    <w:name w:val="toc 9"/>
    <w:basedOn w:val="714"/>
    <w:next w:val="714"/>
    <w:uiPriority w:val="39"/>
    <w:unhideWhenUsed/>
    <w:pPr>
      <w:ind w:left="2268" w:right="0" w:firstLine="0"/>
      <w:spacing w:after="57"/>
    </w:pPr>
  </w:style>
  <w:style w:type="paragraph" w:styleId="742">
    <w:name w:val="Title"/>
    <w:basedOn w:val="714"/>
    <w:next w:val="714"/>
    <w:uiPriority w:val="10"/>
    <w:qFormat/>
    <w:pPr>
      <w:contextualSpacing/>
      <w:spacing w:before="300" w:after="200"/>
    </w:pPr>
    <w:rPr>
      <w:sz w:val="48"/>
      <w:szCs w:val="48"/>
    </w:rPr>
  </w:style>
  <w:style w:type="table" w:styleId="743">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endnote reference"/>
    <w:uiPriority w:val="99"/>
    <w:semiHidden/>
    <w:unhideWhenUsed/>
    <w:rPr>
      <w:vertAlign w:val="superscript"/>
    </w:rPr>
  </w:style>
  <w:style w:type="character" w:styleId="745">
    <w:name w:val="Hyperlink"/>
    <w:uiPriority w:val="99"/>
    <w:unhideWhenUsed/>
    <w:rPr>
      <w:color w:val="0000ff" w:themeColor="hyperlink"/>
      <w:u w:val="single"/>
      <w14:textFill>
        <w14:solidFill>
          <w14:schemeClr w14:val="hlink"/>
        </w14:solidFill>
      </w14:textFill>
    </w:rPr>
  </w:style>
  <w:style w:type="character" w:styleId="746">
    <w:name w:val="footnote reference"/>
    <w:uiPriority w:val="99"/>
    <w:unhideWhenUsed/>
    <w:rPr>
      <w:vertAlign w:val="superscript"/>
    </w:rPr>
  </w:style>
  <w:style w:type="paragraph" w:styleId="747">
    <w:name w:val="List Paragraph"/>
    <w:basedOn w:val="714"/>
    <w:uiPriority w:val="34"/>
    <w:qFormat/>
    <w:pPr>
      <w:contextualSpacing/>
      <w:ind w:left="720"/>
    </w:pPr>
  </w:style>
  <w:style w:type="paragraph" w:styleId="748">
    <w:name w:val="No Spacing"/>
    <w:uiPriority w:val="1"/>
    <w:qFormat/>
    <w:pPr>
      <w:spacing w:before="0" w:after="0" w:line="240" w:lineRule="auto"/>
    </w:pPr>
    <w:rPr>
      <w:rFonts w:hint="default" w:ascii="Times New Roman" w:hAnsi="Times New Roman" w:eastAsia="宋体" w:cs="Times New Roman"/>
    </w:rPr>
  </w:style>
  <w:style w:type="paragraph" w:styleId="749">
    <w:name w:val="Quote"/>
    <w:basedOn w:val="714"/>
    <w:next w:val="714"/>
    <w:uiPriority w:val="29"/>
    <w:qFormat/>
    <w:pPr>
      <w:ind w:left="720" w:right="720"/>
    </w:pPr>
    <w:rPr>
      <w:i/>
    </w:rPr>
  </w:style>
  <w:style w:type="paragraph" w:styleId="750">
    <w:name w:val="Intense Quote"/>
    <w:basedOn w:val="714"/>
    <w:next w:val="7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51" w:customStyle="1">
    <w:name w:val="TOC Heading"/>
    <w:uiPriority w:val="39"/>
    <w:unhideWhenUsed/>
    <w:rPr>
      <w:rFonts w:hint="default" w:ascii="Times New Roman" w:hAnsi="Times New Roman" w:eastAsia="宋体" w:cs="Times New Roman"/>
    </w:rPr>
  </w:style>
  <w:style w:type="paragraph" w:styleId="752" w:customStyle="1">
    <w:name w:val="标题 111"/>
    <w:basedOn w:val="714"/>
    <w:next w:val="714"/>
    <w:uiPriority w:val="0"/>
    <w:qFormat/>
    <w:pPr>
      <w:jc w:val="left"/>
      <w:spacing w:before="100" w:beforeAutospacing="1" w:after="100" w:afterAutospacing="1"/>
      <w:outlineLvl w:val="0"/>
    </w:pPr>
    <w:rPr>
      <w:rFonts w:hint="eastAsia" w:ascii="宋体" w:hAnsi="宋体" w:eastAsia="宋体" w:cs="宋体"/>
      <w:b/>
      <w:bCs/>
      <w:sz w:val="48"/>
      <w:szCs w:val="48"/>
      <w:lang w:val="en-US" w:eastAsia="zh-CN" w:bidi="ar"/>
    </w:rPr>
  </w:style>
  <w:style w:type="paragraph" w:styleId="753" w:customStyle="1">
    <w:name w:val="标题 311"/>
    <w:basedOn w:val="714"/>
    <w:next w:val="714"/>
    <w:uiPriority w:val="9"/>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754" w:customStyle="1">
    <w:name w:val="默认段落字体11"/>
    <w:link w:val="714"/>
    <w:uiPriority w:val="1"/>
    <w:unhideWhenUsed/>
    <w:qFormat/>
  </w:style>
  <w:style w:type="table" w:styleId="755" w:customStyle="1">
    <w:name w:val="普通表格11"/>
    <w:uiPriority w:val="99"/>
    <w:unhideWhenUsed/>
    <w:qFormat/>
    <w:tblPr/>
  </w:style>
  <w:style w:type="paragraph" w:styleId="756" w:customStyle="1">
    <w:name w:val="目录 711"/>
    <w:basedOn w:val="714"/>
    <w:next w:val="714"/>
    <w:uiPriority w:val="39"/>
    <w:unhideWhenUsed/>
    <w:qFormat/>
    <w:pPr>
      <w:ind w:left="1701"/>
      <w:spacing w:after="57"/>
    </w:pPr>
  </w:style>
  <w:style w:type="paragraph" w:styleId="757" w:customStyle="1">
    <w:name w:val="批注文字11"/>
    <w:basedOn w:val="714"/>
    <w:link w:val="758"/>
    <w:uiPriority w:val="99"/>
    <w:unhideWhenUsed/>
    <w:qFormat/>
    <w:pPr>
      <w:jc w:val="left"/>
    </w:pPr>
  </w:style>
  <w:style w:type="character" w:styleId="758" w:customStyle="1">
    <w:name w:val="批注文字 Char1"/>
    <w:link w:val="757"/>
    <w:uiPriority w:val="99"/>
    <w:semiHidden/>
    <w:qFormat/>
    <w:rPr>
      <w:sz w:val="21"/>
      <w:szCs w:val="21"/>
    </w:rPr>
  </w:style>
  <w:style w:type="paragraph" w:styleId="759" w:customStyle="1">
    <w:name w:val="正文文本13"/>
    <w:basedOn w:val="714"/>
    <w:uiPriority w:val="0"/>
    <w:qFormat/>
    <w:pPr>
      <w:spacing w:after="120"/>
    </w:pPr>
  </w:style>
  <w:style w:type="paragraph" w:styleId="760" w:customStyle="1">
    <w:name w:val="正文文本缩进11"/>
    <w:basedOn w:val="714"/>
    <w:uiPriority w:val="99"/>
    <w:qFormat/>
    <w:pPr>
      <w:ind w:firstLine="576"/>
    </w:pPr>
    <w:rPr>
      <w:sz w:val="20"/>
    </w:rPr>
  </w:style>
  <w:style w:type="paragraph" w:styleId="761" w:customStyle="1">
    <w:name w:val="索引 41"/>
    <w:basedOn w:val="714"/>
    <w:next w:val="714"/>
    <w:uiPriority w:val="99"/>
    <w:qFormat/>
    <w:pPr>
      <w:ind w:left="600"/>
    </w:pPr>
    <w:rPr>
      <w:szCs w:val="24"/>
    </w:rPr>
  </w:style>
  <w:style w:type="paragraph" w:styleId="762" w:customStyle="1">
    <w:name w:val="目录 511"/>
    <w:basedOn w:val="714"/>
    <w:next w:val="714"/>
    <w:uiPriority w:val="39"/>
    <w:unhideWhenUsed/>
    <w:qFormat/>
    <w:pPr>
      <w:ind w:left="1134"/>
      <w:spacing w:after="57"/>
    </w:pPr>
  </w:style>
  <w:style w:type="paragraph" w:styleId="763" w:customStyle="1">
    <w:name w:val="目录 311"/>
    <w:basedOn w:val="714"/>
    <w:next w:val="714"/>
    <w:uiPriority w:val="39"/>
    <w:unhideWhenUsed/>
    <w:qFormat/>
    <w:pPr>
      <w:ind w:left="567"/>
      <w:spacing w:after="57"/>
    </w:pPr>
  </w:style>
  <w:style w:type="paragraph" w:styleId="764" w:customStyle="1">
    <w:name w:val="目录 811"/>
    <w:basedOn w:val="714"/>
    <w:next w:val="714"/>
    <w:uiPriority w:val="39"/>
    <w:unhideWhenUsed/>
    <w:qFormat/>
    <w:pPr>
      <w:ind w:left="1984"/>
      <w:spacing w:after="57"/>
    </w:pPr>
  </w:style>
  <w:style w:type="paragraph" w:styleId="765" w:customStyle="1">
    <w:name w:val="尾注文本11"/>
    <w:basedOn w:val="714"/>
    <w:link w:val="766"/>
    <w:uiPriority w:val="99"/>
    <w:unhideWhenUsed/>
    <w:qFormat/>
    <w:rPr>
      <w:sz w:val="20"/>
    </w:rPr>
  </w:style>
  <w:style w:type="character" w:styleId="766" w:customStyle="1">
    <w:name w:val="尾注文本 Char1"/>
    <w:link w:val="765"/>
    <w:uiPriority w:val="99"/>
    <w:qFormat/>
    <w:rPr>
      <w:sz w:val="20"/>
    </w:rPr>
  </w:style>
  <w:style w:type="paragraph" w:styleId="767" w:customStyle="1">
    <w:name w:val="批注框文本11"/>
    <w:basedOn w:val="714"/>
    <w:link w:val="768"/>
    <w:uiPriority w:val="99"/>
    <w:unhideWhenUsed/>
    <w:qFormat/>
    <w:rPr>
      <w:sz w:val="18"/>
      <w:szCs w:val="18"/>
    </w:rPr>
  </w:style>
  <w:style w:type="character" w:styleId="768" w:customStyle="1">
    <w:name w:val="批注框文本 Char1"/>
    <w:link w:val="767"/>
    <w:uiPriority w:val="99"/>
    <w:semiHidden/>
    <w:qFormat/>
    <w:rPr>
      <w:sz w:val="18"/>
      <w:szCs w:val="18"/>
    </w:rPr>
  </w:style>
  <w:style w:type="paragraph" w:styleId="769" w:customStyle="1">
    <w:name w:val="页脚11"/>
    <w:basedOn w:val="714"/>
    <w:link w:val="770"/>
    <w:uiPriority w:val="99"/>
    <w:unhideWhenUsed/>
    <w:pPr>
      <w:jc w:val="left"/>
      <w:tabs>
        <w:tab w:val="center" w:pos="4153" w:leader="none"/>
        <w:tab w:val="right" w:pos="8306" w:leader="none"/>
      </w:tabs>
    </w:pPr>
    <w:rPr>
      <w:sz w:val="18"/>
      <w:szCs w:val="18"/>
    </w:rPr>
  </w:style>
  <w:style w:type="character" w:styleId="770" w:customStyle="1">
    <w:name w:val="页脚 Char1"/>
    <w:link w:val="769"/>
    <w:uiPriority w:val="99"/>
    <w:rPr>
      <w:sz w:val="18"/>
      <w:szCs w:val="18"/>
    </w:rPr>
  </w:style>
  <w:style w:type="paragraph" w:styleId="771" w:customStyle="1">
    <w:name w:val="页眉12"/>
    <w:basedOn w:val="714"/>
    <w:link w:val="772"/>
    <w:uiPriority w:val="99"/>
    <w:unhideWhenUsed/>
    <w:pPr>
      <w:jc w:val="center"/>
      <w:tabs>
        <w:tab w:val="center" w:pos="4153" w:leader="none"/>
        <w:tab w:val="right" w:pos="8306" w:leader="none"/>
      </w:tabs>
      <w:pBdr>
        <w:bottom w:val="single" w:color="000000" w:sz="6" w:space="1"/>
      </w:pBdr>
    </w:pPr>
    <w:rPr>
      <w:sz w:val="18"/>
      <w:szCs w:val="18"/>
    </w:rPr>
  </w:style>
  <w:style w:type="character" w:styleId="772" w:customStyle="1">
    <w:name w:val="页眉 Char1"/>
    <w:link w:val="771"/>
    <w:uiPriority w:val="99"/>
    <w:rPr>
      <w:sz w:val="18"/>
      <w:szCs w:val="18"/>
    </w:rPr>
  </w:style>
  <w:style w:type="paragraph" w:styleId="773" w:customStyle="1">
    <w:name w:val="目录 1111"/>
    <w:basedOn w:val="714"/>
    <w:next w:val="714"/>
    <w:uiPriority w:val="39"/>
    <w:unhideWhenUsed/>
    <w:qFormat/>
    <w:pPr>
      <w:spacing w:after="57"/>
    </w:pPr>
  </w:style>
  <w:style w:type="paragraph" w:styleId="774" w:customStyle="1">
    <w:name w:val="目录 411"/>
    <w:basedOn w:val="714"/>
    <w:next w:val="714"/>
    <w:uiPriority w:val="39"/>
    <w:unhideWhenUsed/>
    <w:qFormat/>
    <w:pPr>
      <w:ind w:left="850"/>
      <w:spacing w:after="57"/>
    </w:pPr>
  </w:style>
  <w:style w:type="paragraph" w:styleId="775" w:customStyle="1">
    <w:name w:val="副标题11"/>
    <w:basedOn w:val="714"/>
    <w:next w:val="714"/>
    <w:link w:val="776"/>
    <w:uiPriority w:val="11"/>
    <w:qFormat/>
    <w:pPr>
      <w:spacing w:before="200" w:after="200"/>
    </w:pPr>
    <w:rPr>
      <w:sz w:val="24"/>
      <w:szCs w:val="24"/>
    </w:rPr>
  </w:style>
  <w:style w:type="character" w:styleId="776" w:customStyle="1">
    <w:name w:val="副标题 Char1"/>
    <w:link w:val="775"/>
    <w:uiPriority w:val="11"/>
    <w:qFormat/>
    <w:rPr>
      <w:sz w:val="24"/>
      <w:szCs w:val="24"/>
    </w:rPr>
  </w:style>
  <w:style w:type="paragraph" w:styleId="777" w:customStyle="1">
    <w:name w:val="脚注文本11"/>
    <w:basedOn w:val="714"/>
    <w:link w:val="778"/>
    <w:uiPriority w:val="99"/>
    <w:unhideWhenUsed/>
    <w:qFormat/>
    <w:pPr>
      <w:spacing w:after="40"/>
    </w:pPr>
    <w:rPr>
      <w:sz w:val="18"/>
    </w:rPr>
  </w:style>
  <w:style w:type="character" w:styleId="778" w:customStyle="1">
    <w:name w:val="脚注文本 Char1"/>
    <w:link w:val="777"/>
    <w:uiPriority w:val="99"/>
    <w:qFormat/>
    <w:rPr>
      <w:sz w:val="18"/>
    </w:rPr>
  </w:style>
  <w:style w:type="paragraph" w:styleId="779" w:customStyle="1">
    <w:name w:val="目录 611"/>
    <w:basedOn w:val="714"/>
    <w:next w:val="714"/>
    <w:uiPriority w:val="39"/>
    <w:unhideWhenUsed/>
    <w:qFormat/>
    <w:pPr>
      <w:ind w:left="1417"/>
      <w:spacing w:after="57"/>
    </w:pPr>
  </w:style>
  <w:style w:type="paragraph" w:styleId="780" w:customStyle="1">
    <w:name w:val="图表目录11"/>
    <w:basedOn w:val="714"/>
    <w:next w:val="714"/>
    <w:uiPriority w:val="99"/>
    <w:unhideWhenUsed/>
    <w:qFormat/>
  </w:style>
  <w:style w:type="paragraph" w:styleId="781" w:customStyle="1">
    <w:name w:val="目录 211"/>
    <w:basedOn w:val="714"/>
    <w:next w:val="714"/>
    <w:uiPriority w:val="39"/>
    <w:unhideWhenUsed/>
    <w:qFormat/>
    <w:pPr>
      <w:ind w:left="283"/>
      <w:spacing w:after="57"/>
    </w:pPr>
  </w:style>
  <w:style w:type="paragraph" w:styleId="782" w:customStyle="1">
    <w:name w:val="目录 911"/>
    <w:basedOn w:val="714"/>
    <w:next w:val="714"/>
    <w:uiPriority w:val="39"/>
    <w:unhideWhenUsed/>
    <w:qFormat/>
    <w:pPr>
      <w:ind w:left="2268"/>
      <w:spacing w:after="57"/>
    </w:pPr>
  </w:style>
  <w:style w:type="paragraph" w:styleId="783" w:customStyle="1">
    <w:name w:val="普通(网站)11"/>
    <w:basedOn w:val="714"/>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84" w:customStyle="1">
    <w:name w:val="标题12"/>
    <w:basedOn w:val="714"/>
    <w:next w:val="714"/>
    <w:link w:val="785"/>
    <w:uiPriority w:val="10"/>
    <w:qFormat/>
    <w:pPr>
      <w:contextualSpacing/>
      <w:spacing w:before="300" w:after="200"/>
    </w:pPr>
    <w:rPr>
      <w:sz w:val="48"/>
      <w:szCs w:val="48"/>
    </w:rPr>
  </w:style>
  <w:style w:type="character" w:styleId="785" w:customStyle="1">
    <w:name w:val="标题 Char1"/>
    <w:link w:val="784"/>
    <w:uiPriority w:val="10"/>
    <w:qFormat/>
    <w:rPr>
      <w:sz w:val="48"/>
      <w:szCs w:val="48"/>
    </w:rPr>
  </w:style>
  <w:style w:type="paragraph" w:styleId="786" w:customStyle="1">
    <w:name w:val="批注主题11"/>
    <w:basedOn w:val="757"/>
    <w:next w:val="757"/>
    <w:link w:val="787"/>
    <w:uiPriority w:val="99"/>
    <w:unhideWhenUsed/>
    <w:qFormat/>
    <w:rPr>
      <w:b/>
      <w:bCs/>
    </w:rPr>
  </w:style>
  <w:style w:type="character" w:styleId="787" w:customStyle="1">
    <w:name w:val="批注主题 Char1"/>
    <w:link w:val="786"/>
    <w:uiPriority w:val="99"/>
    <w:semiHidden/>
    <w:qFormat/>
    <w:rPr>
      <w:b/>
      <w:bCs/>
      <w:sz w:val="21"/>
      <w:szCs w:val="21"/>
    </w:rPr>
  </w:style>
  <w:style w:type="paragraph" w:styleId="788" w:customStyle="1">
    <w:name w:val="正文首行缩进 211"/>
    <w:uiPriority w:val="99"/>
    <w:unhideWhenUsed/>
    <w:qFormat/>
    <w:pPr>
      <w:ind w:firstLine="420"/>
      <w:jc w:val="both"/>
      <w:spacing w:line="360" w:lineRule="auto"/>
      <w:widowControl w:val="off"/>
    </w:pPr>
    <w:rPr>
      <w:rFonts w:hint="default" w:ascii="宋体" w:hAnsi="宋体" w:eastAsia="宋体" w:cs="Times New Roman"/>
      <w:sz w:val="32"/>
      <w:szCs w:val="32"/>
      <w:lang w:val="en-US" w:eastAsia="zh-CN" w:bidi="ar-SA"/>
    </w:rPr>
  </w:style>
  <w:style w:type="table" w:styleId="789" w:customStyle="1">
    <w:name w:val="网格型111"/>
    <w:uiPriority w:val="59"/>
    <w:qFormat/>
    <w:rPr>
      <w:lang w:val="en-US" w:eastAsia="zh-CN" w:bidi="ar-SA"/>
    </w:rPr>
    <w:tblPr/>
  </w:style>
  <w:style w:type="character" w:styleId="790" w:customStyle="1">
    <w:name w:val="要点11"/>
    <w:link w:val="714"/>
    <w:uiPriority w:val="22"/>
    <w:qFormat/>
    <w:rPr>
      <w:b/>
    </w:rPr>
  </w:style>
  <w:style w:type="character" w:styleId="791" w:customStyle="1">
    <w:name w:val="尾注引用11"/>
    <w:link w:val="714"/>
    <w:uiPriority w:val="99"/>
    <w:unhideWhenUsed/>
    <w:qFormat/>
    <w:rPr>
      <w:vertAlign w:val="superscript"/>
    </w:rPr>
  </w:style>
  <w:style w:type="character" w:styleId="792" w:customStyle="1">
    <w:name w:val="超链接11"/>
    <w:link w:val="714"/>
    <w:uiPriority w:val="99"/>
    <w:unhideWhenUsed/>
    <w:qFormat/>
    <w:rPr>
      <w:color w:val="0000ff"/>
      <w:u w:val="single"/>
    </w:rPr>
  </w:style>
  <w:style w:type="character" w:styleId="793" w:customStyle="1">
    <w:name w:val="批注引用11"/>
    <w:link w:val="714"/>
    <w:uiPriority w:val="99"/>
    <w:unhideWhenUsed/>
    <w:qFormat/>
    <w:rPr>
      <w:sz w:val="21"/>
      <w:szCs w:val="21"/>
    </w:rPr>
  </w:style>
  <w:style w:type="character" w:styleId="794" w:customStyle="1">
    <w:name w:val="脚注引用11"/>
    <w:link w:val="714"/>
    <w:uiPriority w:val="99"/>
    <w:unhideWhenUsed/>
    <w:qFormat/>
    <w:rPr>
      <w:vertAlign w:val="superscript"/>
    </w:rPr>
  </w:style>
  <w:style w:type="paragraph" w:styleId="795" w:customStyle="1">
    <w:name w:val="正文文本11"/>
    <w:basedOn w:val="714"/>
    <w:uiPriority w:val="0"/>
    <w:qFormat/>
    <w:rPr>
      <w:rFonts w:ascii="仿宋_GB2312" w:eastAsia="仿宋_GB2312"/>
      <w:sz w:val="28"/>
      <w:szCs w:val="20"/>
    </w:rPr>
  </w:style>
  <w:style w:type="paragraph" w:styleId="796" w:customStyle="1">
    <w:name w:val="引文目录1"/>
    <w:basedOn w:val="714"/>
    <w:next w:val="714"/>
    <w:uiPriority w:val="0"/>
    <w:qFormat/>
    <w:pPr>
      <w:ind w:left="420" w:firstLine="883"/>
    </w:pPr>
    <w:rPr>
      <w:rFonts w:ascii="仿宋" w:hAnsi="仿宋" w:eastAsia="仿宋" w:cs="仿宋"/>
      <w:sz w:val="24"/>
      <w:szCs w:val="24"/>
    </w:rPr>
  </w:style>
  <w:style w:type="paragraph" w:styleId="797" w:customStyle="1">
    <w:name w:val="正文首行缩进 21"/>
    <w:basedOn w:val="798"/>
    <w:link w:val="801"/>
    <w:uiPriority w:val="0"/>
    <w:qFormat/>
    <w:pPr>
      <w:ind w:firstLine="420"/>
      <w:spacing w:line="360" w:lineRule="auto"/>
    </w:pPr>
    <w:rPr>
      <w:rFonts w:ascii="宋体" w:hAnsi="宋体" w:eastAsia="宋体"/>
      <w:szCs w:val="20"/>
    </w:rPr>
  </w:style>
  <w:style w:type="paragraph" w:styleId="798" w:customStyle="1">
    <w:name w:val="正文文本缩进1"/>
    <w:basedOn w:val="714"/>
    <w:next w:val="799"/>
    <w:link w:val="800"/>
    <w:uiPriority w:val="0"/>
    <w:qFormat/>
    <w:pPr>
      <w:ind w:firstLine="645"/>
    </w:pPr>
    <w:rPr>
      <w:rFonts w:ascii="楷体_GB2312" w:eastAsia="楷体_GB2312"/>
      <w:sz w:val="32"/>
      <w:szCs w:val="32"/>
    </w:rPr>
  </w:style>
  <w:style w:type="paragraph" w:styleId="799" w:customStyle="1">
    <w:name w:val="寄信人地址1"/>
    <w:basedOn w:val="714"/>
    <w:uiPriority w:val="99"/>
    <w:unhideWhenUsed/>
    <w:qFormat/>
    <w:rPr>
      <w:rFonts w:hint="eastAsia" w:ascii="Arial" w:hAnsi="Arial"/>
      <w:sz w:val="24"/>
    </w:rPr>
  </w:style>
  <w:style w:type="character" w:styleId="800" w:customStyle="1">
    <w:name w:val="正文文本缩进 Char"/>
    <w:link w:val="798"/>
    <w:uiPriority w:val="0"/>
    <w:qFormat/>
    <w:rPr>
      <w:rFonts w:ascii="楷体_GB2312" w:hAnsi="Times New Roman" w:eastAsia="楷体_GB2312" w:cs="Times New Roman"/>
      <w:sz w:val="32"/>
      <w:szCs w:val="32"/>
    </w:rPr>
  </w:style>
  <w:style w:type="character" w:styleId="801" w:customStyle="1">
    <w:name w:val="正文首行缩进 2 Char"/>
    <w:link w:val="797"/>
    <w:uiPriority w:val="0"/>
    <w:qFormat/>
    <w:rPr>
      <w:rFonts w:ascii="宋体" w:hAnsi="宋体" w:eastAsia="宋体" w:cs="Times New Roman"/>
      <w:sz w:val="32"/>
      <w:szCs w:val="20"/>
    </w:rPr>
  </w:style>
  <w:style w:type="character" w:styleId="802" w:customStyle="1">
    <w:name w:val="标题 4 Char1"/>
    <w:link w:val="718"/>
    <w:uiPriority w:val="9"/>
    <w:qFormat/>
    <w:rPr>
      <w:rFonts w:ascii="Arial" w:hAnsi="Arial" w:eastAsia="Arial" w:cs="Arial"/>
      <w:b/>
      <w:bCs/>
      <w:sz w:val="26"/>
      <w:szCs w:val="26"/>
    </w:rPr>
  </w:style>
  <w:style w:type="character" w:styleId="803" w:customStyle="1">
    <w:name w:val="Heading 1 Char"/>
    <w:link w:val="714"/>
    <w:uiPriority w:val="9"/>
    <w:rPr>
      <w:rFonts w:ascii="Arial" w:hAnsi="Arial" w:eastAsia="Arial" w:cs="Arial"/>
      <w:sz w:val="40"/>
      <w:szCs w:val="40"/>
    </w:rPr>
  </w:style>
  <w:style w:type="character" w:styleId="804" w:customStyle="1">
    <w:name w:val="Heading 2 Char"/>
    <w:link w:val="714"/>
    <w:uiPriority w:val="9"/>
    <w:rPr>
      <w:rFonts w:ascii="Arial" w:hAnsi="Arial" w:eastAsia="Arial" w:cs="Arial"/>
      <w:sz w:val="34"/>
    </w:rPr>
  </w:style>
  <w:style w:type="character" w:styleId="805" w:customStyle="1">
    <w:name w:val="Heading 3 Char"/>
    <w:link w:val="714"/>
    <w:uiPriority w:val="9"/>
    <w:rPr>
      <w:rFonts w:ascii="Arial" w:hAnsi="Arial" w:eastAsia="Arial" w:cs="Arial"/>
      <w:sz w:val="30"/>
      <w:szCs w:val="30"/>
    </w:rPr>
  </w:style>
  <w:style w:type="character" w:styleId="806" w:customStyle="1">
    <w:name w:val="Heading 4 Char"/>
    <w:link w:val="714"/>
    <w:uiPriority w:val="9"/>
    <w:rPr>
      <w:rFonts w:ascii="Arial" w:hAnsi="Arial" w:eastAsia="Arial" w:cs="Arial"/>
      <w:b/>
      <w:bCs/>
      <w:sz w:val="26"/>
      <w:szCs w:val="26"/>
    </w:rPr>
  </w:style>
  <w:style w:type="character" w:styleId="807" w:customStyle="1">
    <w:name w:val="Heading 5 Char"/>
    <w:link w:val="714"/>
    <w:uiPriority w:val="9"/>
    <w:rPr>
      <w:rFonts w:ascii="Arial" w:hAnsi="Arial" w:eastAsia="Arial" w:cs="Arial"/>
      <w:b/>
      <w:bCs/>
      <w:sz w:val="24"/>
      <w:szCs w:val="24"/>
    </w:rPr>
  </w:style>
  <w:style w:type="character" w:styleId="808" w:customStyle="1">
    <w:name w:val="Heading 6 Char"/>
    <w:link w:val="714"/>
    <w:uiPriority w:val="9"/>
    <w:rPr>
      <w:rFonts w:ascii="Arial" w:hAnsi="Arial" w:eastAsia="Arial" w:cs="Arial"/>
      <w:b/>
      <w:bCs/>
      <w:sz w:val="22"/>
      <w:szCs w:val="22"/>
    </w:rPr>
  </w:style>
  <w:style w:type="character" w:styleId="809" w:customStyle="1">
    <w:name w:val="Heading 7 Char"/>
    <w:link w:val="714"/>
    <w:uiPriority w:val="9"/>
    <w:rPr>
      <w:rFonts w:ascii="Arial" w:hAnsi="Arial" w:eastAsia="Arial" w:cs="Arial"/>
      <w:b/>
      <w:bCs/>
      <w:i/>
      <w:iCs/>
      <w:sz w:val="22"/>
      <w:szCs w:val="22"/>
    </w:rPr>
  </w:style>
  <w:style w:type="character" w:styleId="810" w:customStyle="1">
    <w:name w:val="Heading 8 Char"/>
    <w:link w:val="714"/>
    <w:uiPriority w:val="9"/>
    <w:rPr>
      <w:rFonts w:ascii="Arial" w:hAnsi="Arial" w:eastAsia="Arial" w:cs="Arial"/>
      <w:i/>
      <w:iCs/>
      <w:sz w:val="22"/>
      <w:szCs w:val="22"/>
    </w:rPr>
  </w:style>
  <w:style w:type="character" w:styleId="811" w:customStyle="1">
    <w:name w:val="Heading 9 Char"/>
    <w:link w:val="714"/>
    <w:uiPriority w:val="9"/>
    <w:rPr>
      <w:rFonts w:ascii="Arial" w:hAnsi="Arial" w:eastAsia="Arial" w:cs="Arial"/>
      <w:i/>
      <w:iCs/>
      <w:sz w:val="21"/>
      <w:szCs w:val="21"/>
    </w:rPr>
  </w:style>
  <w:style w:type="character" w:styleId="812" w:customStyle="1">
    <w:name w:val="Title Char"/>
    <w:link w:val="714"/>
    <w:uiPriority w:val="10"/>
    <w:rPr>
      <w:sz w:val="48"/>
      <w:szCs w:val="48"/>
    </w:rPr>
  </w:style>
  <w:style w:type="character" w:styleId="813" w:customStyle="1">
    <w:name w:val="Subtitle Char"/>
    <w:link w:val="714"/>
    <w:uiPriority w:val="11"/>
    <w:rPr>
      <w:sz w:val="24"/>
      <w:szCs w:val="24"/>
    </w:rPr>
  </w:style>
  <w:style w:type="character" w:styleId="814" w:customStyle="1">
    <w:name w:val="Quote Char"/>
    <w:link w:val="714"/>
    <w:uiPriority w:val="29"/>
    <w:rPr>
      <w:i/>
    </w:rPr>
  </w:style>
  <w:style w:type="character" w:styleId="815" w:customStyle="1">
    <w:name w:val="Intense Quote Char"/>
    <w:link w:val="714"/>
    <w:uiPriority w:val="30"/>
    <w:rPr>
      <w:i/>
    </w:rPr>
  </w:style>
  <w:style w:type="character" w:styleId="816" w:customStyle="1">
    <w:name w:val="Footnote Text Char"/>
    <w:link w:val="714"/>
    <w:uiPriority w:val="99"/>
    <w:rPr>
      <w:sz w:val="18"/>
    </w:rPr>
  </w:style>
  <w:style w:type="character" w:styleId="817" w:customStyle="1">
    <w:name w:val="Endnote Text Char"/>
    <w:link w:val="714"/>
    <w:uiPriority w:val="99"/>
    <w:rPr>
      <w:sz w:val="20"/>
    </w:rPr>
  </w:style>
  <w:style w:type="paragraph" w:styleId="818" w:customStyle="1">
    <w:name w:val="TOC 标题"/>
    <w:uiPriority w:val="39"/>
    <w:qFormat/>
    <w:rPr>
      <w:rFonts w:hint="default" w:ascii="Times New Roman" w:hAnsi="Times New Roman" w:eastAsia="宋体" w:cs="Times New Roman"/>
      <w:lang w:val="en-US" w:eastAsia="zh-CN" w:bidi="ar-SA"/>
    </w:rPr>
  </w:style>
  <w:style w:type="character" w:styleId="819" w:customStyle="1">
    <w:name w:val="标题 1 Char1"/>
    <w:link w:val="715"/>
    <w:uiPriority w:val="9"/>
    <w:qFormat/>
    <w:rPr>
      <w:rFonts w:ascii="Arial" w:hAnsi="Arial" w:eastAsia="Arial" w:cs="Arial"/>
      <w:sz w:val="40"/>
      <w:szCs w:val="40"/>
    </w:rPr>
  </w:style>
  <w:style w:type="character" w:styleId="820" w:customStyle="1">
    <w:name w:val="标题 2 Char1"/>
    <w:link w:val="716"/>
    <w:uiPriority w:val="9"/>
    <w:qFormat/>
    <w:rPr>
      <w:rFonts w:ascii="Arial" w:hAnsi="Arial" w:eastAsia="Arial" w:cs="Arial"/>
      <w:sz w:val="34"/>
    </w:rPr>
  </w:style>
  <w:style w:type="character" w:styleId="821" w:customStyle="1">
    <w:name w:val="标题 3 Char1"/>
    <w:link w:val="717"/>
    <w:uiPriority w:val="9"/>
    <w:qFormat/>
    <w:rPr>
      <w:rFonts w:ascii="Arial" w:hAnsi="Arial" w:eastAsia="Arial" w:cs="Arial"/>
      <w:sz w:val="30"/>
      <w:szCs w:val="30"/>
    </w:rPr>
  </w:style>
  <w:style w:type="character" w:styleId="822" w:customStyle="1">
    <w:name w:val="标题 5 Char1"/>
    <w:link w:val="719"/>
    <w:uiPriority w:val="9"/>
    <w:qFormat/>
    <w:rPr>
      <w:rFonts w:ascii="Arial" w:hAnsi="Arial" w:eastAsia="Arial" w:cs="Arial"/>
      <w:b/>
      <w:bCs/>
      <w:sz w:val="24"/>
      <w:szCs w:val="24"/>
    </w:rPr>
  </w:style>
  <w:style w:type="character" w:styleId="823" w:customStyle="1">
    <w:name w:val="标题 6 Char1"/>
    <w:link w:val="720"/>
    <w:uiPriority w:val="9"/>
    <w:qFormat/>
    <w:rPr>
      <w:rFonts w:ascii="Arial" w:hAnsi="Arial" w:eastAsia="Arial" w:cs="Arial"/>
      <w:b/>
      <w:bCs/>
      <w:sz w:val="22"/>
      <w:szCs w:val="22"/>
    </w:rPr>
  </w:style>
  <w:style w:type="character" w:styleId="824" w:customStyle="1">
    <w:name w:val="标题 7 Char1"/>
    <w:link w:val="721"/>
    <w:uiPriority w:val="9"/>
    <w:qFormat/>
    <w:rPr>
      <w:rFonts w:ascii="Arial" w:hAnsi="Arial" w:eastAsia="Arial" w:cs="Arial"/>
      <w:b/>
      <w:bCs/>
      <w:i/>
      <w:iCs/>
      <w:sz w:val="22"/>
      <w:szCs w:val="22"/>
    </w:rPr>
  </w:style>
  <w:style w:type="character" w:styleId="825" w:customStyle="1">
    <w:name w:val="标题 8 Char1"/>
    <w:link w:val="722"/>
    <w:uiPriority w:val="9"/>
    <w:qFormat/>
    <w:rPr>
      <w:rFonts w:ascii="Arial" w:hAnsi="Arial" w:eastAsia="Arial" w:cs="Arial"/>
      <w:i/>
      <w:iCs/>
      <w:sz w:val="22"/>
      <w:szCs w:val="22"/>
    </w:rPr>
  </w:style>
  <w:style w:type="character" w:styleId="826" w:customStyle="1">
    <w:name w:val="标题 9 Char1"/>
    <w:link w:val="723"/>
    <w:uiPriority w:val="9"/>
    <w:qFormat/>
    <w:rPr>
      <w:rFonts w:ascii="Arial" w:hAnsi="Arial" w:eastAsia="Arial" w:cs="Arial"/>
      <w:i/>
      <w:iCs/>
      <w:sz w:val="21"/>
      <w:szCs w:val="21"/>
    </w:rPr>
  </w:style>
  <w:style w:type="paragraph" w:styleId="827" w:customStyle="1">
    <w:name w:val="Caption1"/>
    <w:basedOn w:val="714"/>
    <w:next w:val="714"/>
    <w:uiPriority w:val="35"/>
    <w:unhideWhenUsed/>
    <w:qFormat/>
    <w:pPr>
      <w:spacing w:line="276" w:lineRule="auto"/>
    </w:pPr>
    <w:rPr>
      <w:b/>
      <w:bCs/>
      <w:color w:val="4f81bd"/>
      <w:sz w:val="18"/>
      <w:szCs w:val="18"/>
    </w:rPr>
  </w:style>
  <w:style w:type="paragraph" w:styleId="828" w:customStyle="1">
    <w:name w:val="Footer1"/>
    <w:basedOn w:val="714"/>
    <w:uiPriority w:val="99"/>
    <w:unhideWhenUsed/>
    <w:qFormat/>
    <w:pPr>
      <w:tabs>
        <w:tab w:val="center" w:pos="7143" w:leader="none"/>
        <w:tab w:val="right" w:pos="14287" w:leader="none"/>
      </w:tabs>
    </w:pPr>
  </w:style>
  <w:style w:type="paragraph" w:styleId="829" w:customStyle="1">
    <w:name w:val="Header1"/>
    <w:basedOn w:val="714"/>
    <w:uiPriority w:val="99"/>
    <w:unhideWhenUsed/>
    <w:qFormat/>
    <w:pPr>
      <w:tabs>
        <w:tab w:val="center" w:pos="7143" w:leader="none"/>
        <w:tab w:val="right" w:pos="14287" w:leader="none"/>
      </w:tabs>
    </w:pPr>
  </w:style>
  <w:style w:type="paragraph" w:styleId="830" w:customStyle="1">
    <w:name w:val="列出段落"/>
    <w:basedOn w:val="714"/>
    <w:uiPriority w:val="34"/>
    <w:qFormat/>
    <w:pPr>
      <w:contextualSpacing/>
      <w:ind w:left="720"/>
    </w:pPr>
  </w:style>
  <w:style w:type="paragraph" w:styleId="831" w:customStyle="1">
    <w:name w:val="无间隔"/>
    <w:uiPriority w:val="1"/>
    <w:qFormat/>
    <w:rPr>
      <w:rFonts w:hint="default" w:ascii="Times New Roman" w:hAnsi="Times New Roman" w:eastAsia="宋体" w:cs="Times New Roman"/>
      <w:lang w:val="en-US" w:eastAsia="zh-CN" w:bidi="ar-SA"/>
    </w:rPr>
  </w:style>
  <w:style w:type="paragraph" w:styleId="832" w:customStyle="1">
    <w:name w:val="引用"/>
    <w:basedOn w:val="714"/>
    <w:next w:val="714"/>
    <w:link w:val="833"/>
    <w:uiPriority w:val="29"/>
    <w:qFormat/>
    <w:pPr>
      <w:ind w:left="720" w:right="720"/>
    </w:pPr>
    <w:rPr>
      <w:i/>
    </w:rPr>
  </w:style>
  <w:style w:type="character" w:styleId="833" w:customStyle="1">
    <w:name w:val="引用 Char1"/>
    <w:link w:val="832"/>
    <w:uiPriority w:val="29"/>
    <w:qFormat/>
    <w:rPr>
      <w:i/>
    </w:rPr>
  </w:style>
  <w:style w:type="paragraph" w:styleId="834" w:customStyle="1">
    <w:name w:val="明显引用"/>
    <w:basedOn w:val="714"/>
    <w:next w:val="714"/>
    <w:link w:val="8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明显引用 Char1"/>
    <w:link w:val="834"/>
    <w:uiPriority w:val="30"/>
    <w:qFormat/>
    <w:rPr>
      <w:i/>
    </w:rPr>
  </w:style>
  <w:style w:type="paragraph" w:styleId="836" w:customStyle="1">
    <w:name w:val="TOC 标题1"/>
    <w:uiPriority w:val="39"/>
    <w:unhideWhenUsed/>
    <w:qFormat/>
    <w:rPr>
      <w:rFonts w:hint="default" w:ascii="Times New Roman" w:hAnsi="Times New Roman" w:eastAsia="宋体" w:cs="Times New Roman"/>
      <w:lang w:val="en-US" w:eastAsia="zh-CN" w:bidi="ar-SA"/>
    </w:rPr>
  </w:style>
  <w:style w:type="paragraph" w:styleId="837" w:customStyle="1">
    <w:name w:val="标题 11"/>
    <w:basedOn w:val="714"/>
    <w:next w:val="714"/>
    <w:link w:val="838"/>
    <w:uiPriority w:val="0"/>
    <w:qFormat/>
    <w:pPr>
      <w:jc w:val="center"/>
      <w:keepNext/>
      <w:outlineLvl w:val="0"/>
    </w:pPr>
    <w:rPr>
      <w:rFonts w:ascii="楷体_GB2312" w:eastAsia="楷体_GB2312"/>
      <w:sz w:val="28"/>
      <w:szCs w:val="28"/>
    </w:rPr>
  </w:style>
  <w:style w:type="character" w:styleId="838" w:customStyle="1">
    <w:name w:val="标题 1 Char"/>
    <w:link w:val="837"/>
    <w:uiPriority w:val="0"/>
    <w:qFormat/>
    <w:rPr>
      <w:rFonts w:ascii="楷体_GB2312" w:hAnsi="Times New Roman" w:eastAsia="楷体_GB2312" w:cs="Times New Roman"/>
      <w:sz w:val="28"/>
      <w:szCs w:val="28"/>
    </w:rPr>
  </w:style>
  <w:style w:type="paragraph" w:styleId="839" w:customStyle="1">
    <w:name w:val="标题 21"/>
    <w:basedOn w:val="714"/>
    <w:next w:val="840"/>
    <w:link w:val="841"/>
    <w:uiPriority w:val="0"/>
    <w:qFormat/>
    <w:pPr>
      <w:jc w:val="center"/>
      <w:keepLines/>
      <w:keepNext/>
      <w:spacing w:before="260" w:after="260" w:line="416" w:lineRule="auto"/>
      <w:outlineLvl w:val="1"/>
    </w:pPr>
    <w:rPr>
      <w:rFonts w:ascii="Arial" w:hAnsi="Arial" w:eastAsia="幼圆"/>
      <w:b/>
      <w:bCs/>
      <w:sz w:val="44"/>
      <w:szCs w:val="44"/>
    </w:rPr>
  </w:style>
  <w:style w:type="paragraph" w:styleId="840" w:customStyle="1">
    <w:name w:val="正文缩进1"/>
    <w:basedOn w:val="714"/>
    <w:link w:val="842"/>
    <w:uiPriority w:val="0"/>
    <w:qFormat/>
    <w:pPr>
      <w:ind w:firstLine="420"/>
    </w:pPr>
    <w:rPr>
      <w:sz w:val="20"/>
    </w:rPr>
  </w:style>
  <w:style w:type="character" w:styleId="841" w:customStyle="1">
    <w:name w:val="标题 2 Char"/>
    <w:link w:val="839"/>
    <w:uiPriority w:val="0"/>
    <w:qFormat/>
    <w:rPr>
      <w:rFonts w:ascii="Arial" w:hAnsi="Arial" w:eastAsia="幼圆" w:cs="Arial"/>
      <w:b/>
      <w:bCs/>
      <w:sz w:val="44"/>
      <w:szCs w:val="44"/>
    </w:rPr>
  </w:style>
  <w:style w:type="character" w:styleId="842" w:customStyle="1">
    <w:name w:val="正文缩进 Char"/>
    <w:link w:val="840"/>
    <w:uiPriority w:val="0"/>
    <w:qFormat/>
    <w:rPr>
      <w:rFonts w:ascii="Times New Roman" w:hAnsi="Times New Roman" w:eastAsia="宋体" w:cs="Times New Roman"/>
      <w:szCs w:val="21"/>
    </w:rPr>
  </w:style>
  <w:style w:type="paragraph" w:styleId="843" w:customStyle="1">
    <w:name w:val="标题 31"/>
    <w:basedOn w:val="714"/>
    <w:next w:val="840"/>
    <w:link w:val="844"/>
    <w:uiPriority w:val="0"/>
    <w:qFormat/>
    <w:pPr>
      <w:keepLines/>
      <w:keepNext/>
      <w:spacing w:before="260" w:after="260" w:line="416" w:lineRule="auto"/>
      <w:outlineLvl w:val="2"/>
    </w:pPr>
    <w:rPr>
      <w:b/>
      <w:bCs/>
      <w:sz w:val="32"/>
      <w:szCs w:val="32"/>
    </w:rPr>
  </w:style>
  <w:style w:type="character" w:styleId="844" w:customStyle="1">
    <w:name w:val="标题 3 Char"/>
    <w:link w:val="843"/>
    <w:uiPriority w:val="0"/>
    <w:qFormat/>
    <w:rPr>
      <w:rFonts w:ascii="Times New Roman" w:hAnsi="Times New Roman" w:eastAsia="宋体" w:cs="Times New Roman"/>
      <w:b/>
      <w:bCs/>
      <w:sz w:val="32"/>
      <w:szCs w:val="32"/>
    </w:rPr>
  </w:style>
  <w:style w:type="paragraph" w:styleId="845" w:customStyle="1">
    <w:name w:val="标题 41"/>
    <w:basedOn w:val="714"/>
    <w:next w:val="840"/>
    <w:link w:val="846"/>
    <w:uiPriority w:val="0"/>
    <w:qFormat/>
    <w:pPr>
      <w:keepLines/>
      <w:keepNext/>
      <w:spacing w:before="280" w:after="290" w:line="376" w:lineRule="auto"/>
      <w:outlineLvl w:val="3"/>
    </w:pPr>
    <w:rPr>
      <w:rFonts w:ascii="Arial" w:hAnsi="Arial" w:eastAsia="黑体"/>
      <w:b/>
      <w:bCs/>
      <w:sz w:val="28"/>
      <w:szCs w:val="28"/>
    </w:rPr>
  </w:style>
  <w:style w:type="character" w:styleId="846" w:customStyle="1">
    <w:name w:val="标题 4 Char"/>
    <w:link w:val="845"/>
    <w:uiPriority w:val="0"/>
    <w:qFormat/>
    <w:rPr>
      <w:rFonts w:ascii="Arial" w:hAnsi="Arial" w:eastAsia="黑体" w:cs="Arial"/>
      <w:b/>
      <w:bCs/>
      <w:sz w:val="28"/>
      <w:szCs w:val="28"/>
    </w:rPr>
  </w:style>
  <w:style w:type="paragraph" w:styleId="847" w:customStyle="1">
    <w:name w:val="标题 51"/>
    <w:basedOn w:val="714"/>
    <w:next w:val="840"/>
    <w:link w:val="848"/>
    <w:uiPriority w:val="0"/>
    <w:qFormat/>
    <w:pPr>
      <w:keepNext/>
      <w:outlineLvl w:val="4"/>
    </w:pPr>
    <w:rPr>
      <w:rFonts w:ascii="宋体"/>
      <w:color w:val="000000"/>
      <w:sz w:val="28"/>
      <w:szCs w:val="28"/>
    </w:rPr>
  </w:style>
  <w:style w:type="character" w:styleId="848" w:customStyle="1">
    <w:name w:val="标题 5 Char"/>
    <w:link w:val="847"/>
    <w:uiPriority w:val="0"/>
    <w:qFormat/>
    <w:rPr>
      <w:rFonts w:ascii="宋体" w:hAnsi="Times New Roman" w:eastAsia="宋体" w:cs="Times New Roman"/>
      <w:color w:val="000000"/>
      <w:sz w:val="28"/>
      <w:szCs w:val="28"/>
    </w:rPr>
  </w:style>
  <w:style w:type="paragraph" w:styleId="849" w:customStyle="1">
    <w:name w:val="标题 61"/>
    <w:basedOn w:val="714"/>
    <w:next w:val="714"/>
    <w:link w:val="850"/>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850" w:customStyle="1">
    <w:name w:val="标题 6 Char"/>
    <w:link w:val="849"/>
    <w:uiPriority w:val="0"/>
    <w:qFormat/>
    <w:rPr>
      <w:rFonts w:ascii="Arial" w:hAnsi="Arial" w:eastAsia="黑体" w:cs="Times New Roman"/>
      <w:b/>
      <w:bCs/>
      <w:sz w:val="24"/>
      <w:szCs w:val="24"/>
    </w:rPr>
  </w:style>
  <w:style w:type="paragraph" w:styleId="851" w:customStyle="1">
    <w:name w:val="标题 71"/>
    <w:basedOn w:val="714"/>
    <w:next w:val="714"/>
    <w:link w:val="852"/>
    <w:uiPriority w:val="0"/>
    <w:qFormat/>
    <w:pPr>
      <w:numPr>
        <w:ilvl w:val="6"/>
        <w:numId w:val="1"/>
      </w:numPr>
      <w:keepLines/>
      <w:keepNext/>
      <w:spacing w:before="240" w:after="64" w:line="320" w:lineRule="auto"/>
      <w:outlineLvl w:val="6"/>
    </w:pPr>
    <w:rPr>
      <w:b/>
      <w:bCs/>
      <w:sz w:val="24"/>
      <w:szCs w:val="24"/>
    </w:rPr>
  </w:style>
  <w:style w:type="character" w:styleId="852" w:customStyle="1">
    <w:name w:val="标题 7 Char"/>
    <w:link w:val="851"/>
    <w:uiPriority w:val="0"/>
    <w:qFormat/>
    <w:rPr>
      <w:rFonts w:ascii="Times New Roman" w:hAnsi="Times New Roman" w:eastAsia="宋体" w:cs="Times New Roman"/>
      <w:b/>
      <w:bCs/>
      <w:sz w:val="24"/>
      <w:szCs w:val="24"/>
    </w:rPr>
  </w:style>
  <w:style w:type="paragraph" w:styleId="853" w:customStyle="1">
    <w:name w:val="标题 81"/>
    <w:basedOn w:val="714"/>
    <w:next w:val="714"/>
    <w:link w:val="854"/>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854" w:customStyle="1">
    <w:name w:val="标题 8 Char"/>
    <w:link w:val="853"/>
    <w:uiPriority w:val="0"/>
    <w:qFormat/>
    <w:rPr>
      <w:rFonts w:ascii="Arial" w:hAnsi="Arial" w:eastAsia="黑体" w:cs="Times New Roman"/>
      <w:sz w:val="24"/>
      <w:szCs w:val="24"/>
    </w:rPr>
  </w:style>
  <w:style w:type="paragraph" w:styleId="855" w:customStyle="1">
    <w:name w:val="标题 91"/>
    <w:basedOn w:val="714"/>
    <w:next w:val="714"/>
    <w:link w:val="856"/>
    <w:uiPriority w:val="0"/>
    <w:qFormat/>
    <w:pPr>
      <w:numPr>
        <w:ilvl w:val="8"/>
        <w:numId w:val="1"/>
      </w:numPr>
      <w:keepLines/>
      <w:keepNext/>
      <w:spacing w:before="240" w:after="64" w:line="320" w:lineRule="auto"/>
      <w:outlineLvl w:val="8"/>
    </w:pPr>
    <w:rPr>
      <w:rFonts w:ascii="Arial" w:hAnsi="Arial" w:eastAsia="黑体"/>
      <w:sz w:val="20"/>
    </w:rPr>
  </w:style>
  <w:style w:type="character" w:styleId="856" w:customStyle="1">
    <w:name w:val="标题 9 Char"/>
    <w:link w:val="855"/>
    <w:uiPriority w:val="0"/>
    <w:qFormat/>
    <w:rPr>
      <w:rFonts w:ascii="Arial" w:hAnsi="Arial" w:eastAsia="黑体" w:cs="Times New Roman"/>
      <w:szCs w:val="21"/>
    </w:rPr>
  </w:style>
  <w:style w:type="character" w:styleId="857" w:customStyle="1">
    <w:name w:val="默认段落字体1"/>
    <w:link w:val="714"/>
    <w:uiPriority w:val="1"/>
    <w:unhideWhenUsed/>
    <w:qFormat/>
  </w:style>
  <w:style w:type="table" w:styleId="858" w:customStyle="1">
    <w:name w:val="普通表格1"/>
    <w:uiPriority w:val="99"/>
    <w:unhideWhenUsed/>
    <w:qFormat/>
    <w:rPr>
      <w:lang w:val="en-US" w:eastAsia="zh-CN" w:bidi="ar-SA"/>
    </w:rPr>
    <w:tblPr/>
  </w:style>
  <w:style w:type="paragraph" w:styleId="859" w:customStyle="1">
    <w:name w:val="列表 31"/>
    <w:basedOn w:val="714"/>
    <w:uiPriority w:val="0"/>
    <w:qFormat/>
    <w:pPr>
      <w:ind w:left="100" w:hanging="200"/>
    </w:pPr>
  </w:style>
  <w:style w:type="paragraph" w:styleId="860" w:customStyle="1">
    <w:name w:val="目录 71"/>
    <w:basedOn w:val="714"/>
    <w:next w:val="714"/>
    <w:uiPriority w:val="0"/>
    <w:semiHidden/>
    <w:qFormat/>
    <w:pPr>
      <w:ind w:left="1260"/>
      <w:jc w:val="left"/>
    </w:pPr>
  </w:style>
  <w:style w:type="paragraph" w:styleId="861" w:customStyle="1">
    <w:name w:val="文档结构图1"/>
    <w:basedOn w:val="714"/>
    <w:link w:val="862"/>
    <w:uiPriority w:val="0"/>
    <w:semiHidden/>
    <w:qFormat/>
    <w:pPr>
      <w:shd w:val="clear" w:color="auto" w:fill="000080"/>
    </w:pPr>
    <w:rPr>
      <w:sz w:val="20"/>
    </w:rPr>
  </w:style>
  <w:style w:type="character" w:styleId="862" w:customStyle="1">
    <w:name w:val="文档结构图 Char"/>
    <w:link w:val="861"/>
    <w:uiPriority w:val="0"/>
    <w:semiHidden/>
    <w:qFormat/>
    <w:rPr>
      <w:rFonts w:ascii="Times New Roman" w:hAnsi="Times New Roman" w:eastAsia="宋体" w:cs="Times New Roman"/>
      <w:szCs w:val="21"/>
      <w:shd w:val="clear" w:color="auto" w:fill="000080"/>
    </w:rPr>
  </w:style>
  <w:style w:type="paragraph" w:styleId="863" w:customStyle="1">
    <w:name w:val="批注文字1"/>
    <w:basedOn w:val="714"/>
    <w:link w:val="864"/>
    <w:uiPriority w:val="0"/>
    <w:qFormat/>
    <w:pPr>
      <w:jc w:val="left"/>
    </w:pPr>
    <w:rPr>
      <w:sz w:val="20"/>
    </w:rPr>
  </w:style>
  <w:style w:type="character" w:styleId="864" w:customStyle="1">
    <w:name w:val="批注文字 Char"/>
    <w:link w:val="863"/>
    <w:uiPriority w:val="0"/>
    <w:qFormat/>
    <w:rPr>
      <w:rFonts w:ascii="Times New Roman" w:hAnsi="Times New Roman" w:eastAsia="宋体" w:cs="Times New Roman"/>
      <w:szCs w:val="21"/>
    </w:rPr>
  </w:style>
  <w:style w:type="paragraph" w:styleId="865" w:customStyle="1">
    <w:name w:val="正文文本 31"/>
    <w:basedOn w:val="714"/>
    <w:link w:val="866"/>
    <w:uiPriority w:val="0"/>
    <w:qFormat/>
    <w:rPr>
      <w:rFonts w:ascii="仿宋_GB2312" w:hAnsi="Arial" w:eastAsia="仿宋_GB2312"/>
      <w:sz w:val="32"/>
      <w:szCs w:val="32"/>
    </w:rPr>
  </w:style>
  <w:style w:type="character" w:styleId="866" w:customStyle="1">
    <w:name w:val="正文文本 3 Char"/>
    <w:link w:val="865"/>
    <w:uiPriority w:val="0"/>
    <w:qFormat/>
    <w:rPr>
      <w:rFonts w:ascii="仿宋_GB2312" w:hAnsi="Arial" w:eastAsia="仿宋_GB2312" w:cs="Times New Roman"/>
      <w:sz w:val="32"/>
      <w:szCs w:val="32"/>
    </w:rPr>
  </w:style>
  <w:style w:type="paragraph" w:styleId="867" w:customStyle="1">
    <w:name w:val="正文文本12"/>
    <w:basedOn w:val="714"/>
    <w:link w:val="868"/>
    <w:uiPriority w:val="0"/>
    <w:qFormat/>
    <w:rPr>
      <w:rFonts w:ascii="楷体_GB2312" w:hAnsi="Arial" w:eastAsia="楷体_GB2312"/>
      <w:sz w:val="28"/>
      <w:szCs w:val="28"/>
    </w:rPr>
  </w:style>
  <w:style w:type="character" w:styleId="868" w:customStyle="1">
    <w:name w:val="正文文本 Char"/>
    <w:link w:val="867"/>
    <w:uiPriority w:val="0"/>
    <w:qFormat/>
    <w:rPr>
      <w:rFonts w:ascii="楷体_GB2312" w:hAnsi="Arial" w:eastAsia="楷体_GB2312" w:cs="Times New Roman"/>
      <w:sz w:val="28"/>
      <w:szCs w:val="28"/>
    </w:rPr>
  </w:style>
  <w:style w:type="paragraph" w:styleId="869" w:customStyle="1">
    <w:name w:val="列表 21"/>
    <w:basedOn w:val="714"/>
    <w:uiPriority w:val="0"/>
    <w:qFormat/>
    <w:pPr>
      <w:ind w:left="100" w:hanging="200"/>
    </w:pPr>
  </w:style>
  <w:style w:type="paragraph" w:styleId="870" w:customStyle="1">
    <w:name w:val="目录 51"/>
    <w:basedOn w:val="714"/>
    <w:next w:val="714"/>
    <w:uiPriority w:val="0"/>
    <w:semiHidden/>
    <w:qFormat/>
    <w:pPr>
      <w:ind w:left="840"/>
      <w:jc w:val="left"/>
    </w:pPr>
  </w:style>
  <w:style w:type="paragraph" w:styleId="871" w:customStyle="1">
    <w:name w:val="目录 31"/>
    <w:basedOn w:val="714"/>
    <w:next w:val="714"/>
    <w:uiPriority w:val="0"/>
    <w:semiHidden/>
    <w:qFormat/>
    <w:pPr>
      <w:ind w:left="420"/>
      <w:jc w:val="left"/>
    </w:pPr>
    <w:rPr>
      <w:i/>
      <w:iCs/>
      <w:szCs w:val="24"/>
    </w:rPr>
  </w:style>
  <w:style w:type="paragraph" w:styleId="872" w:customStyle="1">
    <w:name w:val="纯文本11"/>
    <w:basedOn w:val="714"/>
    <w:link w:val="873"/>
    <w:uiPriority w:val="0"/>
    <w:qFormat/>
    <w:rPr>
      <w:rFonts w:ascii="宋体" w:hAnsi="Courier New"/>
      <w:sz w:val="20"/>
    </w:rPr>
  </w:style>
  <w:style w:type="character" w:styleId="873" w:customStyle="1">
    <w:name w:val="纯文本 Char"/>
    <w:link w:val="872"/>
    <w:uiPriority w:val="0"/>
    <w:qFormat/>
    <w:rPr>
      <w:rFonts w:ascii="宋体" w:hAnsi="Courier New" w:eastAsia="宋体" w:cs="Courier New"/>
      <w:szCs w:val="21"/>
    </w:rPr>
  </w:style>
  <w:style w:type="paragraph" w:styleId="874" w:customStyle="1">
    <w:name w:val="目录 81"/>
    <w:basedOn w:val="714"/>
    <w:next w:val="714"/>
    <w:uiPriority w:val="0"/>
    <w:semiHidden/>
    <w:qFormat/>
    <w:pPr>
      <w:ind w:left="1470"/>
      <w:jc w:val="left"/>
    </w:pPr>
  </w:style>
  <w:style w:type="paragraph" w:styleId="875" w:customStyle="1">
    <w:name w:val="日期1"/>
    <w:basedOn w:val="714"/>
    <w:next w:val="714"/>
    <w:link w:val="876"/>
    <w:uiPriority w:val="0"/>
    <w:qFormat/>
    <w:rPr>
      <w:sz w:val="24"/>
      <w:szCs w:val="24"/>
    </w:rPr>
  </w:style>
  <w:style w:type="character" w:styleId="876" w:customStyle="1">
    <w:name w:val="日期 Char"/>
    <w:link w:val="875"/>
    <w:uiPriority w:val="0"/>
    <w:qFormat/>
    <w:rPr>
      <w:rFonts w:ascii="Times New Roman" w:hAnsi="Times New Roman" w:eastAsia="宋体" w:cs="Times New Roman"/>
      <w:sz w:val="24"/>
      <w:szCs w:val="24"/>
    </w:rPr>
  </w:style>
  <w:style w:type="paragraph" w:styleId="877" w:customStyle="1">
    <w:name w:val="正文文本缩进 21"/>
    <w:basedOn w:val="714"/>
    <w:link w:val="878"/>
    <w:uiPriority w:val="0"/>
    <w:qFormat/>
    <w:pPr>
      <w:ind w:left="630" w:firstLine="645"/>
    </w:pPr>
    <w:rPr>
      <w:rFonts w:ascii="Arial" w:hAnsi="Arial" w:eastAsia="仿宋_GB2312"/>
      <w:sz w:val="32"/>
      <w:szCs w:val="32"/>
    </w:rPr>
  </w:style>
  <w:style w:type="character" w:styleId="878" w:customStyle="1">
    <w:name w:val="正文文本缩进 2 Char"/>
    <w:link w:val="877"/>
    <w:uiPriority w:val="0"/>
    <w:qFormat/>
    <w:rPr>
      <w:rFonts w:ascii="Arial" w:hAnsi="Arial" w:eastAsia="仿宋_GB2312" w:cs="Arial"/>
      <w:sz w:val="32"/>
      <w:szCs w:val="32"/>
    </w:rPr>
  </w:style>
  <w:style w:type="paragraph" w:styleId="879" w:customStyle="1">
    <w:name w:val="尾注文本1"/>
    <w:basedOn w:val="714"/>
    <w:link w:val="880"/>
    <w:uiPriority w:val="99"/>
    <w:unhideWhenUsed/>
    <w:qFormat/>
    <w:rPr>
      <w:sz w:val="20"/>
      <w:szCs w:val="20"/>
    </w:rPr>
  </w:style>
  <w:style w:type="character" w:styleId="880" w:customStyle="1">
    <w:name w:val="尾注文本 Char"/>
    <w:link w:val="879"/>
    <w:uiPriority w:val="99"/>
    <w:qFormat/>
    <w:rPr>
      <w:sz w:val="20"/>
    </w:rPr>
  </w:style>
  <w:style w:type="paragraph" w:styleId="881" w:customStyle="1">
    <w:name w:val="批注框文本1"/>
    <w:basedOn w:val="714"/>
    <w:link w:val="882"/>
    <w:uiPriority w:val="0"/>
    <w:semiHidden/>
    <w:qFormat/>
    <w:rPr>
      <w:sz w:val="18"/>
      <w:szCs w:val="18"/>
    </w:rPr>
  </w:style>
  <w:style w:type="character" w:styleId="882" w:customStyle="1">
    <w:name w:val="批注框文本 Char"/>
    <w:link w:val="881"/>
    <w:uiPriority w:val="0"/>
    <w:semiHidden/>
    <w:qFormat/>
    <w:rPr>
      <w:rFonts w:ascii="Times New Roman" w:hAnsi="Times New Roman" w:eastAsia="宋体" w:cs="Times New Roman"/>
      <w:sz w:val="18"/>
      <w:szCs w:val="18"/>
    </w:rPr>
  </w:style>
  <w:style w:type="paragraph" w:styleId="883" w:customStyle="1">
    <w:name w:val="页脚1"/>
    <w:basedOn w:val="714"/>
    <w:link w:val="884"/>
    <w:uiPriority w:val="0"/>
    <w:qFormat/>
    <w:pPr>
      <w:jc w:val="left"/>
      <w:tabs>
        <w:tab w:val="center" w:pos="4153" w:leader="none"/>
        <w:tab w:val="right" w:pos="8306" w:leader="none"/>
      </w:tabs>
    </w:pPr>
    <w:rPr>
      <w:sz w:val="18"/>
      <w:szCs w:val="18"/>
    </w:rPr>
  </w:style>
  <w:style w:type="character" w:styleId="884" w:customStyle="1">
    <w:name w:val="页脚 Char"/>
    <w:link w:val="883"/>
    <w:uiPriority w:val="0"/>
    <w:qFormat/>
    <w:rPr>
      <w:rFonts w:ascii="Times New Roman" w:hAnsi="Times New Roman" w:eastAsia="宋体" w:cs="Times New Roman"/>
      <w:sz w:val="18"/>
      <w:szCs w:val="18"/>
    </w:rPr>
  </w:style>
  <w:style w:type="paragraph" w:styleId="885" w:customStyle="1">
    <w:name w:val="页眉11"/>
    <w:basedOn w:val="714"/>
    <w:link w:val="886"/>
    <w:uiPriority w:val="99"/>
    <w:qFormat/>
    <w:pPr>
      <w:jc w:val="center"/>
      <w:tabs>
        <w:tab w:val="center" w:pos="4153" w:leader="none"/>
        <w:tab w:val="right" w:pos="8306" w:leader="none"/>
      </w:tabs>
      <w:pBdr>
        <w:bottom w:val="single" w:color="000000" w:sz="6" w:space="1"/>
      </w:pBdr>
    </w:pPr>
    <w:rPr>
      <w:sz w:val="18"/>
      <w:szCs w:val="18"/>
    </w:rPr>
  </w:style>
  <w:style w:type="character" w:styleId="886" w:customStyle="1">
    <w:name w:val="页眉 Char"/>
    <w:link w:val="885"/>
    <w:uiPriority w:val="99"/>
    <w:qFormat/>
    <w:rPr>
      <w:rFonts w:ascii="Times New Roman" w:hAnsi="Times New Roman" w:eastAsia="宋体" w:cs="Times New Roman"/>
      <w:sz w:val="18"/>
      <w:szCs w:val="18"/>
    </w:rPr>
  </w:style>
  <w:style w:type="paragraph" w:styleId="887" w:customStyle="1">
    <w:name w:val="目录 11"/>
    <w:basedOn w:val="714"/>
    <w:next w:val="714"/>
    <w:uiPriority w:val="0"/>
    <w:semiHidden/>
    <w:qFormat/>
    <w:pPr>
      <w:jc w:val="left"/>
      <w:spacing w:before="120" w:after="120" w:line="400" w:lineRule="exact"/>
      <w:tabs>
        <w:tab w:val="right" w:pos="8720" w:leader="dot"/>
      </w:tabs>
    </w:pPr>
    <w:rPr>
      <w:rFonts w:ascii="宋体" w:hAnsi="宋体"/>
      <w:caps/>
      <w:sz w:val="24"/>
      <w:szCs w:val="24"/>
    </w:rPr>
  </w:style>
  <w:style w:type="paragraph" w:styleId="888" w:customStyle="1">
    <w:name w:val="目录 41"/>
    <w:basedOn w:val="714"/>
    <w:next w:val="714"/>
    <w:uiPriority w:val="0"/>
    <w:semiHidden/>
    <w:qFormat/>
    <w:pPr>
      <w:ind w:left="630"/>
      <w:jc w:val="left"/>
    </w:pPr>
  </w:style>
  <w:style w:type="paragraph" w:styleId="889" w:customStyle="1">
    <w:name w:val="副标题1"/>
    <w:basedOn w:val="714"/>
    <w:next w:val="714"/>
    <w:link w:val="890"/>
    <w:uiPriority w:val="11"/>
    <w:qFormat/>
    <w:pPr>
      <w:spacing w:before="200" w:after="200"/>
    </w:pPr>
    <w:rPr>
      <w:sz w:val="24"/>
      <w:szCs w:val="24"/>
    </w:rPr>
  </w:style>
  <w:style w:type="character" w:styleId="890" w:customStyle="1">
    <w:name w:val="副标题 Char"/>
    <w:link w:val="889"/>
    <w:uiPriority w:val="11"/>
    <w:qFormat/>
    <w:rPr>
      <w:sz w:val="24"/>
      <w:szCs w:val="24"/>
    </w:rPr>
  </w:style>
  <w:style w:type="paragraph" w:styleId="891" w:customStyle="1">
    <w:name w:val="列表11"/>
    <w:basedOn w:val="714"/>
    <w:uiPriority w:val="0"/>
    <w:qFormat/>
    <w:pPr>
      <w:ind w:left="200" w:hanging="200"/>
    </w:pPr>
  </w:style>
  <w:style w:type="paragraph" w:styleId="892" w:customStyle="1">
    <w:name w:val="脚注文本1"/>
    <w:basedOn w:val="714"/>
    <w:link w:val="893"/>
    <w:uiPriority w:val="99"/>
    <w:unhideWhenUsed/>
    <w:qFormat/>
    <w:pPr>
      <w:spacing w:after="40"/>
    </w:pPr>
    <w:rPr>
      <w:sz w:val="18"/>
      <w:szCs w:val="20"/>
    </w:rPr>
  </w:style>
  <w:style w:type="character" w:styleId="893" w:customStyle="1">
    <w:name w:val="脚注文本 Char"/>
    <w:link w:val="892"/>
    <w:uiPriority w:val="99"/>
    <w:qFormat/>
    <w:rPr>
      <w:sz w:val="18"/>
    </w:rPr>
  </w:style>
  <w:style w:type="paragraph" w:styleId="894" w:customStyle="1">
    <w:name w:val="目录 61"/>
    <w:basedOn w:val="714"/>
    <w:next w:val="714"/>
    <w:uiPriority w:val="0"/>
    <w:semiHidden/>
    <w:qFormat/>
    <w:pPr>
      <w:ind w:left="1050"/>
      <w:jc w:val="left"/>
    </w:pPr>
  </w:style>
  <w:style w:type="paragraph" w:styleId="895" w:customStyle="1">
    <w:name w:val="正文文本缩进 31"/>
    <w:basedOn w:val="714"/>
    <w:link w:val="896"/>
    <w:uiPriority w:val="0"/>
    <w:qFormat/>
    <w:pPr>
      <w:ind w:left="645" w:firstLine="645"/>
    </w:pPr>
    <w:rPr>
      <w:rFonts w:ascii="Arial" w:hAnsi="Arial" w:eastAsia="仿宋_GB2312"/>
      <w:color w:val="ffff00"/>
      <w:sz w:val="32"/>
      <w:szCs w:val="32"/>
    </w:rPr>
  </w:style>
  <w:style w:type="character" w:styleId="896" w:customStyle="1">
    <w:name w:val="正文文本缩进 3 Char"/>
    <w:link w:val="895"/>
    <w:uiPriority w:val="0"/>
    <w:qFormat/>
    <w:rPr>
      <w:rFonts w:ascii="Arial" w:hAnsi="Arial" w:eastAsia="仿宋_GB2312" w:cs="Arial"/>
      <w:color w:val="ffff00"/>
      <w:sz w:val="32"/>
      <w:szCs w:val="32"/>
    </w:rPr>
  </w:style>
  <w:style w:type="paragraph" w:styleId="897" w:customStyle="1">
    <w:name w:val="图表目录1"/>
    <w:basedOn w:val="714"/>
    <w:next w:val="714"/>
    <w:uiPriority w:val="0"/>
    <w:semiHidden/>
    <w:qFormat/>
    <w:pPr>
      <w:ind w:left="840" w:hanging="420"/>
    </w:pPr>
  </w:style>
  <w:style w:type="paragraph" w:styleId="898" w:customStyle="1">
    <w:name w:val="目录 21"/>
    <w:basedOn w:val="714"/>
    <w:next w:val="714"/>
    <w:uiPriority w:val="0"/>
    <w:semiHidden/>
    <w:qFormat/>
    <w:pPr>
      <w:ind w:left="210"/>
      <w:jc w:val="left"/>
    </w:pPr>
    <w:rPr>
      <w:smallCaps/>
      <w:szCs w:val="24"/>
    </w:rPr>
  </w:style>
  <w:style w:type="paragraph" w:styleId="899" w:customStyle="1">
    <w:name w:val="目录 91"/>
    <w:basedOn w:val="714"/>
    <w:next w:val="714"/>
    <w:uiPriority w:val="0"/>
    <w:semiHidden/>
    <w:qFormat/>
    <w:pPr>
      <w:ind w:left="1680"/>
      <w:jc w:val="left"/>
    </w:pPr>
  </w:style>
  <w:style w:type="paragraph" w:styleId="900" w:customStyle="1">
    <w:name w:val="正文文本 21"/>
    <w:basedOn w:val="714"/>
    <w:link w:val="901"/>
    <w:uiPriority w:val="0"/>
    <w:qFormat/>
    <w:pPr>
      <w:jc w:val="center"/>
      <w:widowControl/>
    </w:pPr>
    <w:rPr>
      <w:rFonts w:ascii="楷体_GB2312" w:eastAsia="楷体_GB2312"/>
      <w:sz w:val="28"/>
      <w:szCs w:val="28"/>
    </w:rPr>
  </w:style>
  <w:style w:type="character" w:styleId="901" w:customStyle="1">
    <w:name w:val="正文文本 2 Char"/>
    <w:link w:val="900"/>
    <w:uiPriority w:val="0"/>
    <w:qFormat/>
    <w:rPr>
      <w:rFonts w:ascii="楷体_GB2312" w:hAnsi="Times New Roman" w:eastAsia="楷体_GB2312" w:cs="Times New Roman"/>
      <w:sz w:val="28"/>
      <w:szCs w:val="28"/>
    </w:rPr>
  </w:style>
  <w:style w:type="paragraph" w:styleId="902" w:customStyle="1">
    <w:name w:val="普通(网站)1"/>
    <w:basedOn w:val="714"/>
    <w:uiPriority w:val="0"/>
    <w:qFormat/>
    <w:pPr>
      <w:jc w:val="left"/>
      <w:spacing w:before="100" w:beforeAutospacing="1" w:after="100" w:afterAutospacing="1"/>
      <w:widowControl/>
    </w:pPr>
    <w:rPr>
      <w:rFonts w:ascii="宋体" w:hAnsi="宋体" w:cs="宋体"/>
      <w:sz w:val="24"/>
      <w:szCs w:val="24"/>
    </w:rPr>
  </w:style>
  <w:style w:type="paragraph" w:styleId="903" w:customStyle="1">
    <w:name w:val="索引 11"/>
    <w:basedOn w:val="714"/>
    <w:next w:val="714"/>
    <w:uiPriority w:val="0"/>
    <w:semiHidden/>
    <w:qFormat/>
    <w:pPr>
      <w:spacing w:line="240" w:lineRule="atLeast"/>
    </w:pPr>
    <w:rPr>
      <w:b/>
      <w:bCs/>
    </w:rPr>
  </w:style>
  <w:style w:type="paragraph" w:styleId="904" w:customStyle="1">
    <w:name w:val="标题11"/>
    <w:basedOn w:val="714"/>
    <w:next w:val="714"/>
    <w:link w:val="905"/>
    <w:uiPriority w:val="10"/>
    <w:qFormat/>
    <w:pPr>
      <w:contextualSpacing/>
      <w:spacing w:before="300" w:after="200"/>
    </w:pPr>
    <w:rPr>
      <w:sz w:val="48"/>
      <w:szCs w:val="48"/>
    </w:rPr>
  </w:style>
  <w:style w:type="character" w:styleId="905" w:customStyle="1">
    <w:name w:val="标题 Char"/>
    <w:link w:val="904"/>
    <w:uiPriority w:val="10"/>
    <w:qFormat/>
    <w:rPr>
      <w:sz w:val="48"/>
      <w:szCs w:val="48"/>
    </w:rPr>
  </w:style>
  <w:style w:type="paragraph" w:styleId="906" w:customStyle="1">
    <w:name w:val="批注主题1"/>
    <w:basedOn w:val="863"/>
    <w:next w:val="863"/>
    <w:link w:val="907"/>
    <w:uiPriority w:val="0"/>
    <w:semiHidden/>
    <w:qFormat/>
    <w:rPr>
      <w:b/>
      <w:bCs/>
    </w:rPr>
  </w:style>
  <w:style w:type="character" w:styleId="907" w:customStyle="1">
    <w:name w:val="批注主题 Char"/>
    <w:link w:val="906"/>
    <w:uiPriority w:val="0"/>
    <w:semiHidden/>
    <w:qFormat/>
    <w:rPr>
      <w:rFonts w:ascii="Times New Roman" w:hAnsi="Times New Roman" w:eastAsia="宋体" w:cs="Times New Roman"/>
      <w:b/>
      <w:bCs/>
      <w:szCs w:val="21"/>
    </w:rPr>
  </w:style>
  <w:style w:type="paragraph" w:styleId="908" w:customStyle="1">
    <w:name w:val="正文首行缩进1"/>
    <w:basedOn w:val="714"/>
    <w:link w:val="909"/>
    <w:uiPriority w:val="0"/>
    <w:qFormat/>
    <w:pPr>
      <w:ind w:firstLine="200"/>
      <w:spacing w:line="360" w:lineRule="auto"/>
    </w:pPr>
    <w:rPr>
      <w:rFonts w:ascii="仿宋_GB2312" w:eastAsia="仿宋_GB2312"/>
      <w:sz w:val="30"/>
      <w:szCs w:val="30"/>
    </w:rPr>
  </w:style>
  <w:style w:type="character" w:styleId="909" w:customStyle="1">
    <w:name w:val="正文首行缩进 Char"/>
    <w:link w:val="908"/>
    <w:uiPriority w:val="0"/>
    <w:qFormat/>
    <w:rPr>
      <w:rFonts w:ascii="仿宋_GB2312" w:hAnsi="Times New Roman" w:eastAsia="仿宋_GB2312" w:cs="Times New Roman"/>
      <w:sz w:val="30"/>
      <w:szCs w:val="30"/>
    </w:rPr>
  </w:style>
  <w:style w:type="table" w:styleId="910" w:customStyle="1">
    <w:name w:val="网格型1"/>
    <w:basedOn w:val="858"/>
    <w:uiPriority w:val="0"/>
    <w:qFormat/>
    <w:pPr>
      <w:jc w:val="both"/>
      <w:widowControl w:val="off"/>
    </w:pPr>
    <w:tblPr/>
  </w:style>
  <w:style w:type="character" w:styleId="911" w:customStyle="1">
    <w:name w:val="要点1"/>
    <w:link w:val="714"/>
    <w:uiPriority w:val="0"/>
    <w:qFormat/>
    <w:rPr>
      <w:b/>
      <w:bCs/>
    </w:rPr>
  </w:style>
  <w:style w:type="character" w:styleId="912" w:customStyle="1">
    <w:name w:val="尾注引用1"/>
    <w:link w:val="714"/>
    <w:uiPriority w:val="99"/>
    <w:unhideWhenUsed/>
    <w:qFormat/>
    <w:rPr>
      <w:vertAlign w:val="superscript"/>
    </w:rPr>
  </w:style>
  <w:style w:type="character" w:styleId="913" w:customStyle="1">
    <w:name w:val="页码1"/>
    <w:link w:val="714"/>
    <w:uiPriority w:val="0"/>
    <w:qFormat/>
  </w:style>
  <w:style w:type="character" w:styleId="914" w:customStyle="1">
    <w:name w:val="已访问的超链接1"/>
    <w:link w:val="714"/>
    <w:uiPriority w:val="0"/>
    <w:qFormat/>
    <w:rPr>
      <w:color w:val="800080"/>
      <w:u w:val="single"/>
    </w:rPr>
  </w:style>
  <w:style w:type="character" w:styleId="915" w:customStyle="1">
    <w:name w:val="HTML 打字机1"/>
    <w:link w:val="714"/>
    <w:uiPriority w:val="99"/>
    <w:qFormat/>
    <w:rPr>
      <w:rFonts w:ascii="宋体" w:hAnsi="宋体" w:eastAsia="宋体" w:cs="宋体"/>
      <w:sz w:val="24"/>
      <w:szCs w:val="24"/>
    </w:rPr>
  </w:style>
  <w:style w:type="character" w:styleId="916" w:customStyle="1">
    <w:name w:val="超链接1"/>
    <w:link w:val="714"/>
    <w:uiPriority w:val="0"/>
    <w:qFormat/>
    <w:rPr>
      <w:color w:val="0000ff"/>
      <w:u w:val="single"/>
    </w:rPr>
  </w:style>
  <w:style w:type="character" w:styleId="917" w:customStyle="1">
    <w:name w:val="批注引用1"/>
    <w:link w:val="714"/>
    <w:uiPriority w:val="0"/>
    <w:qFormat/>
    <w:rPr>
      <w:sz w:val="21"/>
      <w:szCs w:val="21"/>
    </w:rPr>
  </w:style>
  <w:style w:type="character" w:styleId="918" w:customStyle="1">
    <w:name w:val="脚注引用1"/>
    <w:link w:val="714"/>
    <w:uiPriority w:val="99"/>
    <w:unhideWhenUsed/>
    <w:qFormat/>
    <w:rPr>
      <w:vertAlign w:val="superscript"/>
    </w:rPr>
  </w:style>
  <w:style w:type="paragraph" w:styleId="919" w:customStyle="1">
    <w:name w:val="列出段落1"/>
    <w:basedOn w:val="714"/>
    <w:uiPriority w:val="34"/>
    <w:qFormat/>
    <w:pPr>
      <w:contextualSpacing/>
      <w:ind w:left="720"/>
      <w:jc w:val="left"/>
      <w:widowControl/>
    </w:pPr>
    <w:rPr>
      <w:rFonts w:ascii="Calibri" w:hAnsi="Calibri"/>
      <w:sz w:val="24"/>
      <w:szCs w:val="24"/>
      <w:lang w:eastAsia="en-US" w:bidi="en-US"/>
    </w:rPr>
  </w:style>
  <w:style w:type="paragraph" w:styleId="920"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21" w:customStyle="1">
    <w:name w:val="引用1"/>
    <w:basedOn w:val="714"/>
    <w:next w:val="714"/>
    <w:link w:val="922"/>
    <w:uiPriority w:val="29"/>
    <w:qFormat/>
    <w:pPr>
      <w:ind w:left="720" w:right="720"/>
    </w:pPr>
    <w:rPr>
      <w:i/>
      <w:sz w:val="20"/>
      <w:szCs w:val="20"/>
    </w:rPr>
  </w:style>
  <w:style w:type="character" w:styleId="922" w:customStyle="1">
    <w:name w:val="引用 Char"/>
    <w:link w:val="921"/>
    <w:uiPriority w:val="29"/>
    <w:qFormat/>
    <w:rPr>
      <w:i/>
    </w:rPr>
  </w:style>
  <w:style w:type="paragraph" w:styleId="923" w:customStyle="1">
    <w:name w:val="明显引用1"/>
    <w:basedOn w:val="714"/>
    <w:next w:val="714"/>
    <w:link w:val="9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24" w:customStyle="1">
    <w:name w:val="明显引用 Char"/>
    <w:link w:val="923"/>
    <w:uiPriority w:val="30"/>
    <w:qFormat/>
    <w:rPr>
      <w:i/>
    </w:rPr>
  </w:style>
  <w:style w:type="paragraph" w:styleId="925" w:customStyle="1">
    <w:name w:val="Header11"/>
    <w:basedOn w:val="714"/>
    <w:link w:val="926"/>
    <w:uiPriority w:val="99"/>
    <w:unhideWhenUsed/>
    <w:qFormat/>
    <w:pPr>
      <w:tabs>
        <w:tab w:val="center" w:pos="7143" w:leader="none"/>
        <w:tab w:val="right" w:pos="14287" w:leader="none"/>
      </w:tabs>
    </w:pPr>
  </w:style>
  <w:style w:type="character" w:styleId="926" w:customStyle="1">
    <w:name w:val="Header Char"/>
    <w:link w:val="925"/>
    <w:uiPriority w:val="99"/>
    <w:qFormat/>
  </w:style>
  <w:style w:type="paragraph" w:styleId="927" w:customStyle="1">
    <w:name w:val="Footer11"/>
    <w:basedOn w:val="714"/>
    <w:link w:val="928"/>
    <w:uiPriority w:val="99"/>
    <w:unhideWhenUsed/>
    <w:qFormat/>
    <w:pPr>
      <w:tabs>
        <w:tab w:val="center" w:pos="7143" w:leader="none"/>
        <w:tab w:val="right" w:pos="14287" w:leader="none"/>
      </w:tabs>
    </w:pPr>
  </w:style>
  <w:style w:type="character" w:styleId="928" w:customStyle="1">
    <w:name w:val="Caption Char"/>
    <w:link w:val="927"/>
    <w:uiPriority w:val="99"/>
    <w:qFormat/>
  </w:style>
  <w:style w:type="character" w:styleId="929" w:customStyle="1">
    <w:name w:val="Footer Char"/>
    <w:link w:val="714"/>
    <w:uiPriority w:val="99"/>
    <w:qFormat/>
  </w:style>
  <w:style w:type="paragraph" w:styleId="930" w:customStyle="1">
    <w:name w:val="Caption11"/>
    <w:basedOn w:val="714"/>
    <w:next w:val="714"/>
    <w:uiPriority w:val="35"/>
    <w:unhideWhenUsed/>
    <w:qFormat/>
    <w:pPr>
      <w:spacing w:line="276" w:lineRule="auto"/>
    </w:pPr>
    <w:rPr>
      <w:b/>
      <w:bCs/>
      <w:color w:val="4f81bd"/>
      <w:sz w:val="18"/>
      <w:szCs w:val="18"/>
    </w:rPr>
  </w:style>
  <w:style w:type="table" w:styleId="931" w:customStyle="1">
    <w:name w:val="Table Grid Light"/>
    <w:uiPriority w:val="59"/>
    <w:qFormat/>
    <w:rPr>
      <w:lang w:val="en-US" w:eastAsia="zh-CN" w:bidi="ar-SA"/>
    </w:rPr>
    <w:tblPr/>
  </w:style>
  <w:style w:type="table" w:styleId="932" w:customStyle="1">
    <w:name w:val="Plain Table 1"/>
    <w:uiPriority w:val="59"/>
    <w:qFormat/>
    <w:rPr>
      <w:lang w:val="en-US" w:eastAsia="zh-CN" w:bidi="ar-SA"/>
    </w:rPr>
    <w:tblPr/>
  </w:style>
  <w:style w:type="table" w:styleId="933" w:customStyle="1">
    <w:name w:val="Plain Table 2"/>
    <w:uiPriority w:val="59"/>
    <w:qFormat/>
    <w:rPr>
      <w:lang w:val="en-US" w:eastAsia="zh-CN" w:bidi="ar-SA"/>
    </w:rPr>
    <w:tblPr/>
  </w:style>
  <w:style w:type="table" w:styleId="934" w:customStyle="1">
    <w:name w:val="Plain Table 3"/>
    <w:uiPriority w:val="99"/>
    <w:qFormat/>
    <w:rPr>
      <w:lang w:val="en-US" w:eastAsia="zh-CN" w:bidi="ar-SA"/>
    </w:rPr>
    <w:tblPr/>
  </w:style>
  <w:style w:type="table" w:styleId="935" w:customStyle="1">
    <w:name w:val="Plain Table 4"/>
    <w:uiPriority w:val="99"/>
    <w:qFormat/>
    <w:rPr>
      <w:lang w:val="en-US" w:eastAsia="zh-CN" w:bidi="ar-SA"/>
    </w:rPr>
    <w:tblPr/>
  </w:style>
  <w:style w:type="table" w:styleId="936" w:customStyle="1">
    <w:name w:val="Plain Table 5"/>
    <w:uiPriority w:val="99"/>
    <w:qFormat/>
    <w:rPr>
      <w:lang w:val="en-US" w:eastAsia="zh-CN" w:bidi="ar-SA"/>
    </w:rPr>
    <w:tblPr/>
  </w:style>
  <w:style w:type="table" w:styleId="937" w:customStyle="1">
    <w:name w:val="Grid Table 1 Light"/>
    <w:uiPriority w:val="99"/>
    <w:qFormat/>
    <w:rPr>
      <w:lang w:val="en-US" w:eastAsia="zh-CN" w:bidi="ar-SA"/>
    </w:rPr>
    <w:tblPr/>
  </w:style>
  <w:style w:type="table" w:styleId="938" w:customStyle="1">
    <w:name w:val="Grid Table 1 Light - Accent 1"/>
    <w:uiPriority w:val="99"/>
    <w:qFormat/>
    <w:rPr>
      <w:lang w:val="en-US" w:eastAsia="zh-CN" w:bidi="ar-SA"/>
    </w:rPr>
    <w:tblPr/>
  </w:style>
  <w:style w:type="table" w:styleId="939" w:customStyle="1">
    <w:name w:val="Grid Table 1 Light - Accent 2"/>
    <w:uiPriority w:val="99"/>
    <w:qFormat/>
    <w:rPr>
      <w:lang w:val="en-US" w:eastAsia="zh-CN" w:bidi="ar-SA"/>
    </w:rPr>
    <w:tblPr/>
  </w:style>
  <w:style w:type="table" w:styleId="940" w:customStyle="1">
    <w:name w:val="Grid Table 1 Light - Accent 3"/>
    <w:uiPriority w:val="99"/>
    <w:qFormat/>
    <w:rPr>
      <w:lang w:val="en-US" w:eastAsia="zh-CN" w:bidi="ar-SA"/>
    </w:rPr>
    <w:tblPr/>
  </w:style>
  <w:style w:type="table" w:styleId="941" w:customStyle="1">
    <w:name w:val="Grid Table 1 Light - Accent 4"/>
    <w:uiPriority w:val="99"/>
    <w:qFormat/>
    <w:rPr>
      <w:lang w:val="en-US" w:eastAsia="zh-CN" w:bidi="ar-SA"/>
    </w:rPr>
    <w:tblPr/>
  </w:style>
  <w:style w:type="table" w:styleId="942" w:customStyle="1">
    <w:name w:val="Grid Table 1 Light - Accent 5"/>
    <w:uiPriority w:val="99"/>
    <w:qFormat/>
    <w:rPr>
      <w:lang w:val="en-US" w:eastAsia="zh-CN" w:bidi="ar-SA"/>
    </w:rPr>
    <w:tblPr/>
  </w:style>
  <w:style w:type="table" w:styleId="943" w:customStyle="1">
    <w:name w:val="Grid Table 1 Light - Accent 6"/>
    <w:uiPriority w:val="99"/>
    <w:qFormat/>
    <w:rPr>
      <w:lang w:val="en-US" w:eastAsia="zh-CN" w:bidi="ar-SA"/>
    </w:rPr>
    <w:tblPr/>
  </w:style>
  <w:style w:type="table" w:styleId="944" w:customStyle="1">
    <w:name w:val="Grid Table 2"/>
    <w:uiPriority w:val="99"/>
    <w:qFormat/>
    <w:rPr>
      <w:lang w:val="en-US" w:eastAsia="zh-CN" w:bidi="ar-SA"/>
    </w:rPr>
    <w:tblPr/>
  </w:style>
  <w:style w:type="table" w:styleId="945" w:customStyle="1">
    <w:name w:val="Grid Table 2 - Accent 1"/>
    <w:uiPriority w:val="99"/>
    <w:qFormat/>
    <w:rPr>
      <w:lang w:val="en-US" w:eastAsia="zh-CN" w:bidi="ar-SA"/>
    </w:rPr>
    <w:tblPr/>
  </w:style>
  <w:style w:type="table" w:styleId="946" w:customStyle="1">
    <w:name w:val="Grid Table 2 - Accent 2"/>
    <w:uiPriority w:val="99"/>
    <w:qFormat/>
    <w:rPr>
      <w:lang w:val="en-US" w:eastAsia="zh-CN" w:bidi="ar-SA"/>
    </w:rPr>
    <w:tblPr/>
  </w:style>
  <w:style w:type="table" w:styleId="947" w:customStyle="1">
    <w:name w:val="Grid Table 2 - Accent 3"/>
    <w:uiPriority w:val="99"/>
    <w:qFormat/>
    <w:rPr>
      <w:lang w:val="en-US" w:eastAsia="zh-CN" w:bidi="ar-SA"/>
    </w:rPr>
    <w:tblPr/>
  </w:style>
  <w:style w:type="table" w:styleId="948" w:customStyle="1">
    <w:name w:val="Grid Table 2 - Accent 4"/>
    <w:uiPriority w:val="99"/>
    <w:qFormat/>
    <w:rPr>
      <w:lang w:val="en-US" w:eastAsia="zh-CN" w:bidi="ar-SA"/>
    </w:rPr>
    <w:tblPr/>
  </w:style>
  <w:style w:type="table" w:styleId="949" w:customStyle="1">
    <w:name w:val="Grid Table 2 - Accent 5"/>
    <w:uiPriority w:val="99"/>
    <w:qFormat/>
    <w:rPr>
      <w:lang w:val="en-US" w:eastAsia="zh-CN" w:bidi="ar-SA"/>
    </w:rPr>
    <w:tblPr/>
  </w:style>
  <w:style w:type="table" w:styleId="950" w:customStyle="1">
    <w:name w:val="Grid Table 2 - Accent 6"/>
    <w:uiPriority w:val="99"/>
    <w:qFormat/>
    <w:rPr>
      <w:lang w:val="en-US" w:eastAsia="zh-CN" w:bidi="ar-SA"/>
    </w:rPr>
    <w:tblPr/>
  </w:style>
  <w:style w:type="table" w:styleId="951" w:customStyle="1">
    <w:name w:val="Grid Table 3"/>
    <w:uiPriority w:val="99"/>
    <w:qFormat/>
    <w:rPr>
      <w:lang w:val="en-US" w:eastAsia="zh-CN" w:bidi="ar-SA"/>
    </w:rPr>
    <w:tblPr/>
  </w:style>
  <w:style w:type="table" w:styleId="952" w:customStyle="1">
    <w:name w:val="Grid Table 3 - Accent 1"/>
    <w:uiPriority w:val="99"/>
    <w:qFormat/>
    <w:rPr>
      <w:lang w:val="en-US" w:eastAsia="zh-CN" w:bidi="ar-SA"/>
    </w:rPr>
    <w:tblPr/>
  </w:style>
  <w:style w:type="table" w:styleId="953" w:customStyle="1">
    <w:name w:val="Grid Table 3 - Accent 2"/>
    <w:uiPriority w:val="99"/>
    <w:qFormat/>
    <w:rPr>
      <w:lang w:val="en-US" w:eastAsia="zh-CN" w:bidi="ar-SA"/>
    </w:rPr>
    <w:tblPr/>
  </w:style>
  <w:style w:type="table" w:styleId="954" w:customStyle="1">
    <w:name w:val="Grid Table 3 - Accent 3"/>
    <w:uiPriority w:val="99"/>
    <w:qFormat/>
    <w:rPr>
      <w:lang w:val="en-US" w:eastAsia="zh-CN" w:bidi="ar-SA"/>
    </w:rPr>
    <w:tblPr/>
  </w:style>
  <w:style w:type="table" w:styleId="955" w:customStyle="1">
    <w:name w:val="Grid Table 3 - Accent 4"/>
    <w:uiPriority w:val="99"/>
    <w:qFormat/>
    <w:rPr>
      <w:lang w:val="en-US" w:eastAsia="zh-CN" w:bidi="ar-SA"/>
    </w:rPr>
    <w:tblPr/>
  </w:style>
  <w:style w:type="table" w:styleId="956" w:customStyle="1">
    <w:name w:val="Grid Table 3 - Accent 5"/>
    <w:uiPriority w:val="99"/>
    <w:qFormat/>
    <w:rPr>
      <w:lang w:val="en-US" w:eastAsia="zh-CN" w:bidi="ar-SA"/>
    </w:rPr>
    <w:tblPr/>
  </w:style>
  <w:style w:type="table" w:styleId="957" w:customStyle="1">
    <w:name w:val="Grid Table 3 - Accent 6"/>
    <w:uiPriority w:val="99"/>
    <w:qFormat/>
    <w:rPr>
      <w:lang w:val="en-US" w:eastAsia="zh-CN" w:bidi="ar-SA"/>
    </w:rPr>
    <w:tblPr/>
  </w:style>
  <w:style w:type="table" w:styleId="958" w:customStyle="1">
    <w:name w:val="Grid Table 4"/>
    <w:uiPriority w:val="59"/>
    <w:qFormat/>
    <w:rPr>
      <w:lang w:val="en-US" w:eastAsia="zh-CN" w:bidi="ar-SA"/>
    </w:rPr>
    <w:tblPr/>
  </w:style>
  <w:style w:type="table" w:styleId="959" w:customStyle="1">
    <w:name w:val="Grid Table 4 - Accent 1"/>
    <w:uiPriority w:val="59"/>
    <w:qFormat/>
    <w:rPr>
      <w:lang w:val="en-US" w:eastAsia="zh-CN" w:bidi="ar-SA"/>
    </w:rPr>
    <w:tblPr/>
  </w:style>
  <w:style w:type="table" w:styleId="960" w:customStyle="1">
    <w:name w:val="Grid Table 4 - Accent 2"/>
    <w:uiPriority w:val="59"/>
    <w:qFormat/>
    <w:rPr>
      <w:lang w:val="en-US" w:eastAsia="zh-CN" w:bidi="ar-SA"/>
    </w:rPr>
    <w:tblPr/>
  </w:style>
  <w:style w:type="table" w:styleId="961" w:customStyle="1">
    <w:name w:val="Grid Table 4 - Accent 3"/>
    <w:uiPriority w:val="59"/>
    <w:qFormat/>
    <w:rPr>
      <w:lang w:val="en-US" w:eastAsia="zh-CN" w:bidi="ar-SA"/>
    </w:rPr>
    <w:tblPr/>
  </w:style>
  <w:style w:type="table" w:styleId="962" w:customStyle="1">
    <w:name w:val="Grid Table 4 - Accent 4"/>
    <w:uiPriority w:val="59"/>
    <w:qFormat/>
    <w:rPr>
      <w:lang w:val="en-US" w:eastAsia="zh-CN" w:bidi="ar-SA"/>
    </w:rPr>
    <w:tblPr/>
  </w:style>
  <w:style w:type="table" w:styleId="963" w:customStyle="1">
    <w:name w:val="Grid Table 4 - Accent 5"/>
    <w:uiPriority w:val="59"/>
    <w:qFormat/>
    <w:rPr>
      <w:lang w:val="en-US" w:eastAsia="zh-CN" w:bidi="ar-SA"/>
    </w:rPr>
    <w:tblPr/>
  </w:style>
  <w:style w:type="table" w:styleId="964" w:customStyle="1">
    <w:name w:val="Grid Table 4 - Accent 6"/>
    <w:uiPriority w:val="59"/>
    <w:qFormat/>
    <w:rPr>
      <w:lang w:val="en-US" w:eastAsia="zh-CN" w:bidi="ar-SA"/>
    </w:rPr>
    <w:tblPr/>
  </w:style>
  <w:style w:type="table" w:styleId="965" w:customStyle="1">
    <w:name w:val="Grid Table 5 Dark"/>
    <w:uiPriority w:val="99"/>
    <w:qFormat/>
    <w:rPr>
      <w:lang w:val="en-US" w:eastAsia="zh-CN" w:bidi="ar-SA"/>
    </w:rPr>
    <w:tblPr/>
  </w:style>
  <w:style w:type="table" w:styleId="966" w:customStyle="1">
    <w:name w:val="Grid Table 5 Dark- Accent 1"/>
    <w:uiPriority w:val="99"/>
    <w:qFormat/>
    <w:rPr>
      <w:lang w:val="en-US" w:eastAsia="zh-CN" w:bidi="ar-SA"/>
    </w:rPr>
    <w:tblPr/>
  </w:style>
  <w:style w:type="table" w:styleId="967" w:customStyle="1">
    <w:name w:val="Grid Table 5 Dark - Accent 2"/>
    <w:uiPriority w:val="99"/>
    <w:qFormat/>
    <w:rPr>
      <w:lang w:val="en-US" w:eastAsia="zh-CN" w:bidi="ar-SA"/>
    </w:rPr>
    <w:tblPr/>
  </w:style>
  <w:style w:type="table" w:styleId="968" w:customStyle="1">
    <w:name w:val="Grid Table 5 Dark - Accent 3"/>
    <w:uiPriority w:val="99"/>
    <w:qFormat/>
    <w:rPr>
      <w:lang w:val="en-US" w:eastAsia="zh-CN" w:bidi="ar-SA"/>
    </w:rPr>
    <w:tblPr/>
  </w:style>
  <w:style w:type="table" w:styleId="969" w:customStyle="1">
    <w:name w:val="Grid Table 5 Dark- Accent 4"/>
    <w:uiPriority w:val="99"/>
    <w:qFormat/>
    <w:rPr>
      <w:lang w:val="en-US" w:eastAsia="zh-CN" w:bidi="ar-SA"/>
    </w:rPr>
    <w:tblPr/>
  </w:style>
  <w:style w:type="table" w:styleId="970" w:customStyle="1">
    <w:name w:val="Grid Table 5 Dark - Accent 5"/>
    <w:uiPriority w:val="99"/>
    <w:qFormat/>
    <w:rPr>
      <w:lang w:val="en-US" w:eastAsia="zh-CN" w:bidi="ar-SA"/>
    </w:rPr>
    <w:tblPr/>
  </w:style>
  <w:style w:type="table" w:styleId="971" w:customStyle="1">
    <w:name w:val="Grid Table 5 Dark - Accent 6"/>
    <w:uiPriority w:val="99"/>
    <w:qFormat/>
    <w:rPr>
      <w:lang w:val="en-US" w:eastAsia="zh-CN" w:bidi="ar-SA"/>
    </w:rPr>
    <w:tblPr/>
  </w:style>
  <w:style w:type="table" w:styleId="972" w:customStyle="1">
    <w:name w:val="Grid Table 6 Colorful"/>
    <w:uiPriority w:val="99"/>
    <w:qFormat/>
    <w:rPr>
      <w:lang w:val="en-US" w:eastAsia="zh-CN" w:bidi="ar-SA"/>
    </w:rPr>
    <w:tblPr/>
  </w:style>
  <w:style w:type="table" w:styleId="973" w:customStyle="1">
    <w:name w:val="Grid Table 6 Colorful - Accent 1"/>
    <w:uiPriority w:val="99"/>
    <w:qFormat/>
    <w:rPr>
      <w:lang w:val="en-US" w:eastAsia="zh-CN" w:bidi="ar-SA"/>
    </w:rPr>
    <w:tblPr/>
  </w:style>
  <w:style w:type="table" w:styleId="974" w:customStyle="1">
    <w:name w:val="Grid Table 6 Colorful - Accent 2"/>
    <w:uiPriority w:val="99"/>
    <w:qFormat/>
    <w:rPr>
      <w:lang w:val="en-US" w:eastAsia="zh-CN" w:bidi="ar-SA"/>
    </w:rPr>
    <w:tblPr/>
  </w:style>
  <w:style w:type="table" w:styleId="975" w:customStyle="1">
    <w:name w:val="Grid Table 6 Colorful - Accent 3"/>
    <w:uiPriority w:val="99"/>
    <w:qFormat/>
    <w:rPr>
      <w:lang w:val="en-US" w:eastAsia="zh-CN" w:bidi="ar-SA"/>
    </w:rPr>
    <w:tblPr/>
  </w:style>
  <w:style w:type="table" w:styleId="976" w:customStyle="1">
    <w:name w:val="Grid Table 6 Colorful - Accent 4"/>
    <w:uiPriority w:val="99"/>
    <w:qFormat/>
    <w:rPr>
      <w:lang w:val="en-US" w:eastAsia="zh-CN" w:bidi="ar-SA"/>
    </w:rPr>
    <w:tblPr/>
  </w:style>
  <w:style w:type="table" w:styleId="977" w:customStyle="1">
    <w:name w:val="Grid Table 6 Colorful - Accent 5"/>
    <w:uiPriority w:val="99"/>
    <w:qFormat/>
    <w:rPr>
      <w:lang w:val="en-US" w:eastAsia="zh-CN" w:bidi="ar-SA"/>
    </w:rPr>
    <w:tblPr/>
  </w:style>
  <w:style w:type="table" w:styleId="978" w:customStyle="1">
    <w:name w:val="Grid Table 6 Colorful - Accent 6"/>
    <w:uiPriority w:val="99"/>
    <w:qFormat/>
    <w:rPr>
      <w:lang w:val="en-US" w:eastAsia="zh-CN" w:bidi="ar-SA"/>
    </w:rPr>
    <w:tblPr/>
  </w:style>
  <w:style w:type="table" w:styleId="979" w:customStyle="1">
    <w:name w:val="Grid Table 7 Colorful"/>
    <w:uiPriority w:val="99"/>
    <w:qFormat/>
    <w:rPr>
      <w:lang w:val="en-US" w:eastAsia="zh-CN" w:bidi="ar-SA"/>
    </w:rPr>
    <w:tblPr/>
  </w:style>
  <w:style w:type="table" w:styleId="980" w:customStyle="1">
    <w:name w:val="Grid Table 7 Colorful - Accent 1"/>
    <w:uiPriority w:val="99"/>
    <w:qFormat/>
    <w:rPr>
      <w:lang w:val="en-US" w:eastAsia="zh-CN" w:bidi="ar-SA"/>
    </w:rPr>
    <w:tblPr/>
  </w:style>
  <w:style w:type="table" w:styleId="981" w:customStyle="1">
    <w:name w:val="Grid Table 7 Colorful - Accent 2"/>
    <w:uiPriority w:val="99"/>
    <w:qFormat/>
    <w:rPr>
      <w:lang w:val="en-US" w:eastAsia="zh-CN" w:bidi="ar-SA"/>
    </w:rPr>
    <w:tblPr/>
  </w:style>
  <w:style w:type="table" w:styleId="982" w:customStyle="1">
    <w:name w:val="Grid Table 7 Colorful - Accent 3"/>
    <w:uiPriority w:val="99"/>
    <w:qFormat/>
    <w:rPr>
      <w:lang w:val="en-US" w:eastAsia="zh-CN" w:bidi="ar-SA"/>
    </w:rPr>
    <w:tblPr/>
  </w:style>
  <w:style w:type="table" w:styleId="983" w:customStyle="1">
    <w:name w:val="Grid Table 7 Colorful - Accent 4"/>
    <w:uiPriority w:val="99"/>
    <w:qFormat/>
    <w:rPr>
      <w:lang w:val="en-US" w:eastAsia="zh-CN" w:bidi="ar-SA"/>
    </w:rPr>
    <w:tblPr/>
  </w:style>
  <w:style w:type="table" w:styleId="984" w:customStyle="1">
    <w:name w:val="Grid Table 7 Colorful - Accent 5"/>
    <w:uiPriority w:val="99"/>
    <w:qFormat/>
    <w:rPr>
      <w:lang w:val="en-US" w:eastAsia="zh-CN" w:bidi="ar-SA"/>
    </w:rPr>
    <w:tblPr/>
  </w:style>
  <w:style w:type="table" w:styleId="985" w:customStyle="1">
    <w:name w:val="Grid Table 7 Colorful - Accent 6"/>
    <w:uiPriority w:val="99"/>
    <w:qFormat/>
    <w:rPr>
      <w:lang w:val="en-US" w:eastAsia="zh-CN" w:bidi="ar-SA"/>
    </w:rPr>
    <w:tblPr/>
  </w:style>
  <w:style w:type="table" w:styleId="986" w:customStyle="1">
    <w:name w:val="List Table 1 Light"/>
    <w:uiPriority w:val="99"/>
    <w:qFormat/>
    <w:rPr>
      <w:lang w:val="en-US" w:eastAsia="zh-CN" w:bidi="ar-SA"/>
    </w:rPr>
    <w:tblPr/>
  </w:style>
  <w:style w:type="table" w:styleId="987" w:customStyle="1">
    <w:name w:val="List Table 1 Light - Accent 1"/>
    <w:uiPriority w:val="99"/>
    <w:qFormat/>
    <w:rPr>
      <w:lang w:val="en-US" w:eastAsia="zh-CN" w:bidi="ar-SA"/>
    </w:rPr>
    <w:tblPr/>
  </w:style>
  <w:style w:type="table" w:styleId="988" w:customStyle="1">
    <w:name w:val="List Table 1 Light - Accent 2"/>
    <w:uiPriority w:val="99"/>
    <w:qFormat/>
    <w:rPr>
      <w:lang w:val="en-US" w:eastAsia="zh-CN" w:bidi="ar-SA"/>
    </w:rPr>
    <w:tblPr/>
  </w:style>
  <w:style w:type="table" w:styleId="989" w:customStyle="1">
    <w:name w:val="List Table 1 Light - Accent 3"/>
    <w:uiPriority w:val="99"/>
    <w:qFormat/>
    <w:rPr>
      <w:lang w:val="en-US" w:eastAsia="zh-CN" w:bidi="ar-SA"/>
    </w:rPr>
    <w:tblPr/>
  </w:style>
  <w:style w:type="table" w:styleId="990" w:customStyle="1">
    <w:name w:val="List Table 1 Light - Accent 4"/>
    <w:uiPriority w:val="99"/>
    <w:qFormat/>
    <w:rPr>
      <w:lang w:val="en-US" w:eastAsia="zh-CN" w:bidi="ar-SA"/>
    </w:rPr>
    <w:tblPr/>
  </w:style>
  <w:style w:type="table" w:styleId="991" w:customStyle="1">
    <w:name w:val="List Table 1 Light - Accent 5"/>
    <w:uiPriority w:val="99"/>
    <w:qFormat/>
    <w:rPr>
      <w:lang w:val="en-US" w:eastAsia="zh-CN" w:bidi="ar-SA"/>
    </w:rPr>
    <w:tblPr/>
  </w:style>
  <w:style w:type="table" w:styleId="992" w:customStyle="1">
    <w:name w:val="List Table 1 Light - Accent 6"/>
    <w:uiPriority w:val="99"/>
    <w:qFormat/>
    <w:rPr>
      <w:lang w:val="en-US" w:eastAsia="zh-CN" w:bidi="ar-SA"/>
    </w:rPr>
    <w:tblPr/>
  </w:style>
  <w:style w:type="table" w:styleId="993" w:customStyle="1">
    <w:name w:val="List Table 2"/>
    <w:uiPriority w:val="99"/>
    <w:qFormat/>
    <w:rPr>
      <w:lang w:val="en-US" w:eastAsia="zh-CN" w:bidi="ar-SA"/>
    </w:rPr>
    <w:tblPr/>
  </w:style>
  <w:style w:type="table" w:styleId="994" w:customStyle="1">
    <w:name w:val="List Table 2 - Accent 1"/>
    <w:uiPriority w:val="99"/>
    <w:qFormat/>
    <w:rPr>
      <w:lang w:val="en-US" w:eastAsia="zh-CN" w:bidi="ar-SA"/>
    </w:rPr>
    <w:tblPr/>
  </w:style>
  <w:style w:type="table" w:styleId="995" w:customStyle="1">
    <w:name w:val="List Table 2 - Accent 2"/>
    <w:uiPriority w:val="99"/>
    <w:qFormat/>
    <w:rPr>
      <w:lang w:val="en-US" w:eastAsia="zh-CN" w:bidi="ar-SA"/>
    </w:rPr>
    <w:tblPr/>
  </w:style>
  <w:style w:type="table" w:styleId="996" w:customStyle="1">
    <w:name w:val="List Table 2 - Accent 3"/>
    <w:uiPriority w:val="99"/>
    <w:qFormat/>
    <w:rPr>
      <w:lang w:val="en-US" w:eastAsia="zh-CN" w:bidi="ar-SA"/>
    </w:rPr>
    <w:tblPr/>
  </w:style>
  <w:style w:type="table" w:styleId="997" w:customStyle="1">
    <w:name w:val="List Table 2 - Accent 4"/>
    <w:uiPriority w:val="99"/>
    <w:qFormat/>
    <w:rPr>
      <w:lang w:val="en-US" w:eastAsia="zh-CN" w:bidi="ar-SA"/>
    </w:rPr>
    <w:tblPr/>
  </w:style>
  <w:style w:type="table" w:styleId="998" w:customStyle="1">
    <w:name w:val="List Table 2 - Accent 5"/>
    <w:uiPriority w:val="99"/>
    <w:qFormat/>
    <w:rPr>
      <w:lang w:val="en-US" w:eastAsia="zh-CN" w:bidi="ar-SA"/>
    </w:rPr>
    <w:tblPr/>
  </w:style>
  <w:style w:type="table" w:styleId="999" w:customStyle="1">
    <w:name w:val="List Table 2 - Accent 6"/>
    <w:uiPriority w:val="99"/>
    <w:qFormat/>
    <w:rPr>
      <w:lang w:val="en-US" w:eastAsia="zh-CN" w:bidi="ar-SA"/>
    </w:rPr>
    <w:tblPr/>
  </w:style>
  <w:style w:type="table" w:styleId="1000" w:customStyle="1">
    <w:name w:val="List Table 3"/>
    <w:uiPriority w:val="99"/>
    <w:qFormat/>
    <w:rPr>
      <w:lang w:val="en-US" w:eastAsia="zh-CN" w:bidi="ar-SA"/>
    </w:rPr>
    <w:tblPr/>
  </w:style>
  <w:style w:type="table" w:styleId="1001" w:customStyle="1">
    <w:name w:val="List Table 3 - Accent 1"/>
    <w:uiPriority w:val="99"/>
    <w:qFormat/>
    <w:rPr>
      <w:lang w:val="en-US" w:eastAsia="zh-CN" w:bidi="ar-SA"/>
    </w:rPr>
    <w:tblPr/>
  </w:style>
  <w:style w:type="table" w:styleId="1002" w:customStyle="1">
    <w:name w:val="List Table 3 - Accent 2"/>
    <w:uiPriority w:val="99"/>
    <w:qFormat/>
    <w:rPr>
      <w:lang w:val="en-US" w:eastAsia="zh-CN" w:bidi="ar-SA"/>
    </w:rPr>
    <w:tblPr/>
  </w:style>
  <w:style w:type="table" w:styleId="1003" w:customStyle="1">
    <w:name w:val="List Table 3 - Accent 3"/>
    <w:uiPriority w:val="99"/>
    <w:qFormat/>
    <w:rPr>
      <w:lang w:val="en-US" w:eastAsia="zh-CN" w:bidi="ar-SA"/>
    </w:rPr>
    <w:tblPr/>
  </w:style>
  <w:style w:type="table" w:styleId="1004" w:customStyle="1">
    <w:name w:val="List Table 3 - Accent 4"/>
    <w:uiPriority w:val="99"/>
    <w:qFormat/>
    <w:rPr>
      <w:lang w:val="en-US" w:eastAsia="zh-CN" w:bidi="ar-SA"/>
    </w:rPr>
    <w:tblPr/>
  </w:style>
  <w:style w:type="table" w:styleId="1005" w:customStyle="1">
    <w:name w:val="List Table 3 - Accent 5"/>
    <w:uiPriority w:val="99"/>
    <w:qFormat/>
    <w:rPr>
      <w:lang w:val="en-US" w:eastAsia="zh-CN" w:bidi="ar-SA"/>
    </w:rPr>
    <w:tblPr/>
  </w:style>
  <w:style w:type="table" w:styleId="1006" w:customStyle="1">
    <w:name w:val="List Table 3 - Accent 6"/>
    <w:uiPriority w:val="99"/>
    <w:qFormat/>
    <w:rPr>
      <w:lang w:val="en-US" w:eastAsia="zh-CN" w:bidi="ar-SA"/>
    </w:rPr>
    <w:tblPr/>
  </w:style>
  <w:style w:type="table" w:styleId="1007" w:customStyle="1">
    <w:name w:val="List Table 4"/>
    <w:uiPriority w:val="99"/>
    <w:qFormat/>
    <w:rPr>
      <w:lang w:val="en-US" w:eastAsia="zh-CN" w:bidi="ar-SA"/>
    </w:rPr>
    <w:tblPr/>
  </w:style>
  <w:style w:type="table" w:styleId="1008" w:customStyle="1">
    <w:name w:val="List Table 4 - Accent 1"/>
    <w:uiPriority w:val="99"/>
    <w:qFormat/>
    <w:rPr>
      <w:lang w:val="en-US" w:eastAsia="zh-CN" w:bidi="ar-SA"/>
    </w:rPr>
    <w:tblPr/>
  </w:style>
  <w:style w:type="table" w:styleId="1009" w:customStyle="1">
    <w:name w:val="List Table 4 - Accent 2"/>
    <w:uiPriority w:val="99"/>
    <w:qFormat/>
    <w:rPr>
      <w:lang w:val="en-US" w:eastAsia="zh-CN" w:bidi="ar-SA"/>
    </w:rPr>
    <w:tblPr/>
  </w:style>
  <w:style w:type="table" w:styleId="1010" w:customStyle="1">
    <w:name w:val="List Table 4 - Accent 3"/>
    <w:uiPriority w:val="99"/>
    <w:qFormat/>
    <w:rPr>
      <w:lang w:val="en-US" w:eastAsia="zh-CN" w:bidi="ar-SA"/>
    </w:rPr>
    <w:tblPr/>
  </w:style>
  <w:style w:type="table" w:styleId="1011" w:customStyle="1">
    <w:name w:val="List Table 4 - Accent 4"/>
    <w:uiPriority w:val="99"/>
    <w:qFormat/>
    <w:rPr>
      <w:lang w:val="en-US" w:eastAsia="zh-CN" w:bidi="ar-SA"/>
    </w:rPr>
    <w:tblPr/>
  </w:style>
  <w:style w:type="table" w:styleId="1012" w:customStyle="1">
    <w:name w:val="List Table 4 - Accent 5"/>
    <w:uiPriority w:val="99"/>
    <w:qFormat/>
    <w:rPr>
      <w:lang w:val="en-US" w:eastAsia="zh-CN" w:bidi="ar-SA"/>
    </w:rPr>
    <w:tblPr/>
  </w:style>
  <w:style w:type="table" w:styleId="1013" w:customStyle="1">
    <w:name w:val="List Table 4 - Accent 6"/>
    <w:uiPriority w:val="99"/>
    <w:qFormat/>
    <w:rPr>
      <w:lang w:val="en-US" w:eastAsia="zh-CN" w:bidi="ar-SA"/>
    </w:rPr>
    <w:tblPr/>
  </w:style>
  <w:style w:type="table" w:styleId="1014" w:customStyle="1">
    <w:name w:val="List Table 5 Dark"/>
    <w:uiPriority w:val="99"/>
    <w:qFormat/>
    <w:rPr>
      <w:lang w:val="en-US" w:eastAsia="zh-CN" w:bidi="ar-SA"/>
    </w:rPr>
    <w:tblPr/>
  </w:style>
  <w:style w:type="table" w:styleId="1015" w:customStyle="1">
    <w:name w:val="List Table 5 Dark - Accent 1"/>
    <w:uiPriority w:val="99"/>
    <w:qFormat/>
    <w:rPr>
      <w:lang w:val="en-US" w:eastAsia="zh-CN" w:bidi="ar-SA"/>
    </w:rPr>
    <w:tblPr/>
  </w:style>
  <w:style w:type="table" w:styleId="1016" w:customStyle="1">
    <w:name w:val="List Table 5 Dark - Accent 2"/>
    <w:uiPriority w:val="99"/>
    <w:qFormat/>
    <w:rPr>
      <w:lang w:val="en-US" w:eastAsia="zh-CN" w:bidi="ar-SA"/>
    </w:rPr>
    <w:tblPr/>
  </w:style>
  <w:style w:type="table" w:styleId="1017" w:customStyle="1">
    <w:name w:val="List Table 5 Dark - Accent 3"/>
    <w:uiPriority w:val="99"/>
    <w:qFormat/>
    <w:rPr>
      <w:lang w:val="en-US" w:eastAsia="zh-CN" w:bidi="ar-SA"/>
    </w:rPr>
    <w:tblPr/>
  </w:style>
  <w:style w:type="table" w:styleId="1018" w:customStyle="1">
    <w:name w:val="List Table 5 Dark - Accent 4"/>
    <w:uiPriority w:val="99"/>
    <w:qFormat/>
    <w:rPr>
      <w:lang w:val="en-US" w:eastAsia="zh-CN" w:bidi="ar-SA"/>
    </w:rPr>
    <w:tblPr/>
  </w:style>
  <w:style w:type="table" w:styleId="1019" w:customStyle="1">
    <w:name w:val="List Table 5 Dark - Accent 5"/>
    <w:uiPriority w:val="99"/>
    <w:qFormat/>
    <w:rPr>
      <w:lang w:val="en-US" w:eastAsia="zh-CN" w:bidi="ar-SA"/>
    </w:rPr>
    <w:tblPr/>
  </w:style>
  <w:style w:type="table" w:styleId="1020" w:customStyle="1">
    <w:name w:val="List Table 5 Dark - Accent 6"/>
    <w:uiPriority w:val="99"/>
    <w:qFormat/>
    <w:rPr>
      <w:lang w:val="en-US" w:eastAsia="zh-CN" w:bidi="ar-SA"/>
    </w:rPr>
    <w:tblPr/>
  </w:style>
  <w:style w:type="table" w:styleId="1021" w:customStyle="1">
    <w:name w:val="List Table 6 Colorful"/>
    <w:uiPriority w:val="99"/>
    <w:qFormat/>
    <w:rPr>
      <w:lang w:val="en-US" w:eastAsia="zh-CN" w:bidi="ar-SA"/>
    </w:rPr>
    <w:tblPr/>
  </w:style>
  <w:style w:type="table" w:styleId="1022" w:customStyle="1">
    <w:name w:val="List Table 6 Colorful - Accent 1"/>
    <w:uiPriority w:val="99"/>
    <w:qFormat/>
    <w:rPr>
      <w:lang w:val="en-US" w:eastAsia="zh-CN" w:bidi="ar-SA"/>
    </w:rPr>
    <w:tblPr/>
  </w:style>
  <w:style w:type="table" w:styleId="1023" w:customStyle="1">
    <w:name w:val="List Table 6 Colorful - Accent 2"/>
    <w:uiPriority w:val="99"/>
    <w:qFormat/>
    <w:rPr>
      <w:lang w:val="en-US" w:eastAsia="zh-CN" w:bidi="ar-SA"/>
    </w:rPr>
    <w:tblPr/>
  </w:style>
  <w:style w:type="table" w:styleId="1024" w:customStyle="1">
    <w:name w:val="List Table 6 Colorful - Accent 3"/>
    <w:uiPriority w:val="99"/>
    <w:qFormat/>
    <w:rPr>
      <w:lang w:val="en-US" w:eastAsia="zh-CN" w:bidi="ar-SA"/>
    </w:rPr>
    <w:tblPr/>
  </w:style>
  <w:style w:type="table" w:styleId="1025" w:customStyle="1">
    <w:name w:val="List Table 6 Colorful - Accent 4"/>
    <w:uiPriority w:val="99"/>
    <w:qFormat/>
    <w:rPr>
      <w:lang w:val="en-US" w:eastAsia="zh-CN" w:bidi="ar-SA"/>
    </w:rPr>
    <w:tblPr/>
  </w:style>
  <w:style w:type="table" w:styleId="1026" w:customStyle="1">
    <w:name w:val="List Table 6 Colorful - Accent 5"/>
    <w:uiPriority w:val="99"/>
    <w:qFormat/>
    <w:rPr>
      <w:lang w:val="en-US" w:eastAsia="zh-CN" w:bidi="ar-SA"/>
    </w:rPr>
    <w:tblPr/>
  </w:style>
  <w:style w:type="table" w:styleId="1027" w:customStyle="1">
    <w:name w:val="List Table 6 Colorful - Accent 6"/>
    <w:uiPriority w:val="99"/>
    <w:qFormat/>
    <w:rPr>
      <w:lang w:val="en-US" w:eastAsia="zh-CN" w:bidi="ar-SA"/>
    </w:rPr>
    <w:tblPr/>
  </w:style>
  <w:style w:type="table" w:styleId="1028" w:customStyle="1">
    <w:name w:val="List Table 7 Colorful"/>
    <w:uiPriority w:val="99"/>
    <w:qFormat/>
    <w:rPr>
      <w:lang w:val="en-US" w:eastAsia="zh-CN" w:bidi="ar-SA"/>
    </w:rPr>
    <w:tblPr/>
  </w:style>
  <w:style w:type="table" w:styleId="1029" w:customStyle="1">
    <w:name w:val="List Table 7 Colorful - Accent 1"/>
    <w:uiPriority w:val="99"/>
    <w:qFormat/>
    <w:rPr>
      <w:lang w:val="en-US" w:eastAsia="zh-CN" w:bidi="ar-SA"/>
    </w:rPr>
    <w:tblPr/>
  </w:style>
  <w:style w:type="table" w:styleId="1030" w:customStyle="1">
    <w:name w:val="List Table 7 Colorful - Accent 2"/>
    <w:uiPriority w:val="99"/>
    <w:qFormat/>
    <w:rPr>
      <w:lang w:val="en-US" w:eastAsia="zh-CN" w:bidi="ar-SA"/>
    </w:rPr>
    <w:tblPr/>
  </w:style>
  <w:style w:type="table" w:styleId="1031" w:customStyle="1">
    <w:name w:val="List Table 7 Colorful - Accent 3"/>
    <w:uiPriority w:val="99"/>
    <w:qFormat/>
    <w:rPr>
      <w:lang w:val="en-US" w:eastAsia="zh-CN" w:bidi="ar-SA"/>
    </w:rPr>
    <w:tblPr/>
  </w:style>
  <w:style w:type="table" w:styleId="1032" w:customStyle="1">
    <w:name w:val="List Table 7 Colorful - Accent 4"/>
    <w:uiPriority w:val="99"/>
    <w:qFormat/>
    <w:rPr>
      <w:lang w:val="en-US" w:eastAsia="zh-CN" w:bidi="ar-SA"/>
    </w:rPr>
    <w:tblPr/>
  </w:style>
  <w:style w:type="table" w:styleId="1033" w:customStyle="1">
    <w:name w:val="List Table 7 Colorful - Accent 5"/>
    <w:uiPriority w:val="99"/>
    <w:qFormat/>
    <w:rPr>
      <w:lang w:val="en-US" w:eastAsia="zh-CN" w:bidi="ar-SA"/>
    </w:rPr>
    <w:tblPr/>
  </w:style>
  <w:style w:type="table" w:styleId="1034" w:customStyle="1">
    <w:name w:val="List Table 7 Colorful - Accent 6"/>
    <w:uiPriority w:val="99"/>
    <w:qFormat/>
    <w:rPr>
      <w:lang w:val="en-US" w:eastAsia="zh-CN" w:bidi="ar-SA"/>
    </w:rPr>
    <w:tblPr/>
  </w:style>
  <w:style w:type="table" w:styleId="1035" w:customStyle="1">
    <w:name w:val="Lined - Accent"/>
    <w:uiPriority w:val="99"/>
    <w:qFormat/>
    <w:rPr>
      <w:color w:val="404040"/>
      <w:lang w:val="en-US" w:eastAsia="zh-CN" w:bidi="ar-SA"/>
    </w:rPr>
    <w:tblPr/>
  </w:style>
  <w:style w:type="table" w:styleId="1036" w:customStyle="1">
    <w:name w:val="Lined - Accent 1"/>
    <w:uiPriority w:val="99"/>
    <w:qFormat/>
    <w:rPr>
      <w:color w:val="404040"/>
      <w:lang w:val="en-US" w:eastAsia="zh-CN" w:bidi="ar-SA"/>
    </w:rPr>
    <w:tblPr/>
  </w:style>
  <w:style w:type="table" w:styleId="1037" w:customStyle="1">
    <w:name w:val="Lined - Accent 2"/>
    <w:uiPriority w:val="99"/>
    <w:qFormat/>
    <w:rPr>
      <w:color w:val="404040"/>
      <w:lang w:val="en-US" w:eastAsia="zh-CN" w:bidi="ar-SA"/>
    </w:rPr>
    <w:tblPr/>
  </w:style>
  <w:style w:type="table" w:styleId="1038" w:customStyle="1">
    <w:name w:val="Lined - Accent 3"/>
    <w:uiPriority w:val="99"/>
    <w:qFormat/>
    <w:rPr>
      <w:color w:val="404040"/>
      <w:lang w:val="en-US" w:eastAsia="zh-CN" w:bidi="ar-SA"/>
    </w:rPr>
    <w:tblPr/>
  </w:style>
  <w:style w:type="table" w:styleId="1039" w:customStyle="1">
    <w:name w:val="Lined - Accent 4"/>
    <w:uiPriority w:val="99"/>
    <w:qFormat/>
    <w:rPr>
      <w:color w:val="404040"/>
      <w:lang w:val="en-US" w:eastAsia="zh-CN" w:bidi="ar-SA"/>
    </w:rPr>
    <w:tblPr/>
  </w:style>
  <w:style w:type="table" w:styleId="1040" w:customStyle="1">
    <w:name w:val="Lined - Accent 5"/>
    <w:uiPriority w:val="99"/>
    <w:qFormat/>
    <w:rPr>
      <w:color w:val="404040"/>
      <w:lang w:val="en-US" w:eastAsia="zh-CN" w:bidi="ar-SA"/>
    </w:rPr>
    <w:tblPr/>
  </w:style>
  <w:style w:type="table" w:styleId="1041" w:customStyle="1">
    <w:name w:val="Lined - Accent 6"/>
    <w:uiPriority w:val="99"/>
    <w:qFormat/>
    <w:rPr>
      <w:color w:val="404040"/>
      <w:lang w:val="en-US" w:eastAsia="zh-CN" w:bidi="ar-SA"/>
    </w:rPr>
    <w:tblPr/>
  </w:style>
  <w:style w:type="table" w:styleId="1042" w:customStyle="1">
    <w:name w:val="Bordered &amp; Lined - Accent"/>
    <w:uiPriority w:val="99"/>
    <w:qFormat/>
    <w:rPr>
      <w:color w:val="404040"/>
      <w:lang w:val="en-US" w:eastAsia="zh-CN" w:bidi="ar-SA"/>
    </w:rPr>
    <w:tblPr/>
  </w:style>
  <w:style w:type="table" w:styleId="1043" w:customStyle="1">
    <w:name w:val="Bordered &amp; Lined - Accent 1"/>
    <w:uiPriority w:val="99"/>
    <w:qFormat/>
    <w:rPr>
      <w:color w:val="404040"/>
      <w:lang w:val="en-US" w:eastAsia="zh-CN" w:bidi="ar-SA"/>
    </w:rPr>
    <w:tblPr/>
  </w:style>
  <w:style w:type="table" w:styleId="1044" w:customStyle="1">
    <w:name w:val="Bordered &amp; Lined - Accent 2"/>
    <w:uiPriority w:val="99"/>
    <w:qFormat/>
    <w:rPr>
      <w:color w:val="404040"/>
      <w:lang w:val="en-US" w:eastAsia="zh-CN" w:bidi="ar-SA"/>
    </w:rPr>
    <w:tblPr/>
  </w:style>
  <w:style w:type="table" w:styleId="1045" w:customStyle="1">
    <w:name w:val="Bordered &amp; Lined - Accent 3"/>
    <w:uiPriority w:val="99"/>
    <w:qFormat/>
    <w:rPr>
      <w:color w:val="404040"/>
      <w:lang w:val="en-US" w:eastAsia="zh-CN" w:bidi="ar-SA"/>
    </w:rPr>
    <w:tblPr/>
  </w:style>
  <w:style w:type="table" w:styleId="1046" w:customStyle="1">
    <w:name w:val="Bordered &amp; Lined - Accent 4"/>
    <w:uiPriority w:val="99"/>
    <w:qFormat/>
    <w:rPr>
      <w:color w:val="404040"/>
      <w:lang w:val="en-US" w:eastAsia="zh-CN" w:bidi="ar-SA"/>
    </w:rPr>
    <w:tblPr/>
  </w:style>
  <w:style w:type="table" w:styleId="1047" w:customStyle="1">
    <w:name w:val="Bordered &amp; Lined - Accent 5"/>
    <w:uiPriority w:val="99"/>
    <w:qFormat/>
    <w:rPr>
      <w:color w:val="404040"/>
      <w:lang w:val="en-US" w:eastAsia="zh-CN" w:bidi="ar-SA"/>
    </w:rPr>
    <w:tblPr/>
  </w:style>
  <w:style w:type="table" w:styleId="1048" w:customStyle="1">
    <w:name w:val="Bordered &amp; Lined - Accent 6"/>
    <w:uiPriority w:val="99"/>
    <w:qFormat/>
    <w:rPr>
      <w:color w:val="404040"/>
      <w:lang w:val="en-US" w:eastAsia="zh-CN" w:bidi="ar-SA"/>
    </w:rPr>
    <w:tblPr/>
  </w:style>
  <w:style w:type="table" w:styleId="1049" w:customStyle="1">
    <w:name w:val="Bordered"/>
    <w:uiPriority w:val="99"/>
    <w:qFormat/>
    <w:rPr>
      <w:lang w:val="en-US" w:eastAsia="zh-CN" w:bidi="ar-SA"/>
    </w:rPr>
    <w:tblPr/>
  </w:style>
  <w:style w:type="table" w:styleId="1050" w:customStyle="1">
    <w:name w:val="Bordered - Accent 1"/>
    <w:uiPriority w:val="99"/>
    <w:qFormat/>
    <w:rPr>
      <w:lang w:val="en-US" w:eastAsia="zh-CN" w:bidi="ar-SA"/>
    </w:rPr>
    <w:tblPr/>
  </w:style>
  <w:style w:type="table" w:styleId="1051" w:customStyle="1">
    <w:name w:val="Bordered - Accent 2"/>
    <w:uiPriority w:val="99"/>
    <w:qFormat/>
    <w:rPr>
      <w:lang w:val="en-US" w:eastAsia="zh-CN" w:bidi="ar-SA"/>
    </w:rPr>
    <w:tblPr/>
  </w:style>
  <w:style w:type="table" w:styleId="1052" w:customStyle="1">
    <w:name w:val="Bordered - Accent 3"/>
    <w:uiPriority w:val="99"/>
    <w:qFormat/>
    <w:rPr>
      <w:lang w:val="en-US" w:eastAsia="zh-CN" w:bidi="ar-SA"/>
    </w:rPr>
    <w:tblPr/>
  </w:style>
  <w:style w:type="table" w:styleId="1053" w:customStyle="1">
    <w:name w:val="Bordered - Accent 4"/>
    <w:uiPriority w:val="99"/>
    <w:qFormat/>
    <w:rPr>
      <w:lang w:val="en-US" w:eastAsia="zh-CN" w:bidi="ar-SA"/>
    </w:rPr>
    <w:tblPr/>
  </w:style>
  <w:style w:type="table" w:styleId="1054" w:customStyle="1">
    <w:name w:val="Bordered - Accent 5"/>
    <w:uiPriority w:val="99"/>
    <w:qFormat/>
    <w:rPr>
      <w:lang w:val="en-US" w:eastAsia="zh-CN" w:bidi="ar-SA"/>
    </w:rPr>
    <w:tblPr/>
  </w:style>
  <w:style w:type="table" w:styleId="1055" w:customStyle="1">
    <w:name w:val="Bordered - Accent 6"/>
    <w:uiPriority w:val="99"/>
    <w:qFormat/>
    <w:rPr>
      <w:lang w:val="en-US" w:eastAsia="zh-CN" w:bidi="ar-SA"/>
    </w:rPr>
    <w:tblPr/>
  </w:style>
  <w:style w:type="paragraph" w:styleId="1056" w:customStyle="1">
    <w:name w:val="TOC 标题2"/>
    <w:uiPriority w:val="39"/>
    <w:qFormat/>
    <w:rPr>
      <w:rFonts w:hint="default" w:ascii="Times New Roman" w:hAnsi="Times New Roman" w:eastAsia="宋体" w:cs="Times New Roman"/>
      <w:lang w:val="en-US" w:eastAsia="zh-CN" w:bidi="ar-SA"/>
    </w:rPr>
  </w:style>
  <w:style w:type="character" w:styleId="1057" w:customStyle="1">
    <w:name w:val="font5 Char"/>
    <w:link w:val="714"/>
    <w:uiPriority w:val="0"/>
    <w:qFormat/>
    <w:rPr>
      <w:rFonts w:ascii="宋体" w:hAnsi="宋体" w:eastAsia="宋体"/>
      <w:sz w:val="28"/>
      <w:szCs w:val="28"/>
      <w:lang w:val="en-US" w:eastAsia="zh-CN" w:bidi="ar-SA"/>
    </w:rPr>
  </w:style>
  <w:style w:type="character" w:styleId="1058" w:customStyle="1">
    <w:name w:val="二级目录 Char"/>
    <w:link w:val="1059"/>
    <w:uiPriority w:val="0"/>
    <w:qFormat/>
    <w:rPr>
      <w:b/>
      <w:sz w:val="30"/>
      <w:szCs w:val="28"/>
      <w:lang w:val="en-US" w:eastAsia="zh-CN" w:bidi="ar-SA"/>
    </w:rPr>
  </w:style>
  <w:style w:type="paragraph" w:styleId="1059" w:customStyle="1">
    <w:name w:val="二级目录"/>
    <w:next w:val="714"/>
    <w:link w:val="105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60" w:customStyle="1">
    <w:name w:val="列出段落 Char"/>
    <w:link w:val="1061"/>
    <w:uiPriority w:val="0"/>
    <w:qFormat/>
    <w:rPr>
      <w:rFonts w:ascii="Calibri" w:hAnsi="Calibri"/>
      <w:sz w:val="24"/>
      <w:szCs w:val="24"/>
      <w:lang w:eastAsia="en-US" w:bidi="en-US"/>
    </w:rPr>
  </w:style>
  <w:style w:type="paragraph" w:styleId="1061" w:customStyle="1">
    <w:name w:val="列出段落11"/>
    <w:basedOn w:val="714"/>
    <w:link w:val="1060"/>
    <w:uiPriority w:val="0"/>
    <w:qFormat/>
    <w:pPr>
      <w:contextualSpacing/>
      <w:ind w:left="720"/>
      <w:jc w:val="left"/>
      <w:widowControl/>
    </w:pPr>
    <w:rPr>
      <w:rFonts w:ascii="Calibri" w:hAnsi="Calibri"/>
      <w:sz w:val="24"/>
      <w:szCs w:val="24"/>
      <w:lang w:eastAsia="en-US" w:bidi="en-US"/>
    </w:rPr>
  </w:style>
  <w:style w:type="paragraph" w:styleId="1062" w:customStyle="1">
    <w:name w:val="Body Text(ch)"/>
    <w:basedOn w:val="714"/>
    <w:next w:val="867"/>
    <w:uiPriority w:val="0"/>
    <w:qFormat/>
    <w:pPr>
      <w:spacing w:after="120"/>
    </w:pPr>
    <w:rPr>
      <w:rFonts w:ascii="宋体" w:hAnsi="Arial"/>
      <w:bCs/>
      <w:iCs/>
      <w:szCs w:val="24"/>
    </w:rPr>
  </w:style>
  <w:style w:type="paragraph" w:styleId="1063" w:customStyle="1">
    <w:name w:val="xl27"/>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4" w:customStyle="1">
    <w:name w:val="xl26"/>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5" w:customStyle="1">
    <w:name w:val="Char"/>
    <w:basedOn w:val="714"/>
    <w:uiPriority w:val="0"/>
    <w:qFormat/>
    <w:pPr>
      <w:ind w:firstLine="200"/>
      <w:tabs>
        <w:tab w:val="left" w:pos="360" w:leader="none"/>
      </w:tabs>
    </w:pPr>
    <w:rPr>
      <w:sz w:val="28"/>
      <w:szCs w:val="30"/>
    </w:rPr>
  </w:style>
  <w:style w:type="paragraph" w:styleId="1066" w:customStyle="1">
    <w:name w:val="Char1"/>
    <w:basedOn w:val="861"/>
    <w:uiPriority w:val="0"/>
    <w:qFormat/>
    <w:rPr>
      <w:rFonts w:ascii="Tahoma" w:hAnsi="Tahoma"/>
      <w:sz w:val="24"/>
      <w:szCs w:val="24"/>
    </w:rPr>
  </w:style>
  <w:style w:type="paragraph" w:styleId="1067" w:customStyle="1">
    <w:name w:val="普通正文"/>
    <w:basedOn w:val="714"/>
    <w:uiPriority w:val="0"/>
    <w:qFormat/>
    <w:pPr>
      <w:ind w:firstLine="480"/>
      <w:jc w:val="left"/>
      <w:spacing w:before="120" w:after="120" w:line="360" w:lineRule="auto"/>
    </w:pPr>
    <w:rPr>
      <w:rFonts w:ascii="Arial" w:hAnsi="Arial"/>
      <w:sz w:val="24"/>
      <w:szCs w:val="24"/>
    </w:rPr>
  </w:style>
  <w:style w:type="paragraph" w:styleId="1068" w:customStyle="1">
    <w:name w:val="table_lines"/>
    <w:basedOn w:val="714"/>
    <w:uiPriority w:val="0"/>
    <w:qFormat/>
    <w:pPr>
      <w:jc w:val="left"/>
      <w:widowControl/>
    </w:pPr>
    <w:rPr>
      <w:sz w:val="20"/>
      <w:szCs w:val="20"/>
      <w:lang w:val="de-DE" w:eastAsia="de-DE"/>
    </w:rPr>
  </w:style>
  <w:style w:type="paragraph" w:styleId="1069"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70" w:customStyle="1">
    <w:name w:val="font7"/>
    <w:basedOn w:val="714"/>
    <w:uiPriority w:val="0"/>
    <w:qFormat/>
    <w:pPr>
      <w:jc w:val="left"/>
      <w:spacing w:before="100" w:beforeAutospacing="1" w:after="100" w:afterAutospacing="1"/>
      <w:widowControl/>
    </w:pPr>
    <w:rPr>
      <w:rFonts w:hint="eastAsia" w:ascii="宋体" w:hAnsi="宋体"/>
      <w:sz w:val="18"/>
      <w:szCs w:val="18"/>
    </w:rPr>
  </w:style>
  <w:style w:type="paragraph" w:styleId="1071" w:customStyle="1">
    <w:name w:val="Char Char Char Char"/>
    <w:basedOn w:val="861"/>
    <w:uiPriority w:val="0"/>
    <w:qFormat/>
    <w:pPr>
      <w:spacing w:line="360" w:lineRule="auto"/>
    </w:pPr>
    <w:rPr>
      <w:rFonts w:ascii="Tahoma" w:hAnsi="Tahoma"/>
      <w:sz w:val="24"/>
      <w:szCs w:val="24"/>
    </w:rPr>
  </w:style>
  <w:style w:type="paragraph" w:styleId="1072" w:customStyle="1">
    <w:name w:val="4"/>
    <w:basedOn w:val="714"/>
    <w:next w:val="895"/>
    <w:uiPriority w:val="0"/>
    <w:qFormat/>
    <w:pPr>
      <w:ind w:firstLine="420"/>
      <w:spacing w:line="360" w:lineRule="auto"/>
    </w:pPr>
    <w:rPr>
      <w:color w:val="ff0000"/>
      <w:sz w:val="24"/>
      <w:szCs w:val="24"/>
    </w:rPr>
  </w:style>
  <w:style w:type="paragraph" w:styleId="1073" w:customStyle="1">
    <w:name w:val="普通 (Web)"/>
    <w:basedOn w:val="714"/>
    <w:uiPriority w:val="0"/>
    <w:qFormat/>
    <w:pPr>
      <w:jc w:val="left"/>
      <w:spacing w:before="100" w:beforeAutospacing="1" w:after="100" w:afterAutospacing="1"/>
      <w:widowControl/>
    </w:pPr>
    <w:rPr>
      <w:rFonts w:ascii="宋体" w:hAnsi="宋体"/>
      <w:sz w:val="24"/>
      <w:szCs w:val="24"/>
    </w:rPr>
  </w:style>
  <w:style w:type="paragraph" w:styleId="1074" w:customStyle="1">
    <w:name w:val="Char Char Char Char Char Char Char Char Char Char"/>
    <w:basedOn w:val="714"/>
    <w:uiPriority w:val="0"/>
    <w:qFormat/>
    <w:pPr>
      <w:spacing w:line="360" w:lineRule="auto"/>
    </w:pPr>
    <w:rPr>
      <w:sz w:val="24"/>
      <w:szCs w:val="20"/>
    </w:rPr>
  </w:style>
  <w:style w:type="paragraph" w:styleId="1075" w:customStyle="1">
    <w:name w:val="样式1"/>
    <w:basedOn w:val="714"/>
    <w:uiPriority w:val="0"/>
    <w:qFormat/>
    <w:pPr>
      <w:numPr>
        <w:ilvl w:val="0"/>
        <w:numId w:val="3"/>
      </w:numPr>
    </w:pPr>
    <w:rPr>
      <w:rFonts w:ascii="宋体" w:hAnsi="宋体"/>
    </w:rPr>
  </w:style>
  <w:style w:type="paragraph" w:styleId="1076" w:customStyle="1">
    <w:name w:val="font6"/>
    <w:basedOn w:val="714"/>
    <w:uiPriority w:val="0"/>
    <w:qFormat/>
    <w:pPr>
      <w:jc w:val="left"/>
      <w:spacing w:before="100" w:beforeAutospacing="1" w:after="100" w:afterAutospacing="1"/>
      <w:widowControl/>
    </w:pPr>
    <w:rPr>
      <w:rFonts w:hint="eastAsia" w:ascii="宋体" w:hAnsi="宋体"/>
      <w:sz w:val="28"/>
      <w:szCs w:val="28"/>
      <w:u w:val="single"/>
    </w:rPr>
  </w:style>
  <w:style w:type="paragraph" w:styleId="1077" w:customStyle="1">
    <w:name w:val="xl25"/>
    <w:basedOn w:val="71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8" w:customStyle="1">
    <w:name w:val="图标"/>
    <w:basedOn w:val="714"/>
    <w:next w:val="71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9" w:customStyle="1">
    <w:name w:val="标题3"/>
    <w:basedOn w:val="714"/>
    <w:next w:val="714"/>
    <w:uiPriority w:val="0"/>
    <w:qFormat/>
    <w:pPr>
      <w:ind w:firstLine="624"/>
      <w:spacing w:line="590" w:lineRule="atLeast"/>
    </w:pPr>
    <w:rPr>
      <w:rFonts w:ascii="方正黑体_GBK" w:eastAsia="方正黑体_GBK"/>
      <w:sz w:val="32"/>
      <w:szCs w:val="32"/>
    </w:rPr>
  </w:style>
  <w:style w:type="paragraph" w:styleId="1080" w:customStyle="1">
    <w:name w:val="xl24"/>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1" w:customStyle="1">
    <w:name w:val="xl29"/>
    <w:basedOn w:val="71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2" w:customStyle="1">
    <w:name w:val="Char Char Char Char Char Char Char Char"/>
    <w:basedOn w:val="714"/>
    <w:uiPriority w:val="0"/>
    <w:qFormat/>
    <w:pPr>
      <w:jc w:val="left"/>
      <w:spacing w:after="160" w:line="240" w:lineRule="exact"/>
      <w:widowControl/>
    </w:pPr>
    <w:rPr>
      <w:rFonts w:ascii="Verdana" w:hAnsi="Verdana"/>
      <w:sz w:val="20"/>
      <w:szCs w:val="20"/>
      <w:lang w:eastAsia="en-US"/>
    </w:rPr>
  </w:style>
  <w:style w:type="paragraph" w:styleId="1083" w:customStyle="1">
    <w:name w:val="xl28"/>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4" w:customStyle="1">
    <w:name w:val="Char Char Char Char Char Char Char Char1"/>
    <w:basedOn w:val="714"/>
    <w:uiPriority w:val="0"/>
    <w:qFormat/>
    <w:pPr>
      <w:jc w:val="left"/>
      <w:spacing w:after="160" w:line="240" w:lineRule="exact"/>
      <w:widowControl/>
    </w:pPr>
    <w:rPr>
      <w:rFonts w:ascii="Verdana" w:hAnsi="Verdana"/>
      <w:sz w:val="20"/>
      <w:szCs w:val="20"/>
      <w:lang w:eastAsia="en-US"/>
    </w:rPr>
  </w:style>
  <w:style w:type="paragraph" w:styleId="1085" w:customStyle="1">
    <w:name w:val="xl30"/>
    <w:basedOn w:val="714"/>
    <w:uiPriority w:val="0"/>
    <w:qFormat/>
    <w:pPr>
      <w:jc w:val="center"/>
      <w:spacing w:before="100" w:beforeAutospacing="1" w:after="100" w:afterAutospacing="1"/>
      <w:widowControl/>
    </w:pPr>
    <w:rPr>
      <w:rFonts w:ascii="宋体" w:hAnsi="宋体"/>
      <w:b/>
      <w:bCs/>
      <w:sz w:val="36"/>
      <w:szCs w:val="36"/>
    </w:rPr>
  </w:style>
  <w:style w:type="paragraph" w:styleId="1086" w:customStyle="1">
    <w:name w:val="Char Char Char Char1"/>
    <w:basedOn w:val="861"/>
    <w:uiPriority w:val="0"/>
    <w:qFormat/>
    <w:pPr>
      <w:spacing w:line="360" w:lineRule="auto"/>
    </w:pPr>
    <w:rPr>
      <w:rFonts w:ascii="Tahoma" w:hAnsi="Tahoma"/>
      <w:sz w:val="24"/>
      <w:szCs w:val="24"/>
    </w:rPr>
  </w:style>
  <w:style w:type="paragraph" w:styleId="1087" w:customStyle="1">
    <w:name w:val="table_1stline"/>
    <w:basedOn w:val="714"/>
    <w:uiPriority w:val="0"/>
    <w:qFormat/>
    <w:pPr>
      <w:jc w:val="left"/>
      <w:spacing w:before="120"/>
      <w:widowControl/>
    </w:pPr>
    <w:rPr>
      <w:bCs/>
      <w:sz w:val="20"/>
      <w:szCs w:val="20"/>
      <w:lang w:val="de-DE" w:eastAsia="de-DE"/>
    </w:rPr>
  </w:style>
  <w:style w:type="paragraph" w:styleId="1088" w:customStyle="1">
    <w:name w:val="font5"/>
    <w:basedOn w:val="714"/>
    <w:uiPriority w:val="0"/>
    <w:qFormat/>
    <w:pPr>
      <w:jc w:val="left"/>
      <w:spacing w:before="100" w:beforeAutospacing="1" w:after="100" w:afterAutospacing="1"/>
      <w:widowControl/>
    </w:pPr>
    <w:rPr>
      <w:rFonts w:hint="eastAsia" w:ascii="宋体" w:hAnsi="宋体"/>
      <w:sz w:val="28"/>
      <w:szCs w:val="28"/>
    </w:rPr>
  </w:style>
  <w:style w:type="paragraph" w:styleId="1089" w:customStyle="1">
    <w:name w:val="标题1"/>
    <w:basedOn w:val="714"/>
    <w:next w:val="71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0"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91" w:customStyle="1">
    <w:name w:val="普通文字"/>
    <w:basedOn w:val="714"/>
    <w:next w:val="714"/>
    <w:uiPriority w:val="99"/>
    <w:qFormat/>
    <w:rPr>
      <w:rFonts w:ascii="宋体"/>
      <w:sz w:val="24"/>
      <w:szCs w:val="20"/>
    </w:rPr>
  </w:style>
  <w:style w:type="paragraph" w:styleId="1092" w:customStyle="1">
    <w:name w:val="目录 111"/>
    <w:basedOn w:val="714"/>
    <w:next w:val="714"/>
    <w:uiPriority w:val="39"/>
    <w:unhideWhenUsed/>
    <w:qFormat/>
    <w:pPr>
      <w:jc w:val="left"/>
      <w:spacing w:after="100" w:line="259" w:lineRule="auto"/>
      <w:widowControl/>
    </w:pPr>
    <w:rPr>
      <w:rFonts w:ascii="Calibri" w:hAnsi="Calibri"/>
      <w:sz w:val="22"/>
      <w:szCs w:val="22"/>
    </w:rPr>
  </w:style>
  <w:style w:type="paragraph" w:styleId="1093" w:customStyle="1">
    <w:name w:val="表格文字"/>
    <w:basedOn w:val="714"/>
    <w:uiPriority w:val="0"/>
    <w:qFormat/>
    <w:pPr>
      <w:jc w:val="center"/>
    </w:pPr>
    <w:rPr>
      <w:rFonts w:ascii="宋体" w:hAnsi="宋体" w:cs="宋体"/>
      <w:szCs w:val="20"/>
    </w:rPr>
  </w:style>
  <w:style w:type="paragraph" w:styleId="1094" w:customStyle="1">
    <w:name w:val="p0"/>
    <w:basedOn w:val="714"/>
    <w:uiPriority w:val="0"/>
    <w:qFormat/>
    <w:pPr>
      <w:jc w:val="left"/>
      <w:spacing w:before="100" w:beforeAutospacing="1" w:after="100" w:afterAutospacing="1"/>
      <w:widowControl/>
    </w:pPr>
    <w:rPr>
      <w:rFonts w:ascii="宋体" w:hAnsi="宋体" w:cs="宋体"/>
      <w:sz w:val="24"/>
      <w:szCs w:val="24"/>
    </w:rPr>
  </w:style>
  <w:style w:type="paragraph" w:styleId="1095" w:customStyle="1">
    <w:name w:val="普通(网站) New"/>
    <w:basedOn w:val="714"/>
    <w:uiPriority w:val="0"/>
    <w:qFormat/>
    <w:pPr>
      <w:jc w:val="left"/>
      <w:spacing w:before="100" w:beforeAutospacing="1" w:after="100" w:afterAutospacing="1"/>
      <w:widowControl/>
    </w:pPr>
    <w:rPr>
      <w:rFonts w:ascii="宋体" w:hAnsi="宋体" w:cs="宋体"/>
      <w:sz w:val="24"/>
      <w:szCs w:val="24"/>
    </w:rPr>
  </w:style>
  <w:style w:type="character" w:styleId="1096" w:customStyle="1">
    <w:name w:val="NormalCharacter1"/>
    <w:link w:val="714"/>
    <w:uiPriority w:val="0"/>
    <w:semiHidden/>
    <w:qFormat/>
  </w:style>
  <w:style w:type="character" w:styleId="1097" w:customStyle="1">
    <w:name w:val="font41"/>
    <w:link w:val="714"/>
    <w:uiPriority w:val="0"/>
    <w:qFormat/>
    <w:rPr>
      <w:rFonts w:hint="eastAsia" w:ascii="宋体" w:hAnsi="宋体" w:eastAsia="宋体" w:cs="宋体"/>
      <w:color w:val="000000"/>
      <w:sz w:val="20"/>
      <w:szCs w:val="20"/>
      <w:u w:val="none"/>
    </w:rPr>
  </w:style>
  <w:style w:type="character" w:styleId="1098" w:customStyle="1">
    <w:name w:val="font31"/>
    <w:link w:val="714"/>
    <w:uiPriority w:val="0"/>
    <w:qFormat/>
    <w:rPr>
      <w:rFonts w:hint="eastAsia" w:ascii="宋体" w:hAnsi="宋体" w:eastAsia="宋体" w:cs="宋体"/>
      <w:color w:val="000000"/>
      <w:sz w:val="20"/>
      <w:szCs w:val="20"/>
      <w:u w:val="none"/>
    </w:rPr>
  </w:style>
  <w:style w:type="character" w:styleId="1099" w:customStyle="1">
    <w:name w:val="font51"/>
    <w:link w:val="714"/>
    <w:uiPriority w:val="0"/>
    <w:qFormat/>
    <w:rPr>
      <w:rFonts w:hint="eastAsia" w:ascii="宋体" w:hAnsi="宋体" w:eastAsia="宋体" w:cs="宋体"/>
      <w:color w:val="000000"/>
      <w:sz w:val="21"/>
      <w:szCs w:val="21"/>
      <w:u w:val="none"/>
    </w:rPr>
  </w:style>
  <w:style w:type="character" w:styleId="1100" w:customStyle="1">
    <w:name w:val="font81"/>
    <w:link w:val="714"/>
    <w:uiPriority w:val="0"/>
    <w:qFormat/>
    <w:rPr>
      <w:rFonts w:hint="eastAsia" w:ascii="宋体" w:hAnsi="宋体" w:eastAsia="宋体" w:cs="宋体"/>
      <w:color w:val="000000"/>
      <w:sz w:val="18"/>
      <w:szCs w:val="18"/>
      <w:u w:val="none"/>
    </w:rPr>
  </w:style>
  <w:style w:type="character" w:styleId="1101" w:customStyle="1">
    <w:name w:val="font112"/>
    <w:link w:val="714"/>
    <w:uiPriority w:val="0"/>
    <w:qFormat/>
    <w:rPr>
      <w:rFonts w:hint="eastAsia" w:ascii="宋体" w:hAnsi="宋体" w:eastAsia="宋体" w:cs="宋体"/>
      <w:color w:val="000000"/>
      <w:sz w:val="18"/>
      <w:szCs w:val="18"/>
      <w:u w:val="single"/>
    </w:rPr>
  </w:style>
  <w:style w:type="character" w:styleId="1102" w:customStyle="1">
    <w:name w:val="font61"/>
    <w:link w:val="714"/>
    <w:uiPriority w:val="0"/>
    <w:qFormat/>
    <w:rPr>
      <w:rFonts w:hint="eastAsia" w:ascii="宋体" w:hAnsi="宋体" w:eastAsia="宋体" w:cs="宋体"/>
      <w:color w:val="000000"/>
      <w:sz w:val="21"/>
      <w:szCs w:val="21"/>
      <w:u w:val="none"/>
    </w:rPr>
  </w:style>
  <w:style w:type="paragraph" w:styleId="1103" w:customStyle="1">
    <w:name w:val="列表1"/>
    <w:basedOn w:val="714"/>
    <w:uiPriority w:val="0"/>
    <w:qFormat/>
    <w:pPr>
      <w:numPr>
        <w:ilvl w:val="0"/>
        <w:numId w:val="4"/>
      </w:numPr>
      <w:spacing w:after="20" w:line="288" w:lineRule="auto"/>
    </w:pPr>
    <w:rPr>
      <w:szCs w:val="20"/>
      <w:lang w:val="en-GB"/>
    </w:rPr>
  </w:style>
  <w:style w:type="paragraph" w:styleId="1104" w:customStyle="1">
    <w:name w:val="列表段落"/>
    <w:basedOn w:val="714"/>
    <w:uiPriority w:val="34"/>
    <w:qFormat/>
    <w:pPr>
      <w:ind w:firstLine="420"/>
    </w:pPr>
  </w:style>
  <w:style w:type="paragraph" w:styleId="1105" w:customStyle="1">
    <w:name w:val="纯文本1"/>
    <w:basedOn w:val="714"/>
    <w:next w:val="714"/>
    <w:uiPriority w:val="0"/>
    <w:qFormat/>
    <w:rPr>
      <w:rFonts w:ascii="宋体" w:hAnsi="Courier New"/>
    </w:rPr>
  </w:style>
  <w:style w:type="paragraph" w:styleId="1106" w:customStyle="1">
    <w:name w:val="页眉1"/>
    <w:basedOn w:val="714"/>
    <w:uiPriority w:val="99"/>
    <w:qFormat/>
    <w:pPr>
      <w:jc w:val="center"/>
      <w:tabs>
        <w:tab w:val="center" w:pos="4153" w:leader="none"/>
        <w:tab w:val="right" w:pos="8306" w:leader="none"/>
      </w:tabs>
      <w:pBdr>
        <w:bottom w:val="single" w:color="000000" w:sz="6" w:space="1"/>
      </w:pBdr>
    </w:pPr>
    <w:rPr>
      <w:sz w:val="18"/>
      <w:szCs w:val="18"/>
      <w:lang w:eastAsia="en-US"/>
    </w:rPr>
  </w:style>
  <w:style w:type="character" w:styleId="1107" w:customStyle="1">
    <w:name w:val="font21"/>
    <w:link w:val="714"/>
    <w:uiPriority w:val="0"/>
    <w:qFormat/>
    <w:rPr>
      <w:rFonts w:ascii="Times New Roman" w:hAnsi="Times New Roman" w:cs="Times New Roman"/>
      <w:b/>
      <w:bCs/>
      <w:color w:val="000000"/>
      <w:sz w:val="18"/>
      <w:szCs w:val="18"/>
      <w:u w:val="none"/>
    </w:rPr>
  </w:style>
  <w:style w:type="character" w:styleId="1108" w:customStyle="1">
    <w:name w:val="font71"/>
    <w:link w:val="714"/>
    <w:uiPriority w:val="0"/>
    <w:qFormat/>
    <w:rPr>
      <w:rFonts w:hint="eastAsia" w:ascii="宋体" w:hAnsi="宋体" w:eastAsia="宋体" w:cs="宋体"/>
      <w:color w:val="000000"/>
      <w:sz w:val="20"/>
      <w:szCs w:val="20"/>
      <w:u w:val="none"/>
    </w:rPr>
  </w:style>
  <w:style w:type="paragraph" w:styleId="1109" w:customStyle="1">
    <w:name w:val="正文文本1"/>
    <w:basedOn w:val="714"/>
    <w:next w:val="1103"/>
    <w:uiPriority w:val="0"/>
    <w:qFormat/>
    <w:rPr>
      <w:rFonts w:ascii="楷体_GB2312" w:hAnsi="Arial" w:eastAsia="楷体_GB2312"/>
      <w:sz w:val="28"/>
      <w:szCs w:val="28"/>
    </w:rPr>
  </w:style>
  <w:style w:type="character" w:styleId="1110" w:customStyle="1">
    <w:name w:val="15"/>
    <w:link w:val="714"/>
    <w:uiPriority w:val="0"/>
    <w:qFormat/>
    <w:rPr>
      <w:rFonts w:ascii="Times New Roman" w:hAnsi="Times New Roman" w:cs="Times New Roman"/>
    </w:rPr>
  </w:style>
  <w:style w:type="character" w:styleId="1111" w:customStyle="1">
    <w:name w:val="font141"/>
    <w:link w:val="714"/>
    <w:uiPriority w:val="0"/>
    <w:rPr>
      <w:rFonts w:hint="eastAsia" w:ascii="宋体" w:hAnsi="宋体" w:eastAsia="宋体" w:cs="宋体"/>
      <w:color w:val="000000"/>
      <w:sz w:val="20"/>
      <w:szCs w:val="20"/>
      <w:u w:val="none"/>
    </w:rPr>
  </w:style>
  <w:style w:type="character" w:styleId="1112" w:customStyle="1">
    <w:name w:val="font212"/>
    <w:link w:val="714"/>
    <w:uiPriority w:val="0"/>
    <w:rPr>
      <w:rFonts w:hint="eastAsia" w:ascii="宋体" w:hAnsi="宋体" w:eastAsia="宋体" w:cs="宋体"/>
      <w:i/>
      <w:iCs/>
      <w:color w:val="000000"/>
      <w:sz w:val="20"/>
      <w:szCs w:val="20"/>
      <w:u w:val="none"/>
    </w:rPr>
  </w:style>
  <w:style w:type="character" w:styleId="1113" w:customStyle="1">
    <w:name w:val="font221"/>
    <w:link w:val="714"/>
    <w:uiPriority w:val="0"/>
    <w:rPr>
      <w:rFonts w:hint="eastAsia" w:ascii="宋体" w:hAnsi="宋体" w:eastAsia="宋体" w:cs="宋体"/>
      <w:color w:val="000000"/>
      <w:sz w:val="20"/>
      <w:szCs w:val="20"/>
      <w:u w:val="none"/>
      <w:vertAlign w:val="superscript"/>
    </w:rPr>
  </w:style>
  <w:style w:type="character" w:styleId="1114" w:customStyle="1">
    <w:name w:val="font131"/>
    <w:link w:val="714"/>
    <w:uiPriority w:val="0"/>
    <w:rPr>
      <w:rFonts w:hint="eastAsia" w:ascii="宋体" w:hAnsi="宋体" w:eastAsia="宋体" w:cs="宋体"/>
      <w:color w:val="000000"/>
      <w:sz w:val="20"/>
      <w:szCs w:val="20"/>
      <w:u w:val="none"/>
    </w:rPr>
  </w:style>
  <w:style w:type="character" w:styleId="1115" w:customStyle="1">
    <w:name w:val="font231"/>
    <w:link w:val="714"/>
    <w:uiPriority w:val="0"/>
    <w:rPr>
      <w:rFonts w:ascii="Times New Roman" w:hAnsi="Times New Roman" w:cs="Times New Roman"/>
      <w:color w:val="000000"/>
      <w:sz w:val="20"/>
      <w:szCs w:val="20"/>
      <w:u w:val="none"/>
    </w:rPr>
  </w:style>
  <w:style w:type="character" w:styleId="1116" w:customStyle="1">
    <w:name w:val="font121"/>
    <w:link w:val="714"/>
    <w:uiPriority w:val="0"/>
    <w:rPr>
      <w:rFonts w:ascii="Times New Roman" w:hAnsi="Times New Roman" w:cs="Times New Roman"/>
      <w:color w:val="000000"/>
      <w:sz w:val="22"/>
      <w:szCs w:val="22"/>
      <w:u w:val="none"/>
    </w:rPr>
  </w:style>
  <w:style w:type="paragraph" w:styleId="1117" w:customStyle="1">
    <w:name w:val="正文文本2"/>
    <w:basedOn w:val="714"/>
    <w:uiPriority w:val="0"/>
    <w:qFormat/>
    <w:rPr>
      <w:rFonts w:ascii="仿宋_GB2312" w:eastAsia="仿宋_GB2312"/>
      <w:sz w:val="28"/>
      <w:szCs w:val="20"/>
    </w:rPr>
  </w:style>
  <w:style w:type="paragraph" w:styleId="1118" w:customStyle="1">
    <w:name w:val="彩色列表1"/>
    <w:basedOn w:val="714"/>
    <w:uiPriority w:val="99"/>
    <w:qFormat/>
    <w:pPr>
      <w:ind w:firstLine="420"/>
    </w:pPr>
    <w:rPr>
      <w:szCs w:val="24"/>
    </w:rPr>
  </w:style>
  <w:style w:type="table" w:styleId="1119" w:customStyle="1">
    <w:name w:val="网格型11"/>
    <w:uiPriority w:val="59"/>
    <w:qFormat/>
    <w:pPr>
      <w:spacing w:after="0" w:line="240" w:lineRule="auto"/>
    </w:pPr>
    <w:tblPr/>
  </w:style>
  <w:style w:type="paragraph" w:styleId="1120" w:customStyle="1">
    <w:name w:val="标题 411"/>
    <w:basedOn w:val="714"/>
    <w:next w:val="714"/>
    <w:uiPriority w:val="9"/>
    <w:unhideWhenUsed/>
    <w:qFormat/>
    <w:pPr>
      <w:keepLines/>
      <w:keepNext/>
      <w:spacing w:before="320" w:after="200"/>
      <w:outlineLvl w:val="3"/>
    </w:pPr>
    <w:rPr>
      <w:rFonts w:ascii="Arial" w:hAnsi="Arial" w:eastAsia="Arial" w:cs="Arial"/>
      <w:b/>
      <w:bCs/>
      <w:sz w:val="26"/>
      <w:szCs w:val="26"/>
    </w:rPr>
  </w:style>
  <w:style w:type="numbering" w:styleId="11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383fbc0c-d0cd-4c6f-b215-c7afc46c48e6</errorID>
      <errorWord>.</errorWord>
      <group>L1_Format</group>
      <groupName>格式问题</groupName>
      <ability>L2_HalfPunc_CN</ability>
      <abilityName>全半角问题</abilityName>
      <candidateList>
        <item>。</item>
      </candidateList>
      <explain>文本全半角错误。</explain>
      <paraID> 2F9A1AE</paraID>
      <start>1</start>
      <end>2</end>
      <status>unmodified</status>
      <modifiedWord/>
      <trackRevisions>false</trackRevisions>
    </reviewItem>
    <reviewItem>
      <errorID>e2b63eef-c116-4417-9474-230b0cd2f61a</errorID>
      <errorWord>位</errorWord>
      <group>L1_Word</group>
      <groupName>字词问题</groupName>
      <ability>L2_Typo</ability>
      <abilityName>字词错误</abilityName>
      <candidateList>
        <item>位在</item>
      </candidateList>
      <explain/>
      <paraID>77655229</paraID>
      <start>161</start>
      <end>162</end>
      <status>unmodified</status>
      <modifiedWord/>
      <trackRevisions>false</trackRevisions>
    </reviewItem>
    <reviewItem>
      <errorID>b6ca4879-73a7-42ab-9a4e-0e4fa2e48838</errorID>
      <errorWord>（</errorWord>
      <group>L1_Punc</group>
      <groupName>标点问题</groupName>
      <ability>L2_Punc_CN</ability>
      <abilityName>标点符号问题</abilityName>
      <candidateList/>
      <explain>同一形式括号套用。</explain>
      <paraID>5C0402AE</paraID>
      <start>72</start>
      <end>73</end>
      <status>unmodified</status>
      <modifiedWord/>
      <trackRevisions>false</trackRevisions>
    </reviewItem>
    <reviewItem>
      <errorID>dd5c13a7-e85e-42df-8540-51fe464b8dbd</errorID>
      <errorWord>）</errorWord>
      <group>L1_Punc</group>
      <groupName>标点问题</groupName>
      <ability>L2_Punc_CN</ability>
      <abilityName>标点符号问题</abilityName>
      <candidateList/>
      <explain>同一形式括号套用。</explain>
      <paraID>5C0402AE</paraID>
      <start>76</start>
      <end>77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56E9EBF1-C025-4099-864B-BB24F62AB7E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dc:creator>
  <cp:lastModifiedBy>王勇</cp:lastModifiedBy>
  <cp:revision>6</cp:revision>
  <dcterms:created xsi:type="dcterms:W3CDTF">2026-03-11T08:51:00Z</dcterms:created>
  <dcterms:modified xsi:type="dcterms:W3CDTF">2026-07-27T06:21:09Z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eyJoZGlkIjoiZjE2MjZmYjE1MTMxZjlhY2ZkOWJiMDg5NTM4ZjBiNDEiLCJ1c2VySWQiOiIxMjc3MTEyOTUzIn0=</vt:lpwstr>
  </property>
  <property fmtid="{D5CDD505-2E9C-101B-9397-08002B2CF9AE}" pid="3" name="KSOProductBuildVer">
    <vt:lpwstr>2052-12.1.0.26895</vt:lpwstr>
  </property>
  <property fmtid="{D5CDD505-2E9C-101B-9397-08002B2CF9AE}" pid="4" name="ICV">
    <vt:lpwstr>9DD8315BA8434326808AB3A93B640891_12</vt:lpwstr>
  </property>
</Properties>
</file>