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b/>
          <w:color w:val="000000" w:themeColor="text1"/>
          <w:sz w:val="56"/>
          <w:szCs w:val="56"/>
          <w:highlight w:val="none"/>
          <w:shd w:val="clear" w:color="auto" w:fill="auto"/>
          <w14:textFill>
            <w14:solidFill>
              <w14:schemeClr w14:val="tx1"/>
            </w14:solidFill>
          </w14:textFill>
        </w:rPr>
      </w:pPr>
      <w:r>
        <w:rPr>
          <w:rFonts w:hint="eastAsia" w:ascii="仿宋" w:hAnsi="仿宋" w:eastAsia="仿宋" w:cs="仿宋"/>
          <w:b/>
          <w:color w:val="000000" w:themeColor="text1"/>
          <w:sz w:val="56"/>
          <w:szCs w:val="56"/>
          <w:highlight w:val="none"/>
          <w:shd w:val="clear" w:color="auto" w:fill="auto"/>
          <w14:textFill>
            <w14:solidFill>
              <w14:schemeClr w14:val="tx1"/>
            </w14:solidFill>
          </w14:textFill>
        </w:rPr>
      </w:r>
      <w:r/>
    </w:p>
    <w:p>
      <w:pPr>
        <w:jc w:val="center"/>
        <w:rPr>
          <w:rFonts w:hint="eastAsia" w:ascii="仿宋" w:hAnsi="仿宋" w:eastAsia="仿宋" w:cs="仿宋"/>
          <w:b/>
          <w:color w:val="000000" w:themeColor="text1"/>
          <w:sz w:val="56"/>
          <w:szCs w:val="56"/>
          <w:highlight w:val="none"/>
          <w:shd w:val="clear" w:color="auto" w:fill="auto"/>
          <w:lang w:eastAsia="zh-CN"/>
          <w14:textFill>
            <w14:solidFill>
              <w14:schemeClr w14:val="tx1"/>
            </w14:solidFill>
          </w14:textFill>
        </w:rPr>
      </w:pPr>
      <w:r>
        <w:rPr>
          <w:rFonts w:hint="eastAsia" w:ascii="仿宋" w:hAnsi="仿宋" w:eastAsia="仿宋" w:cs="仿宋"/>
          <w:b/>
          <w:color w:val="000000" w:themeColor="text1"/>
          <w:sz w:val="56"/>
          <w:szCs w:val="56"/>
          <w:highlight w:val="none"/>
          <w:shd w:val="clear" w:color="auto" w:fill="auto"/>
          <w:lang w:eastAsia="zh-CN"/>
          <w14:textFill>
            <w14:solidFill>
              <w14:schemeClr w14:val="tx1"/>
            </w14:solidFill>
          </w14:textFill>
        </w:rPr>
        <w:t xml:space="preserve">南京市医疗保险管理中心</w:t>
      </w:r>
      <w:r/>
    </w:p>
    <w:p>
      <w:pPr>
        <w:jc w:val="center"/>
        <w:rPr>
          <w:rFonts w:hint="eastAsia" w:ascii="仿宋" w:hAnsi="仿宋" w:eastAsia="仿宋" w:cs="仿宋"/>
          <w:b/>
          <w:color w:val="000000" w:themeColor="text1"/>
          <w:sz w:val="56"/>
          <w:szCs w:val="56"/>
          <w:highlight w:val="none"/>
          <w:shd w:val="clear" w:color="auto" w:fill="auto"/>
          <w14:textFill>
            <w14:solidFill>
              <w14:schemeClr w14:val="tx1"/>
            </w14:solidFill>
          </w14:textFill>
        </w:rPr>
      </w:pPr>
      <w:r>
        <w:rPr>
          <w:rFonts w:hint="eastAsia" w:ascii="仿宋" w:hAnsi="仿宋" w:eastAsia="仿宋" w:cs="仿宋"/>
          <w:b/>
          <w:color w:val="000000" w:themeColor="text1"/>
          <w:sz w:val="56"/>
          <w:szCs w:val="56"/>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b/>
          <w:color w:val="000000" w:themeColor="text1"/>
          <w:sz w:val="56"/>
          <w:szCs w:val="56"/>
          <w:highlight w:val="none"/>
          <w:shd w:val="clear" w:color="auto" w:fill="auto"/>
          <w14:textFill>
            <w14:solidFill>
              <w14:schemeClr w14:val="tx1"/>
            </w14:solidFill>
          </w14:textFill>
        </w:rPr>
        <w:t xml:space="preserve">文件</w:t>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firstLine="1080"/>
        <w:spacing w:line="460" w:lineRule="exact"/>
        <w:rPr>
          <w:rFonts w:hint="eastAsia" w:ascii="仿宋" w:hAnsi="仿宋" w:eastAsia="仿宋" w:cs="仿宋"/>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color w:val="000000" w:themeColor="text1"/>
          <w:sz w:val="30"/>
          <w:szCs w:val="30"/>
          <w:highlight w:val="none"/>
          <w:shd w:val="clear" w:color="auto" w:fill="auto"/>
          <w14:textFill>
            <w14:solidFill>
              <w14:schemeClr w14:val="tx1"/>
            </w14:solidFill>
          </w14:textFill>
        </w:rPr>
      </w:r>
      <w:r/>
    </w:p>
    <w:p>
      <w:pPr>
        <w:ind w:left="1560" w:hanging="1560"/>
        <w:spacing w:line="360" w:lineRule="auto"/>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项目编号：</w:t>
      </w:r>
      <w:r>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t xml:space="preserve">JSZC-320100-TJGL-D2026-0012</w:t>
      </w:r>
      <w:r/>
    </w:p>
    <w:p>
      <w:pPr>
        <w:ind w:left="1560" w:hanging="1560"/>
        <w:spacing w:line="360" w:lineRule="auto"/>
        <w:rPr>
          <w:rFonts w:hint="default" w:ascii="仿宋" w:hAnsi="仿宋" w:eastAsia="仿宋" w:cs="仿宋"/>
          <w:b/>
          <w:color w:val="000000" w:themeColor="text1"/>
          <w:sz w:val="30"/>
          <w:szCs w:val="30"/>
          <w:highlight w:val="none"/>
          <w:shd w:val="clear" w:color="auto" w:fill="auto"/>
          <w:lang w:val="en-US" w:eastAsia="zh-CN"/>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项目名称：</w:t>
      </w:r>
      <w:r>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t xml:space="preserve">南京市医疗保险管理中心水西门大街223号房屋租赁服务</w:t>
      </w:r>
      <w:r>
        <w:rPr>
          <w:rFonts w:hint="eastAsia" w:ascii="仿宋" w:hAnsi="仿宋" w:eastAsia="仿宋" w:cs="仿宋"/>
          <w:b/>
          <w:color w:val="000000" w:themeColor="text1"/>
          <w:sz w:val="30"/>
          <w:szCs w:val="30"/>
          <w:highlight w:val="none"/>
          <w:shd w:val="clear" w:color="auto" w:fill="auto"/>
          <w:lang w:val="en-US" w:eastAsia="zh-CN"/>
          <w14:textFill>
            <w14:solidFill>
              <w14:schemeClr w14:val="tx1"/>
            </w14:solidFill>
          </w14:textFill>
        </w:rPr>
        <w:t xml:space="preserve">  </w:t>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ind w:firstLine="3960"/>
        <w:rPr>
          <w:rFonts w:hint="eastAsia" w:ascii="仿宋" w:hAnsi="仿宋" w:eastAsia="仿宋" w:cs="仿宋"/>
          <w:color w:val="000000" w:themeColor="text1"/>
          <w:spacing w:val="40"/>
          <w:sz w:val="28"/>
          <w:highlight w:val="none"/>
          <w:shd w:val="clear" w:color="auto" w:fill="auto"/>
          <w14:textFill>
            <w14:solidFill>
              <w14:schemeClr w14:val="tx1"/>
            </w14:solidFill>
          </w14:textFill>
        </w:rPr>
      </w:pPr>
      <w:r>
        <w:rPr>
          <w:rFonts w:hint="eastAsia" w:ascii="仿宋" w:hAnsi="仿宋" w:eastAsia="仿宋" w:cs="仿宋"/>
          <w:color w:val="000000" w:themeColor="text1"/>
          <w:spacing w:val="40"/>
          <w:sz w:val="28"/>
          <w:highlight w:val="none"/>
          <w:shd w:val="clear" w:color="auto" w:fill="auto"/>
          <w14:textFill>
            <w14:solidFill>
              <w14:schemeClr w14:val="tx1"/>
            </w14:solidFill>
          </w14:textFill>
        </w:rPr>
      </w:r>
      <w:r/>
    </w:p>
    <w:p>
      <w:pPr>
        <w:jc w:val="center"/>
        <w:spacing w:line="360" w:lineRule="auto"/>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lang w:eastAsia="zh-CN"/>
          <w14:textFill>
            <w14:solidFill>
              <w14:schemeClr w14:val="tx1"/>
            </w14:solidFill>
          </w14:textFill>
        </w:rPr>
        <w:t xml:space="preserve">南京通建项目管理咨询有限公司</w:t>
      </w:r>
      <w:r/>
    </w:p>
    <w:p>
      <w:pPr>
        <w:jc w:val="center"/>
        <w:spacing w:line="360" w:lineRule="auto"/>
        <w:rPr>
          <w:rFonts w:hint="eastAsia" w:ascii="仿宋" w:hAnsi="仿宋" w:eastAsia="仿宋" w:cs="仿宋"/>
          <w:b/>
          <w:color w:val="000000" w:themeColor="text1"/>
          <w:sz w:val="30"/>
          <w:szCs w:val="30"/>
          <w:highlight w:val="none"/>
          <w:shd w:val="clear" w:color="auto" w:fill="auto"/>
          <w14:textFill>
            <w14:solidFill>
              <w14:schemeClr w14:val="tx1"/>
            </w14:solidFill>
          </w14:textFill>
        </w:rPr>
      </w:pP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二〇二</w:t>
      </w:r>
      <w:r>
        <w:rPr>
          <w:rFonts w:hint="eastAsia" w:ascii="仿宋" w:hAnsi="仿宋" w:eastAsia="仿宋" w:cs="仿宋"/>
          <w:b/>
          <w:color w:val="000000" w:themeColor="text1"/>
          <w:sz w:val="30"/>
          <w:szCs w:val="30"/>
          <w:highlight w:val="none"/>
          <w:shd w:val="clear" w:color="auto" w:fill="auto"/>
          <w:lang w:val="en-US" w:eastAsia="zh-CN"/>
          <w14:textFill>
            <w14:solidFill>
              <w14:schemeClr w14:val="tx1"/>
            </w14:solidFill>
          </w14:textFill>
        </w:rPr>
        <w:t xml:space="preserve">六</w:t>
      </w: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年</w:t>
      </w:r>
      <w:r>
        <w:rPr>
          <w:rFonts w:hint="eastAsia" w:ascii="仿宋" w:hAnsi="仿宋" w:eastAsia="仿宋" w:cs="仿宋"/>
          <w:b/>
          <w:color w:val="000000" w:themeColor="text1"/>
          <w:sz w:val="30"/>
          <w:szCs w:val="30"/>
          <w:highlight w:val="none"/>
          <w:shd w:val="clear" w:color="auto" w:fill="auto"/>
          <w:lang w:val="en-US" w:eastAsia="zh-CN"/>
          <w14:textFill>
            <w14:solidFill>
              <w14:schemeClr w14:val="tx1"/>
            </w14:solidFill>
          </w14:textFill>
        </w:rPr>
        <w:t xml:space="preserve">八</w:t>
      </w:r>
      <w:r>
        <w:rPr>
          <w:rFonts w:hint="eastAsia" w:ascii="仿宋" w:hAnsi="仿宋" w:eastAsia="仿宋" w:cs="仿宋"/>
          <w:b/>
          <w:color w:val="000000" w:themeColor="text1"/>
          <w:sz w:val="30"/>
          <w:szCs w:val="30"/>
          <w:highlight w:val="none"/>
          <w:shd w:val="clear" w:color="auto" w:fill="auto"/>
          <w14:textFill>
            <w14:solidFill>
              <w14:schemeClr w14:val="tx1"/>
            </w14:solidFill>
          </w14:textFill>
        </w:rPr>
        <w:t xml:space="preserve">月</w:t>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pStyle w:val="712"/>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pStyle w:val="753"/>
        <w:jc w:val="center"/>
        <w:rPr>
          <w:rFonts w:hint="eastAsia" w:ascii="仿宋" w:hAnsi="仿宋" w:eastAsia="仿宋" w:cs="仿宋"/>
          <w:color w:val="000000" w:themeColor="text1"/>
          <w:sz w:val="48"/>
          <w:szCs w:val="48"/>
          <w:highlight w:val="none"/>
          <w:shd w:val="clear" w:color="auto" w:fill="auto"/>
          <w:lang w:val="zh-CN"/>
          <w14:textFill>
            <w14:solidFill>
              <w14:schemeClr w14:val="tx1"/>
            </w14:solidFill>
          </w14:textFill>
        </w:rPr>
        <w:sectPr>
          <w:headerReference w:type="default" r:id="rId8"/>
          <w:headerReference w:type="first" r:id="rId9"/>
          <w:footnotePr/>
          <w:endnotePr/>
          <w:type w:val="nextPage"/>
          <w:pgSz w:w="11906" w:h="16838" w:orient="portrait"/>
          <w:pgMar w:top="1440" w:right="1800" w:bottom="1440" w:left="1843" w:header="851" w:footer="992" w:gutter="0"/>
          <w:cols w:num="1" w:sep="0" w:space="425" w:equalWidth="1"/>
          <w:docGrid w:linePitch="360"/>
          <w:titlePg/>
        </w:sectPr>
      </w:pPr>
      <w:r>
        <w:rPr>
          <w:rFonts w:hint="eastAsia" w:ascii="仿宋" w:hAnsi="仿宋" w:eastAsia="仿宋" w:cs="仿宋"/>
          <w:color w:val="000000" w:themeColor="text1"/>
          <w:sz w:val="48"/>
          <w:szCs w:val="48"/>
          <w:highlight w:val="none"/>
          <w:shd w:val="clear" w:color="auto" w:fill="auto"/>
          <w:lang w:val="zh-CN"/>
          <w14:textFill>
            <w14:solidFill>
              <w14:schemeClr w14:val="tx1"/>
            </w14:solidFill>
          </w14:textFill>
        </w:rPr>
      </w:r>
      <w:r/>
    </w:p>
    <w:p>
      <w:pPr>
        <w:pStyle w:val="753"/>
        <w:jc w:val="cente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sz w:val="48"/>
          <w:szCs w:val="48"/>
          <w:highlight w:val="none"/>
          <w:shd w:val="clear" w:color="auto" w:fill="auto"/>
          <w:lang w:val="zh-CN"/>
          <w14:textFill>
            <w14:solidFill>
              <w14:schemeClr w14:val="tx1"/>
            </w14:solidFill>
          </w14:textFill>
        </w:rPr>
        <w:t xml:space="preserve">目 录</w:t>
      </w:r>
      <w:r/>
    </w:p>
    <w:p>
      <w:pPr>
        <w:pStyle w:val="731"/>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TOC \o "1-3" \h \z \u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HYPERLINK \l "_Toc102655454" </w:instrText>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第一章、参加</w:t>
      </w:r>
      <w:r>
        <w:rPr>
          <w:rStyle w:val="738"/>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供应商须知前附表</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_Toc102655454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31"/>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"_Toc102655455"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第二章、参加</w:t>
      </w:r>
      <w:r>
        <w:rPr>
          <w:rStyle w:val="738"/>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供应商须知</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_Toc102655455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6</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31"/>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"_Toc102655456"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第三章、项目需求</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_Toc102655456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22</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31"/>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"_Toc102655458"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w:t>
      </w:r>
      <w:r>
        <w:rPr>
          <w:rStyle w:val="738"/>
          <w:rFonts w:hint="eastAsia" w:ascii="仿宋" w:hAnsi="仿宋" w:eastAsia="仿宋" w:cs="仿宋"/>
          <w:color w:val="000000" w:themeColor="text1"/>
          <w:sz w:val="28"/>
          <w:szCs w:val="28"/>
          <w:highlight w:val="none"/>
          <w:shd w:val="clear" w:color="auto" w:fill="auto"/>
          <w:lang w:val="en-US" w:eastAsia="zh-CN"/>
          <w14:textFill>
            <w14:solidFill>
              <w14:schemeClr w14:val="tx1"/>
            </w14:solidFill>
          </w14:textFill>
        </w:rPr>
        <w:t xml:space="preserve">四</w:t>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章、合同格式</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_Toc102655458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25</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pStyle w:val="731"/>
        <w:spacing w:line="560" w:lineRule="exact"/>
        <w:tabs>
          <w:tab w:val="right" w:pos="8253" w:leader="dot"/>
        </w:tabs>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highlight w:val="none"/>
          <w:shd w:val="clear" w:color="auto" w:fill="auto"/>
          <w14:textFill>
            <w14:solidFill>
              <w14:schemeClr w14:val="tx1"/>
            </w14:solidFill>
          </w14:textFill>
        </w:rPr>
        <w:instrText xml:space="preserve"> HYPERLINK \l "_Toc102655459" </w:instrText>
      </w:r>
      <w:r>
        <w:rPr>
          <w:rFonts w:hint="eastAsia" w:ascii="仿宋" w:hAnsi="仿宋" w:eastAsia="仿宋" w:cs="仿宋"/>
          <w:color w:val="000000" w:themeColor="text1"/>
          <w:highlight w:val="none"/>
          <w:shd w:val="clear" w:color="auto" w:fill="auto"/>
          <w14:textFill>
            <w14:solidFill>
              <w14:schemeClr w14:val="tx1"/>
            </w14:solidFill>
          </w14:textFill>
        </w:rPr>
        <w:fldChar w:fldCharType="separate"/>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第</w:t>
      </w:r>
      <w:r>
        <w:rPr>
          <w:rStyle w:val="738"/>
          <w:rFonts w:hint="eastAsia" w:ascii="仿宋" w:hAnsi="仿宋" w:eastAsia="仿宋" w:cs="仿宋"/>
          <w:color w:val="000000" w:themeColor="text1"/>
          <w:sz w:val="28"/>
          <w:szCs w:val="28"/>
          <w:highlight w:val="none"/>
          <w:shd w:val="clear" w:color="auto" w:fill="auto"/>
          <w:lang w:val="en-US" w:eastAsia="zh-CN"/>
          <w14:textFill>
            <w14:solidFill>
              <w14:schemeClr w14:val="tx1"/>
            </w14:solidFill>
          </w14:textFill>
        </w:rPr>
        <w:t xml:space="preserve">五</w:t>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章、</w:t>
      </w:r>
      <w:r>
        <w:rPr>
          <w:rStyle w:val="738"/>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Style w:val="738"/>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响应文件的组成</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ab/>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begin"/>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instrText xml:space="preserve"> PAGEREF _Toc102655459 \h </w:instrTex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separate"/>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32</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fldChar w:fldCharType="end"/>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cente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44"/>
          <w:szCs w:val="20"/>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br w:type="page" w:clear="all"/>
      </w:r>
      <w:r/>
    </w:p>
    <w:p>
      <w:pPr>
        <w:pStyle w:val="710"/>
        <w:rPr>
          <w:rFonts w:hint="eastAsia" w:ascii="仿宋" w:hAnsi="仿宋" w:eastAsia="仿宋" w:cs="仿宋"/>
          <w:color w:val="000000" w:themeColor="text1"/>
          <w:highlight w:val="none"/>
          <w:shd w:val="clear" w:color="auto" w:fill="auto"/>
          <w14:textFill>
            <w14:solidFill>
              <w14:schemeClr w14:val="tx1"/>
            </w14:solidFill>
          </w14:textFill>
        </w:rPr>
      </w:pPr>
      <w:r/>
      <w:bookmarkStart w:id="0" w:name="_Toc102655454"/>
      <w:r>
        <w:rPr>
          <w:rFonts w:hint="eastAsia" w:ascii="仿宋" w:hAnsi="仿宋" w:eastAsia="仿宋" w:cs="仿宋"/>
          <w:color w:val="000000" w:themeColor="text1"/>
          <w:highlight w:val="none"/>
          <w:shd w:val="clear" w:color="auto" w:fill="auto"/>
          <w14:textFill>
            <w14:solidFill>
              <w14:schemeClr w14:val="tx1"/>
            </w14:solidFill>
          </w14:textFill>
        </w:rPr>
        <w:t xml:space="preserve">第一章、参加</w:t>
      </w:r>
      <w:r>
        <w:rPr>
          <w:rFonts w:hint="eastAsia" w:ascii="仿宋" w:hAnsi="仿宋" w:eastAsia="仿宋" w:cs="仿宋"/>
          <w:color w:val="000000" w:themeColor="text1"/>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highlight w:val="none"/>
          <w:shd w:val="clear" w:color="auto" w:fill="auto"/>
          <w14:textFill>
            <w14:solidFill>
              <w14:schemeClr w14:val="tx1"/>
            </w14:solidFill>
          </w14:textFill>
        </w:rPr>
        <w:t xml:space="preserve">供应商须知前附表</w:t>
      </w:r>
      <w:bookmarkEnd w:id="0"/>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tbl>
      <w:tblPr>
        <w:tblStyle w:val="714"/>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088"/>
      </w:tblGrid>
      <w:tr>
        <w:trPr>
          <w:trHeight w:val="90"/>
        </w:trPr>
        <w:tc>
          <w:tcPr>
            <w:shd w:val="pct10" w:color="auto" w:fill="ffffff"/>
            <w:tcW w:w="1134" w:type="dxa"/>
            <w:vAlign w:val="center"/>
            <w:textDirection w:val="lrTb"/>
            <w:noWrap w:val="false"/>
          </w:tcPr>
          <w:p>
            <w:pPr>
              <w:jc w:val="center"/>
              <w:rPr>
                <w:rFonts w:hint="eastAsia" w:ascii="仿宋" w:hAnsi="仿宋" w:eastAsia="仿宋" w:cs="仿宋"/>
                <w:b/>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highlight w:val="none"/>
                <w:shd w:val="clear" w:color="auto" w:fill="auto"/>
                <w14:textFill>
                  <w14:solidFill>
                    <w14:schemeClr w14:val="tx1"/>
                  </w14:solidFill>
                </w14:textFill>
              </w:rPr>
              <w:t xml:space="preserve">序号</w:t>
            </w:r>
            <w:r/>
          </w:p>
        </w:tc>
        <w:tc>
          <w:tcPr>
            <w:shd w:val="pct10" w:color="auto" w:fill="ffffff"/>
            <w:tcW w:w="7088" w:type="dxa"/>
            <w:vAlign w:val="center"/>
            <w:textDirection w:val="lrTb"/>
            <w:noWrap w:val="false"/>
          </w:tcPr>
          <w:p>
            <w:pPr>
              <w:jc w:val="center"/>
              <w:rPr>
                <w:rFonts w:hint="eastAsia" w:ascii="仿宋" w:hAnsi="仿宋" w:eastAsia="仿宋" w:cs="仿宋"/>
                <w:b/>
                <w:color w:val="000000" w:themeColor="text1"/>
                <w:highlight w:val="none"/>
                <w:shd w:val="clear" w:color="auto" w:fill="auto"/>
                <w14:textFill>
                  <w14:solidFill>
                    <w14:schemeClr w14:val="tx1"/>
                  </w14:solidFill>
                </w14:textFill>
              </w:rPr>
            </w:pPr>
            <w:r>
              <w:rPr>
                <w:rFonts w:hint="eastAsia" w:ascii="仿宋" w:hAnsi="仿宋" w:eastAsia="仿宋" w:cs="仿宋"/>
                <w:b/>
                <w:color w:val="000000" w:themeColor="text1"/>
                <w:highlight w:val="none"/>
                <w:shd w:val="clear" w:color="auto" w:fill="auto"/>
                <w14:textFill>
                  <w14:solidFill>
                    <w14:schemeClr w14:val="tx1"/>
                  </w14:solidFill>
                </w14:textFill>
              </w:rPr>
              <w:t xml:space="preserve">内  容</w:t>
            </w:r>
            <w:r/>
          </w:p>
        </w:tc>
      </w:tr>
      <w:tr>
        <w:trPr>
          <w:trHeight w:val="645"/>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w:t>
            </w:r>
            <w:r/>
          </w:p>
        </w:tc>
        <w:tc>
          <w:tcPr>
            <w:tcW w:w="7088" w:type="dxa"/>
            <w:textDirection w:val="lrTb"/>
            <w:noWrap w:val="false"/>
          </w:tcPr>
          <w:p>
            <w:pPr>
              <w:ind w:left="1400" w:hanging="1400"/>
              <w:spacing w:line="360" w:lineRule="auto"/>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项目名称：</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南京市医疗保险管理中心水西门大街223号房屋租赁服务</w:t>
            </w:r>
            <w:r/>
          </w:p>
          <w:p>
            <w:pPr>
              <w:spacing w:line="360" w:lineRule="auto"/>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项目编号：</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JSZC-320100-TJGL-D2026-0012</w:t>
            </w:r>
            <w:r/>
          </w:p>
        </w:tc>
      </w:tr>
      <w:tr>
        <w:trPr>
          <w:trHeight w:val="647"/>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w:t>
            </w:r>
            <w:r/>
          </w:p>
        </w:tc>
        <w:tc>
          <w:tcPr>
            <w:tcW w:w="7088" w:type="dxa"/>
            <w:textDirection w:val="lrTb"/>
            <w:noWrap w:val="false"/>
          </w:tcPr>
          <w:p>
            <w:pPr>
              <w:spacing w:line="285" w:lineRule="atLeast"/>
              <w:widowControl/>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采购单位：南京市医疗保险管理中心</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采购单位地</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址：南京市水西门大街223号</w:t>
            </w:r>
            <w:r/>
          </w:p>
        </w:tc>
      </w:tr>
      <w:tr>
        <w:trPr>
          <w:trHeight w:val="1086"/>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w:t>
            </w:r>
            <w:r/>
          </w:p>
        </w:tc>
        <w:tc>
          <w:tcPr>
            <w:tcW w:w="7088" w:type="dxa"/>
            <w:textDirection w:val="lrTb"/>
            <w:noWrap w:val="false"/>
          </w:tcPr>
          <w:p>
            <w:pPr>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响应文件接收截止时间：</w:t>
            </w:r>
            <w:bookmarkStart w:id="1" w:name="OLE_LINK1"/>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08</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27</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10</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00</w:t>
            </w:r>
            <w:bookmarkEnd w:id="1"/>
            <w:r/>
            <w:r/>
          </w:p>
        </w:tc>
      </w:tr>
      <w:tr>
        <w:trPr>
          <w:trHeight w:val="238"/>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有效期：开标后</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十五(15)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天 </w:t>
            </w:r>
            <w:r/>
          </w:p>
        </w:tc>
      </w:tr>
      <w:tr>
        <w:trPr>
          <w:trHeight w:val="1677"/>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响应文件递交至：南京市雨花台区软件大道180号大数据5号楼M层B108-B</w:t>
            </w:r>
            <w:r/>
          </w:p>
          <w:p>
            <w:pPr>
              <w:jc w:val="lef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投标文件接收人：顾工、</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吴工</w:t>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电话：</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15952197379</w:t>
            </w:r>
            <w:r/>
          </w:p>
        </w:tc>
      </w:tr>
      <w:tr>
        <w:trPr>
          <w:cantSplit/>
          <w:trHeight w:val="70"/>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响应文件正本份数：壹份   副本份数：贰份</w:t>
            </w:r>
            <w:r/>
          </w:p>
        </w:tc>
      </w:tr>
      <w:tr>
        <w:trPr>
          <w:trHeight w:val="1146"/>
        </w:trPr>
        <w:tc>
          <w:tcPr>
            <w:tcW w:w="1134" w:type="dxa"/>
            <w:vAlign w:val="center"/>
            <w:textDirection w:val="lrTb"/>
            <w:noWrap w:val="false"/>
          </w:tcPr>
          <w:p>
            <w:pPr>
              <w:jc w:val="cente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w:t>
            </w:r>
            <w:r/>
          </w:p>
        </w:tc>
        <w:tc>
          <w:tcPr>
            <w:tcW w:w="7088" w:type="dxa"/>
            <w:textDirection w:val="lrTb"/>
            <w:noWrap w:val="false"/>
          </w:tcPr>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开始</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时间：</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08</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27</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10</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00</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地点：南京市雨花台区软件大道180号大数据5号楼M层B108-B</w:t>
            </w:r>
            <w:r/>
          </w:p>
        </w:tc>
      </w:tr>
    </w:tbl>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bookmarkStart w:id="2" w:name="_Toc448323472"/>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center"/>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邀请函</w:t>
      </w:r>
      <w:bookmarkEnd w:id="2"/>
      <w:r/>
      <w:r/>
    </w:p>
    <w:p>
      <w:pPr>
        <w:pStyle w:val="750"/>
        <w:ind w:firstLine="0"/>
        <w:spacing w:line="560" w:lineRule="exact"/>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lang w:eastAsia="zh-CN"/>
          <w14:textFill>
            <w14:solidFill>
              <w14:schemeClr w14:val="tx1"/>
            </w14:solidFill>
          </w14:textFill>
        </w:rPr>
        <w:t xml:space="preserve">江苏金恒商业物业管理有限公司</w:t>
      </w:r>
      <w:r>
        <w:rPr>
          <w:rFonts w:hint="eastAsia" w:ascii="仿宋" w:hAnsi="仿宋" w:eastAsia="仿宋" w:cs="仿宋"/>
          <w:b/>
          <w:color w:val="000000" w:themeColor="text1"/>
          <w:sz w:val="28"/>
          <w:highlight w:val="none"/>
          <w:shd w:val="clear" w:color="auto" w:fill="auto"/>
          <w14:textFill>
            <w14:solidFill>
              <w14:schemeClr w14:val="tx1"/>
            </w14:solidFill>
          </w14:textFill>
        </w:rPr>
        <w:t xml:space="preserve">：</w:t>
      </w:r>
      <w:r/>
    </w:p>
    <w:p>
      <w:pPr>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u w:val="single"/>
          <w:shd w:val="clear" w:color="auto" w:fill="auto"/>
          <w:lang w:eastAsia="zh-CN"/>
          <w14:textFill>
            <w14:solidFill>
              <w14:schemeClr w14:val="tx1"/>
            </w14:solidFill>
          </w14:textFill>
        </w:rPr>
        <w:t xml:space="preserve">南京通建项目管理咨询有限公司</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（以下简称“代理机构”）受</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南京市医疗保险管理中心（以下简称“采购人”）</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的委托，就</w:t>
      </w:r>
      <w:r>
        <w:rPr>
          <w:rFonts w:hint="eastAsia" w:ascii="仿宋" w:hAnsi="仿宋" w:eastAsia="仿宋" w:cs="仿宋"/>
          <w:color w:val="000000" w:themeColor="text1"/>
          <w:sz w:val="28"/>
          <w:highlight w:val="none"/>
          <w:u w:val="single"/>
          <w:shd w:val="clear" w:color="auto" w:fill="auto"/>
          <w:lang w:eastAsia="zh-CN"/>
          <w14:textFill>
            <w14:solidFill>
              <w14:schemeClr w14:val="tx1"/>
            </w14:solidFill>
          </w14:textFill>
        </w:rPr>
        <w:t xml:space="preserve">南京市医疗保险管理中心水西门大街223号房屋租赁服务</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以单一来源采购方式进行政府分散采购，我们诚恳地邀请贵公司参加，请按照单一来源采购文件的要求认真准备准时前来参加投标。</w:t>
      </w:r>
      <w:r/>
    </w:p>
    <w:p>
      <w:pPr>
        <w:pStyle w:val="750"/>
        <w:numPr>
          <w:ilvl w:val="0"/>
          <w:numId w:val="0"/>
        </w:numPr>
        <w:ind w:firstLine="560"/>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szCs w:val="24"/>
          <w:highlight w:val="none"/>
          <w:shd w:val="clear" w:color="auto" w:fill="auto"/>
          <w:lang w:val="en-US" w:eastAsia="zh-CN" w:bidi="ar-SA"/>
          <w14:textFill>
            <w14:solidFill>
              <w14:schemeClr w14:val="tx1"/>
            </w14:solidFill>
          </w14:textFill>
        </w:rPr>
        <w:t xml:space="preserve">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项目编号：</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JSZC-320100-TJGL-D2026-0012</w:t>
      </w:r>
      <w:r/>
    </w:p>
    <w:p>
      <w:pPr>
        <w:pStyle w:val="750"/>
        <w:numPr>
          <w:ilvl w:val="0"/>
          <w:numId w:val="0"/>
        </w:numPr>
        <w:ind w:firstLine="560"/>
        <w:spacing w:line="560" w:lineRule="exact"/>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szCs w:val="22"/>
          <w:highlight w:val="none"/>
          <w:shd w:val="clear" w:color="auto" w:fill="auto"/>
          <w14:textFill>
            <w14:solidFill>
              <w14:schemeClr w14:val="tx1"/>
            </w14:solidFill>
          </w14:textFill>
        </w:rPr>
        <w:t xml:space="preserve">2、项目名称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南京市医疗保险管理中心水西门大街223号房屋租赁服务</w:t>
      </w:r>
      <w:r/>
    </w:p>
    <w:p>
      <w:pPr>
        <w:pStyle w:val="750"/>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3、项目预算：</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216.81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万元</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（报价超过项目预算作无效响应处理）</w:t>
      </w:r>
      <w:r/>
    </w:p>
    <w:p>
      <w:pPr>
        <w:pStyle w:val="750"/>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4、供应商资格条件： </w:t>
      </w:r>
      <w:r/>
    </w:p>
    <w:p>
      <w:pPr>
        <w:pStyle w:val="750"/>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符合《中华人民共和国政府采购法》第二十二条规定，并提供下列材料：</w:t>
      </w:r>
      <w:r/>
    </w:p>
    <w:p>
      <w:pPr>
        <w:pStyle w:val="750"/>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供应商信用承诺函；（格式见第</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五</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章）</w:t>
      </w:r>
      <w:r/>
    </w:p>
    <w:p>
      <w:pPr>
        <w:ind w:firstLine="560"/>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）《南京市政府采购供应商信用记录表暨信用承诺书》</w:t>
      </w:r>
      <w:r/>
    </w:p>
    <w:p>
      <w:pPr>
        <w:pStyle w:val="750"/>
        <w:ind w:firstLine="560"/>
        <w:jc w:val="left"/>
        <w:spacing w:line="560" w:lineRule="exact"/>
        <w:rPr>
          <w:rFonts w:hint="eastAsia" w:ascii="仿宋" w:hAnsi="仿宋" w:eastAsia="仿宋" w:cs="仿宋"/>
          <w:sz w:val="28"/>
          <w:szCs w:val="28"/>
          <w:highlight w:val="none"/>
          <w14:textFill>
            <w14:solidFill>
              <w14:schemeClr w14:val="tx1"/>
            </w14:solidFill>
          </w14:textFill>
        </w:rPr>
      </w:pP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r>
    </w:p>
    <w:p>
      <w:pPr>
        <w:pStyle w:val="750"/>
        <w:ind w:firstLine="560"/>
        <w:jc w:val="left"/>
        <w:spacing w:line="560" w:lineRule="exact"/>
        <w:rPr>
          <w:rFonts w:hint="eastAsia" w:ascii="仿宋" w:hAnsi="仿宋" w:eastAsia="仿宋" w:cs="仿宋"/>
          <w:sz w:val="28"/>
          <w:szCs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5</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、开标时间：</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08</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27</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日北京时间</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10</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00</w:t>
      </w:r>
      <w:r/>
    </w:p>
    <w:p>
      <w:pPr>
        <w:pStyle w:val="750"/>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开标地点：南京市雨花台区软件大道180号大数据5号楼M层B108-B</w:t>
      </w:r>
      <w:r/>
    </w:p>
    <w:p>
      <w:pPr>
        <w:pStyle w:val="750"/>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、采购人：南京市医疗保险管理中心</w:t>
      </w:r>
      <w:r/>
    </w:p>
    <w:p>
      <w:pPr>
        <w:pStyle w:val="750"/>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联系人：</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赵老师</w:t>
      </w:r>
      <w:r/>
    </w:p>
    <w:p>
      <w:pPr>
        <w:pStyle w:val="750"/>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联系电话：025</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86590944</w:t>
      </w:r>
      <w:r/>
    </w:p>
    <w:p>
      <w:pPr>
        <w:pStyle w:val="750"/>
        <w:ind w:firstLine="560"/>
        <w:jc w:val="left"/>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7</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、采购代理机构：</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南京通建项目管理咨询有限公司</w:t>
      </w:r>
      <w:r/>
    </w:p>
    <w:p>
      <w:pPr>
        <w:pStyle w:val="750"/>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地点：南京市雨花台区软件大道180号大数据5号楼M层B108-B</w:t>
      </w:r>
      <w:r/>
    </w:p>
    <w:p>
      <w:pPr>
        <w:pStyle w:val="750"/>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联系人：</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顾工、吴工</w:t>
      </w:r>
      <w:r/>
    </w:p>
    <w:p>
      <w:pPr>
        <w:pStyle w:val="750"/>
        <w:ind w:firstLine="560"/>
        <w:jc w:val="left"/>
        <w:spacing w:line="560" w:lineRule="exact"/>
        <w:rPr>
          <w:rFonts w:hint="default" w:ascii="仿宋" w:hAnsi="仿宋" w:eastAsia="仿宋" w:cs="仿宋"/>
          <w:color w:val="000000" w:themeColor="text1"/>
          <w:sz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电话：</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15952197379</w:t>
      </w:r>
      <w:r/>
    </w:p>
    <w:p>
      <w:pPr>
        <w:pStyle w:val="750"/>
        <w:ind w:firstLine="560"/>
        <w:jc w:val="left"/>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邮箱：</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jiangsusjgc@163.com</w:t>
      </w:r>
      <w:r/>
    </w:p>
    <w:p>
      <w:pPr>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44"/>
          <w:szCs w:val="20"/>
          <w:highlight w:val="none"/>
          <w:shd w:val="clear" w:color="auto" w:fill="auto"/>
          <w14:textFill>
            <w14:solidFill>
              <w14:schemeClr w14:val="tx1"/>
            </w14:solidFill>
          </w14:textFill>
        </w:rPr>
      </w:pPr>
      <w:r/>
      <w:bookmarkStart w:id="3" w:name="_Toc449705439"/>
      <w:r/>
      <w:bookmarkStart w:id="4" w:name="_Toc526434253"/>
      <w:r/>
      <w:bookmarkStart w:id="5" w:name="_Toc8646820"/>
      <w:r/>
      <w:bookmarkStart w:id="6" w:name="_Toc21854401"/>
      <w:r/>
      <w:bookmarkStart w:id="7" w:name="_Toc8646821"/>
      <w:r>
        <w:rPr>
          <w:rFonts w:hint="eastAsia" w:ascii="仿宋" w:hAnsi="仿宋" w:eastAsia="仿宋" w:cs="仿宋"/>
          <w:color w:val="000000" w:themeColor="text1"/>
          <w:highlight w:val="none"/>
          <w:shd w:val="clear" w:color="auto" w:fill="auto"/>
          <w14:textFill>
            <w14:solidFill>
              <w14:schemeClr w14:val="tx1"/>
            </w14:solidFill>
          </w14:textFill>
        </w:rPr>
        <w:br w:type="page" w:clear="all"/>
      </w:r>
      <w:r/>
    </w:p>
    <w:p>
      <w:pPr>
        <w:pStyle w:val="710"/>
        <w:rPr>
          <w:rFonts w:hint="eastAsia" w:ascii="仿宋" w:hAnsi="仿宋" w:eastAsia="仿宋" w:cs="仿宋"/>
          <w:color w:val="000000" w:themeColor="text1"/>
          <w:sz w:val="30"/>
          <w:highlight w:val="none"/>
          <w:shd w:val="clear" w:color="auto" w:fill="auto"/>
          <w14:textFill>
            <w14:solidFill>
              <w14:schemeClr w14:val="tx1"/>
            </w14:solidFill>
          </w14:textFill>
        </w:rPr>
      </w:pPr>
      <w:r/>
      <w:bookmarkStart w:id="8" w:name="_Toc102655455"/>
      <w:r>
        <w:rPr>
          <w:rFonts w:hint="eastAsia" w:ascii="仿宋" w:hAnsi="仿宋" w:eastAsia="仿宋" w:cs="仿宋"/>
          <w:color w:val="000000" w:themeColor="text1"/>
          <w:highlight w:val="none"/>
          <w:shd w:val="clear" w:color="auto" w:fill="auto"/>
          <w14:textFill>
            <w14:solidFill>
              <w14:schemeClr w14:val="tx1"/>
            </w14:solidFill>
          </w14:textFill>
        </w:rPr>
        <w:t xml:space="preserve">第二章、参加</w:t>
      </w:r>
      <w:r>
        <w:rPr>
          <w:rFonts w:hint="eastAsia" w:ascii="仿宋" w:hAnsi="仿宋" w:eastAsia="仿宋" w:cs="仿宋"/>
          <w:color w:val="000000" w:themeColor="text1"/>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highlight w:val="none"/>
          <w:shd w:val="clear" w:color="auto" w:fill="auto"/>
          <w14:textFill>
            <w14:solidFill>
              <w14:schemeClr w14:val="tx1"/>
            </w14:solidFill>
          </w14:textFill>
        </w:rPr>
        <w:t xml:space="preserve">供应商须知</w:t>
      </w:r>
      <w:bookmarkEnd w:id="3"/>
      <w:r/>
      <w:bookmarkEnd w:id="8"/>
      <w:r/>
      <w:bookmarkEnd w:id="4"/>
      <w:bookmarkEnd w:id="5"/>
      <w:bookmarkEnd w:id="6"/>
      <w:bookmarkEnd w:id="7"/>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bookmarkStart w:id="9" w:name="_Toc16938519"/>
      <w:r/>
      <w:bookmarkStart w:id="10" w:name="_Toc120614214"/>
      <w:r/>
      <w:bookmarkStart w:id="11" w:name="_Toc20823275"/>
      <w:r/>
      <w:bookmarkStart w:id="12" w:name="_Toc513029203"/>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一、总则</w:t>
      </w:r>
      <w:bookmarkEnd w:id="9"/>
      <w:r/>
      <w:bookmarkEnd w:id="10"/>
      <w:r/>
      <w:bookmarkEnd w:id="11"/>
      <w:r/>
      <w:bookmarkEnd w:id="12"/>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w:t>
      </w:r>
      <w:bookmarkEnd w:id="14"/>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.采购方式</w:t>
      </w:r>
      <w:bookmarkEnd w:id="15"/>
      <w:r/>
      <w:bookmarkEnd w:id="16"/>
      <w:r/>
      <w:bookmarkEnd w:id="17"/>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1.1 本次政府采购活动采取单一来源采购方式。</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bookmarkStart w:id="18" w:name="_Toc20823277"/>
      <w:r/>
      <w:bookmarkStart w:id="19" w:name="_Toc513029205"/>
      <w:r/>
      <w:bookmarkStart w:id="20" w:name="_Toc16938521"/>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2.合格的</w:t>
      </w:r>
      <w:bookmarkEnd w:id="18"/>
      <w:r/>
      <w:bookmarkEnd w:id="19"/>
      <w:r/>
      <w:bookmarkEnd w:id="20"/>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bookmarkStart w:id="21" w:name="_Toc20823278"/>
      <w:r/>
      <w:bookmarkStart w:id="22" w:name="_Toc513029206"/>
      <w:r/>
      <w:bookmarkStart w:id="23" w:name="_Toc16938522"/>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2.1 满足采购文件对供应商资格要求的规定。</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2.2 满足采购文件规定的实质性要求和条件。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3.适用法律</w:t>
      </w:r>
      <w:bookmarkEnd w:id="21"/>
      <w:r/>
      <w:bookmarkEnd w:id="22"/>
      <w:r/>
      <w:bookmarkEnd w:id="23"/>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3.1 本次采购及由此产生的合同受中华人民共和国有关的法律法规制约和保护。</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bookmarkStart w:id="24" w:name="_Toc20823279"/>
      <w:r/>
      <w:bookmarkStart w:id="25" w:name="_Toc513029207"/>
      <w:r/>
      <w:bookmarkStart w:id="26" w:name="_Toc462564067"/>
      <w:r/>
      <w:bookmarkStart w:id="27" w:name="_Toc16938523"/>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4.相关费用</w:t>
      </w:r>
      <w:bookmarkEnd w:id="24"/>
      <w:r/>
      <w:bookmarkEnd w:id="25"/>
      <w:r/>
      <w:bookmarkEnd w:id="26"/>
      <w:r/>
      <w:bookmarkEnd w:id="27"/>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4.1 供应商应自行承担所有与参加本次采购有关的费用，无论采购过程中的做法和结果如何，代理机构在任何情况下均无义务和责任承担这些费用。</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4.2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本次采购代理服务费包含在项目总预算中，按照江苏省财政厅《关于进一步规范政府采购活动相关费用管理的通知》（苏财规〔2026〕1 号） 规定第一款第三条执行，由中标供应商向采购代理机构支付。供应商报价应当包含代理服务费，相关费用由中标供应商在领取中标通知书时一次性结清。</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4.3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代理服务费收费标准参照国家计委《招标代理服务收费管理暂行办法》（计价格〔2002〕1980 号）</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×80%</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计取。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5718175" cy="2461260"/>
                <wp:effectExtent l="0" t="0" r="9525" b="2540"/>
                <wp:docPr id="3" name="图片 4"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622eedd394c3ec7b3638eaf75c227fd2"/>
                        <pic:cNvPicPr>
                          <a:picLocks noChangeAspect="1"/>
                        </pic:cNvPicPr>
                        <pic:nvPr/>
                      </pic:nvPicPr>
                      <pic:blipFill>
                        <a:blip r:embed="rId14"/>
                        <a:srcRect l="883" t="0" r="1114" b="10387"/>
                        <a:stretch/>
                      </pic:blipFill>
                      <pic:spPr bwMode="auto">
                        <a:xfrm>
                          <a:off x="0" y="0"/>
                          <a:ext cx="5718175" cy="246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2pt;height:193.8pt;mso-wrap-distance-left:0.0pt;mso-wrap-distance-top:0.0pt;mso-wrap-distance-right:0.0pt;mso-wrap-distance-bottom:0.0pt;" stroked="false">
                <v:path textboxrect="0,0,0,0"/>
                <v:imagedata r:id="rId14" o:title=""/>
              </v:shape>
            </w:pict>
          </mc:Fallback>
        </mc:AlternateConten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注：</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招标代理服务收费按差额定率累进法计算。如</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服务项目</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中标金额为216.81万元，计算招标代理服务收费额如下：</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金额区间</w:t>
            </w:r>
            <w:r/>
          </w:p>
        </w:tc>
        <w:tc>
          <w:tcPr>
            <w:tcW w:w="1348"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费率</w:t>
            </w:r>
            <w:r/>
          </w:p>
        </w:tc>
        <w:tc>
          <w:tcPr>
            <w:tcW w:w="2245"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计算金额（万元）</w:t>
            </w:r>
            <w:r/>
          </w:p>
        </w:tc>
        <w:tc>
          <w:tcPr>
            <w:tcW w:w="2082"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代理费（万元）</w:t>
            </w:r>
            <w:r/>
          </w:p>
        </w:tc>
      </w:tr>
      <w:tr>
        <w:trPr>
          <w:jc w:val="center"/>
        </w:trPr>
        <w:tc>
          <w:tcPr>
            <w:tcW w:w="2475" w:type="dxa"/>
            <w:textDirection w:val="lrTb"/>
            <w:noWrap w:val="false"/>
          </w:tcPr>
          <w:p>
            <w:pPr>
              <w:jc w:val="left"/>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100万以下</w:t>
            </w:r>
            <w:r/>
          </w:p>
        </w:tc>
        <w:tc>
          <w:tcPr>
            <w:tcW w:w="1348"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1.5%</w:t>
            </w:r>
            <w:r/>
          </w:p>
        </w:tc>
        <w:tc>
          <w:tcPr>
            <w:tcW w:w="2245"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100</w:t>
            </w:r>
            <w:r/>
          </w:p>
        </w:tc>
        <w:tc>
          <w:tcPr>
            <w:tcW w:w="2082"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1.5</w:t>
            </w:r>
            <w:r/>
          </w:p>
        </w:tc>
      </w:tr>
      <w:tr>
        <w:trPr>
          <w:jc w:val="center"/>
        </w:trPr>
        <w:tc>
          <w:tcPr>
            <w:tcW w:w="2475" w:type="dxa"/>
            <w:textDirection w:val="lrTb"/>
            <w:noWrap w:val="false"/>
          </w:tcPr>
          <w:p>
            <w:pPr>
              <w:jc w:val="left"/>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100万—500万</w:t>
            </w:r>
            <w:r/>
          </w:p>
        </w:tc>
        <w:tc>
          <w:tcPr>
            <w:tcW w:w="1348" w:type="dxa"/>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0.8%</w:t>
            </w:r>
            <w:r/>
          </w:p>
        </w:tc>
        <w:tc>
          <w:tcPr>
            <w:tcW w:w="2245"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16.81</w:t>
            </w:r>
            <w:r/>
          </w:p>
        </w:tc>
        <w:tc>
          <w:tcPr>
            <w:tcW w:w="2082" w:type="dxa"/>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0.93448</w:t>
            </w:r>
            <w:r/>
          </w:p>
        </w:tc>
      </w:tr>
      <w:tr>
        <w:trPr>
          <w:jc w:val="center"/>
        </w:trPr>
        <w:tc>
          <w:tcPr>
            <w:gridSpan w:val="3"/>
            <w:tcW w:w="6068" w:type="dxa"/>
            <w:textDirection w:val="lrTb"/>
            <w:noWrap w:val="false"/>
          </w:tcPr>
          <w:p>
            <w:pPr>
              <w:jc w:val="center"/>
              <w:spacing w:line="36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代理费</w:t>
            </w:r>
            <w:r/>
          </w:p>
        </w:tc>
        <w:tc>
          <w:tcPr>
            <w:tcW w:w="2082" w:type="dxa"/>
            <w:textDirection w:val="lrTb"/>
            <w:noWrap w:val="false"/>
          </w:tcPr>
          <w:p>
            <w:pPr>
              <w:jc w:val="cente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2.43448</w:t>
            </w:r>
            <w:r/>
          </w:p>
        </w:tc>
      </w:tr>
    </w:tbl>
    <w:p>
      <w:pPr>
        <w:ind w:firstLine="560"/>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pPr>
      <w:r/>
      <w:bookmarkStart w:id="28" w:name="_Toc21854415"/>
      <w:r/>
      <w:bookmarkStart w:id="29" w:name="_Toc449705442"/>
      <w:r/>
      <w:bookmarkStart w:id="30" w:name="_Toc8646836"/>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账户名称：</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南京通建项目管理咨询有限公司</w:t>
      </w:r>
      <w:r/>
    </w:p>
    <w:p>
      <w:pPr>
        <w:ind w:firstLine="560"/>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开 户 行：中国银行南京东宝路支行 </w:t>
      </w:r>
      <w:r/>
    </w:p>
    <w:p>
      <w:pPr>
        <w:ind w:firstLine="560"/>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账   号：480676846430</w:t>
      </w:r>
      <w:bookmarkEnd w:id="28"/>
      <w:bookmarkEnd w:id="29"/>
      <w:bookmarkEnd w:id="30"/>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5.采购文件的约束力</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二、采购文件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6.采购文件构成</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6.1 采购文件由以下部分组成：</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（1）单一来源采购邀请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（2）供应商须知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（3）采购需求</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（4）合同主要条款及格式</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（5）响应文件格式及附件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供应商应仔细检查采购文件是否齐全，如有缺漏请立即与代理机构联系。</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7.采购文件的澄清</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7.1 供应商如果要求对采购文件进行澄清的，应在响应文件接收截止时间（以下简称“截止时间”）三天前，在苏采云系统中通知代理机构。代理机构将在苏采云系统中对澄清要求予以答复。</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8.采购文件的修改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8.1 在截止时间前，代理机构可以以补充文件的方式对采购文件进行修改。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8.2 代理机构有权按照政府采购的有关要求推迟截止时间。</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8.3 采购文件的补充文件将作为采购文件的组成部分，并对供应商具有约束力。</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三、响应文件的编制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9.响应文件的语言及度量衡单位</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9.1 供应商提交的响应文件以及供应商与代理机构就有关采购活动的所有来往通知、函件和文件均应使用简体中文。</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9.2 除技术性能另有规定外，响应文件所使用的度量衡单位，均须采用国家法定计量单位。</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10.响应文件构成</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10.1 供应商编写的响应文件应包括资格证明文件、符合性证明文件、单一来源报价表、响应及偏离表、其他证明文件、投标申请及声明等部分。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包括但不限于下列文件，其中加“★”项目不得有缺失或无效。</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★（1）单一来源报价表；</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★（2）投标申请及声明；</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★（3）法定代表人身份证复印件或法定代表人授权委托书及委托代理人的身份证复印件；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采购需求响应及偏离表</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11.证明供应商及响应标的符合采购文件规定的文件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11.1 供应商应按照法律、法规、规章和规范性文件以及采购文件要求提交证明文件，证明其及响应标的符合采购文件规定。</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11.2 采购文件对证明文件无明确形式要求的，证明文件可以以文字资料、图纸和数据等形式提交。</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12.分项报价表（如有）</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12.1 供应商应按照采购文件规定格式填报分项报价表。</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12.2 响应文件中的单价和总价无特殊规定的采用人民币报价，以元为单位标注。采购文件另有规定的按规定执行。</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13.响应及偏离表</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13.1 供应商需对采购文件中的技术要求与商务要求逐项作出响应或偏离说明。</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13.2 供应商可在响应文件中提供认为需要的其他技术文件或说明。</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14.单一来源申请及声明</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14.1 供应商应按照采购文件中提供的格式完整、正确填写单一来源申请及声明。</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15.单一来源采购有效期</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15.1 单一来源采购有效期（以下简称“有效期”）为代理机构规定的响应文件接收截止之日后三十天。有效期比规定期限短的将被视为未响应采购文件要求而予以拒绝。</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16.有效期的延长</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16.1 在特殊情况下，代理机构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四、响应文件的递交</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17.电子响应文件的递交</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17.1 响应文件应加盖投标供应商公章。</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17.2 供应商应当按照《操作手册》规定，在截止时间前制作并上传电子响应文件。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17.3 供应商应充分考虑到网络环境、网络带宽等风险因素，如因供应商自身原因造成的电子响应文件上传不成功由供应商自行承担全部责任，并按照本采购文件第二章第24.3条规定做无效响应处理。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17.4 代理机构可以按照规定，通过修改采购文件酌情延长截止时间，在此情况下，供应商的所有权利和义务均以延长后新的截止时间为准。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18.响应文件的拒收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18.1 截止时间后上传的任何响应文件将被拒绝。</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19.响应文件的撤回和修改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19.1 响应文件的撤回</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19.1.1供应商可在截止时间前，撤回其电子响应文件，具体操作方法见《操作手册》。</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19.1.2供应商撤回电子响应文件，则认为其不再参与本项目采购活动。</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19.2 响应文件的修改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19.2.1供应商可在截止时间前，对其电子响应文件进行修改，具体操作方法见《操作手册》。</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19.2.2 在截止时间之后，供应商不得对其电子响应文件作任何修改。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19.3 在截止时间至有效期满之间的这段时间内，供应商不得撤回其响应文件。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五、响应文件的解密与评审</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20.响应文件解密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20.1 供应商应当按照《操作手册》规定，在苏采云系统规定的时间内对响应文件进行解密。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21.单一来源采购小组</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21.1 依法组建的单一来源采购小组（以下简称“采购小组”）对响应文件进行评审。</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21.2 采购小组应当按照客观、公正、审慎的原则评审供应商的响应文件，并与供应商协商采购标的的价格。</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22.采购过程的保密与公正</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22.1 采购小组、采购人和代理机构工作人员、相关监督人员等与评审工作有关的人员，对评审情况以及在评审过程中获悉的国家秘密、商业秘密负有保密责任。</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22.2 供应商不得以任何行为影响评审过程，否则将会导致其响应文件被拒绝。</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23.评审过程中的澄清</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23.1 项目评审过程中，采购小组有权要求供应商对响应文件中含义不明确、同类问题表述不一致或者有明显文字和计算错误的内容等作出必要的澄清、说明或者更正。</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23.2 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23.3 接到采购小组澄清、说明和更正要求的供应商如未按规定做出澄清、说明和更正，其风险由供应商自行承担。</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24.对响应文件的审查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24.1 响应文件审查分为资格审查和符合性审查。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24.1.1资格审查。由采购小组依据法律法规和采购文件的规定，对响应文件中的资格证明文件进行审查，以确定供应商是否具备参加单一来源采购的资格。</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采购小组在进行资格审查时，将在“信用中国”网站（www.creditchina.gov.cn）查询供应商的信用记录，以确定供应商是否具备采购资格，查询结果留存并归档。</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24.1.2符合性审查。依据采购文件的规定，由采购小组从响应文件的有效性、完整性和对采购文件的响应程度进行审查，以确定是否对采购文件的实质性要求作出响应。</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24.1.3未通过资格审查或符合性审查的供应商，采购小组将通过苏采云系统告知具体原因，评审结束后将不再接受有关询问。</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24.2 在详细评审之前，采购小组将首先审查响应文件是否实质性响应了采购文件的要求。实质性响应的响应文件应该是与采购文件要求的条款、条件和规格相符，没有重大偏离或保留的文件。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所谓重大偏离或保留是指与采购文件规定的实质性要求存在负偏离，或者在实质上与采购文件不一致，而且限制了合同中采购人的权利或供应商的义务。重大偏离的认定由询采购小组按照少数服从多数的原则作出结论。采购小组认定响应文件的响应性只根据响应文件本身的内容，而不寻求外部的证据。</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 未实质性响应采购文件的情形</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24.3.1供应商在苏采云系统规定的时间内未成功解密电子响应文件。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24.3.2供应商未按照采购文件要求上传电子响应文件。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24.3.3供应商提交两个（含两个）以上不同的响应文件或者最后报价。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24.3.4供应商不具备采购文件规定的资格要求。</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24.3.5供应商的最后报价超过了采购预算或最高限价。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24.3.6不符合采购文件中规定的实质性要求和条件（本文件中斜体且有下划线部分或者打“★”内容，为实质性要求和条件）。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24.3.8响应文件含有采购人不能接受的附加条件。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24.3.9采购产品被财政部、国家发改委、生态环境部等列入“节能产品品目清单”强制采购范围，而供应商提供的产品不在强制采购范围内。</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24.3.10响应文件未按照采购文件要求加盖电子公章。</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24.3.11法律法规及本采购文件规定的其他无效响应的情形。</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24.4 未实质性响应采购文件的响应文件按无效响应处理。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24.5 如果响应文件实质上没有响应采购文件的要求，采购小组将予以拒绝。</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24.6 供应商在项目评审全过程中应保持通讯畅通，及时登录苏采云系统查阅、答复相关信息，并安排专人与代理机构及采购小组联系。</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25.采购程序及成交原则</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25.1 采购程序</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25.1.1对于通过资格审查和符合性审查的供应商，采购小组将通过苏采云系统与其就采购标的的价格、服务等内容进行谈判。</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25.1.2供应商应当在苏采云系统中以书面形式对采购过程中的承诺与澄清进行确认，并在采购小组规定的时间内完成最后报价。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25.2 成交原则</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采购小组根据政府采购相关法律、法规、规章的规定，在供应商的响应能保证采购项目质量且最后报价合理的基础上确定其为成交供应商。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25.3 单一来源采购终止</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出现下列情形之一的，本次采购活动终止：</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25.3.1因情况变化，不再符合规定的单一来源采购方式适用情形。</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25.3.2出现影响采购公正的违法、违规行为。</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25.3.3供应商最后报价超过采购预算或最高限价。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25.3.4供应商的技术方案、服务承诺、商务条款等不能满足采购人要求。</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25.3.5法律法规规定的其他应当终止情形。</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六、成交</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26.确定成交供应商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26.1 采购小组根据谈判情况编写单一来源评审报告，确定成交供应商。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26.2 若有充分证据证明，成交供应商出现下列情况之一的，一经查实，将被取消成交资格：</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26.2.1提供虚假材料谋取成交。</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26.2.2向评审专家、采购人或代理机构工作人员行贿或者提供其他不正当利益。</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26.2.3与评审专家、采购人或代理机构工作人员恶意串通。</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26.2.4恶意竞争，最后报价明显低于其自身合理成本且又无法提供证明。</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26.2.5不满足本采购文件规定的实质性要求，但在评审过程中又未被采购小组发现。</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成交供应商被取消成交资格后，代理机构有权重新组织采购。</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27.成交通知书</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七、授予合同</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28.签订合同</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28.l 成交供应商应当在《成交通知书》发出之日起三十日内，按照采购文件确定的事项与采购人签订政府采购合同。</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28.2 采购文件、成交供应商的响应文件及谈判过程中有关澄清、承诺文件均作为合同附件。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28.4 成交供应商因自身原因拒绝与采购人签订合同的，不得参加采购人重新组织的采购活动，且将可能被拒绝参加该采购人一年内的其他政府采购活动。</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29.标的物的追加</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29.1 政府采购合同履行中，采购人需追加与合同标的相同的货物、服务（包含与货物相关的服务或与服务相关的货物）的，在不改变合同其他条款的前提下，可以与成交供应商协商签订补充合同，但所有补充合同的采购金额不超过原合同金额10%。</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八、质疑</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30.供应商认为采购文件、采购过程和采购结果使自己的权益受到损害的，可以在知道或应知其权益受到损害之日起七个工作日内，按照第32条、第33条之规定以书面形式向采购人或代理机构提出质疑。上述应知其权益受到损害之日是指：</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30.1 对采购文件提出质疑的，为收到采购文件之日。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30.2 对采购过程提出质疑的，为各采购程序环节结束之日。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30.3 对成交结果提出质疑的，为成交结果公告期限届满之日。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31.供应商应当在法定质疑期内一次性提出针对同一采购程序环节的质疑。供应商如在法定期限内对同一采购程序环节提出多次质疑的，代理机构或采购人将只对供应商第一次质疑作出答复。</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32.供应商提出质疑应提交《质疑函》原件，且尽可能通过邮寄方式送达，代理机构和采购人不接受无运单的快件。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33.供应商对采购方式、采购需求、供应商资格条件及审查结果、评审方法和评审标准、合同文本的询问、质疑向采购人提出，由采购人负责答复。供应商对除上述事项以外其他事项的询问、质疑向代理机构提出，由代理机构负责答复。  </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采购人《质疑函》接收人及联系方式见采购文件第一章。</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代理机构《质疑函》接收人及联系方式见招标文件第一章。 </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34.以下情形的质疑不予受理：</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34.1 内容不符合《政府采购质疑和投诉办法》第十二条规定的质疑。</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34.2 超出政府采购法定期限的质疑。</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34.3 以传真、电子邮件等方式递交的非原件形式的质疑。</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34.4 法律法规规定的其他不予受理情形。</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九、政策功能落实</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36.促进中小企业发展</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36.1 在政府采购活动中，供应商提供的货物或者服务符合下列情形的，享受中小企业扶持政策：</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（1）在货物采购项目中，全部货物由中小企业制造；</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（2）在服务采购项目中，服务由中小企业承接。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36.2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36.3 中小企业参加政府采购活动，应当出具《中小企业声明函》，否则不享受相关中小企业支持政策。</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36.4 以联合体形式参加政府采购活动，联合体各方均为中小企业的，联合体视同中小企业。其中，联合体各方均为小微企业的，联合体视同小微企业。</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36.5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36.6 残疾人福利性单位视同小型、微型企业。按照《关于促进残疾人就业政府采购政策的通知》（财库〔2017〕141号）规定，残疾人福利单位需提供《残疾人福利性单位声明函》。</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37.节能环保产品</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spacing w:line="360" w:lineRule="auto"/>
        <w:rPr>
          <w:rFonts w:hint="eastAsia" w:ascii="仿宋" w:hAnsi="仿宋" w:eastAsia="仿宋" w:cs="仿宋"/>
          <w:b/>
          <w:bCs/>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37.2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仿宋" w:hAnsi="仿宋" w:eastAsia="仿宋" w:cs="仿宋"/>
          <w:b/>
          <w:bCs/>
          <w:color w:val="000000" w:themeColor="text1"/>
          <w:sz w:val="28"/>
          <w:highlight w:val="none"/>
          <w:shd w:val="clear" w:color="auto" w:fill="auto"/>
          <w14:textFill>
            <w14:solidFill>
              <w14:schemeClr w14:val="tx1"/>
            </w14:solidFill>
          </w14:textFill>
        </w:rPr>
        <w:br w:type="page" w:clear="all"/>
      </w:r>
      <w:r/>
    </w:p>
    <w:p>
      <w:pPr>
        <w:pStyle w:val="71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10"/>
        <w:jc w:val="center"/>
        <w:rPr>
          <w:rFonts w:hint="eastAsia" w:ascii="仿宋" w:hAnsi="仿宋" w:eastAsia="仿宋" w:cs="仿宋"/>
          <w:color w:val="000000" w:themeColor="text1"/>
          <w:highlight w:val="none"/>
          <w:shd w:val="clear" w:color="auto" w:fill="auto"/>
          <w14:textFill>
            <w14:solidFill>
              <w14:schemeClr w14:val="tx1"/>
            </w14:solidFill>
          </w14:textFill>
        </w:rPr>
      </w:pPr>
      <w:r/>
      <w:bookmarkStart w:id="31" w:name="_Toc449705446"/>
      <w:r/>
      <w:bookmarkStart w:id="32" w:name="_Toc102655456"/>
      <w:r>
        <w:rPr>
          <w:rFonts w:hint="eastAsia" w:ascii="仿宋" w:hAnsi="仿宋" w:eastAsia="仿宋" w:cs="仿宋"/>
          <w:color w:val="000000" w:themeColor="text1"/>
          <w:highlight w:val="none"/>
          <w:shd w:val="clear" w:color="auto" w:fill="auto"/>
          <w14:textFill>
            <w14:solidFill>
              <w14:schemeClr w14:val="tx1"/>
            </w14:solidFill>
          </w14:textFill>
        </w:rPr>
        <w:t xml:space="preserve">第三章、项目需求</w:t>
      </w:r>
      <w:bookmarkEnd w:id="31"/>
      <w:r/>
      <w:bookmarkEnd w:id="32"/>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outlineLvl w:val="2"/>
      </w:pPr>
      <w:r/>
      <w:bookmarkStart w:id="33" w:name="_Toc449705451"/>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一、项目概况</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outlineLvl w:val="9"/>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1、项目名称：</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南京市医疗保险管理中心水西门大街223号房屋租赁服务</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2、项目编号：</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JSZC-320100-TJGL-D2026-0012</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3、项目预算：</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216.81</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万元</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（报价超过项目预算作无效响应处理）</w:t>
      </w:r>
      <w:r/>
    </w:p>
    <w:p>
      <w:pPr>
        <w:ind w:firstLine="560"/>
        <w:jc w:val="left"/>
        <w:spacing w:line="560" w:lineRule="exact"/>
        <w:rPr>
          <w:rFonts w:hint="default" w:ascii="仿宋" w:hAnsi="仿宋" w:eastAsia="仿宋" w:cs="仿宋"/>
          <w:color w:val="000000" w:themeColor="text1"/>
          <w:sz w:val="28"/>
          <w:szCs w:val="28"/>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4、服务期限：</w:t>
      </w:r>
      <w:r>
        <w:rPr>
          <w:rFonts w:hint="eastAsia" w:ascii="仿宋" w:hAnsi="仿宋" w:eastAsia="仿宋" w:cs="仿宋"/>
          <w:color w:val="000000" w:themeColor="text1"/>
          <w:sz w:val="28"/>
          <w:szCs w:val="28"/>
          <w:highlight w:val="none"/>
          <w:shd w:val="clear" w:color="auto" w:fill="auto"/>
          <w:lang w:val="en-US" w:eastAsia="zh-CN"/>
          <w14:textFill>
            <w14:solidFill>
              <w14:schemeClr w14:val="tx1"/>
            </w14:solidFill>
          </w14:textFill>
        </w:rPr>
        <w:t xml:space="preserve">自合同签订之日起一年。</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outlineLvl w:val="2"/>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二、项目要求</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1、供应商须保障房屋所在地的出行安全系数高，所有设计与施工达到国家标准。房屋内部公共空间宽敞。所有设计与建设均须达到国家标准。</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2、为保障采购人单位实际工作需求，降低支出成本。供应商所提供房屋应距离南京市建邺区水西门大街61号直线距离不得超过3公里。</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3、供应商应保证房屋及内部设施（如租赁楼层的用水、用电、洗手间和开水间设备、中央空调、消防设施、办公房门窗等）于租赁时完好，符合有关法规及安全使用标准。</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4、采购人在房屋使用中，房屋及附属设施出现或者发生妨碍安全使用的损害或故障时，供应商接到采购人修缮的通知后，有义务及时进行维修，如供应商拒不维修或者延时维修妨碍采购人正常使用，可由采购人自行修缮，修缮费用抵消租赁费用。</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5、在本合同租赁期内，如该房屋发生转让时，供应商应及时通知采购人,本合同继续履行。</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6、未经供应商书面同意，采购人不得将该房屋全部或部分转租转借他人。</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7、供应商有权不定期的对房屋及采购人本合同项下的义务，进行监督检查，采购人应给予配合。</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8、供应商应免费提供不少于10个停车位，总共提供不少于12个停车位额度，并帮助安排外来办事车辆的地面停车问题。</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outlineLvl w:val="2"/>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三、其他要求</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1、供应商在签订合同前所需的各项授权、审批，以及内部决策等在内的一切批准手续均已合法有效取得。</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2、供应商应保障正常办公所需的用水、用电。若遇到不可避免的情况需要停水、停电的应提前告知。若发生不可抗力导致停电、停水等现象的，应及时与采购人保持沟通，并最大限度内恢复正常使用。</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3、本次采购项目报价应包括租赁费、税金及本项目包含的所有风险、责任等各项应有费用。</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4、供应商须承诺租赁期间不论房屋产权是否发生变化，保证采购人在现有办公场地不受侵占。</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5、租赁期间因不可抗力的原因导致房屋毁损和造成供应商损失的，采购人不承担任何责任。</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6、供应商出租给采购人的房屋是合法取得的，且不会因为采购人的使用而被责令停止使用、追偿或要求赔偿损失，如出现此情况，一切经济和法律责任均由供应商承担。</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7、质量保证：由供应商按采购文件要求自行制定服务方案，并提供服务质量、标准，项目实施期间按此服务标准执行。</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8、成交供应商在与采购人确认好交接房屋具体日期时，须提前对房屋进行清洁打扫，对装修好的房屋进行开窗通风，更换影响采购人使用的不合格设备及配件。保证采购人能够顺利入驻，并开展相关工作。</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outlineLvl w:val="2"/>
      </w:pP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四、付款条件</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1、本合同签订后，采购人向成交供应商支付7个月费用，余下5个月费用由双方另行协商确定。</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2、采购人依据实际成交单价（元/天/㎡）×实际使用天数（以合同签订日期计算）×实际承租面积，据实进行结算。</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3、如成交供应商有现行物业服务单位，则须按照不超过0.27元/天/㎡的物业收费标准执行；如成交供应商无现有物业服务单位，则采购人将另行选定。</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4、每次付款前成交供应商应提供等额发票，否则采购人有权拒绝付款。</w:t>
      </w:r>
      <w:r/>
    </w:p>
    <w:p>
      <w:pPr>
        <w:ind w:firstLine="562"/>
        <w:jc w:val="left"/>
        <w:spacing w:line="560" w:lineRule="exact"/>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outlineLvl w:val="2"/>
      </w:pPr>
      <w:r>
        <w:rPr>
          <w:rFonts w:hint="eastAsia" w:ascii="仿宋" w:hAnsi="仿宋" w:eastAsia="仿宋" w:cs="仿宋"/>
          <w:b/>
          <w:bCs w:val="0"/>
          <w:color w:val="000000" w:themeColor="text1"/>
          <w:sz w:val="28"/>
          <w:szCs w:val="28"/>
          <w:highlight w:val="none"/>
          <w:shd w:val="clear" w:color="auto" w:fill="auto"/>
          <w:lang w:val="en-US" w:eastAsia="zh-CN"/>
          <w14:textFill>
            <w14:solidFill>
              <w14:schemeClr w14:val="tx1"/>
            </w14:solidFill>
          </w14:textFill>
        </w:rPr>
        <w:t xml:space="preserve">五</w:t>
      </w:r>
      <w:r>
        <w:rPr>
          <w:rFonts w:hint="eastAsia" w:ascii="仿宋" w:hAnsi="仿宋" w:eastAsia="仿宋" w:cs="仿宋"/>
          <w:b/>
          <w:bCs w:val="0"/>
          <w:color w:val="000000" w:themeColor="text1"/>
          <w:sz w:val="28"/>
          <w:szCs w:val="28"/>
          <w:highlight w:val="none"/>
          <w:shd w:val="clear" w:color="auto" w:fill="auto"/>
          <w14:textFill>
            <w14:solidFill>
              <w14:schemeClr w14:val="tx1"/>
            </w14:solidFill>
          </w14:textFill>
        </w:rPr>
        <w:t xml:space="preserve">、其他</w:t>
      </w:r>
      <w:r/>
    </w:p>
    <w:p>
      <w:pPr>
        <w:ind w:firstLine="560"/>
        <w:jc w:val="left"/>
        <w:spacing w:line="560" w:lineRule="exact"/>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val="0"/>
          <w:bCs/>
          <w:color w:val="000000" w:themeColor="text1"/>
          <w:sz w:val="28"/>
          <w:szCs w:val="28"/>
          <w:highlight w:val="none"/>
          <w:shd w:val="clear" w:color="auto" w:fill="auto"/>
          <w14:textFill>
            <w14:solidFill>
              <w14:schemeClr w14:val="tx1"/>
            </w14:solidFill>
          </w14:textFill>
        </w:rPr>
        <w:t xml:space="preserve">1、如有疑问请与采购人联系。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br w:type="page" w:clear="all"/>
      </w:r>
      <w:bookmarkEnd w:id="33"/>
      <w:r/>
      <w:r/>
    </w:p>
    <w:p>
      <w:pPr>
        <w:pStyle w:val="710"/>
        <w:rPr>
          <w:rFonts w:hint="eastAsia" w:ascii="仿宋" w:hAnsi="仿宋" w:eastAsia="仿宋" w:cs="仿宋"/>
          <w:color w:val="000000" w:themeColor="text1"/>
          <w:highlight w:val="none"/>
          <w:shd w:val="clear" w:color="auto" w:fill="auto"/>
          <w14:textFill>
            <w14:solidFill>
              <w14:schemeClr w14:val="tx1"/>
            </w14:solidFill>
          </w14:textFill>
        </w:rPr>
      </w:pPr>
      <w:r/>
      <w:bookmarkStart w:id="34" w:name="_Toc102655458"/>
      <w:r/>
      <w:bookmarkStart w:id="35" w:name="_Toc8646881"/>
      <w:r/>
      <w:bookmarkStart w:id="36" w:name="_Toc21790301"/>
      <w:r/>
      <w:bookmarkStart w:id="37" w:name="_Toc449705452"/>
      <w:r/>
      <w:bookmarkStart w:id="38" w:name="_Toc21854459"/>
      <w:r/>
      <w:bookmarkStart w:id="39" w:name="_Toc21854438"/>
      <w:r/>
      <w:bookmarkStart w:id="40" w:name="_Toc8646860"/>
      <w:r/>
      <w:bookmarkStart w:id="41" w:name="_Toc449705453"/>
      <w:r>
        <w:rPr>
          <w:rFonts w:hint="eastAsia" w:ascii="仿宋" w:hAnsi="仿宋" w:eastAsia="仿宋" w:cs="仿宋"/>
          <w:color w:val="000000" w:themeColor="text1"/>
          <w:highlight w:val="none"/>
          <w:shd w:val="clear" w:color="auto" w:fill="auto"/>
          <w14:textFill>
            <w14:solidFill>
              <w14:schemeClr w14:val="tx1"/>
            </w14:solidFill>
          </w14:textFill>
        </w:rPr>
        <w:t xml:space="preserve">第</w:t>
      </w:r>
      <w:r>
        <w:rPr>
          <w:rFonts w:hint="eastAsia" w:ascii="仿宋" w:hAnsi="仿宋" w:eastAsia="仿宋" w:cs="仿宋"/>
          <w:color w:val="000000" w:themeColor="text1"/>
          <w:highlight w:val="none"/>
          <w:shd w:val="clear" w:color="auto" w:fill="auto"/>
          <w:lang w:val="en-US" w:eastAsia="zh-CN"/>
          <w14:textFill>
            <w14:solidFill>
              <w14:schemeClr w14:val="tx1"/>
            </w14:solidFill>
          </w14:textFill>
        </w:rPr>
        <w:t xml:space="preserve">四</w:t>
      </w:r>
      <w:r>
        <w:rPr>
          <w:rFonts w:hint="eastAsia" w:ascii="仿宋" w:hAnsi="仿宋" w:eastAsia="仿宋" w:cs="仿宋"/>
          <w:color w:val="000000" w:themeColor="text1"/>
          <w:highlight w:val="none"/>
          <w:shd w:val="clear" w:color="auto" w:fill="auto"/>
          <w14:textFill>
            <w14:solidFill>
              <w14:schemeClr w14:val="tx1"/>
            </w14:solidFill>
          </w14:textFill>
        </w:rPr>
        <w:t xml:space="preserve">章、合同格式</w:t>
      </w:r>
      <w:bookmarkEnd w:id="34"/>
      <w:r/>
      <w:bookmarkEnd w:id="35"/>
      <w:r/>
      <w:bookmarkEnd w:id="36"/>
      <w:r/>
      <w:bookmarkEnd w:id="37"/>
      <w:r/>
      <w:bookmarkEnd w:id="38"/>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bookmarkEnd w:id="39"/>
      <w:bookmarkEnd w:id="40"/>
      <w:r/>
    </w:p>
    <w:p>
      <w:pPr>
        <w:jc w:val="center"/>
        <w:rPr>
          <w:rFonts w:hint="eastAsia" w:ascii="仿宋" w:hAnsi="仿宋" w:eastAsia="仿宋" w:cs="仿宋"/>
          <w:b/>
          <w:color w:val="000000" w:themeColor="text1"/>
          <w:sz w:val="36"/>
          <w:szCs w:val="36"/>
          <w:highlight w:val="none"/>
          <w:shd w:val="clear" w:color="auto" w:fill="auto"/>
          <w:lang w:eastAsia="zh-CN"/>
          <w14:textFill>
            <w14:solidFill>
              <w14:schemeClr w14:val="tx1"/>
            </w14:solidFill>
          </w14:textFill>
        </w:rPr>
      </w:pPr>
      <w:r>
        <w:rPr>
          <w:rFonts w:hint="eastAsia" w:ascii="仿宋" w:hAnsi="仿宋" w:eastAsia="仿宋" w:cs="仿宋"/>
          <w:b/>
          <w:color w:val="000000" w:themeColor="text1"/>
          <w:sz w:val="36"/>
          <w:szCs w:val="36"/>
          <w:highlight w:val="none"/>
          <w:shd w:val="clear" w:color="auto" w:fill="auto"/>
          <w:lang w:eastAsia="zh-CN"/>
          <w14:textFill>
            <w14:solidFill>
              <w14:schemeClr w14:val="tx1"/>
            </w14:solidFill>
          </w14:textFill>
        </w:rPr>
        <w:t xml:space="preserve">南京市医疗保险管理中心水西门大街223号房屋租赁服务</w:t>
      </w:r>
      <w:r/>
    </w:p>
    <w:p>
      <w:pPr>
        <w:jc w:val="center"/>
        <w:rPr>
          <w:rFonts w:hint="eastAsia" w:ascii="仿宋" w:hAnsi="仿宋" w:eastAsia="仿宋" w:cs="仿宋"/>
          <w:b/>
          <w:color w:val="000000" w:themeColor="text1"/>
          <w:sz w:val="36"/>
          <w:szCs w:val="36"/>
          <w:highlight w:val="none"/>
          <w:shd w:val="clear" w:color="auto" w:fill="auto"/>
          <w14:textFill>
            <w14:solidFill>
              <w14:schemeClr w14:val="tx1"/>
            </w14:solidFill>
          </w14:textFill>
        </w:rPr>
      </w:pPr>
      <w:r>
        <w:rPr>
          <w:rFonts w:hint="eastAsia" w:ascii="仿宋" w:hAnsi="仿宋" w:eastAsia="仿宋" w:cs="仿宋"/>
          <w:b/>
          <w:color w:val="000000" w:themeColor="text1"/>
          <w:sz w:val="36"/>
          <w:szCs w:val="36"/>
          <w:highlight w:val="none"/>
          <w:shd w:val="clear" w:color="auto" w:fill="auto"/>
          <w14:textFill>
            <w14:solidFill>
              <w14:schemeClr w14:val="tx1"/>
            </w14:solidFill>
          </w14:textFill>
        </w:rPr>
        <w:t xml:space="preserve">服务合同</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1400"/>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1400"/>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合同编号 ：</w:t>
      </w:r>
      <w:r/>
    </w:p>
    <w:p>
      <w:pPr>
        <w:ind w:firstLine="420"/>
        <w:spacing w:line="560" w:lineRule="exact"/>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项目名称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南京市医疗保险管理中心水西门大街223号房屋租赁服务</w:t>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采购单位 ：南京市医疗保险管理中心</w:t>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成交单位 ：                                  </w:t>
      </w:r>
      <w:r/>
    </w:p>
    <w:p>
      <w:pPr>
        <w:ind w:firstLine="42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签订日期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2026</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    月    日</w:t>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sz w:val="32"/>
          <w:highlight w:val="none"/>
          <w:shd w:val="clear" w:color="auto" w:fill="auto"/>
          <w14:textFill>
            <w14:solidFill>
              <w14:schemeClr w14:val="tx1"/>
            </w14:solidFill>
          </w14:textFill>
        </w:rPr>
      </w:pPr>
      <w:r>
        <w:rPr>
          <w:rFonts w:hint="eastAsia" w:ascii="仿宋" w:hAnsi="仿宋" w:eastAsia="仿宋" w:cs="仿宋"/>
          <w:color w:val="000000" w:themeColor="text1"/>
          <w:sz w:val="32"/>
          <w:highlight w:val="none"/>
          <w:shd w:val="clear" w:color="auto" w:fill="auto"/>
          <w14:textFill>
            <w14:solidFill>
              <w14:schemeClr w14:val="tx1"/>
            </w14:solidFill>
          </w14:textFill>
        </w:rPr>
      </w:r>
      <w:r/>
    </w:p>
    <w:p>
      <w:pPr>
        <w:ind w:firstLine="562"/>
        <w:jc w:val="center"/>
        <w:spacing w:line="560" w:lineRule="exact"/>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b/>
          <w:bCs/>
          <w:color w:val="000000" w:themeColor="text1"/>
          <w:sz w:val="28"/>
          <w:highlight w:val="none"/>
          <w:shd w:val="clear" w:color="auto" w:fill="auto"/>
          <w14:textFill>
            <w14:solidFill>
              <w14:schemeClr w14:val="tx1"/>
            </w14:solidFill>
          </w14:textFill>
        </w:rPr>
        <w:t xml:space="preserve">南京市医疗保险管理中心</w:t>
      </w:r>
      <w:r>
        <w:rPr>
          <w:rFonts w:hint="eastAsia" w:ascii="仿宋" w:hAnsi="仿宋" w:eastAsia="仿宋" w:cs="仿宋"/>
          <w:color w:val="000000" w:themeColor="text1"/>
          <w:sz w:val="28"/>
          <w:highlight w:val="none"/>
          <w:shd w:val="clear" w:color="auto" w:fill="auto"/>
          <w14:textFill>
            <w14:solidFill>
              <w14:schemeClr w14:val="tx1"/>
            </w14:solidFill>
          </w14:textFill>
        </w:rPr>
        <w:br w:type="page" w:clear="all"/>
      </w:r>
      <w:r>
        <w:rPr>
          <w:rFonts w:hint="eastAsia" w:ascii="仿宋" w:hAnsi="仿宋" w:eastAsia="仿宋" w:cs="仿宋"/>
          <w:color w:val="000000" w:themeColor="text1"/>
          <w:sz w:val="24"/>
          <w:highlight w:val="none"/>
          <w:shd w:val="clear" w:color="auto" w:fill="auto"/>
          <w:lang w:val="zh-CN"/>
          <w14:textFill>
            <w14:solidFill>
              <w14:schemeClr w14:val="tx1"/>
            </w14:solidFill>
          </w14:textFill>
        </w:rPr>
        <w:t xml:space="preserve">（以下为成交后签订本项目合同的通用条款，成交供应商不得提出实质性修改，关于专用条款将由采购人与成交供应商结合本项目具体情况协商后签订）</w:t>
      </w:r>
      <w:r/>
    </w:p>
    <w:p>
      <w:pPr>
        <w:ind w:firstLine="560"/>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合同编号：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政府采购计划号：</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采购人：（以下称甲方）            供应商：（以下称乙方）</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住所地：                         住所地：</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根据《中华人民共和国政府采购法》、《中华人民共和国民法典》等法律法规的规定</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甲乙双方按照</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南京通建项目管理咨询有限公司</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采购结果签订本合同。</w:t>
      </w:r>
      <w:r/>
    </w:p>
    <w:p>
      <w:pPr>
        <w:ind w:firstLine="562"/>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第一条合同标的</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  乙方根据甲方需求提供下列服务：</w:t>
      </w:r>
      <w:r/>
    </w:p>
    <w:p>
      <w:pPr>
        <w:ind w:firstLine="420"/>
        <w:spacing w:line="560" w:lineRule="exact"/>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乙方根据甲方需求提供下列服务：</w:t>
      </w:r>
      <w:r>
        <w:rPr>
          <w:rFonts w:hint="eastAsia" w:ascii="仿宋" w:hAnsi="仿宋" w:eastAsia="仿宋" w:cs="仿宋"/>
          <w:color w:val="000000" w:themeColor="text1"/>
          <w:sz w:val="28"/>
          <w:highlight w:val="none"/>
          <w:u w:val="single"/>
          <w:shd w:val="clear" w:color="auto" w:fill="auto"/>
          <w:lang w:val="zh-CN"/>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，详见乙方响应文件。</w:t>
      </w:r>
      <w:r/>
    </w:p>
    <w:p>
      <w:pPr>
        <w:ind w:firstLine="420"/>
        <w:spacing w:line="560" w:lineRule="exact"/>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 合同期限为：    年   月  日至   年   月  日</w:t>
      </w:r>
      <w:r/>
    </w:p>
    <w:p>
      <w:pPr>
        <w:ind w:firstLine="562"/>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第二条 合同价款</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  本合同项下价款为___________（大写）人民币，分项价款在“投标报价表”中有明确规定。</w:t>
      </w:r>
      <w:r/>
    </w:p>
    <w:p>
      <w:pPr>
        <w:ind w:firstLine="560"/>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本合同价款是完成本项目所发生的所有含税费用、支付给员工的工资和国家强制缴纳的各种社会保障资金，以及乙方认为需要的其他费用等。</w:t>
      </w:r>
      <w:r/>
    </w:p>
    <w:p>
      <w:pPr>
        <w:ind w:firstLine="562"/>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第三条 组成本合同的有关文件</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  下列关于</w:t>
      </w:r>
      <w:r>
        <w:rPr>
          <w:rFonts w:hint="eastAsia" w:ascii="仿宋" w:hAnsi="仿宋" w:eastAsia="仿宋" w:cs="仿宋"/>
          <w:color w:val="000000" w:themeColor="text1"/>
          <w:sz w:val="28"/>
          <w:szCs w:val="28"/>
          <w:highlight w:val="none"/>
          <w:u w:val="single"/>
          <w:shd w:val="clear" w:color="auto" w:fill="auto"/>
          <w:lang w:eastAsia="zh-CN"/>
          <w14:textFill>
            <w14:solidFill>
              <w14:schemeClr w14:val="tx1"/>
            </w14:solidFill>
          </w14:textFill>
        </w:rPr>
        <w:t xml:space="preserve">JSZC-320100-TJGL-D2026-0012</w:t>
      </w:r>
      <w:r>
        <w:rPr>
          <w:rFonts w:hint="eastAsia" w:ascii="仿宋" w:hAnsi="仿宋" w:eastAsia="仿宋" w:cs="仿宋"/>
          <w:color w:val="000000" w:themeColor="text1"/>
          <w:sz w:val="28"/>
          <w:szCs w:val="28"/>
          <w:highlight w:val="none"/>
          <w:u w:val="single"/>
          <w:shd w:val="clear" w:color="auto" w:fill="auto"/>
          <w14:textFill>
            <w14:solidFill>
              <w14:schemeClr w14:val="tx1"/>
            </w14:solidFill>
          </w14:textFill>
        </w:rPr>
        <w:t xml:space="preserve">号</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标的</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文件或与本次采购活动方式相适应的文件及有关附件是本合同不可分割的组成部分，与本合同具有同等法律效力，这些文件包括但不限于：</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（1）乙方提供的响应文件和报价表；</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（2）服务方案；</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承诺/服务承诺；</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（4）成交通知书；</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（5）甲乙双方商定的其他文件等。</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第四条 权利保证</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第五条 质量保证</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乙方所提供的服务的技术规格应与招标文件规定的技术规格及所附的“采购需求偏离表”相一致；若技术性能无特殊说明，则按国家有关部门最新颁布的标准及规范为准。</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第六条 交付和验收</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1、乙方应当    年   月   日前完成采购文件规定的项目，采购文件有约定的，从其约定。</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2、甲方自行组织或视情邀请相关专家或国家认可的第三方机构参加验收，乙方提供的服务不符合采购文件和合同规定的，甲方有权拒收。</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第七条 合同款支付</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1、本合同项下所有款项均以人民币支付。</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2、本合同项下的采购资金由甲方自行支付。</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3、付款条件：</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第八条 违约责任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１、甲方无正当理由拒收服务、拒付服务款的，由甲方向乙方偿付合同总价的5%违约金。</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２、甲方未按合同规定的期限向乙方支付服务款的，每逾期1天甲方向乙方偿付欠款总额的5‰滞纳金，但累计滞纳金总额不超过欠款总额的5% 。</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返还甲方已付合同价款，给甲方造成损失包括但不限于直接损失、调查费、诉讼费、保全费、律师费等，无法计算损失按合同总价30%承担惩罚性违约金。</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4、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5、乙方未按本合同的规定和“服务承诺”提供伴随服务/售后服务的，应按合同总价款的5 %向甲方承担违约责任。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6、乙方在承担上述4-7款一项或多项违约责任后，仍应继续履行合同规定的义务（甲方解除合同的除外）。甲方未能及时追究乙方的任何一项违约责任并不表明甲方放弃追究乙方该项或其他违约责任。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7、乙方投标属虚假承诺，或经权威部门监测提供的服务不能满足</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文件要求，或是由于乙方的过错造成合同无法继续履行的，乙方履约保证金不予退还外，还应向甲方支付不少于合同总价30%惩罚性赔偿金。</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第九条 合同的变更和终止</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1、除《政府采购法》第50条第二款规定的情形外，本合同一经签订，甲乙双方不得擅自变更、中止或终止合同。</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2、除发生法律规定的不能预见、不能避免并不能克服的客观情况外，甲乙双方不得放弃或拒绝履行合同。乙方放弃或拒绝履行合同，保证金不予退还。</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第十条 合同的转让</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乙方不得擅自部分或全部转让其应履行的合同义务。</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第十一条 争议的解决</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（1）向甲方所在地有管辖权的人民法院提起诉讼；</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（2）向南京仲裁委员会按其仲裁规则申请仲裁。</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如没有约定，默认采取第2种方式解决争议。</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3、在诉讼期间，本合同应继续履行。</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第十二条 诚实信用 </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乙方应诚实信用，严格按照</w:t>
      </w:r>
      <w:r>
        <w:rPr>
          <w:rFonts w:hint="eastAsia" w:ascii="仿宋" w:hAnsi="仿宋" w:eastAsia="仿宋" w:cs="仿宋"/>
          <w:color w:val="000000" w:themeColor="text1"/>
          <w:sz w:val="28"/>
          <w:szCs w:val="28"/>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文件要求和响应承诺履行合同，不向甲方进行商业贿赂或者提供不正当利益。</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第十三条 其他要求</w:t>
      </w:r>
      <w:r/>
    </w:p>
    <w:p>
      <w:pPr>
        <w:ind w:firstLine="560"/>
        <w:jc w:val="left"/>
        <w:spacing w:line="560" w:lineRule="exact"/>
        <w:rPr>
          <w:rFonts w:hint="eastAsia" w:ascii="仿宋" w:hAnsi="仿宋" w:eastAsia="仿宋" w:cs="仿宋"/>
          <w:bCs/>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Cs/>
          <w:color w:val="000000" w:themeColor="text1"/>
          <w:sz w:val="28"/>
          <w:szCs w:val="28"/>
          <w:highlight w:val="none"/>
          <w:shd w:val="clear" w:color="auto" w:fill="auto"/>
          <w14:textFill>
            <w14:solidFill>
              <w14:schemeClr w14:val="tx1"/>
            </w14:solidFill>
          </w14:textFill>
        </w:rPr>
        <w:t xml:space="preserve">1、乙方应加强安全管理，杜绝安全事故的发生，做到安全责任全覆盖、安全范围全覆盖。如果发生因乙方工作失职造成安全事故或其他财产损失和人身伤害，均由乙方承担相关经济和法律责任。乙方应依法为其服务人员办理保险，乙方工作人员在服务等过程中发生自身或致第三人人身、财产损害的，由乙方自行承担赔偿责任；造成甲方被索赔的，甲方有权就全额损失向乙方追偿（包括但不限于赔偿金、诉讼费、律师费、保全费、公证费、鉴定费等）。</w:t>
      </w:r>
      <w:r/>
    </w:p>
    <w:p>
      <w:pPr>
        <w:ind w:firstLine="560"/>
        <w:jc w:val="left"/>
        <w:spacing w:line="560" w:lineRule="exac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Cs/>
          <w:color w:val="000000" w:themeColor="text1"/>
          <w:sz w:val="28"/>
          <w:szCs w:val="28"/>
          <w:highlight w:val="none"/>
          <w:shd w:val="clear" w:color="auto" w:fill="auto"/>
          <w14:textFill>
            <w14:solidFill>
              <w14:schemeClr w14:val="tx1"/>
            </w14:solidFill>
          </w14:textFill>
        </w:rPr>
        <w:t xml:space="preserve">2、乙方应提供服务运行成本和费用测算以及服务成本、测算依据说明。报价应包括</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人工费、管理费、税金以及其他类似的附随服务所产生的费用和税金等</w:t>
      </w:r>
      <w:r>
        <w:rPr>
          <w:rFonts w:hint="eastAsia" w:ascii="仿宋" w:hAnsi="仿宋" w:eastAsia="仿宋" w:cs="仿宋"/>
          <w:bCs/>
          <w:color w:val="000000" w:themeColor="text1"/>
          <w:sz w:val="28"/>
          <w:szCs w:val="28"/>
          <w:highlight w:val="none"/>
          <w:shd w:val="clear" w:color="auto" w:fill="auto"/>
          <w14:textFill>
            <w14:solidFill>
              <w14:schemeClr w14:val="tx1"/>
            </w14:solidFill>
          </w14:textFill>
        </w:rPr>
        <w:t xml:space="preserve">，还应包括管理、劳务、教育培训、通讯、风险及政策性文件规定等各项应有费用，以及为完成采购文件规定的服务工作所涉及到的一切相关费用。</w:t>
      </w:r>
      <w:r/>
    </w:p>
    <w:p>
      <w:pPr>
        <w:ind w:firstLine="562"/>
        <w:jc w:val="left"/>
        <w:spacing w:line="560" w:lineRule="exact"/>
        <w:rPr>
          <w:rFonts w:hint="eastAsia" w:ascii="仿宋" w:hAnsi="仿宋" w:eastAsia="仿宋" w:cs="仿宋"/>
          <w:b/>
          <w:color w:val="000000" w:themeColor="text1"/>
          <w:sz w:val="28"/>
          <w:szCs w:val="28"/>
          <w:highlight w:val="none"/>
          <w:shd w:val="clear" w:color="auto" w:fill="auto"/>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t xml:space="preserve">第十四条 合同生效及其他</w:t>
      </w:r>
      <w:r/>
    </w:p>
    <w:p>
      <w:pPr>
        <w:ind w:firstLine="560"/>
        <w:jc w:val="left"/>
        <w:spacing w:line="560" w:lineRule="exac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eastAsia="zh-TW"/>
          <w14:textFill>
            <w14:solidFill>
              <w14:schemeClr w14:val="tx1"/>
            </w14:solidFill>
          </w14:textFill>
        </w:rPr>
        <w:t xml:space="preserve">1</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、本合同自双方法定代表人或委托代理人签字并加盖单位公章之日起生效。</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eastAsia="zh-TW"/>
          <w14:textFill>
            <w14:solidFill>
              <w14:schemeClr w14:val="tx1"/>
            </w14:solidFill>
          </w14:textFill>
        </w:rPr>
        <w:t xml:space="preserve">2</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、本合同一式</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伍</w:t>
      </w:r>
      <w:bookmarkStart w:id="47" w:name="_GoBack"/>
      <w:r/>
      <w:bookmarkEnd w:id="47"/>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份，甲方执</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贰</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份，乙方执</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贰</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壹</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份交由代理机构存档。</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eastAsia="zh-TW"/>
          <w14:textFill>
            <w14:solidFill>
              <w14:schemeClr w14:val="tx1"/>
            </w14:solidFill>
          </w14:textFill>
        </w:rPr>
        <w:t xml:space="preserve">3</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、本合同应按照中华人民共和国的现行法律进行解释。</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r>
      <w:r/>
    </w:p>
    <w:p>
      <w:pPr>
        <w:ind w:firstLine="560"/>
        <w:jc w:val="left"/>
        <w:spacing w:line="360" w:lineRule="auto"/>
        <w:widowControl/>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甲方（采购人）：（盖章）</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乙方（供应商）</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：（盖章）</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代表人：                        代表人：</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电话：</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电话：</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开户银行：                      开户银行：</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账号：</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账号：</w:t>
      </w:r>
      <w:r/>
    </w:p>
    <w:p>
      <w:pPr>
        <w:ind w:firstLine="56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日期</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日期</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年</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月</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w:t>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560"/>
        <w:jc w:val="left"/>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代理机构</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单一来源采购文件编制：</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单一来源采购文件接收及合同签订：</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t xml:space="preserve">日期：  年   月    日</w:t>
      </w:r>
      <w:r/>
    </w:p>
    <w:p>
      <w:pPr>
        <w:ind w:firstLine="560"/>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43" w:header="851" w:footer="992" w:gutter="0"/>
          <w:pgNumType w:start="2"/>
          <w:cols w:num="1" w:sep="0" w:space="425" w:equalWidth="1"/>
          <w:docGrid w:linePitch="360"/>
        </w:sect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r>
      <w:r/>
    </w:p>
    <w:p>
      <w:pPr>
        <w:jc w:val="left"/>
        <w:spacing w:line="360" w:lineRule="auto"/>
        <w:rPr>
          <w:rFonts w:hint="eastAsia" w:ascii="仿宋" w:hAnsi="仿宋" w:eastAsia="仿宋" w:cs="仿宋"/>
          <w:color w:val="000000" w:themeColor="text1"/>
          <w:sz w:val="28"/>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28"/>
          <w:highlight w:val="none"/>
          <w:shd w:val="clear" w:color="auto" w:fill="auto"/>
          <w:lang w:val="zh-CN"/>
          <w14:textFill>
            <w14:solidFill>
              <w14:schemeClr w14:val="tx1"/>
            </w14:solidFill>
          </w14:textFill>
        </w:rPr>
      </w:r>
      <w:r/>
    </w:p>
    <w:p>
      <w:pPr>
        <w:pStyle w:val="710"/>
        <w:rPr>
          <w:rFonts w:hint="eastAsia" w:ascii="仿宋" w:hAnsi="仿宋" w:eastAsia="仿宋" w:cs="仿宋"/>
          <w:color w:val="000000" w:themeColor="text1"/>
          <w:highlight w:val="none"/>
          <w:shd w:val="clear" w:color="auto" w:fill="auto"/>
          <w14:textFill>
            <w14:solidFill>
              <w14:schemeClr w14:val="tx1"/>
            </w14:solidFill>
          </w14:textFill>
        </w:rPr>
      </w:pPr>
      <w:r/>
      <w:bookmarkStart w:id="42" w:name="_Toc102655459"/>
      <w:r>
        <w:rPr>
          <w:rFonts w:hint="eastAsia" w:ascii="仿宋" w:hAnsi="仿宋" w:eastAsia="仿宋" w:cs="仿宋"/>
          <w:color w:val="000000" w:themeColor="text1"/>
          <w:highlight w:val="none"/>
          <w:shd w:val="clear" w:color="auto" w:fill="auto"/>
          <w14:textFill>
            <w14:solidFill>
              <w14:schemeClr w14:val="tx1"/>
            </w14:solidFill>
          </w14:textFill>
        </w:rPr>
        <w:t xml:space="preserve">第</w:t>
      </w:r>
      <w:r>
        <w:rPr>
          <w:rFonts w:hint="eastAsia" w:ascii="仿宋" w:hAnsi="仿宋" w:eastAsia="仿宋" w:cs="仿宋"/>
          <w:color w:val="000000" w:themeColor="text1"/>
          <w:highlight w:val="none"/>
          <w:shd w:val="clear" w:color="auto" w:fill="auto"/>
          <w:lang w:val="en-US" w:eastAsia="zh-CN"/>
          <w14:textFill>
            <w14:solidFill>
              <w14:schemeClr w14:val="tx1"/>
            </w14:solidFill>
          </w14:textFill>
        </w:rPr>
        <w:t xml:space="preserve">五</w:t>
      </w:r>
      <w:r>
        <w:rPr>
          <w:rFonts w:hint="eastAsia" w:ascii="仿宋" w:hAnsi="仿宋" w:eastAsia="仿宋" w:cs="仿宋"/>
          <w:color w:val="000000" w:themeColor="text1"/>
          <w:highlight w:val="none"/>
          <w:shd w:val="clear" w:color="auto" w:fill="auto"/>
          <w14:textFill>
            <w14:solidFill>
              <w14:schemeClr w14:val="tx1"/>
            </w14:solidFill>
          </w14:textFill>
        </w:rPr>
        <w:t xml:space="preserve">章、</w:t>
      </w:r>
      <w:r>
        <w:rPr>
          <w:rFonts w:hint="eastAsia" w:ascii="仿宋" w:hAnsi="仿宋" w:eastAsia="仿宋" w:cs="仿宋"/>
          <w:color w:val="000000" w:themeColor="text1"/>
          <w:highlight w:val="none"/>
          <w:shd w:val="clear" w:color="auto" w:fill="auto"/>
          <w:lang w:eastAsia="zh-CN"/>
          <w14:textFill>
            <w14:solidFill>
              <w14:schemeClr w14:val="tx1"/>
            </w14:solidFill>
          </w14:textFill>
        </w:rPr>
        <w:t xml:space="preserve">单一来源采购</w:t>
      </w:r>
      <w:r>
        <w:rPr>
          <w:rFonts w:hint="eastAsia" w:ascii="仿宋" w:hAnsi="仿宋" w:eastAsia="仿宋" w:cs="仿宋"/>
          <w:color w:val="000000" w:themeColor="text1"/>
          <w:highlight w:val="none"/>
          <w:shd w:val="clear" w:color="auto" w:fill="auto"/>
          <w14:textFill>
            <w14:solidFill>
              <w14:schemeClr w14:val="tx1"/>
            </w14:solidFill>
          </w14:textFill>
        </w:rPr>
        <w:t xml:space="preserve">响应文件的组成</w:t>
      </w:r>
      <w:bookmarkEnd w:id="41"/>
      <w:r/>
      <w:bookmarkEnd w:id="42"/>
      <w:r/>
      <w:r/>
    </w:p>
    <w:p>
      <w:pPr>
        <w:jc w:val="left"/>
        <w:rPr>
          <w:rFonts w:hint="eastAsia" w:ascii="仿宋" w:hAnsi="仿宋" w:eastAsia="仿宋" w:cs="仿宋"/>
          <w:b/>
          <w:color w:val="000000" w:themeColor="text1"/>
          <w:sz w:val="32"/>
          <w:szCs w:val="32"/>
          <w:highlight w:val="none"/>
          <w:shd w:val="clear" w:color="auto" w:fill="auto"/>
          <w:lang w:val="zh-CN"/>
          <w14:textFill>
            <w14:solidFill>
              <w14:schemeClr w14:val="tx1"/>
            </w14:solidFill>
          </w14:textFill>
        </w:rPr>
        <w:outlineLvl w:val="2"/>
      </w:pPr>
      <w:r/>
      <w:bookmarkStart w:id="43" w:name="_Toc449705454"/>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一、投标申请及声明格式</w:t>
      </w:r>
      <w:bookmarkEnd w:id="43"/>
      <w:r/>
      <w:r/>
    </w:p>
    <w:p>
      <w:pPr>
        <w:jc w:val="center"/>
        <w:rPr>
          <w:rFonts w:hint="eastAsia" w:ascii="仿宋" w:hAnsi="仿宋" w:eastAsia="仿宋" w:cs="仿宋"/>
          <w:b/>
          <w:color w:val="000000" w:themeColor="text1"/>
          <w:sz w:val="36"/>
          <w:szCs w:val="36"/>
          <w:highlight w:val="none"/>
          <w:shd w:val="clear" w:color="auto" w:fill="auto"/>
          <w14:textFill>
            <w14:solidFill>
              <w14:schemeClr w14:val="tx1"/>
            </w14:solidFill>
          </w14:textFill>
        </w:rPr>
      </w:pPr>
      <w:r/>
      <w:bookmarkStart w:id="44" w:name="_Toc449705455"/>
      <w:r>
        <w:rPr>
          <w:rFonts w:hint="eastAsia" w:ascii="仿宋" w:hAnsi="仿宋" w:eastAsia="仿宋" w:cs="仿宋"/>
          <w:b/>
          <w:color w:val="000000" w:themeColor="text1"/>
          <w:sz w:val="36"/>
          <w:szCs w:val="36"/>
          <w:highlight w:val="none"/>
          <w:shd w:val="clear" w:color="auto" w:fill="auto"/>
          <w14:textFill>
            <w14:solidFill>
              <w14:schemeClr w14:val="tx1"/>
            </w14:solidFill>
          </w14:textFill>
        </w:rPr>
        <w:t xml:space="preserve">投标申请及声明</w:t>
      </w:r>
      <w:bookmarkEnd w:id="44"/>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致：南京市医疗保险管理中心</w:t>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南京通建项目管理咨询有限公司</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根据贵方</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（项目名称）                 （项目编号）</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投标邀请，正式授权下述</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(姓名和职务)代表投标人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（投标人名称）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，提交投标文件。</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据此函，</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投标人</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兹宣布声明和承诺如下：</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1、我们的资格条件完全符合政府采购法和本次采购要求，我们同意并向贵方提供了与投标有关的所有证据和资料。</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2、按采购要求，我们的投标总报价为（大写）</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元人民币</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3、我们已详细审核全部采购文件及其有效补充文件，我们放弃对采购文件任何误解的权利，提交投标文件后，不对采购文件本身提出质疑。</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5、一旦我方成交，我方将根据采购文件的规定严格履行合同，并保证于承诺的时间完成服务的启动，交付采购人验收、使用。</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6、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w:t>
      </w:r>
      <w:r>
        <w:rPr>
          <w:rFonts w:hint="eastAsia" w:ascii="仿宋" w:hAnsi="仿宋" w:eastAsia="仿宋" w:cs="仿宋"/>
          <w:color w:val="000000" w:themeColor="text1"/>
          <w:sz w:val="28"/>
          <w:highlight w:val="none"/>
          <w:shd w:val="clear" w:color="auto" w:fill="auto"/>
          <w:lang w:val="en-US" w:eastAsia="zh-CN"/>
          <w14:textFill>
            <w14:solidFill>
              <w14:schemeClr w14:val="tx1"/>
            </w14:solidFill>
          </w14:textFill>
        </w:rPr>
        <w:t xml:space="preserve">谈判</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7、与本投标有关的正式联系方式为：</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地   址：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电   话：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传   真：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开户银行：</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银行账号：</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投标人授权代表姓名：         </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投标人名称：                 （盖章）</w:t>
      </w:r>
      <w:r/>
    </w:p>
    <w:p>
      <w:pPr>
        <w:ind w:firstLine="420"/>
        <w:spacing w:line="360" w:lineRule="auto"/>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    期：       年    月    日</w:t>
      </w:r>
      <w:r/>
    </w:p>
    <w:p>
      <w:pPr>
        <w:ind w:firstLine="420"/>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shd w:val="clear" w:color="auto" w:fill="ffffff"/>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jc w:val="left"/>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r>
      <w:r/>
    </w:p>
    <w:p>
      <w:pPr>
        <w:jc w:val="left"/>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r>
      <w:r/>
    </w:p>
    <w:p>
      <w:pPr>
        <w:jc w:val="left"/>
        <w:rPr>
          <w:rFonts w:hint="eastAsia" w:ascii="仿宋" w:hAnsi="仿宋" w:eastAsia="仿宋" w:cs="仿宋"/>
          <w:color w:val="000000" w:themeColor="text1"/>
          <w:highlight w:val="none"/>
          <w:shd w:val="clear" w:color="auto" w:fill="auto"/>
          <w14:textFill>
            <w14:solidFill>
              <w14:schemeClr w14:val="tx1"/>
            </w14:solidFill>
          </w14:textFill>
        </w:rPr>
        <w:outlineLvl w:val="2"/>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二、法定代表人授权书格式</w:t>
      </w:r>
      <w:r/>
    </w:p>
    <w:p>
      <w:pPr>
        <w:jc w:val="center"/>
        <w:rPr>
          <w:rFonts w:hint="eastAsia" w:ascii="仿宋" w:hAnsi="仿宋" w:eastAsia="仿宋" w:cs="仿宋"/>
          <w:color w:val="000000" w:themeColor="text1"/>
          <w:sz w:val="28"/>
          <w:szCs w:val="28"/>
          <w:highlight w:val="none"/>
          <w:shd w:val="clear" w:color="auto" w:fill="auto"/>
          <w14:textFill>
            <w14:solidFill>
              <w14:schemeClr w14:val="tx1"/>
            </w14:solidFill>
          </w14:textFill>
        </w:rPr>
      </w:pPr>
      <w:r/>
      <w:bookmarkStart w:id="45" w:name="_Toc449705456"/>
      <w:r>
        <w:rPr>
          <w:rFonts w:hint="eastAsia" w:ascii="仿宋" w:hAnsi="仿宋" w:eastAsia="仿宋" w:cs="仿宋"/>
          <w:color w:val="000000" w:themeColor="text1"/>
          <w:sz w:val="28"/>
          <w:szCs w:val="28"/>
          <w:highlight w:val="none"/>
          <w:shd w:val="clear" w:color="auto" w:fill="auto"/>
          <w14:textFill>
            <w14:solidFill>
              <w14:schemeClr w14:val="tx1"/>
            </w14:solidFill>
          </w14:textFill>
        </w:rPr>
        <w:t xml:space="preserve">法定代表人授权委托书</w:t>
      </w:r>
      <w:bookmarkEnd w:id="45"/>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致：南京市医疗保险管理中心</w:t>
      </w:r>
      <w:r/>
    </w:p>
    <w:p>
      <w:pPr>
        <w:jc w:val="left"/>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lang w:eastAsia="zh-CN"/>
          <w14:textFill>
            <w14:solidFill>
              <w14:schemeClr w14:val="tx1"/>
            </w14:solidFill>
          </w14:textFill>
        </w:rPr>
        <w:t xml:space="preserve">南京通建项目管理咨询有限公司</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p>
    <w:p>
      <w:pPr>
        <w:ind w:firstLine="420"/>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授权书声明：注册于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（投标人地址）</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的</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（投标人名称）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法定代表人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（法定代表人姓名、职务）代表本公司授权在下面的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（投标人代表姓名、职务）为本公司的合法代理人，就贵方组织的</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（项目名称）</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（项目编号</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）投标，以本公司名义处理一切与之有关的事务。</w:t>
      </w:r>
      <w:r/>
    </w:p>
    <w:p>
      <w:pPr>
        <w:jc w:val="left"/>
        <w:spacing w:line="360" w:lineRule="auto"/>
        <w:widowControl/>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    本授权书于</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年</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月</w:t>
      </w:r>
      <w:r>
        <w:rPr>
          <w:rFonts w:hint="eastAsia" w:ascii="仿宋" w:hAnsi="仿宋" w:eastAsia="仿宋" w:cs="仿宋"/>
          <w:color w:val="000000" w:themeColor="text1"/>
          <w:sz w:val="28"/>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日生效，特此声明。</w:t>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t xml:space="preserve">日        期：        年    月    日</w:t>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ind w:firstLine="420"/>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jc w:val="left"/>
        <w:spacing w:line="360" w:lineRule="auto"/>
        <w:widowControl/>
        <w:tabs>
          <w:tab w:val="left" w:pos="1440" w:leader="none"/>
        </w:tabs>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rPr>
          <w:rFonts w:hint="eastAsia" w:ascii="仿宋" w:hAnsi="仿宋" w:eastAsia="仿宋" w:cs="仿宋"/>
          <w:color w:val="000000" w:themeColor="text1"/>
          <w:highlight w:val="none"/>
          <w:shd w:val="clear" w:color="auto" w:fill="auto"/>
          <w14:textFill>
            <w14:solidFill>
              <w14:schemeClr w14:val="tx1"/>
            </w14:solidFill>
          </w14:textFill>
        </w:rPr>
        <w:outlineLvl w:val="2"/>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三、第一章单一来源采购邀请供应商资格条件规定的证明文件 </w:t>
      </w:r>
      <w:r/>
    </w:p>
    <w:p>
      <w:pPr>
        <w:jc w:val="center"/>
        <w:spacing w:line="360" w:lineRule="auto"/>
        <w:rPr>
          <w:rFonts w:hint="eastAsia" w:ascii="仿宋" w:hAnsi="仿宋" w:eastAsia="仿宋" w:cs="仿宋"/>
          <w:b/>
          <w:bCs/>
          <w:color w:val="000000" w:themeColor="text1"/>
          <w:sz w:val="28"/>
          <w:szCs w:val="28"/>
          <w:highlight w:val="none"/>
          <w:lang w:val="en-US"/>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供应商信用承诺函</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致：南京市医疗保险管理中心</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南京通建项目管理咨询有限公司</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我公司</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XXXXXXXXXXX</w:t>
      </w:r>
      <w:r>
        <w:rPr>
          <w:rFonts w:hint="eastAsia" w:ascii="仿宋" w:hAnsi="仿宋" w:eastAsia="仿宋" w:cs="仿宋"/>
          <w:color w:val="000000" w:themeColor="text1"/>
          <w:sz w:val="28"/>
          <w:szCs w:val="28"/>
          <w:highlight w:val="none"/>
          <w14:textFill>
            <w14:solidFill>
              <w14:schemeClr w14:val="tx1"/>
            </w14:solidFill>
          </w14:textFill>
        </w:rPr>
        <w:t xml:space="preserve">（供应商名称）郑重承诺：</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我公司符合下列要求：</w:t>
      </w:r>
      <w:r/>
    </w:p>
    <w:p>
      <w:pPr>
        <w:ind w:firstLine="495"/>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(一)具有良好的商业信誉和健全的财务会计制度；</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(二)具有履行合同所必需的设备和专业技术能力；</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(三)有依法缴纳税收和社会保障资金的良好记录；</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(四)参加政府采购活动前三年内，在经营活动中没有重大违法记录。</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如果我公司中标（成交），将在中标（成交）结果公示后七个工作日内向采购人提供下列材料核验：</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（2）履行合同所必需的设备和专业技术能力证明材料；</w:t>
      </w:r>
      <w:r/>
    </w:p>
    <w:p>
      <w:pPr>
        <w:ind w:firstLine="492"/>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（3）参加本次政府采购活动前一年内至少一个月依法缴纳税收和社会保障资金的证明材料。</w:t>
      </w:r>
      <w:r/>
    </w:p>
    <w:p>
      <w:pPr>
        <w:ind w:firstLine="492"/>
        <w:spacing w:line="4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本公司对上述承诺内容的真实性、合法性、有效性负责，如有虚假，将依法承担相应责任。</w:t>
      </w:r>
      <w:r/>
    </w:p>
    <w:p>
      <w:pPr>
        <w:ind w:right="180" w:firstLine="360"/>
        <w:jc w:val="righ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right="180" w:firstLine="360"/>
        <w:jc w:val="righ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供应商名称：（公章）</w:t>
      </w:r>
      <w:r/>
    </w:p>
    <w:p>
      <w:pPr>
        <w:ind w:right="280"/>
        <w:jc w:val="right"/>
        <w:spacing w:line="56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XXXX</w:t>
      </w:r>
      <w:r>
        <w:rPr>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XX</w:t>
      </w:r>
      <w:r>
        <w:rPr>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XX</w:t>
      </w:r>
      <w:r>
        <w:rPr>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日</w:t>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44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jc w:val="left"/>
        <w:widowControl/>
        <w:rPr>
          <w:rFonts w:hint="eastAsia" w:ascii="仿宋" w:hAnsi="仿宋" w:eastAsia="仿宋" w:cs="仿宋"/>
          <w:b/>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说明：执行南京市财政局《关于在政府采购活动中推行信用承诺制的通知》（宁财购通</w:t>
      </w:r>
      <w:r>
        <w:rPr>
          <w:rFonts w:hint="eastAsia" w:ascii="仿宋" w:hAnsi="仿宋" w:eastAsia="仿宋" w:cs="仿宋"/>
          <w:b/>
          <w:bCs/>
          <w:color w:val="000000" w:themeColor="text1"/>
          <w:sz w:val="21"/>
          <w:szCs w:val="21"/>
          <w:highlight w:val="none"/>
          <w:lang w:val="zh-CN"/>
          <w14:textFill>
            <w14:solidFill>
              <w14:schemeClr w14:val="tx1"/>
            </w14:solidFill>
          </w14:textFill>
        </w:rPr>
        <w:t xml:space="preserve">〔202</w:t>
      </w:r>
      <w:r>
        <w:rPr>
          <w:rFonts w:hint="eastAsia" w:ascii="仿宋" w:hAnsi="仿宋" w:eastAsia="仿宋" w:cs="仿宋"/>
          <w:b/>
          <w:bCs/>
          <w:color w:val="000000" w:themeColor="text1"/>
          <w:sz w:val="21"/>
          <w:szCs w:val="21"/>
          <w:highlight w:val="none"/>
          <w14:textFill>
            <w14:solidFill>
              <w14:schemeClr w14:val="tx1"/>
            </w14:solidFill>
          </w14:textFill>
        </w:rPr>
        <w:t xml:space="preserve">1</w:t>
      </w:r>
      <w:r>
        <w:rPr>
          <w:rFonts w:hint="eastAsia" w:ascii="仿宋" w:hAnsi="仿宋" w:eastAsia="仿宋" w:cs="仿宋"/>
          <w:b/>
          <w:bCs/>
          <w:color w:val="000000" w:themeColor="text1"/>
          <w:sz w:val="21"/>
          <w:szCs w:val="21"/>
          <w:highlight w:val="none"/>
          <w:lang w:val="zh-CN"/>
          <w14:textFill>
            <w14:solidFill>
              <w14:schemeClr w14:val="tx1"/>
            </w14:solidFill>
          </w14:textFill>
        </w:rPr>
        <w:t xml:space="preserve">〕5号</w:t>
      </w:r>
      <w:r>
        <w:rPr>
          <w:rFonts w:hint="eastAsia" w:ascii="仿宋" w:hAnsi="仿宋" w:eastAsia="仿宋" w:cs="仿宋"/>
          <w:b/>
          <w:bCs/>
          <w:color w:val="000000" w:themeColor="text1"/>
          <w:sz w:val="21"/>
          <w:szCs w:val="21"/>
          <w:highlight w:val="none"/>
          <w14:textFill>
            <w14:solidFill>
              <w14:schemeClr w14:val="tx1"/>
            </w14:solidFill>
          </w14:textFill>
        </w:rPr>
        <w:t xml:space="preserve">）要求。</w:t>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rPr>
          <w:rFonts w:hint="eastAsia" w:ascii="仿宋" w:hAnsi="仿宋" w:eastAsia="仿宋" w:cs="仿宋"/>
          <w:b/>
          <w:color w:val="000000" w:themeColor="text1"/>
          <w:sz w:val="32"/>
          <w:szCs w:val="32"/>
          <w:highlight w:val="none"/>
          <w:shd w:val="clear" w:color="auto" w:fill="auto"/>
          <w14:textFill>
            <w14:solidFill>
              <w14:schemeClr w14:val="tx1"/>
            </w14:solidFill>
          </w14:textFill>
        </w:rPr>
        <w:outlineLvl w:val="2"/>
      </w:pPr>
      <w:r>
        <w:rPr>
          <w:rFonts w:hint="eastAsia" w:ascii="仿宋" w:hAnsi="仿宋" w:eastAsia="仿宋" w:cs="仿宋"/>
          <w:b/>
          <w:color w:val="000000" w:themeColor="text1"/>
          <w:sz w:val="32"/>
          <w:szCs w:val="32"/>
          <w:highlight w:val="none"/>
          <w:shd w:val="clear" w:color="auto" w:fill="auto"/>
          <w:lang w:val="en-US" w:eastAsia="zh-CN"/>
          <w14:textFill>
            <w14:solidFill>
              <w14:schemeClr w14:val="tx1"/>
            </w14:solidFill>
          </w14:textFill>
        </w:rPr>
        <w:t xml:space="preserve">四</w:t>
      </w: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、单一来源报价表</w:t>
      </w:r>
      <w:r/>
    </w:p>
    <w:p>
      <w:pPr>
        <w:ind w:firstLine="643"/>
        <w:jc w:val="center"/>
        <w:spacing w:line="360" w:lineRule="auto"/>
        <w:widowControl/>
        <w:tabs>
          <w:tab w:val="left" w:pos="1440" w:leader="none"/>
        </w:tabs>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单一来源报价表</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供应商名称：（加盖电子公章）</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项目名称：</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项目编号：                                   </w:t>
      </w:r>
      <w:r/>
    </w:p>
    <w:tbl>
      <w:tblPr>
        <w:tblStyle w:val="71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小写（元）：                             </w:t>
            </w:r>
            <w:r/>
          </w:p>
        </w:tc>
      </w:tr>
    </w:tbl>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jc w:val="left"/>
        <w:spacing w:line="240" w:lineRule="atLeast"/>
        <w:widowControl/>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                                              日  期：</w:t>
      </w:r>
      <w:r/>
    </w:p>
    <w:p>
      <w:pPr>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p>
      <w:pPr>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widowControl/>
        <w:rPr>
          <w:rFonts w:hint="eastAsia" w:ascii="仿宋" w:hAnsi="仿宋" w:eastAsia="仿宋" w:cs="仿宋"/>
          <w:b/>
          <w:bCs/>
          <w:color w:val="000000" w:themeColor="text1"/>
          <w:sz w:val="32"/>
          <w:szCs w:val="32"/>
          <w:highlight w:val="none"/>
          <w:shd w:val="clear" w:color="auto" w:fill="auto"/>
          <w14:textFill>
            <w14:solidFill>
              <w14:schemeClr w14:val="tx1"/>
            </w14:solidFill>
          </w14:textFill>
        </w:rPr>
        <w:outlineLvl w:val="2"/>
      </w:pPr>
      <w:r>
        <w:rPr>
          <w:rFonts w:hint="eastAsia" w:ascii="仿宋" w:hAnsi="仿宋" w:eastAsia="仿宋" w:cs="仿宋"/>
          <w:b/>
          <w:color w:val="000000" w:themeColor="text1"/>
          <w:sz w:val="32"/>
          <w:szCs w:val="32"/>
          <w:highlight w:val="none"/>
          <w:shd w:val="clear" w:color="auto" w:fill="auto"/>
          <w:lang w:val="en-US" w:eastAsia="zh-CN"/>
          <w14:textFill>
            <w14:solidFill>
              <w14:schemeClr w14:val="tx1"/>
            </w14:solidFill>
          </w14:textFill>
        </w:rPr>
        <w:t xml:space="preserve">五</w:t>
      </w: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、采购需求偏离表</w:t>
      </w:r>
      <w:r/>
    </w:p>
    <w:p>
      <w:pPr>
        <w:jc w:val="center"/>
        <w:rPr>
          <w:rFonts w:hint="eastAsia" w:ascii="仿宋" w:hAnsi="仿宋" w:eastAsia="仿宋" w:cs="仿宋"/>
          <w:color w:val="000000" w:themeColor="text1"/>
          <w:sz w:val="44"/>
          <w:szCs w:val="44"/>
          <w:highlight w:val="none"/>
          <w:shd w:val="clear" w:color="auto" w:fill="auto"/>
          <w:lang w:val="zh-CN"/>
          <w14:textFill>
            <w14:solidFill>
              <w14:schemeClr w14:val="tx1"/>
            </w14:solidFill>
          </w14:textFill>
        </w:rPr>
      </w:pPr>
      <w:r>
        <w:rPr>
          <w:rFonts w:hint="eastAsia" w:ascii="仿宋" w:hAnsi="仿宋" w:eastAsia="仿宋" w:cs="仿宋"/>
          <w:color w:val="000000" w:themeColor="text1"/>
          <w:sz w:val="44"/>
          <w:szCs w:val="44"/>
          <w:highlight w:val="none"/>
          <w:shd w:val="clear" w:color="auto" w:fill="auto"/>
          <w:lang w:val="zh-CN"/>
          <w14:textFill>
            <w14:solidFill>
              <w14:schemeClr w14:val="tx1"/>
            </w14:solidFill>
          </w14:textFill>
        </w:rPr>
        <w:t xml:space="preserve">采购需求偏离表</w:t>
      </w:r>
      <w:r/>
    </w:p>
    <w:tbl>
      <w:tblPr>
        <w:tblStyle w:val="714"/>
        <w:tblW w:w="8404" w:type="dxa"/>
        <w:jc w:val="center"/>
        <w:tblLayout w:type="fixed"/>
        <w:tblCellMar>
          <w:left w:w="10" w:type="dxa"/>
          <w:top w:w="0" w:type="dxa"/>
          <w:right w:w="10" w:type="dxa"/>
          <w:bottom w:w="0" w:type="dxa"/>
        </w:tblCellMar>
        <w:tblLook w:val="04A0" w:firstRow="1" w:lastRow="0" w:firstColumn="1" w:lastColumn="0" w:noHBand="0" w:noVBand="1"/>
      </w:tblPr>
      <w:tblGrid>
        <w:gridCol w:w="716"/>
        <w:gridCol w:w="2120"/>
        <w:gridCol w:w="2675"/>
        <w:gridCol w:w="1929"/>
        <w:gridCol w:w="964"/>
      </w:tblGrid>
      <w:tr>
        <w:trPr>
          <w:jc w:val="center"/>
          <w:trHeight w:val="567"/>
        </w:trPr>
        <w:tc>
          <w:tcPr>
            <w:gridSpan w:val="5"/>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8404" w:type="dxa"/>
            <w:vAlign w:val="center"/>
            <w:textDirection w:val="lrTb"/>
            <w:noWrap w:val="false"/>
          </w:tcPr>
          <w:p>
            <w:pPr>
              <w:ind w:firstLine="210"/>
              <w:jc w:val="left"/>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项目名称：                               项目编号：</w:t>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招标文件条目号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招标文件要求的采购需求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偏离</w:t>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16"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20"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75"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929"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4" w:type="dxa"/>
            <w:vAlign w:val="center"/>
            <w:textDirection w:val="lrTb"/>
            <w:noWrap w:val="false"/>
          </w:tcPr>
          <w:p>
            <w:pPr>
              <w:jc w:val="center"/>
              <w:spacing w:line="240" w:lineRule="atLeast"/>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r>
            <w:r/>
          </w:p>
        </w:tc>
      </w:tr>
    </w:tbl>
    <w:p>
      <w:pPr>
        <w:pStyle w:val="733"/>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供应商名称：</w:t>
      </w:r>
      <w:r>
        <w:rPr>
          <w:rFonts w:hint="eastAsia" w:ascii="仿宋" w:hAnsi="仿宋" w:eastAsia="仿宋" w:cs="仿宋"/>
          <w:color w:val="000000" w:themeColor="text1"/>
          <w:sz w:val="21"/>
          <w:szCs w:val="21"/>
          <w:highlight w:val="none"/>
          <w:u w:val="single"/>
          <w:shd w:val="clear" w:color="auto" w:fill="auto"/>
          <w14:textFill>
            <w14:solidFill>
              <w14:schemeClr w14:val="tx1"/>
            </w14:solidFill>
          </w14:textFill>
        </w:rPr>
        <w:t xml:space="preserve">                                                      </w:t>
      </w: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（盖章）</w:t>
      </w:r>
      <w:r/>
    </w:p>
    <w:p>
      <w:pPr>
        <w:pStyle w:val="733"/>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备注： </w:t>
      </w:r>
      <w:r/>
    </w:p>
    <w:p>
      <w:pPr>
        <w:pStyle w:val="733"/>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1.供应商须对采购文件</w:t>
      </w:r>
      <w:r>
        <w:rPr>
          <w:rFonts w:hint="eastAsia" w:ascii="仿宋" w:hAnsi="仿宋" w:eastAsia="仿宋" w:cs="仿宋"/>
          <w:color w:val="000000" w:themeColor="text1"/>
          <w:sz w:val="21"/>
          <w:szCs w:val="21"/>
          <w:highlight w:val="none"/>
          <w:shd w:val="clear" w:color="auto" w:fill="auto"/>
          <w:lang w:val="en-US" w:eastAsia="zh-CN"/>
          <w14:textFill>
            <w14:solidFill>
              <w14:schemeClr w14:val="tx1"/>
            </w14:solidFill>
          </w14:textFill>
        </w:rPr>
        <w:t xml:space="preserve">采购需求</w:t>
      </w: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中的实质性要求（斜体下划线内容或打“★”内容）</w:t>
      </w:r>
      <w:r>
        <w:rPr>
          <w:rFonts w:hint="eastAsia" w:ascii="仿宋" w:hAnsi="仿宋" w:eastAsia="仿宋" w:cs="仿宋"/>
          <w:color w:val="000000" w:themeColor="text1"/>
          <w:sz w:val="21"/>
          <w:szCs w:val="21"/>
          <w:highlight w:val="none"/>
          <w:shd w:val="clear" w:color="auto" w:fill="auto"/>
          <w:lang w:val="en-US" w:eastAsia="zh-CN"/>
          <w14:textFill>
            <w14:solidFill>
              <w14:schemeClr w14:val="tx1"/>
            </w14:solidFill>
          </w14:textFill>
        </w:rPr>
        <w:t xml:space="preserve">和其他要求</w:t>
      </w: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做出明确响应，否则视为无效响应。</w:t>
      </w:r>
      <w:r/>
    </w:p>
    <w:p>
      <w:pPr>
        <w:pStyle w:val="733"/>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t xml:space="preserve">2.行数不够，可自行添加。</w:t>
      </w:r>
      <w:r/>
    </w:p>
    <w:p>
      <w:pPr>
        <w:pStyle w:val="733"/>
        <w:spacing w:line="360" w:lineRule="auto"/>
        <w:rPr>
          <w:rFonts w:hint="eastAsia" w:ascii="仿宋" w:hAnsi="仿宋" w:eastAsia="仿宋" w:cs="仿宋"/>
          <w:color w:val="000000" w:themeColor="text1"/>
          <w:sz w:val="21"/>
          <w:szCs w:val="21"/>
          <w:highlight w:val="none"/>
          <w:shd w:val="clear" w:color="auto" w:fill="auto"/>
          <w14:textFill>
            <w14:solidFill>
              <w14:schemeClr w14:val="tx1"/>
            </w14:solidFill>
          </w14:textFill>
        </w:rPr>
      </w:pPr>
      <w:r>
        <w:rPr>
          <w:rFonts w:hint="eastAsia" w:ascii="仿宋" w:hAnsi="仿宋" w:eastAsia="仿宋" w:cs="仿宋"/>
          <w:color w:val="000000" w:themeColor="text1"/>
          <w:sz w:val="21"/>
          <w:szCs w:val="21"/>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pP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br w:type="page" w:clear="all"/>
      </w:r>
      <w:r/>
    </w:p>
    <w:p>
      <w:pPr>
        <w:jc w:val="left"/>
        <w:widowControl/>
        <w:rPr>
          <w:rFonts w:hint="eastAsia" w:ascii="仿宋" w:hAnsi="仿宋" w:eastAsia="仿宋" w:cs="仿宋"/>
          <w:b/>
          <w:color w:val="000000" w:themeColor="text1"/>
          <w:sz w:val="32"/>
          <w:szCs w:val="32"/>
          <w:highlight w:val="none"/>
          <w:shd w:val="clear" w:color="auto" w:fill="auto"/>
          <w14:textFill>
            <w14:solidFill>
              <w14:schemeClr w14:val="tx1"/>
            </w14:solidFill>
          </w14:textFill>
        </w:rPr>
        <w:outlineLvl w:val="2"/>
      </w:pPr>
      <w:r>
        <w:rPr>
          <w:rFonts w:hint="eastAsia" w:ascii="仿宋" w:hAnsi="仿宋" w:eastAsia="仿宋" w:cs="仿宋"/>
          <w:b/>
          <w:color w:val="000000" w:themeColor="text1"/>
          <w:sz w:val="32"/>
          <w:szCs w:val="32"/>
          <w:highlight w:val="none"/>
          <w:shd w:val="clear" w:color="auto" w:fill="auto"/>
          <w:lang w:val="en-US" w:eastAsia="zh-CN"/>
          <w14:textFill>
            <w14:solidFill>
              <w14:schemeClr w14:val="tx1"/>
            </w14:solidFill>
          </w14:textFill>
        </w:rPr>
        <w:t xml:space="preserve">六</w:t>
      </w:r>
      <w:r>
        <w:rPr>
          <w:rFonts w:hint="eastAsia" w:ascii="仿宋" w:hAnsi="仿宋" w:eastAsia="仿宋" w:cs="仿宋"/>
          <w:b/>
          <w:color w:val="000000" w:themeColor="text1"/>
          <w:sz w:val="32"/>
          <w:szCs w:val="32"/>
          <w:highlight w:val="none"/>
          <w:shd w:val="clear" w:color="auto" w:fill="auto"/>
          <w14:textFill>
            <w14:solidFill>
              <w14:schemeClr w14:val="tx1"/>
            </w14:solidFill>
          </w14:textFill>
        </w:rPr>
        <w:t xml:space="preserve">、所提供服务的详细说明、项目实施方案和服务承诺等（供应商自拟）</w:t>
      </w:r>
      <w:r/>
    </w:p>
    <w:p>
      <w:pPr>
        <w:rPr>
          <w:rFonts w:hint="eastAsia" w:ascii="仿宋" w:hAnsi="仿宋" w:eastAsia="仿宋" w:cs="仿宋"/>
          <w:color w:val="000000" w:themeColor="text1"/>
          <w:highlight w:val="none"/>
          <w:shd w:val="clear" w:color="auto" w:fill="auto"/>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r>
      <w:r/>
    </w:p>
    <w:p>
      <w:pPr>
        <w:rPr>
          <w:rFonts w:hint="eastAsia" w:ascii="仿宋" w:hAnsi="仿宋" w:eastAsia="仿宋" w:cs="仿宋"/>
          <w:color w:val="000000" w:themeColor="text1"/>
          <w:sz w:val="28"/>
          <w:highlight w:val="none"/>
          <w:shd w:val="clear" w:color="auto" w:fill="auto"/>
          <w14:textFill>
            <w14:solidFill>
              <w14:schemeClr w14:val="tx1"/>
            </w14:solidFill>
          </w14:textFill>
        </w:rPr>
      </w:pPr>
      <w:r>
        <w:rPr>
          <w:rFonts w:hint="eastAsia" w:ascii="仿宋" w:hAnsi="仿宋" w:eastAsia="仿宋" w:cs="仿宋"/>
          <w:color w:val="000000" w:themeColor="text1"/>
          <w:sz w:val="28"/>
          <w:highlight w:val="none"/>
          <w:shd w:val="clear" w:color="auto" w:fill="auto"/>
          <w14:textFill>
            <w14:solidFill>
              <w14:schemeClr w14:val="tx1"/>
            </w14:solidFill>
          </w14:textFill>
        </w:rPr>
      </w:r>
      <w:r/>
    </w:p>
    <w:p>
      <w:pPr>
        <w:jc w:val="left"/>
        <w:widowControl/>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r>
      <w:r/>
    </w:p>
    <w:p>
      <w:pPr>
        <w:rPr>
          <w:rFonts w:hint="eastAsia" w:ascii="仿宋" w:hAnsi="仿宋" w:eastAsia="仿宋" w:cs="仿宋"/>
          <w:b/>
          <w:color w:val="000000" w:themeColor="text1"/>
          <w:sz w:val="28"/>
          <w:highlight w:val="none"/>
          <w:shd w:val="clear" w:color="auto" w:fill="auto"/>
          <w14:textFill>
            <w14:solidFill>
              <w14:schemeClr w14:val="tx1"/>
            </w14:solidFill>
          </w14:textFill>
        </w:rPr>
      </w:pPr>
      <w:r>
        <w:rPr>
          <w:rFonts w:hint="eastAsia" w:ascii="仿宋" w:hAnsi="仿宋" w:eastAsia="仿宋" w:cs="仿宋"/>
          <w:b/>
          <w:color w:val="000000" w:themeColor="text1"/>
          <w:sz w:val="28"/>
          <w:highlight w:val="none"/>
          <w:shd w:val="clear" w:color="auto" w:fill="auto"/>
          <w14:textFill>
            <w14:solidFill>
              <w14:schemeClr w14:val="tx1"/>
            </w14:solidFill>
          </w14:textFill>
        </w:rPr>
        <w:br w:type="page" w:clear="all"/>
      </w:r>
      <w:r/>
    </w:p>
    <w:p>
      <w:pPr>
        <w:jc w:val="left"/>
        <w:spacing w:line="360" w:lineRule="auto"/>
        <w:rPr>
          <w:rFonts w:hint="eastAsia" w:ascii="仿宋" w:hAnsi="仿宋" w:eastAsia="仿宋" w:cs="仿宋"/>
          <w:b/>
          <w:color w:val="000000" w:themeColor="text1"/>
          <w:sz w:val="28"/>
          <w:szCs w:val="22"/>
          <w:highlight w:val="none"/>
          <w14:textFill>
            <w14:solidFill>
              <w14:schemeClr w14:val="tx1"/>
            </w14:solidFill>
          </w14:textFill>
        </w:rPr>
        <w:outlineLvl w:val="2"/>
      </w:pPr>
      <w:r/>
      <w:bookmarkStart w:id="46" w:name="_Toc1319"/>
      <w:r>
        <w:rPr>
          <w:rFonts w:hint="eastAsia" w:ascii="仿宋" w:hAnsi="仿宋" w:eastAsia="仿宋" w:cs="仿宋"/>
          <w:b/>
          <w:color w:val="000000" w:themeColor="text1"/>
          <w:sz w:val="28"/>
          <w:szCs w:val="22"/>
          <w:highlight w:val="none"/>
          <w14:textFill>
            <w14:solidFill>
              <w14:schemeClr w14:val="tx1"/>
            </w14:solidFill>
          </w14:textFill>
        </w:rPr>
        <w:t xml:space="preserve">附件一、企业声明函格式（格式）</w:t>
      </w:r>
      <w:bookmarkEnd w:id="46"/>
      <w:r/>
      <w:r/>
    </w:p>
    <w:p>
      <w:pPr>
        <w:ind w:firstLine="562"/>
        <w:jc w:val="center"/>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b/>
          <w:bCs/>
          <w:color w:val="000000" w:themeColor="text1"/>
          <w:sz w:val="28"/>
          <w:highlight w:val="none"/>
          <w14:textFill>
            <w14:solidFill>
              <w14:schemeClr w14:val="tx1"/>
            </w14:solidFill>
          </w14:textFill>
        </w:rPr>
        <w:t xml:space="preserve">中小企业声明函（服务）</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仿宋" w:hAnsi="仿宋" w:eastAsia="仿宋" w:cs="仿宋"/>
          <w:color w:val="000000" w:themeColor="text1"/>
          <w:sz w:val="28"/>
          <w:highlight w:val="none"/>
          <w:u w:val="single"/>
          <w14:textFill>
            <w14:solidFill>
              <w14:schemeClr w14:val="tx1"/>
            </w14:solidFill>
          </w14:textFill>
        </w:rPr>
        <w:t xml:space="preserve">XXXXXXXXXXX</w:t>
      </w:r>
      <w:r>
        <w:rPr>
          <w:rFonts w:hint="eastAsia" w:ascii="仿宋" w:hAnsi="仿宋" w:eastAsia="仿宋" w:cs="仿宋"/>
          <w:color w:val="000000" w:themeColor="text1"/>
          <w:sz w:val="28"/>
          <w:highlight w:val="none"/>
          <w14:textFill>
            <w14:solidFill>
              <w14:schemeClr w14:val="tx1"/>
            </w14:solidFill>
          </w14:textFill>
        </w:rPr>
        <w:t xml:space="preserve">（单位名称）采购编号为</w:t>
      </w:r>
      <w:r>
        <w:rPr>
          <w:rFonts w:hint="eastAsia" w:ascii="仿宋" w:hAnsi="仿宋" w:eastAsia="仿宋" w:cs="仿宋"/>
          <w:color w:val="000000" w:themeColor="text1"/>
          <w:sz w:val="28"/>
          <w:highlight w:val="none"/>
          <w:u w:val="single"/>
          <w14:textFill>
            <w14:solidFill>
              <w14:schemeClr w14:val="tx1"/>
            </w14:solidFill>
          </w14:textFill>
        </w:rPr>
        <w:t xml:space="preserve">XXXXXXXXXXX</w:t>
      </w:r>
      <w:r>
        <w:rPr>
          <w:rFonts w:hint="eastAsia" w:ascii="仿宋" w:hAnsi="仿宋" w:eastAsia="仿宋" w:cs="仿宋"/>
          <w:color w:val="000000" w:themeColor="text1"/>
          <w:sz w:val="28"/>
          <w:highlight w:val="none"/>
          <w14:textFill>
            <w14:solidFill>
              <w14:schemeClr w14:val="tx1"/>
            </w14:solidFill>
          </w14:textFill>
        </w:rPr>
        <w:t xml:space="preserve">项目（分包号：</w:t>
      </w:r>
      <w:r>
        <w:rPr>
          <w:rFonts w:hint="eastAsia" w:ascii="仿宋" w:hAnsi="仿宋" w:eastAsia="仿宋" w:cs="仿宋"/>
          <w:color w:val="000000" w:themeColor="text1"/>
          <w:sz w:val="28"/>
          <w:highlight w:val="none"/>
          <w:u w:val="single"/>
          <w14:textFill>
            <w14:solidFill>
              <w14:schemeClr w14:val="tx1"/>
            </w14:solidFill>
          </w14:textFill>
        </w:rPr>
        <w:t xml:space="preserve">XXX</w:t>
      </w:r>
      <w:r>
        <w:rPr>
          <w:rFonts w:hint="eastAsia" w:ascii="仿宋" w:hAnsi="仿宋" w:eastAsia="仿宋" w:cs="仿宋"/>
          <w:color w:val="000000" w:themeColor="text1"/>
          <w:sz w:val="28"/>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1.</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（标的名称）属于</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行业（采购文件中明确的所属行业）；承接企业为</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（企业名称），从业人员</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人，营业收入为</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万元，资产总额为</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万元</w:t>
      </w:r>
      <w:r>
        <w:rPr>
          <w:rFonts w:hint="eastAsia" w:ascii="仿宋" w:hAnsi="仿宋" w:eastAsia="仿宋" w:cs="仿宋"/>
          <w:color w:val="000000" w:themeColor="text1"/>
          <w:sz w:val="28"/>
          <w:highlight w:val="none"/>
          <w:vertAlign w:val="superscript"/>
          <w14:textFill>
            <w14:solidFill>
              <w14:schemeClr w14:val="tx1"/>
            </w14:solidFill>
          </w14:textFill>
        </w:rPr>
        <w:t xml:space="preserve">1</w:t>
      </w:r>
      <w:r>
        <w:rPr>
          <w:rFonts w:hint="eastAsia" w:ascii="仿宋" w:hAnsi="仿宋" w:eastAsia="仿宋" w:cs="仿宋"/>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2.</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（标的名称）属于</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行业（采购文件中明确的所属行业）；承接企业为</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（企业名称），从业人员</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人，营业收入为</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万元，资产总额为</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万元</w:t>
      </w:r>
      <w:r>
        <w:rPr>
          <w:rFonts w:hint="eastAsia" w:ascii="仿宋" w:hAnsi="仿宋" w:eastAsia="仿宋" w:cs="仿宋"/>
          <w:color w:val="000000" w:themeColor="text1"/>
          <w:sz w:val="28"/>
          <w:highlight w:val="none"/>
          <w:vertAlign w:val="superscript"/>
          <w14:textFill>
            <w14:solidFill>
              <w14:schemeClr w14:val="tx1"/>
            </w14:solidFill>
          </w14:textFill>
        </w:rPr>
        <w:t xml:space="preserve">1</w:t>
      </w:r>
      <w:r>
        <w:rPr>
          <w:rFonts w:hint="eastAsia" w:ascii="仿宋" w:hAnsi="仿宋" w:eastAsia="仿宋" w:cs="仿宋"/>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本企业对上述声明内容的真实性负责。如有虚假，将依法承担相应责任。</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                                企业名称：（加盖电子公章）</w:t>
      </w:r>
      <w:r/>
    </w:p>
    <w:p>
      <w:pPr>
        <w:ind w:firstLine="504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日    期：</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562"/>
        <w:jc w:val="center"/>
        <w:spacing w:line="360" w:lineRule="auto"/>
        <w:widowControl/>
        <w:tabs>
          <w:tab w:val="left" w:pos="1440" w:leader="none"/>
        </w:tabs>
        <w:rPr>
          <w:rFonts w:hint="eastAsia" w:ascii="仿宋" w:hAnsi="仿宋" w:eastAsia="仿宋" w:cs="仿宋"/>
          <w:b/>
          <w:bCs/>
          <w:color w:val="000000" w:themeColor="text1"/>
          <w:sz w:val="28"/>
          <w:highlight w:val="none"/>
          <w14:textFill>
            <w14:solidFill>
              <w14:schemeClr w14:val="tx1"/>
            </w14:solidFill>
          </w14:textFill>
        </w:rPr>
      </w:pPr>
      <w:r>
        <w:rPr>
          <w:rFonts w:hint="eastAsia" w:ascii="仿宋" w:hAnsi="仿宋" w:eastAsia="仿宋" w:cs="仿宋"/>
          <w:b/>
          <w:bCs/>
          <w:color w:val="000000" w:themeColor="text1"/>
          <w:sz w:val="28"/>
          <w:highlight w:val="none"/>
          <w14:textFill>
            <w14:solidFill>
              <w14:schemeClr w14:val="tx1"/>
            </w14:solidFill>
          </w14:textFill>
        </w:rPr>
        <w:t xml:space="preserve">残疾人福利性单位声明函</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我公司</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郑重声明，我公司为残疾人福利性单位。即，同时满足以下条件：</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1、安置的残疾人占本单位在职职工人数的比例不低于25%（含25%），并且安置的残疾人人数不少于10人（含10人）；</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2、依法与安置的每位残疾人签订了一年以上（含一年）的劳动合同或服务协议；</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5、我公司参加</w:t>
      </w:r>
      <w:r>
        <w:rPr>
          <w:rFonts w:hint="eastAsia"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14:textFill>
            <w14:solidFill>
              <w14:schemeClr w14:val="tx1"/>
            </w14:solidFill>
          </w14:textFill>
        </w:rPr>
        <w:t xml:space="preserve">（项目编号）_________（项目名称）（分包号：）采购活动提供我公司承担的服务。</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我公司对上述声明的真实性负责。如有虚假，将依法承担相应责任。</w:t>
      </w:r>
      <w:r/>
    </w:p>
    <w:p>
      <w:pPr>
        <w:ind w:firstLine="560"/>
        <w:jc w:val="lef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ind w:firstLine="560"/>
        <w:jc w:val="right"/>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公司名称：（加盖电子公章）</w:t>
      </w:r>
      <w:r/>
    </w:p>
    <w:p>
      <w:pPr>
        <w:ind w:firstLine="560"/>
        <w:jc w:val="center"/>
        <w:spacing w:line="360" w:lineRule="auto"/>
        <w:widowControl/>
        <w:tabs>
          <w:tab w:val="left" w:pos="1440" w:leader="none"/>
        </w:tabs>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                   日　　期：</w:t>
      </w:r>
      <w:r/>
    </w:p>
    <w:p>
      <w:pPr>
        <w:pStyle w:val="715"/>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footnotePr/>
      <w:endnotePr/>
      <w:type w:val="nextPage"/>
      <w:pgSz w:w="11906" w:h="16838" w:orient="portrait"/>
      <w:pgMar w:top="1440" w:right="1800" w:bottom="1440" w:left="1843"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楷体_GB2312">
    <w:panose1 w:val="02010609060101010101"/>
  </w:font>
  <w:font w:name="新宋体">
    <w:panose1 w:val="02010609030101010101"/>
  </w:font>
  <w:font w:name="Courier New">
    <w:panose1 w:val="020703090202050204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right"/>
      <w:rPr>
        <w:rFonts w:hint="eastAsia" w:eastAsia="宋体"/>
        <w:lang w:eastAsia="zh-CN"/>
      </w:rPr>
    </w:pPr>
    <w:r>
      <w:rPr>
        <w:rFonts w:hint="eastAsia"/>
        <w:lang w:eastAsia="zh-CN"/>
      </w:rPr>
      <w:t xml:space="preserve">南京通建项目管理咨询有限公司</w:t>
    </w:r>
    <w:r/>
  </w:p>
  <w:p>
    <w:pPr>
      <w:pStyle w:val="7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right"/>
      <w:rPr>
        <w:rFonts w:hint="eastAsia" w:eastAsia="宋体"/>
        <w:lang w:eastAsia="zh-CN"/>
      </w:rPr>
    </w:pPr>
    <w:r>
      <w:rPr>
        <w:rFonts w:hint="eastAsia"/>
        <w:lang w:eastAsia="zh-CN"/>
      </w:rPr>
      <w:t xml:space="preserve">南京通建项目管理咨询有限公司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09"/>
    <w:uiPriority w:val="9"/>
    <w:rPr>
      <w:rFonts w:ascii="Arial" w:hAnsi="Arial" w:eastAsia="Arial" w:cs="Arial"/>
      <w:sz w:val="40"/>
      <w:szCs w:val="40"/>
    </w:rPr>
  </w:style>
  <w:style w:type="character" w:styleId="15">
    <w:name w:val="Heading 2 Char"/>
    <w:basedOn w:val="713"/>
    <w:link w:val="710"/>
    <w:uiPriority w:val="9"/>
    <w:rPr>
      <w:rFonts w:ascii="Arial" w:hAnsi="Arial" w:eastAsia="Arial" w:cs="Arial"/>
      <w:sz w:val="34"/>
    </w:rPr>
  </w:style>
  <w:style w:type="character" w:styleId="17">
    <w:name w:val="Heading 3 Char"/>
    <w:basedOn w:val="713"/>
    <w:link w:val="711"/>
    <w:uiPriority w:val="9"/>
    <w:rPr>
      <w:rFonts w:ascii="Arial" w:hAnsi="Arial" w:eastAsia="Arial" w:cs="Arial"/>
      <w:sz w:val="30"/>
      <w:szCs w:val="30"/>
    </w:rPr>
  </w:style>
  <w:style w:type="character" w:styleId="19">
    <w:name w:val="Heading 4 Char"/>
    <w:basedOn w:val="713"/>
    <w:link w:val="712"/>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3"/>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3"/>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3"/>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3"/>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3"/>
    <w:link w:val="735"/>
    <w:uiPriority w:val="10"/>
    <w:rPr>
      <w:sz w:val="48"/>
      <w:szCs w:val="48"/>
    </w:rPr>
  </w:style>
  <w:style w:type="character" w:styleId="36">
    <w:name w:val="Subtitle Char"/>
    <w:basedOn w:val="713"/>
    <w:link w:val="730"/>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3"/>
    <w:link w:val="728"/>
    <w:uiPriority w:val="99"/>
  </w:style>
  <w:style w:type="character" w:styleId="44">
    <w:name w:val="Footer Char"/>
    <w:basedOn w:val="713"/>
    <w:link w:val="727"/>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27"/>
    <w:uiPriority w:val="99"/>
  </w:style>
  <w:style w:type="table" w:styleId="48">
    <w:name w:val="Table Grid Light"/>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3"/>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3"/>
    <w:uiPriority w:val="99"/>
    <w:semiHidden/>
    <w:unhideWhenUsed/>
    <w:rPr>
      <w:vertAlign w:val="superscript"/>
    </w:r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15"/>
    <w:uiPriority w:val="0"/>
    <w:qFormat/>
    <w:pPr>
      <w:jc w:val="both"/>
      <w:widowControl w:val="off"/>
    </w:pPr>
    <w:rPr>
      <w:rFonts w:ascii="Times New Roman" w:hAnsi="Times New Roman" w:eastAsia="宋体" w:cs="Times New Roman"/>
      <w:sz w:val="21"/>
      <w:szCs w:val="24"/>
      <w:lang w:val="en-US" w:eastAsia="zh-CN" w:bidi="ar-SA"/>
    </w:rPr>
  </w:style>
  <w:style w:type="paragraph" w:styleId="709">
    <w:name w:val="Heading 1"/>
    <w:basedOn w:val="708"/>
    <w:next w:val="708"/>
    <w:link w:val="742"/>
    <w:uiPriority w:val="9"/>
    <w:qFormat/>
    <w:pPr>
      <w:keepLines/>
      <w:keepNext/>
      <w:spacing w:before="80" w:after="80"/>
      <w:outlineLvl w:val="0"/>
    </w:pPr>
    <w:rPr>
      <w:b/>
      <w:bCs/>
      <w:sz w:val="44"/>
      <w:szCs w:val="44"/>
    </w:rPr>
  </w:style>
  <w:style w:type="paragraph" w:styleId="710">
    <w:name w:val="Heading 2"/>
    <w:basedOn w:val="708"/>
    <w:next w:val="718"/>
    <w:link w:val="744"/>
    <w:uiPriority w:val="0"/>
    <w:qFormat/>
    <w:pPr>
      <w:jc w:val="center"/>
      <w:keepLines/>
      <w:keepNext/>
      <w:spacing w:before="260" w:after="260" w:line="416" w:lineRule="auto"/>
      <w:outlineLvl w:val="1"/>
    </w:pPr>
    <w:rPr>
      <w:rFonts w:ascii="Arial" w:hAnsi="Arial"/>
      <w:b/>
      <w:sz w:val="44"/>
      <w:szCs w:val="20"/>
    </w:rPr>
  </w:style>
  <w:style w:type="paragraph" w:styleId="711">
    <w:name w:val="Heading 3"/>
    <w:basedOn w:val="708"/>
    <w:next w:val="708"/>
    <w:link w:val="745"/>
    <w:uiPriority w:val="9"/>
    <w:unhideWhenUsed/>
    <w:qFormat/>
    <w:pPr>
      <w:keepLines/>
      <w:keepNext/>
      <w:spacing w:before="260" w:after="260" w:line="416" w:lineRule="auto"/>
      <w:outlineLvl w:val="2"/>
    </w:pPr>
    <w:rPr>
      <w:b/>
      <w:bCs/>
      <w:sz w:val="32"/>
      <w:szCs w:val="32"/>
    </w:rPr>
  </w:style>
  <w:style w:type="paragraph" w:styleId="712">
    <w:name w:val="Heading 4"/>
    <w:basedOn w:val="708"/>
    <w:next w:val="708"/>
    <w:uiPriority w:val="9"/>
    <w:qFormat/>
    <w:pPr>
      <w:keepLines/>
      <w:keepNext/>
      <w:spacing w:before="120" w:after="120"/>
      <w:outlineLvl w:val="3"/>
    </w:pPr>
    <w:rPr>
      <w:rFonts w:ascii="Arial" w:hAnsi="Arial" w:eastAsia="黑体" w:cs="Times New Roman"/>
      <w:b/>
      <w:sz w:val="28"/>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正文首行缩进 21"/>
    <w:basedOn w:val="716"/>
    <w:next w:val="708"/>
    <w:uiPriority w:val="0"/>
    <w:qFormat/>
    <w:pPr>
      <w:ind w:left="0" w:firstLine="420"/>
      <w:spacing w:after="0" w:line="360" w:lineRule="auto"/>
    </w:pPr>
    <w:rPr>
      <w:rFonts w:ascii="宋体" w:hAnsi="宋体" w:eastAsia="宋体" w:cs="Times New Roman"/>
      <w:szCs w:val="20"/>
    </w:rPr>
  </w:style>
  <w:style w:type="paragraph" w:styleId="716" w:customStyle="1">
    <w:name w:val="正文文本缩进1"/>
    <w:basedOn w:val="708"/>
    <w:next w:val="717"/>
    <w:uiPriority w:val="0"/>
    <w:unhideWhenUsed/>
    <w:qFormat/>
    <w:pPr>
      <w:ind w:left="420"/>
      <w:spacing w:after="120"/>
    </w:pPr>
  </w:style>
  <w:style w:type="paragraph" w:styleId="717" w:customStyle="1">
    <w:name w:val="寄信人地址1"/>
    <w:basedOn w:val="708"/>
    <w:uiPriority w:val="0"/>
    <w:qFormat/>
    <w:rPr>
      <w:rFonts w:ascii="Arial" w:hAnsi="Arial" w:eastAsia="宋体" w:cs="宋体"/>
    </w:rPr>
  </w:style>
  <w:style w:type="paragraph" w:styleId="718">
    <w:name w:val="Normal Indent"/>
    <w:basedOn w:val="708"/>
    <w:uiPriority w:val="0"/>
    <w:unhideWhenUsed/>
    <w:qFormat/>
    <w:pPr>
      <w:ind w:firstLine="420"/>
    </w:pPr>
  </w:style>
  <w:style w:type="paragraph" w:styleId="719">
    <w:name w:val="annotation text"/>
    <w:basedOn w:val="708"/>
    <w:link w:val="758"/>
    <w:uiPriority w:val="99"/>
    <w:unhideWhenUsed/>
    <w:qFormat/>
    <w:pPr>
      <w:jc w:val="left"/>
    </w:pPr>
  </w:style>
  <w:style w:type="paragraph" w:styleId="720">
    <w:name w:val="Body Text"/>
    <w:basedOn w:val="708"/>
    <w:link w:val="748"/>
    <w:uiPriority w:val="99"/>
    <w:unhideWhenUsed/>
    <w:qFormat/>
    <w:pPr>
      <w:spacing w:after="120"/>
    </w:pPr>
  </w:style>
  <w:style w:type="paragraph" w:styleId="721">
    <w:name w:val="Body Text Indent"/>
    <w:basedOn w:val="708"/>
    <w:link w:val="746"/>
    <w:uiPriority w:val="0"/>
    <w:qFormat/>
    <w:pPr>
      <w:ind w:firstLine="600"/>
    </w:pPr>
    <w:rPr>
      <w:rFonts w:ascii="仿宋_GB2312" w:hAnsi="华文仿宋" w:eastAsia="仿宋_GB2312"/>
      <w:color w:val="ff0000"/>
      <w:sz w:val="30"/>
    </w:rPr>
  </w:style>
  <w:style w:type="paragraph" w:styleId="722">
    <w:name w:val="toc 3"/>
    <w:basedOn w:val="708"/>
    <w:next w:val="708"/>
    <w:uiPriority w:val="39"/>
    <w:unhideWhenUsed/>
    <w:qFormat/>
    <w:pPr>
      <w:ind w:left="840"/>
    </w:pPr>
  </w:style>
  <w:style w:type="paragraph" w:styleId="723">
    <w:name w:val="Plain Text"/>
    <w:basedOn w:val="708"/>
    <w:link w:val="760"/>
    <w:uiPriority w:val="0"/>
    <w:qFormat/>
    <w:rPr>
      <w:rFonts w:ascii="宋体" w:hAnsi="Courier New"/>
      <w:szCs w:val="20"/>
    </w:rPr>
  </w:style>
  <w:style w:type="paragraph" w:styleId="724">
    <w:name w:val="Date"/>
    <w:basedOn w:val="708"/>
    <w:next w:val="708"/>
    <w:link w:val="756"/>
    <w:uiPriority w:val="99"/>
    <w:semiHidden/>
    <w:unhideWhenUsed/>
    <w:qFormat/>
    <w:pPr>
      <w:ind w:left="100"/>
    </w:pPr>
  </w:style>
  <w:style w:type="paragraph" w:styleId="725">
    <w:name w:val="Body Text Indent 2"/>
    <w:basedOn w:val="708"/>
    <w:link w:val="749"/>
    <w:uiPriority w:val="99"/>
    <w:unhideWhenUsed/>
    <w:qFormat/>
    <w:pPr>
      <w:ind w:left="420"/>
      <w:spacing w:after="120" w:line="480" w:lineRule="auto"/>
    </w:pPr>
  </w:style>
  <w:style w:type="paragraph" w:styleId="726">
    <w:name w:val="Balloon Text"/>
    <w:basedOn w:val="708"/>
    <w:link w:val="754"/>
    <w:uiPriority w:val="99"/>
    <w:unhideWhenUsed/>
    <w:qFormat/>
    <w:rPr>
      <w:sz w:val="18"/>
      <w:szCs w:val="18"/>
    </w:rPr>
  </w:style>
  <w:style w:type="paragraph" w:styleId="727">
    <w:name w:val="Footer"/>
    <w:basedOn w:val="708"/>
    <w:link w:val="741"/>
    <w:uiPriority w:val="99"/>
    <w:unhideWhenUsed/>
    <w:qFormat/>
    <w:pPr>
      <w:jc w:val="left"/>
      <w:tabs>
        <w:tab w:val="center" w:pos="4153" w:leader="none"/>
        <w:tab w:val="right" w:pos="8306" w:leader="none"/>
      </w:tabs>
    </w:pPr>
    <w:rPr>
      <w:sz w:val="18"/>
      <w:szCs w:val="18"/>
    </w:rPr>
  </w:style>
  <w:style w:type="paragraph" w:styleId="728">
    <w:name w:val="Header"/>
    <w:basedOn w:val="708"/>
    <w:link w:val="74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708"/>
    <w:next w:val="708"/>
    <w:uiPriority w:val="39"/>
    <w:qFormat/>
    <w:pPr>
      <w:jc w:val="left"/>
      <w:tabs>
        <w:tab w:val="right" w:pos="9360" w:leader="dot"/>
      </w:tabs>
    </w:pPr>
    <w:rPr>
      <w:rFonts w:ascii="新宋体" w:hAnsi="新宋体" w:eastAsia="新宋体"/>
      <w:b/>
      <w:bCs/>
      <w:color w:val="000000"/>
    </w:rPr>
  </w:style>
  <w:style w:type="paragraph" w:styleId="730">
    <w:name w:val="Subtitle"/>
    <w:basedOn w:val="708"/>
    <w:next w:val="708"/>
    <w:link w:val="752"/>
    <w:uiPriority w:val="11"/>
    <w:qFormat/>
    <w:pPr>
      <w:jc w:val="center"/>
      <w:spacing w:before="240" w:after="60" w:line="312" w:lineRule="auto"/>
      <w:outlineLvl w:val="1"/>
    </w:pPr>
    <w:rPr>
      <w:rFonts w:asciiTheme="majorHAnsi" w:hAnsiTheme="majorHAnsi" w:cstheme="majorBidi"/>
      <w:b/>
      <w:bCs/>
      <w:sz w:val="32"/>
      <w:szCs w:val="32"/>
    </w:rPr>
  </w:style>
  <w:style w:type="paragraph" w:styleId="731">
    <w:name w:val="toc 2"/>
    <w:basedOn w:val="708"/>
    <w:next w:val="708"/>
    <w:uiPriority w:val="39"/>
    <w:unhideWhenUsed/>
    <w:qFormat/>
    <w:pPr>
      <w:ind w:left="420"/>
    </w:pPr>
  </w:style>
  <w:style w:type="paragraph" w:styleId="732">
    <w:name w:val="Body Text 2"/>
    <w:basedOn w:val="708"/>
    <w:uiPriority w:val="0"/>
    <w:qFormat/>
    <w:pPr>
      <w:jc w:val="center"/>
    </w:pPr>
    <w:rPr>
      <w:b/>
      <w:bCs/>
      <w:sz w:val="72"/>
      <w:szCs w:val="20"/>
    </w:rPr>
  </w:style>
  <w:style w:type="paragraph" w:styleId="733">
    <w:name w:val="HTML Preformatted"/>
    <w:basedOn w:val="708"/>
    <w:link w:val="74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4">
    <w:name w:val="Normal (Web)"/>
    <w:basedOn w:val="708"/>
    <w:uiPriority w:val="99"/>
    <w:semiHidden/>
    <w:unhideWhenUsed/>
    <w:qFormat/>
    <w:pPr>
      <w:jc w:val="left"/>
      <w:spacing w:before="75" w:after="75"/>
      <w:widowControl/>
    </w:pPr>
    <w:rPr>
      <w:rFonts w:ascii="宋体" w:hAnsi="宋体" w:cs="宋体"/>
      <w:sz w:val="24"/>
    </w:rPr>
  </w:style>
  <w:style w:type="paragraph" w:styleId="735">
    <w:name w:val="Title"/>
    <w:basedOn w:val="708"/>
    <w:next w:val="708"/>
    <w:link w:val="751"/>
    <w:uiPriority w:val="10"/>
    <w:qFormat/>
    <w:pPr>
      <w:jc w:val="center"/>
      <w:spacing w:before="240" w:after="60"/>
      <w:outlineLvl w:val="0"/>
    </w:pPr>
    <w:rPr>
      <w:rFonts w:asciiTheme="majorHAnsi" w:hAnsiTheme="majorHAnsi" w:cstheme="majorBidi"/>
      <w:b/>
      <w:bCs/>
      <w:sz w:val="32"/>
      <w:szCs w:val="32"/>
    </w:rPr>
  </w:style>
  <w:style w:type="paragraph" w:styleId="736">
    <w:name w:val="annotation subject"/>
    <w:basedOn w:val="719"/>
    <w:next w:val="719"/>
    <w:link w:val="759"/>
    <w:uiPriority w:val="99"/>
    <w:semiHidden/>
    <w:unhideWhenUsed/>
    <w:qFormat/>
    <w:rPr>
      <w:b/>
      <w:bCs/>
    </w:rPr>
  </w:style>
  <w:style w:type="table" w:styleId="737">
    <w:name w:val="Table Grid"/>
    <w:basedOn w:val="714"/>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38">
    <w:name w:val="Hyperlink"/>
    <w:basedOn w:val="713"/>
    <w:uiPriority w:val="99"/>
    <w:qFormat/>
    <w:rPr>
      <w:color w:val="0000ff"/>
      <w:u w:val="single"/>
    </w:rPr>
  </w:style>
  <w:style w:type="character" w:styleId="739">
    <w:name w:val="annotation reference"/>
    <w:basedOn w:val="713"/>
    <w:uiPriority w:val="99"/>
    <w:semiHidden/>
    <w:unhideWhenUsed/>
    <w:qFormat/>
    <w:rPr>
      <w:sz w:val="21"/>
      <w:szCs w:val="21"/>
    </w:rPr>
  </w:style>
  <w:style w:type="character" w:styleId="740" w:customStyle="1">
    <w:name w:val="页眉 Char"/>
    <w:basedOn w:val="713"/>
    <w:link w:val="728"/>
    <w:uiPriority w:val="99"/>
    <w:semiHidden/>
    <w:qFormat/>
    <w:rPr>
      <w:sz w:val="18"/>
      <w:szCs w:val="18"/>
    </w:rPr>
  </w:style>
  <w:style w:type="character" w:styleId="741" w:customStyle="1">
    <w:name w:val="页脚 Char"/>
    <w:basedOn w:val="713"/>
    <w:link w:val="727"/>
    <w:uiPriority w:val="99"/>
    <w:qFormat/>
    <w:rPr>
      <w:sz w:val="18"/>
      <w:szCs w:val="18"/>
    </w:rPr>
  </w:style>
  <w:style w:type="character" w:styleId="742" w:customStyle="1">
    <w:name w:val="标题 1 Char"/>
    <w:basedOn w:val="713"/>
    <w:link w:val="709"/>
    <w:uiPriority w:val="9"/>
    <w:qFormat/>
    <w:rPr>
      <w:rFonts w:ascii="Times New Roman" w:hAnsi="Times New Roman" w:eastAsia="宋体" w:cs="Times New Roman"/>
      <w:b/>
      <w:bCs/>
      <w:sz w:val="44"/>
      <w:szCs w:val="44"/>
    </w:rPr>
  </w:style>
  <w:style w:type="character" w:styleId="743" w:customStyle="1">
    <w:name w:val="样式 (西文) 新宋体 (中文) 新宋体 小三 (西文)粗体 黑色"/>
    <w:basedOn w:val="713"/>
    <w:uiPriority w:val="0"/>
    <w:qFormat/>
    <w:rPr>
      <w:rFonts w:ascii="新宋体" w:hAnsi="新宋体" w:eastAsia="新宋体"/>
      <w:b/>
      <w:color w:val="000000"/>
      <w:sz w:val="30"/>
      <w:szCs w:val="30"/>
    </w:rPr>
  </w:style>
  <w:style w:type="character" w:styleId="744" w:customStyle="1">
    <w:name w:val="标题 2 Char"/>
    <w:basedOn w:val="713"/>
    <w:link w:val="710"/>
    <w:uiPriority w:val="0"/>
    <w:qFormat/>
    <w:rPr>
      <w:rFonts w:ascii="Arial" w:hAnsi="Arial" w:eastAsia="宋体" w:cs="Times New Roman"/>
      <w:b/>
      <w:sz w:val="44"/>
      <w:szCs w:val="20"/>
    </w:rPr>
  </w:style>
  <w:style w:type="character" w:styleId="745" w:customStyle="1">
    <w:name w:val="标题 3 Char"/>
    <w:basedOn w:val="713"/>
    <w:link w:val="711"/>
    <w:uiPriority w:val="9"/>
    <w:qFormat/>
    <w:rPr>
      <w:rFonts w:ascii="Times New Roman" w:hAnsi="Times New Roman" w:eastAsia="宋体" w:cs="Times New Roman"/>
      <w:b/>
      <w:bCs/>
      <w:sz w:val="32"/>
      <w:szCs w:val="32"/>
    </w:rPr>
  </w:style>
  <w:style w:type="character" w:styleId="746" w:customStyle="1">
    <w:name w:val="正文文本缩进 Char"/>
    <w:basedOn w:val="713"/>
    <w:link w:val="721"/>
    <w:uiPriority w:val="0"/>
    <w:qFormat/>
    <w:rPr>
      <w:rFonts w:ascii="仿宋_GB2312" w:hAnsi="华文仿宋" w:eastAsia="仿宋_GB2312" w:cs="Times New Roman"/>
      <w:color w:val="ff0000"/>
      <w:sz w:val="30"/>
      <w:szCs w:val="24"/>
    </w:rPr>
  </w:style>
  <w:style w:type="character" w:styleId="747" w:customStyle="1">
    <w:name w:val="HTML 预设格式 Char"/>
    <w:basedOn w:val="713"/>
    <w:link w:val="733"/>
    <w:uiPriority w:val="0"/>
    <w:qFormat/>
    <w:rPr>
      <w:rFonts w:ascii="黑体" w:hAnsi="Courier New" w:eastAsia="黑体" w:cs="Courier New"/>
      <w:sz w:val="20"/>
      <w:szCs w:val="20"/>
    </w:rPr>
  </w:style>
  <w:style w:type="character" w:styleId="748" w:customStyle="1">
    <w:name w:val="正文文本 Char"/>
    <w:basedOn w:val="713"/>
    <w:link w:val="720"/>
    <w:uiPriority w:val="99"/>
    <w:qFormat/>
    <w:rPr>
      <w:rFonts w:ascii="Times New Roman" w:hAnsi="Times New Roman" w:eastAsia="宋体" w:cs="Times New Roman"/>
      <w:szCs w:val="24"/>
    </w:rPr>
  </w:style>
  <w:style w:type="character" w:styleId="749" w:customStyle="1">
    <w:name w:val="正文文本缩进 2 Char"/>
    <w:basedOn w:val="713"/>
    <w:link w:val="725"/>
    <w:uiPriority w:val="99"/>
    <w:semiHidden/>
    <w:qFormat/>
    <w:rPr>
      <w:rFonts w:ascii="Times New Roman" w:hAnsi="Times New Roman" w:eastAsia="宋体" w:cs="Times New Roman"/>
      <w:szCs w:val="24"/>
    </w:rPr>
  </w:style>
  <w:style w:type="paragraph" w:styleId="750" w:customStyle="1">
    <w:name w:val="列出段落1"/>
    <w:basedOn w:val="708"/>
    <w:uiPriority w:val="34"/>
    <w:qFormat/>
    <w:pPr>
      <w:ind w:firstLine="420"/>
    </w:pPr>
  </w:style>
  <w:style w:type="character" w:styleId="751" w:customStyle="1">
    <w:name w:val="标题 Char"/>
    <w:basedOn w:val="713"/>
    <w:link w:val="735"/>
    <w:uiPriority w:val="10"/>
    <w:qFormat/>
    <w:rPr>
      <w:rFonts w:eastAsia="宋体" w:asciiTheme="majorHAnsi" w:hAnsiTheme="majorHAnsi" w:cstheme="majorBidi"/>
      <w:b/>
      <w:bCs/>
      <w:sz w:val="32"/>
      <w:szCs w:val="32"/>
    </w:rPr>
  </w:style>
  <w:style w:type="character" w:styleId="752" w:customStyle="1">
    <w:name w:val="副标题 Char"/>
    <w:basedOn w:val="713"/>
    <w:link w:val="730"/>
    <w:uiPriority w:val="11"/>
    <w:qFormat/>
    <w:rPr>
      <w:rFonts w:eastAsia="宋体" w:asciiTheme="majorHAnsi" w:hAnsiTheme="majorHAnsi" w:cstheme="majorBidi"/>
      <w:b/>
      <w:bCs/>
      <w:sz w:val="32"/>
      <w:szCs w:val="32"/>
    </w:rPr>
  </w:style>
  <w:style w:type="paragraph" w:styleId="753" w:customStyle="1">
    <w:name w:val="TOC 标题1"/>
    <w:basedOn w:val="709"/>
    <w:next w:val="708"/>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754" w:customStyle="1">
    <w:name w:val="批注框文本 Char"/>
    <w:basedOn w:val="713"/>
    <w:link w:val="726"/>
    <w:uiPriority w:val="99"/>
    <w:semiHidden/>
    <w:qFormat/>
    <w:rPr>
      <w:rFonts w:ascii="Times New Roman" w:hAnsi="Times New Roman" w:eastAsia="宋体" w:cs="Times New Roman"/>
      <w:sz w:val="18"/>
      <w:szCs w:val="18"/>
    </w:rPr>
  </w:style>
  <w:style w:type="paragraph" w:styleId="755">
    <w:name w:val="List Paragraph"/>
    <w:basedOn w:val="708"/>
    <w:uiPriority w:val="34"/>
    <w:unhideWhenUsed/>
    <w:qFormat/>
    <w:pPr>
      <w:ind w:firstLine="420"/>
    </w:pPr>
  </w:style>
  <w:style w:type="character" w:styleId="756" w:customStyle="1">
    <w:name w:val="日期 Char"/>
    <w:basedOn w:val="713"/>
    <w:link w:val="724"/>
    <w:uiPriority w:val="99"/>
    <w:semiHidden/>
    <w:qFormat/>
    <w:rPr>
      <w:sz w:val="21"/>
      <w:szCs w:val="24"/>
    </w:rPr>
  </w:style>
  <w:style w:type="paragraph" w:styleId="757" w:customStyle="1">
    <w:name w:val="paragraph"/>
    <w:basedOn w:val="708"/>
    <w:uiPriority w:val="0"/>
    <w:qFormat/>
    <w:pPr>
      <w:jc w:val="left"/>
      <w:spacing w:before="100" w:beforeAutospacing="1" w:after="100" w:afterAutospacing="1"/>
      <w:widowControl/>
    </w:pPr>
    <w:rPr>
      <w:rFonts w:ascii="宋体" w:hAnsi="宋体" w:cs="宋体"/>
      <w:sz w:val="24"/>
    </w:rPr>
  </w:style>
  <w:style w:type="character" w:styleId="758" w:customStyle="1">
    <w:name w:val="批注文字 Char"/>
    <w:basedOn w:val="713"/>
    <w:link w:val="719"/>
    <w:uiPriority w:val="99"/>
    <w:qFormat/>
    <w:rPr>
      <w:rFonts w:ascii="Times New Roman" w:hAnsi="Times New Roman"/>
      <w:sz w:val="21"/>
      <w:szCs w:val="24"/>
    </w:rPr>
  </w:style>
  <w:style w:type="character" w:styleId="759" w:customStyle="1">
    <w:name w:val="批注主题 Char"/>
    <w:basedOn w:val="758"/>
    <w:link w:val="736"/>
    <w:uiPriority w:val="99"/>
    <w:semiHidden/>
    <w:qFormat/>
    <w:rPr>
      <w:rFonts w:ascii="Times New Roman" w:hAnsi="Times New Roman"/>
      <w:b/>
      <w:bCs/>
      <w:sz w:val="21"/>
      <w:szCs w:val="24"/>
    </w:rPr>
  </w:style>
  <w:style w:type="character" w:styleId="760" w:customStyle="1">
    <w:name w:val="纯文本 Char"/>
    <w:basedOn w:val="713"/>
    <w:link w:val="723"/>
    <w:uiPriority w:val="0"/>
    <w:qFormat/>
    <w:rPr>
      <w:rFonts w:hAnsi="Courier New"/>
      <w:sz w:val="21"/>
    </w:rPr>
  </w:style>
  <w:style w:type="paragraph" w:styleId="761" w:customStyle="1">
    <w:name w:val="正文首行缩进 212"/>
    <w:basedOn w:val="762"/>
    <w:next w:val="708"/>
    <w:uiPriority w:val="0"/>
    <w:qFormat/>
    <w:pPr>
      <w:ind w:left="420" w:firstLine="420"/>
      <w:spacing w:after="120"/>
    </w:pPr>
    <w:rPr>
      <w:sz w:val="21"/>
    </w:rPr>
  </w:style>
  <w:style w:type="paragraph" w:styleId="762" w:customStyle="1">
    <w:name w:val="正文文本缩进111"/>
    <w:basedOn w:val="708"/>
    <w:next w:val="763"/>
    <w:uiPriority w:val="0"/>
    <w:qFormat/>
    <w:pPr>
      <w:ind w:firstLine="645"/>
    </w:pPr>
    <w:rPr>
      <w:rFonts w:ascii="楷体_GB2312" w:eastAsia="楷体_GB2312"/>
      <w:sz w:val="32"/>
    </w:rPr>
  </w:style>
  <w:style w:type="paragraph" w:styleId="763" w:customStyle="1">
    <w:name w:val="寄信人地址11"/>
    <w:basedOn w:val="708"/>
    <w:uiPriority w:val="0"/>
    <w:qFormat/>
    <w:rPr>
      <w:rFonts w:ascii="Arial" w:hAnsi="Arial" w:eastAsia="宋体" w:cs="宋体"/>
    </w:rPr>
  </w:style>
  <w:style w:type="paragraph" w:styleId="764" w:customStyle="1">
    <w:name w:val="正文缩进11"/>
    <w:basedOn w:val="708"/>
    <w:next w:val="762"/>
    <w:uiPriority w:val="0"/>
    <w:qFormat/>
    <w:pPr>
      <w:ind w:firstLine="420"/>
    </w:pPr>
  </w:style>
  <w:style w:type="numbering" w:styleId="4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115318-193E-467B-B24D-EEA8CF67F4E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通建</cp:lastModifiedBy>
  <cp:revision>17</cp:revision>
  <dcterms:created xsi:type="dcterms:W3CDTF">2022-11-10T09:21:00Z</dcterms:created>
  <dcterms:modified xsi:type="dcterms:W3CDTF">2026-08-26T02:28:49Z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928921DF3A154B3D8E19140C38BCC6A8</vt:lpwstr>
  </property>
</Properties>
</file>