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15"/>
        <w:jc w:val="center"/>
        <w:rPr>
          <w:rFonts w:ascii="宋体" w:hAnsi="宋体" w:eastAsia="宋体"/>
          <w:b/>
          <w:color w:val="000000"/>
          <w:sz w:val="84"/>
          <w:szCs w:val="84"/>
          <w:highlight w:val="none"/>
          <w:lang w:val="en-US" w:eastAsia="zh-CN"/>
        </w:rPr>
      </w:pPr>
      <w:r>
        <w:rPr>
          <w:rFonts w:hint="eastAsia" w:ascii="宋体" w:hAnsi="宋体"/>
          <w:b/>
          <w:color w:val="000000"/>
          <w:sz w:val="84"/>
          <w:szCs w:val="84"/>
          <w:highlight w:val="none"/>
          <w:lang w:val="en-US" w:eastAsia="zh-CN"/>
        </w:rPr>
        <w:t xml:space="preserve">苏州市</w:t>
      </w:r>
      <w:r>
        <w:rPr>
          <w:rFonts w:hint="eastAsia" w:ascii="宋体" w:hAnsi="宋体"/>
          <w:b/>
          <w:color w:val="000000"/>
          <w:sz w:val="84"/>
          <w:szCs w:val="84"/>
          <w:highlight w:val="none"/>
          <w:lang w:val="en-US" w:eastAsia="zh-CN"/>
        </w:rPr>
        <w:t xml:space="preserve">吴江区</w:t>
      </w:r>
      <w:r>
        <w:rPr>
          <w:rFonts w:ascii="宋体" w:hAnsi="宋体" w:eastAsia="宋体"/>
          <w:b/>
          <w:color w:val="000000"/>
          <w:sz w:val="84"/>
          <w:szCs w:val="84"/>
          <w:highlight w:val="none"/>
          <w:lang w:val="en-US" w:eastAsia="zh-CN"/>
        </w:rPr>
      </w:r>
      <w:r/>
    </w:p>
    <w:p>
      <w:pPr>
        <w:pStyle w:val="915"/>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915"/>
        <w:rPr>
          <w:rFonts w:hint="eastAsia" w:ascii="宋体" w:hAnsi="宋体"/>
          <w:color w:val="000000"/>
          <w:highlight w:val="none"/>
        </w:rPr>
      </w:pPr>
      <w:r>
        <w:rPr>
          <w:rFonts w:hint="eastAsia" w:ascii="宋体" w:hAnsi="宋体"/>
          <w:color w:val="000000"/>
          <w:highlight w:val="none"/>
        </w:rPr>
      </w:r>
      <w:r/>
    </w:p>
    <w:p>
      <w:pPr>
        <w:pStyle w:val="915"/>
        <w:rPr>
          <w:rFonts w:hint="eastAsia" w:ascii="宋体" w:hAnsi="宋体"/>
          <w:color w:val="000000"/>
          <w:highlight w:val="none"/>
        </w:rPr>
      </w:pPr>
      <w:r>
        <w:rPr>
          <w:rFonts w:hint="eastAsia" w:ascii="宋体" w:hAnsi="宋体"/>
          <w:color w:val="000000"/>
          <w:highlight w:val="none"/>
        </w:rPr>
      </w:r>
      <w:r/>
    </w:p>
    <w:p>
      <w:pPr>
        <w:pStyle w:val="915"/>
        <w:rPr>
          <w:rFonts w:hint="eastAsia" w:ascii="宋体" w:hAnsi="宋体"/>
          <w:color w:val="000000"/>
          <w:highlight w:val="none"/>
        </w:rPr>
      </w:pPr>
      <w:r>
        <w:rPr>
          <w:rFonts w:hint="eastAsia" w:ascii="宋体" w:hAnsi="宋体"/>
          <w:color w:val="000000"/>
          <w:highlight w:val="none"/>
        </w:rPr>
      </w:r>
      <w:r/>
    </w:p>
    <w:p>
      <w:pPr>
        <w:pStyle w:val="964"/>
        <w:rPr>
          <w:rFonts w:hint="eastAsia"/>
          <w:color w:val="000000"/>
          <w:highlight w:val="none"/>
        </w:rPr>
      </w:pPr>
      <w:r>
        <w:rPr>
          <w:rFonts w:hint="eastAsia"/>
          <w:color w:val="000000"/>
          <w:highlight w:val="none"/>
        </w:rPr>
      </w:r>
      <w:r/>
    </w:p>
    <w:p>
      <w:pPr>
        <w:pStyle w:val="915"/>
        <w:rPr>
          <w:rFonts w:hint="eastAsia" w:ascii="宋体" w:hAnsi="宋体"/>
          <w:bCs/>
          <w:color w:val="000000"/>
          <w:highlight w:val="none"/>
        </w:rPr>
      </w:pPr>
      <w:r>
        <w:rPr>
          <w:rFonts w:hint="eastAsia" w:ascii="宋体" w:hAnsi="宋体"/>
          <w:bCs/>
          <w:color w:val="000000"/>
          <w:highlight w:val="none"/>
        </w:rPr>
      </w:r>
      <w:r/>
    </w:p>
    <w:p>
      <w:pPr>
        <w:pStyle w:val="915"/>
        <w:ind w:left="0" w:right="0" w:firstLine="135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JSZC-320509-ZZHL-C2026-0032</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915"/>
        <w:ind w:left="0" w:right="0" w:firstLine="135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2026年汾湖派出所道路交安设施维护项目</w:t>
      </w:r>
      <w:r>
        <w:rPr>
          <w:rFonts w:hint="eastAsia" w:ascii="宋体" w:hAnsi="宋体" w:eastAsia="宋体"/>
          <w:bCs/>
          <w:color w:val="000000"/>
          <w:sz w:val="30"/>
          <w:highlight w:val="none"/>
          <w:lang w:eastAsia="zh-CN"/>
        </w:rPr>
      </w:r>
      <w:r/>
    </w:p>
    <w:p>
      <w:pPr>
        <w:pStyle w:val="915"/>
        <w:ind w:left="0" w:right="0" w:firstLine="135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苏州市公安局吴江分局汾湖派出所</w:t>
      </w:r>
      <w:r>
        <w:rPr>
          <w:rFonts w:hint="eastAsia" w:ascii="宋体" w:hAnsi="宋体" w:eastAsia="宋体"/>
          <w:bCs/>
          <w:color w:val="000000"/>
          <w:sz w:val="30"/>
          <w:highlight w:val="none"/>
          <w:lang w:eastAsia="zh-CN"/>
        </w:rPr>
      </w:r>
      <w:r/>
    </w:p>
    <w:p>
      <w:pPr>
        <w:pStyle w:val="915"/>
        <w:ind w:left="0" w:right="0" w:firstLine="135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915"/>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27"/>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rPr>
          <w:rFonts w:ascii="Arial" w:hAnsi="Arial" w:cs="Arial"/>
          <w:color w:val="000000"/>
          <w:sz w:val="72"/>
          <w:szCs w:val="72"/>
          <w:highlight w:val="none"/>
          <w:lang w:val="zh-CN"/>
        </w:rPr>
      </w:r>
      <w:r/>
    </w:p>
    <w:p>
      <w:pPr>
        <w:pStyle w:val="927"/>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28"/>
        <w:rPr>
          <w:color w:val="000000"/>
          <w:highlight w:val="none"/>
          <w:lang w:val="zh-CN"/>
        </w:rPr>
      </w:pPr>
      <w:r>
        <w:rPr>
          <w:color w:val="000000"/>
          <w:highlight w:val="none"/>
          <w:lang w:val="zh-CN"/>
        </w:rPr>
      </w:r>
      <w:r/>
    </w:p>
    <w:p>
      <w:pPr>
        <w:pStyle w:val="927"/>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3" o:title=""/>
              </v:shape>
            </w:pict>
          </mc:Fallback>
        </mc:AlternateContent>
      </w:r>
      <w:r>
        <w:rPr>
          <w:color w:val="000000"/>
          <w:highlight w:val="none"/>
        </w:rPr>
      </w:r>
      <w:r/>
    </w:p>
    <w:p>
      <w:pPr>
        <w:pStyle w:val="915"/>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915"/>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八</w:t>
      </w:r>
      <w:r>
        <w:rPr>
          <w:rFonts w:hint="eastAsia" w:ascii="宋体" w:hAnsi="宋体"/>
          <w:b/>
          <w:color w:val="000000"/>
          <w:sz w:val="30"/>
          <w:highlight w:val="none"/>
        </w:rPr>
        <w:t xml:space="preserve">月</w:t>
      </w:r>
      <w:r>
        <w:rPr>
          <w:rFonts w:hint="eastAsia" w:ascii="宋体" w:hAnsi="宋体"/>
          <w:b/>
          <w:color w:val="000000"/>
          <w:highlight w:val="none"/>
        </w:rPr>
      </w:r>
      <w:r/>
    </w:p>
    <w:p>
      <w:pPr>
        <w:pStyle w:val="915"/>
        <w:jc w:val="center"/>
        <w:pageBreakBefore/>
        <w:spacing w:line="360" w:lineRule="auto"/>
        <w:widowControl/>
        <w:rPr>
          <w:rFonts w:hint="eastAsia" w:ascii="宋体" w:hAnsi="宋体"/>
          <w:b/>
          <w:color w:val="000000"/>
          <w:sz w:val="48"/>
          <w:highlight w:val="none"/>
        </w:rPr>
        <w:sectPr>
          <w:headerReference w:type="default" r:id="rId9"/>
          <w:footerReference w:type="first" r:id="rId10"/>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915"/>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91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15"/>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915"/>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91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91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91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915"/>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915"/>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915"/>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631"/>
      <w:r/>
      <w:bookmarkStart w:id="2" w:name="_Toc35393800"/>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2026年汾湖派出所道路交安设施维护项目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2026年8月24日</w:t>
      </w:r>
      <w:r>
        <w:rPr>
          <w:rFonts w:hint="eastAsia" w:ascii="宋体" w:hAnsi="宋体" w:cs="宋体"/>
          <w:color w:val="000000"/>
          <w:sz w:val="24"/>
          <w:highlight w:val="none"/>
          <w:u w:val="single"/>
          <w:lang w:val="en-US" w:eastAsia="zh-CN"/>
        </w:rPr>
        <w:t xml:space="preserve">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6"/>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6"/>
      <w:r/>
      <w:bookmarkStart w:id="5" w:name="OLE_LINK1"/>
      <w:r/>
      <w:bookmarkStart w:id="6" w:name="OLE_LINK4"/>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66"/>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JSZC-320509-ZZHL-C2026-0032</w:t>
      </w:r>
      <w:r>
        <w:rPr>
          <w:rFonts w:hint="eastAsia" w:ascii="宋体" w:hAnsi="宋体" w:eastAsia="宋体" w:cs="宋体"/>
          <w:color w:val="000000"/>
          <w:sz w:val="24"/>
          <w:highlight w:val="none"/>
          <w:lang w:eastAsia="zh-CN"/>
        </w:rPr>
      </w:r>
      <w:r/>
    </w:p>
    <w:p>
      <w:pPr>
        <w:pStyle w:val="966"/>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2026年汾湖派出所道路交安设施维护项目</w:t>
      </w:r>
      <w:r>
        <w:rPr>
          <w:rFonts w:hint="eastAsia" w:ascii="宋体" w:hAnsi="宋体" w:eastAsia="宋体" w:cs="宋体"/>
          <w:color w:val="000000"/>
          <w:sz w:val="24"/>
          <w:highlight w:val="none"/>
          <w:lang w:eastAsia="zh-CN"/>
        </w:rPr>
      </w:r>
      <w:r/>
    </w:p>
    <w:p>
      <w:pPr>
        <w:pStyle w:val="966"/>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w:t>
      </w:r>
      <w:r>
        <w:rPr>
          <w:rFonts w:hint="eastAsia" w:ascii="宋体" w:hAnsi="宋体" w:eastAsia="宋体" w:cs="宋体"/>
          <w:color w:val="000000"/>
          <w:sz w:val="24"/>
          <w:highlight w:val="none"/>
          <w:lang w:val="en-US" w:eastAsia="zh-CN"/>
        </w:rPr>
        <w:t xml:space="preserve">贰佰万圆整（￥：2000000.00）</w:t>
      </w:r>
      <w:r>
        <w:rPr>
          <w:rFonts w:ascii="宋体" w:hAnsi="宋体" w:eastAsia="宋体" w:cs="宋体"/>
          <w:color w:val="000000"/>
          <w:sz w:val="24"/>
          <w:highlight w:val="none"/>
          <w:lang w:val="en-US" w:eastAsia="zh-CN"/>
        </w:rPr>
      </w:r>
      <w:r/>
    </w:p>
    <w:p>
      <w:pPr>
        <w:pStyle w:val="966"/>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4.最高限价：人民币</w:t>
      </w:r>
      <w:r>
        <w:rPr>
          <w:rFonts w:hint="eastAsia" w:ascii="宋体" w:hAnsi="宋体" w:eastAsia="宋体" w:cs="宋体"/>
          <w:color w:val="000000"/>
          <w:sz w:val="24"/>
          <w:highlight w:val="none"/>
          <w:lang w:val="en-US" w:eastAsia="zh-CN"/>
        </w:rPr>
        <w:t xml:space="preserve">壹佰玖拾</w:t>
      </w:r>
      <w:r>
        <w:rPr>
          <w:rFonts w:hint="eastAsia" w:ascii="宋体" w:hAnsi="宋体" w:eastAsia="宋体" w:cs="宋体"/>
          <w:color w:val="000000"/>
          <w:sz w:val="24"/>
          <w:highlight w:val="none"/>
          <w:lang w:eastAsia="zh-CN"/>
        </w:rPr>
        <w:t xml:space="preserve">万圆整（￥：</w:t>
      </w:r>
      <w:r>
        <w:rPr>
          <w:rFonts w:hint="eastAsia" w:ascii="宋体" w:hAnsi="宋体" w:eastAsia="宋体" w:cs="宋体"/>
          <w:color w:val="000000"/>
          <w:sz w:val="24"/>
          <w:highlight w:val="none"/>
          <w:lang w:val="en-US" w:eastAsia="zh-CN"/>
        </w:rPr>
        <w:t xml:space="preserve">190</w:t>
      </w:r>
      <w:r>
        <w:rPr>
          <w:rFonts w:hint="eastAsia" w:ascii="宋体" w:hAnsi="宋体" w:eastAsia="宋体" w:cs="宋体"/>
          <w:color w:val="000000"/>
          <w:sz w:val="24"/>
          <w:highlight w:val="none"/>
          <w:lang w:eastAsia="zh-CN"/>
        </w:rPr>
        <w:t xml:space="preserve">0000.00）</w:t>
      </w:r>
      <w:r>
        <w:rPr>
          <w:rFonts w:hint="eastAsia" w:ascii="宋体" w:hAnsi="宋体" w:eastAsia="宋体" w:cs="宋体"/>
          <w:color w:val="000000"/>
          <w:sz w:val="24"/>
          <w:highlight w:val="none"/>
          <w:lang w:eastAsia="zh-CN"/>
        </w:rPr>
      </w:r>
      <w:r/>
    </w:p>
    <w:p>
      <w:pPr>
        <w:pStyle w:val="966"/>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w:t>
      </w:r>
      <w:r>
        <w:rPr>
          <w:rFonts w:hint="eastAsia" w:ascii="宋体" w:hAnsi="宋体" w:cs="宋体"/>
          <w:color w:val="000000"/>
          <w:sz w:val="24"/>
          <w:highlight w:val="none"/>
          <w:lang w:eastAsia="zh-CN"/>
        </w:rPr>
        <w:t xml:space="preserve">2026年汾湖派出所道路交安设施维护项目</w:t>
      </w:r>
      <w:r>
        <w:rPr>
          <w:rFonts w:hint="eastAsia" w:ascii="宋体" w:hAnsi="宋体" w:cs="宋体"/>
          <w:color w:val="000000"/>
          <w:sz w:val="24"/>
          <w:highlight w:val="none"/>
          <w:lang w:val="en-US" w:eastAsia="zh-CN"/>
        </w:rPr>
        <w:t xml:space="preserve">,服务内容为对辖区存在邻水护栏缺失、道路标牌标线不全、隔离护栏缺少、路口设计不合理、监控设备不足等交通安全隐患进行整改维护</w:t>
      </w:r>
      <w:r>
        <w:rPr>
          <w:rFonts w:hint="eastAsia" w:ascii="宋体" w:hAnsi="宋体" w:eastAsia="宋体" w:cs="宋体"/>
          <w:color w:val="000000"/>
          <w:sz w:val="24"/>
          <w:highlight w:val="none"/>
          <w:lang w:eastAsia="zh-CN"/>
        </w:rPr>
        <w:t xml:space="preserve">；具体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66"/>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b w:val="0"/>
          <w:bCs/>
          <w:color w:val="000000"/>
          <w:sz w:val="24"/>
          <w:highlight w:val="none"/>
          <w:lang w:eastAsia="zh-CN"/>
        </w:rPr>
        <w:t xml:space="preserve">自合同生效之日起一年或结算金额达到预算为止（以先到为准）。</w:t>
      </w:r>
      <w:r>
        <w:rPr>
          <w:rFonts w:hint="eastAsia" w:ascii="宋体" w:hAnsi="宋体" w:eastAsia="宋体" w:cs="宋体"/>
          <w:color w:val="000000"/>
          <w:sz w:val="24"/>
          <w:highlight w:val="none"/>
          <w:lang w:eastAsia="zh-CN"/>
        </w:rPr>
      </w:r>
      <w:r/>
    </w:p>
    <w:p>
      <w:pPr>
        <w:pStyle w:val="966"/>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详见验收方案。</w:t>
      </w:r>
      <w:r>
        <w:rPr>
          <w:rFonts w:ascii="宋体" w:hAnsi="宋体" w:eastAsia="宋体" w:cs="宋体"/>
          <w:color w:val="000000"/>
          <w:sz w:val="24"/>
          <w:highlight w:val="none"/>
          <w:lang w:val="en-US" w:eastAsia="zh-CN"/>
        </w:rPr>
      </w:r>
      <w:r/>
    </w:p>
    <w:p>
      <w:pPr>
        <w:pStyle w:val="96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66"/>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66"/>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6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96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具有独立承担民事责任的能力； </w:t>
      </w:r>
      <w:r>
        <w:rPr>
          <w:rFonts w:hint="eastAsia" w:ascii="宋体" w:hAnsi="宋体" w:cs="宋体"/>
          <w:color w:val="000000"/>
          <w:sz w:val="24"/>
          <w:highlight w:val="none"/>
        </w:rPr>
      </w:r>
      <w:r/>
    </w:p>
    <w:p>
      <w:pPr>
        <w:pStyle w:val="96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p>
      <w:pPr>
        <w:pStyle w:val="96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p>
      <w:pPr>
        <w:pStyle w:val="96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p>
      <w:pPr>
        <w:pStyle w:val="966"/>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p>
      <w:pPr>
        <w:pStyle w:val="966"/>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6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66"/>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66"/>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rPr>
        <w:t xml:space="preserve">3.1</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915"/>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3.2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915"/>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915"/>
        <w:ind w:firstLine="480"/>
        <w:jc w:val="left"/>
        <w:spacing w:line="360" w:lineRule="auto"/>
        <w:widowControl/>
        <w:rPr>
          <w:rFonts w:hint="eastAsia" w:ascii="宋体" w:hAnsi="宋体" w:cs="宋体"/>
          <w:color w:val="000000"/>
          <w:sz w:val="24"/>
          <w:highlight w:val="none"/>
          <w:u w:val="single"/>
        </w:rPr>
      </w:pPr>
      <w:r/>
      <w:bookmarkStart w:id="7" w:name="_Toc35393805"/>
      <w:r/>
      <w:bookmarkStart w:id="8" w:name="_Toc35393636"/>
      <w:r/>
      <w:bookmarkStart w:id="9" w:name="_Toc28359095"/>
      <w:r/>
      <w:bookmarkStart w:id="10" w:name="_Toc28359018"/>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2026年8月2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23:59（北京时间）。</w:t>
      </w:r>
      <w:r>
        <w:rPr>
          <w:rFonts w:hint="eastAsia" w:ascii="宋体" w:hAnsi="宋体" w:cs="宋体"/>
          <w:color w:val="000000"/>
          <w:sz w:val="24"/>
          <w:highlight w:val="none"/>
          <w:u w:val="single"/>
        </w:rPr>
      </w:r>
      <w:r/>
    </w:p>
    <w:p>
      <w:pPr>
        <w:pStyle w:val="915"/>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val="zh-CN"/>
        </w:rPr>
        <w:t xml:space="preserve">CA证书办理 </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lang w:val="zh-CN"/>
        </w:rPr>
        <w:t xml:space="preserve">参与采购活动 </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lang w:val="zh-CN"/>
        </w:rPr>
        <w:t xml:space="preserve">电子投标（响应）准备 </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915"/>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915"/>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915"/>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91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2026年8月24日</w:t>
      </w:r>
      <w:r>
        <w:rPr>
          <w:rFonts w:hint="eastAsia" w:ascii="宋体" w:hAnsi="宋体" w:eastAsia="宋体" w:cs="宋体"/>
          <w:color w:val="000000"/>
          <w:szCs w:val="24"/>
          <w:highlight w:val="none"/>
          <w:lang w:val="en-US" w:eastAsia="zh-CN"/>
        </w:rPr>
        <w:t xml:space="preserve">13：30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91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2026年8月24日</w:t>
      </w:r>
      <w:r>
        <w:rPr>
          <w:rFonts w:hint="eastAsia" w:ascii="宋体" w:hAnsi="宋体" w:cs="宋体"/>
          <w:color w:val="000000"/>
          <w:sz w:val="24"/>
          <w:highlight w:val="none"/>
          <w:lang w:val="en-US" w:eastAsia="zh-CN"/>
        </w:rPr>
        <w:t xml:space="preserve">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5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91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915"/>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915"/>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36"/>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915"/>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936"/>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91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35393806"/>
      <w:r/>
      <w:bookmarkStart w:id="14" w:name="_Toc28359096"/>
      <w:r/>
      <w:bookmarkStart w:id="15" w:name="_Toc28359019"/>
      <w:r/>
      <w:bookmarkStart w:id="16" w:name="_Toc35393637"/>
      <w:r>
        <w:rPr>
          <w:rFonts w:hint="eastAsia" w:ascii="宋体" w:hAnsi="宋体" w:cs="宋体"/>
          <w:b/>
          <w:color w:val="000000"/>
          <w:sz w:val="24"/>
          <w:highlight w:val="none"/>
        </w:rPr>
      </w:r>
      <w:r/>
    </w:p>
    <w:p>
      <w:pPr>
        <w:pStyle w:val="915"/>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915"/>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称：苏州市公安局吴江分局汾湖派出所　　　　　　　　　　　　</w:t>
      </w:r>
      <w:r>
        <w:rPr>
          <w:rFonts w:hint="eastAsia" w:ascii="宋体" w:hAnsi="宋体" w:eastAsia="宋体" w:cs="宋体"/>
          <w:color w:val="000000"/>
          <w:sz w:val="24"/>
          <w:highlight w:val="none"/>
          <w:shd w:val="clear" w:color="auto" w:fill="ffffff"/>
          <w:lang w:val="zh-CN"/>
        </w:rPr>
      </w:r>
      <w:r/>
    </w:p>
    <w:p>
      <w:pPr>
        <w:pStyle w:val="915"/>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址：苏州市吴江区芦墟越江路818号</w:t>
      </w:r>
      <w:r>
        <w:rPr>
          <w:rFonts w:hint="eastAsia" w:ascii="宋体" w:hAnsi="宋体" w:eastAsia="宋体" w:cs="宋体"/>
          <w:color w:val="000000"/>
          <w:sz w:val="24"/>
          <w:highlight w:val="none"/>
          <w:shd w:val="clear" w:color="auto" w:fill="ffffff"/>
          <w:lang w:val="zh-CN"/>
        </w:rPr>
      </w:r>
      <w:r/>
    </w:p>
    <w:p>
      <w:pPr>
        <w:pStyle w:val="915"/>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陈超</w:t>
      </w:r>
      <w:r>
        <w:rPr>
          <w:rFonts w:ascii="宋体" w:hAnsi="宋体" w:eastAsia="宋体" w:cs="宋体"/>
          <w:color w:val="000000"/>
          <w:sz w:val="24"/>
          <w:highlight w:val="none"/>
          <w:shd w:val="clear" w:color="auto" w:fill="ffffff"/>
          <w:lang w:val="en-US" w:eastAsia="zh-CN"/>
        </w:rPr>
      </w:r>
      <w:r/>
    </w:p>
    <w:p>
      <w:pPr>
        <w:pStyle w:val="915"/>
        <w:ind w:firstLine="480"/>
        <w:jc w:val="both"/>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0512-63139312</w:t>
      </w:r>
      <w:r>
        <w:rPr>
          <w:rFonts w:ascii="宋体" w:hAnsi="宋体" w:eastAsia="宋体" w:cs="宋体"/>
          <w:color w:val="000000"/>
          <w:sz w:val="24"/>
          <w:highlight w:val="none"/>
          <w:shd w:val="clear" w:color="auto" w:fill="ffffff"/>
          <w:lang w:val="en-US" w:eastAsia="zh-CN"/>
        </w:rPr>
      </w:r>
      <w:r/>
    </w:p>
    <w:p>
      <w:pPr>
        <w:pStyle w:val="915"/>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915"/>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915"/>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915"/>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w:t>
      </w:r>
      <w:r>
        <w:rPr>
          <w:rFonts w:hint="eastAsia" w:ascii="宋体" w:hAnsi="宋体" w:cs="宋体"/>
          <w:color w:val="000000"/>
          <w:sz w:val="24"/>
          <w:highlight w:val="none"/>
          <w:shd w:val="clear" w:color="auto" w:fill="ffffff"/>
          <w:lang w:val="en-US" w:eastAsia="zh-CN"/>
        </w:rPr>
        <w:t xml:space="preserve">钱予淳、王雪娇</w:t>
      </w:r>
      <w:r>
        <w:rPr>
          <w:rFonts w:ascii="宋体" w:hAnsi="宋体" w:eastAsia="宋体" w:cs="宋体"/>
          <w:color w:val="000000"/>
          <w:sz w:val="24"/>
          <w:highlight w:val="none"/>
          <w:shd w:val="clear" w:color="auto" w:fill="ffffff"/>
          <w:lang w:val="en-US" w:eastAsia="zh-CN"/>
        </w:rPr>
      </w:r>
      <w:r/>
    </w:p>
    <w:p>
      <w:pPr>
        <w:pStyle w:val="915"/>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915"/>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915"/>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5"/>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915"/>
        <w:ind w:firstLine="482"/>
        <w:keepLines/>
        <w:keepNext/>
        <w:spacing w:line="360" w:lineRule="auto"/>
        <w:rPr>
          <w:rFonts w:hint="eastAsia" w:ascii="宋体" w:hAnsi="宋体" w:cs="宋体"/>
          <w:b/>
          <w:bCs/>
          <w:color w:val="000000"/>
          <w:sz w:val="24"/>
          <w:highlight w:val="none"/>
        </w:rPr>
        <w:outlineLvl w:val="2"/>
      </w:pPr>
      <w:r/>
      <w:bookmarkStart w:id="17" w:name="_Toc20823275"/>
      <w:r/>
      <w:bookmarkStart w:id="18" w:name="_Toc16938519"/>
      <w:r/>
      <w:bookmarkStart w:id="19" w:name="_Toc513029203"/>
      <w:r/>
      <w:bookmarkStart w:id="20" w:name="_Toc120614214"/>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513029204"/>
      <w:r/>
      <w:bookmarkStart w:id="23" w:name="_Toc20823276"/>
      <w:r/>
      <w:bookmarkStart w:id="24" w:name="_Toc16938520"/>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25" w:name="_Toc16938521"/>
      <w:r/>
      <w:bookmarkStart w:id="26" w:name="_Toc513029205"/>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28" w:name="_Toc20823278"/>
      <w:r/>
      <w:bookmarkStart w:id="29" w:name="_Toc16938522"/>
      <w:r/>
      <w:bookmarkStart w:id="30" w:name="_Toc513029206"/>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91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915"/>
        <w:ind w:firstLine="480"/>
        <w:keepLines/>
        <w:keepNext/>
        <w:spacing w:line="360" w:lineRule="auto"/>
        <w:rPr>
          <w:rFonts w:hint="eastAsia" w:ascii="宋体" w:hAnsi="宋体" w:cs="宋体"/>
          <w:color w:val="000000"/>
          <w:sz w:val="24"/>
          <w:highlight w:val="none"/>
        </w:rPr>
        <w:outlineLvl w:val="3"/>
      </w:pPr>
      <w:r/>
      <w:bookmarkStart w:id="31" w:name="_Toc462564067"/>
      <w:r/>
      <w:bookmarkStart w:id="32" w:name="_Toc16938523"/>
      <w:r/>
      <w:bookmarkStart w:id="33" w:name="_Toc20823279"/>
      <w:r/>
      <w:bookmarkStart w:id="34" w:name="_Toc51302920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915"/>
        <w:ind w:firstLine="480"/>
        <w:spacing w:line="360" w:lineRule="auto"/>
        <w:rPr>
          <w:rStyle w:val="968"/>
          <w:rFonts w:ascii="宋体" w:hAnsi="宋体" w:cs="宋体"/>
          <w:color w:val="000000"/>
          <w:sz w:val="24"/>
          <w:highlight w:val="none"/>
          <w:lang w:val="en-US" w:eastAsia="zh-CN"/>
        </w:rPr>
      </w:pPr>
      <w:r>
        <w:rPr>
          <w:rFonts w:hint="eastAsia" w:ascii="宋体" w:hAnsi="宋体" w:cs="宋体"/>
          <w:color w:val="000000"/>
          <w:sz w:val="24"/>
          <w:highlight w:val="none"/>
        </w:rPr>
        <w:t xml:space="preserve">4.2</w:t>
      </w:r>
      <w:r>
        <w:rPr>
          <w:rFonts w:hint="eastAsia" w:ascii="宋体" w:hAnsi="宋体" w:cs="宋体"/>
          <w:bCs/>
          <w:color w:val="000000"/>
          <w:sz w:val="24"/>
          <w:highlight w:val="none"/>
          <w:lang w:eastAsia="zh-CN"/>
        </w:rPr>
        <w:t xml:space="preserve">代理服务费</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代理服务费在成交通知书发出之日起10个工作日内，由采购人向代理机构支付，</w:t>
      </w:r>
      <w:r>
        <w:rPr>
          <w:rFonts w:hint="eastAsia" w:ascii="宋体" w:hAnsi="宋体" w:eastAsia="宋体"/>
          <w:color w:val="000000"/>
          <w:sz w:val="24"/>
          <w:szCs w:val="24"/>
          <w:highlight w:val="none"/>
          <w:lang w:val="en-US" w:eastAsia="zh-CN"/>
        </w:rPr>
        <w:t xml:space="preserve">采购人已通过</w:t>
      </w:r>
      <w:r>
        <w:rPr>
          <w:rStyle w:val="968"/>
          <w:rFonts w:hint="eastAsia" w:ascii="宋体" w:hAnsi="宋体" w:cs="宋体"/>
          <w:color w:val="000000"/>
          <w:sz w:val="24"/>
          <w:highlight w:val="none"/>
          <w:lang w:val="en-US" w:eastAsia="zh-CN"/>
        </w:rPr>
        <w:t xml:space="preserve">吴江区中介超市确定代理服务费金额为：24000元。</w:t>
      </w:r>
      <w:r>
        <w:rPr>
          <w:rStyle w:val="968"/>
          <w:rFonts w:ascii="宋体" w:hAnsi="宋体" w:cs="宋体"/>
          <w:color w:val="000000"/>
          <w:sz w:val="24"/>
          <w:highlight w:val="none"/>
          <w:lang w:val="en-US" w:eastAsia="zh-CN"/>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w:t>
      </w:r>
      <w:r>
        <w:rPr>
          <w:rFonts w:hint="eastAsia" w:ascii="宋体" w:hAnsi="宋体" w:cs="宋体"/>
          <w:color w:val="000000"/>
          <w:sz w:val="24"/>
          <w:highlight w:val="none"/>
          <w:lang w:val="en-US" w:eastAsia="zh-CN"/>
        </w:rPr>
        <w:t xml:space="preserve">收款</w:t>
      </w:r>
      <w:r>
        <w:rPr>
          <w:rFonts w:hint="eastAsia" w:ascii="宋体" w:hAnsi="宋体" w:cs="宋体"/>
          <w:color w:val="000000"/>
          <w:sz w:val="24"/>
          <w:highlight w:val="none"/>
        </w:rPr>
        <w:t xml:space="preserve">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915"/>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4.3评审费：采购人在磋商结束后30个工作日内向专业评委支付。</w:t>
      </w:r>
      <w:r>
        <w:rPr>
          <w:color w:val="000000"/>
          <w:highlight w:val="none"/>
          <w:lang w:val="en-US" w:eastAsia="zh-CN"/>
        </w:rPr>
      </w:r>
      <w:r/>
    </w:p>
    <w:p>
      <w:pPr>
        <w:pStyle w:val="915"/>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915"/>
        <w:ind w:firstLine="482"/>
        <w:keepLines/>
        <w:keepNext/>
        <w:spacing w:line="360" w:lineRule="auto"/>
        <w:rPr>
          <w:rFonts w:hint="eastAsia" w:ascii="宋体" w:hAnsi="宋体" w:cs="宋体"/>
          <w:b/>
          <w:bCs/>
          <w:color w:val="000000"/>
          <w:sz w:val="24"/>
          <w:highlight w:val="none"/>
        </w:rPr>
        <w:outlineLvl w:val="2"/>
      </w:pPr>
      <w:r/>
      <w:bookmarkStart w:id="35" w:name="_Toc513029209"/>
      <w:r/>
      <w:bookmarkStart w:id="36" w:name="_Toc120614215"/>
      <w:r/>
      <w:bookmarkStart w:id="37" w:name="_Toc16938525"/>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39" w:name="_Toc513029210"/>
      <w:r/>
      <w:bookmarkStart w:id="40" w:name="_Toc20823282"/>
      <w:r/>
      <w:bookmarkStart w:id="41" w:name="_Toc16938526"/>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91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91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42" w:name="_Toc20823283"/>
      <w:r/>
      <w:bookmarkStart w:id="43" w:name="_Toc513029211"/>
      <w:r/>
      <w:bookmarkStart w:id="44" w:name="_Toc462564070"/>
      <w:r/>
      <w:bookmarkStart w:id="45" w:name="_Toc16938527"/>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46" w:name="_Toc462564071"/>
      <w:r/>
      <w:bookmarkStart w:id="47" w:name="_Toc16938528"/>
      <w:r/>
      <w:bookmarkStart w:id="48" w:name="_Toc20823284"/>
      <w:r/>
      <w:bookmarkStart w:id="49" w:name="_Toc513029212"/>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20614216"/>
      <w:r/>
      <w:bookmarkStart w:id="51" w:name="_Toc462564072"/>
      <w:r/>
      <w:bookmarkStart w:id="52" w:name="_Toc16938529"/>
      <w:r/>
      <w:bookmarkStart w:id="53" w:name="_Toc20823285"/>
      <w:r/>
      <w:bookmarkStart w:id="54" w:name="_Toc513029213"/>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91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915"/>
        <w:ind w:firstLine="480"/>
        <w:keepLines/>
        <w:keepNext/>
        <w:spacing w:line="360" w:lineRule="auto"/>
        <w:rPr>
          <w:rFonts w:hint="eastAsia" w:ascii="宋体" w:hAnsi="宋体" w:cs="宋体"/>
          <w:b/>
          <w:color w:val="000000"/>
          <w:sz w:val="24"/>
          <w:highlight w:val="none"/>
        </w:rPr>
        <w:outlineLvl w:val="3"/>
      </w:pPr>
      <w:r/>
      <w:bookmarkStart w:id="55" w:name="_Toc462564073"/>
      <w:r/>
      <w:bookmarkStart w:id="56" w:name="_Toc513029214"/>
      <w:r/>
      <w:bookmarkStart w:id="57" w:name="_Toc16938530"/>
      <w:r/>
      <w:bookmarkStart w:id="58" w:name="_Toc20823286"/>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915"/>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915"/>
        <w:ind w:firstLine="480"/>
        <w:keepLines/>
        <w:keepNext/>
        <w:spacing w:line="360" w:lineRule="auto"/>
        <w:rPr>
          <w:rFonts w:hint="eastAsia" w:ascii="宋体" w:hAnsi="宋体" w:cs="宋体"/>
          <w:color w:val="000000"/>
          <w:sz w:val="24"/>
          <w:highlight w:val="none"/>
        </w:rPr>
        <w:outlineLvl w:val="3"/>
      </w:pPr>
      <w:r/>
      <w:bookmarkStart w:id="59" w:name="_Toc462564074"/>
      <w:r/>
      <w:bookmarkStart w:id="60" w:name="_Toc20823287"/>
      <w:r/>
      <w:bookmarkStart w:id="61" w:name="_Toc16938531"/>
      <w:r/>
      <w:bookmarkStart w:id="62" w:name="_Toc513029215"/>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2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2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23"/>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bCs/>
          <w:color w:val="000000"/>
          <w:sz w:val="24"/>
          <w:szCs w:val="24"/>
          <w:highlight w:val="none"/>
          <w:lang w:val="en-US" w:eastAsia="zh-CN" w:bidi="ar-SA"/>
        </w:rPr>
        <w:t xml:space="preserve">（报优惠率项目无需提供）</w:t>
      </w:r>
      <w:r>
        <w:rPr>
          <w:rFonts w:hint="eastAsia" w:ascii="宋体" w:hAnsi="宋体" w:eastAsia="宋体" w:cs="宋体"/>
          <w:b/>
          <w:color w:val="000000"/>
          <w:sz w:val="24"/>
          <w:szCs w:val="24"/>
          <w:highlight w:val="none"/>
          <w:lang w:eastAsia="zh-CN"/>
        </w:rPr>
      </w:r>
      <w:r/>
    </w:p>
    <w:p>
      <w:pPr>
        <w:pStyle w:val="92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2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2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2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2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rPr>
      </w:r>
      <w:r/>
    </w:p>
    <w:p>
      <w:pPr>
        <w:pStyle w:val="92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w:t>
      </w:r>
      <w:r>
        <w:rPr>
          <w:rFonts w:hint="eastAsia" w:ascii="宋体" w:hAnsi="宋体" w:cs="宋体"/>
          <w:bCs/>
          <w:color w:val="000000"/>
          <w:sz w:val="24"/>
          <w:szCs w:val="24"/>
          <w:highlight w:val="none"/>
          <w:lang w:val="en-US" w:eastAsia="zh-CN"/>
        </w:rPr>
        <w:t xml:space="preserve">内</w:t>
      </w:r>
      <w:r>
        <w:rPr>
          <w:rFonts w:hint="eastAsia" w:ascii="宋体" w:hAnsi="宋体" w:cs="宋体"/>
          <w:bCs/>
          <w:color w:val="000000"/>
          <w:sz w:val="24"/>
          <w:szCs w:val="24"/>
          <w:highlight w:val="none"/>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2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2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w:t>
      </w:r>
      <w:r>
        <w:rPr>
          <w:rFonts w:hint="eastAsia" w:ascii="宋体" w:hAnsi="宋体" w:eastAsia="宋体" w:cs="宋体"/>
          <w:bCs/>
          <w:color w:val="000000"/>
          <w:sz w:val="24"/>
          <w:szCs w:val="24"/>
          <w:highlight w:val="none"/>
        </w:rPr>
        <w:t xml:space="preserve">规定的其他条件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提供具有</w:t>
      </w:r>
      <w:r>
        <w:rPr>
          <w:rFonts w:hint="eastAsia" w:ascii="宋体" w:hAnsi="宋体" w:eastAsia="宋体" w:cs="宋体"/>
          <w:bCs/>
          <w:color w:val="000000"/>
          <w:sz w:val="24"/>
          <w:szCs w:val="24"/>
          <w:highlight w:val="none"/>
        </w:rPr>
        <w:t xml:space="preserve">法律、行政法规规定的其他条件</w:t>
      </w:r>
      <w:r>
        <w:rPr>
          <w:rFonts w:hint="eastAsia" w:ascii="宋体" w:hAnsi="宋体" w:eastAsia="宋体" w:cs="宋体"/>
          <w:bCs/>
          <w:color w:val="000000"/>
          <w:sz w:val="24"/>
          <w:szCs w:val="24"/>
          <w:highlight w:val="none"/>
          <w:lang w:val="en-US" w:eastAsia="zh-CN"/>
        </w:rPr>
        <w:t xml:space="preserve">的书面声明函。</w:t>
      </w:r>
      <w:r>
        <w:rPr>
          <w:rFonts w:hint="eastAsia" w:ascii="宋体" w:hAnsi="宋体" w:eastAsia="宋体" w:cs="宋体"/>
          <w:bCs/>
          <w:color w:val="000000"/>
          <w:sz w:val="24"/>
          <w:szCs w:val="24"/>
          <w:highlight w:val="none"/>
          <w:lang w:val="en-US" w:eastAsia="zh-CN"/>
        </w:rPr>
      </w:r>
      <w:r/>
    </w:p>
    <w:p>
      <w:pPr>
        <w:pStyle w:val="923"/>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10.4.2</w:t>
      </w:r>
      <w:r>
        <w:rPr>
          <w:rFonts w:hint="eastAsia" w:ascii="宋体" w:hAnsi="宋体" w:eastAsia="宋体" w:cs="宋体"/>
          <w:bCs/>
          <w:color w:val="000000"/>
          <w:sz w:val="24"/>
          <w:szCs w:val="24"/>
          <w:highlight w:val="none"/>
        </w:rPr>
        <w:t xml:space="preserve">落实政府采购政策需满足的资格要求证明文件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23"/>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如专门面向中小微企业采购的，提供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中小企业声明函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rPr>
        <w:t xml:space="preserve">残疾人福利性单位声明函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或</w:t>
      </w:r>
      <w:r>
        <w:rPr>
          <w:rFonts w:hint="eastAsia" w:ascii="宋体" w:hAnsi="宋体" w:eastAsia="宋体" w:cs="宋体"/>
          <w:bCs/>
          <w:color w:val="000000"/>
          <w:sz w:val="24"/>
          <w:szCs w:val="24"/>
          <w:highlight w:val="none"/>
        </w:rPr>
        <w:t xml:space="preserve">省级以上监狱管理局、戒毒管理局（含新疆生产建设兵团）出具的属于监狱企业的证明文件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否则资格审查不通过；如非专门面向中小微企业，由供应商根据企业规模自愿提供上述证明材料，该证明材料将直接影响供应商价格得分（具体要求详见第一章“申请人资格要求”）。</w:t>
      </w:r>
      <w:r>
        <w:rPr>
          <w:rFonts w:ascii="宋体" w:hAnsi="宋体" w:eastAsia="宋体" w:cs="宋体"/>
          <w:bCs/>
          <w:color w:val="000000"/>
          <w:sz w:val="24"/>
          <w:szCs w:val="24"/>
          <w:highlight w:val="none"/>
          <w:lang w:val="en-US" w:eastAsia="zh-CN"/>
        </w:rPr>
      </w:r>
      <w:r/>
    </w:p>
    <w:p>
      <w:pPr>
        <w:pStyle w:val="923"/>
        <w:ind w:firstLine="480"/>
        <w:spacing w:line="360" w:lineRule="auto"/>
        <w:rPr>
          <w:rFonts w:hint="eastAsia" w:ascii="宋体" w:hAnsi="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10.4.</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其他特定资格</w:t>
      </w:r>
      <w:r>
        <w:rPr>
          <w:rFonts w:hint="eastAsia" w:ascii="宋体" w:hAnsi="宋体" w:cs="宋体"/>
          <w:bCs/>
          <w:color w:val="000000"/>
          <w:sz w:val="24"/>
          <w:szCs w:val="24"/>
          <w:highlight w:val="none"/>
        </w:rPr>
        <w:t xml:space="preserve">条件</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923"/>
        <w:ind w:firstLine="480"/>
        <w:spacing w:line="360" w:lineRule="auto"/>
        <w:rPr>
          <w:rFonts w:ascii="宋体" w:hAnsi="宋体" w:eastAsia="宋体" w:cs="宋体"/>
          <w:color w:val="000000"/>
          <w:sz w:val="24"/>
          <w:highlight w:val="none"/>
          <w:lang w:val="en-US" w:eastAsia="zh-CN" w:bidi="ar"/>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0.4.3.1</w:t>
      </w:r>
      <w:r>
        <w:rPr>
          <w:rFonts w:hint="eastAsia" w:ascii="宋体" w:hAnsi="宋体" w:cs="宋体"/>
          <w:color w:val="000000"/>
          <w:sz w:val="24"/>
          <w:highlight w:val="none"/>
          <w:lang w:bidi="ar"/>
        </w:rPr>
        <w:t xml:space="preserve">未被“</w:t>
      </w:r>
      <w:r>
        <w:rPr>
          <w:rFonts w:hint="eastAsia" w:ascii="宋体" w:hAnsi="宋体" w:eastAsia="宋体" w:cs="宋体"/>
          <w:bCs/>
          <w:color w:val="000000"/>
          <w:sz w:val="24"/>
          <w:szCs w:val="24"/>
          <w:highlight w:val="none"/>
        </w:rPr>
        <w:t xml:space="preserve">信用中国”网站（www.creditchina.gov.cn）或“中国政府采购网”网站（www.ccgp.gov.cn）列入失信被执行人、重大税收违法案件当事人名单、政府采购严重失信行为记录名单；</w:t>
      </w:r>
      <w:r>
        <w:rPr>
          <w:rFonts w:hint="eastAsia" w:ascii="宋体" w:hAnsi="宋体" w:eastAsia="宋体" w:cs="宋体"/>
          <w:bCs/>
          <w:color w:val="000000"/>
          <w:sz w:val="24"/>
          <w:szCs w:val="24"/>
          <w:highlight w:val="none"/>
          <w:lang w:val="en-US" w:eastAsia="zh-CN"/>
        </w:rPr>
        <w:t xml:space="preserve">提供</w:t>
      </w:r>
      <w:r>
        <w:rPr>
          <w:rFonts w:hint="eastAsia" w:ascii="宋体" w:hAnsi="宋体" w:eastAsia="宋体" w:cs="宋体"/>
          <w:color w:val="000000"/>
          <w:sz w:val="24"/>
          <w:highlight w:val="none"/>
          <w:lang w:val="en-US" w:eastAsia="zh-CN" w:bidi="ar"/>
        </w:rPr>
        <w:t xml:space="preserve">“信用中国”网站信用查询报告及</w:t>
      </w:r>
      <w:r>
        <w:rPr>
          <w:rFonts w:hint="eastAsia" w:ascii="宋体" w:hAnsi="宋体" w:eastAsia="宋体" w:cs="宋体"/>
          <w:color w:val="000000"/>
          <w:sz w:val="24"/>
          <w:highlight w:val="none"/>
          <w:lang w:bidi="ar"/>
        </w:rPr>
        <w:t xml:space="preserve">“中国政府采购网”政府采购严重失信行为记录名单</w:t>
      </w:r>
      <w:r>
        <w:rPr>
          <w:rFonts w:hint="eastAsia" w:ascii="宋体" w:hAnsi="宋体" w:eastAsia="宋体" w:cs="宋体"/>
          <w:color w:val="000000"/>
          <w:sz w:val="24"/>
          <w:highlight w:val="none"/>
          <w:lang w:val="en-US" w:eastAsia="zh-CN" w:bidi="ar"/>
        </w:rPr>
        <w:t xml:space="preserve">查询截图。</w:t>
      </w:r>
      <w:r>
        <w:rPr>
          <w:rFonts w:ascii="宋体" w:hAnsi="宋体" w:eastAsia="宋体" w:cs="宋体"/>
          <w:color w:val="000000"/>
          <w:sz w:val="24"/>
          <w:highlight w:val="none"/>
          <w:lang w:val="en-US" w:eastAsia="zh-CN" w:bidi="ar"/>
        </w:rPr>
      </w:r>
      <w:r/>
    </w:p>
    <w:p>
      <w:pPr>
        <w:pStyle w:val="923"/>
        <w:ind w:firstLine="480"/>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10.4.3.2</w:t>
      </w:r>
      <w:r>
        <w:rPr>
          <w:rFonts w:hint="eastAsia" w:ascii="宋体" w:hAnsi="宋体" w:eastAsia="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提供承诺函（格式自拟）。</w:t>
      </w:r>
      <w:r>
        <w:rPr>
          <w:rFonts w:hint="eastAsia" w:ascii="宋体" w:hAnsi="宋体" w:eastAsia="宋体" w:cs="宋体"/>
          <w:color w:val="000000"/>
          <w:sz w:val="24"/>
          <w:highlight w:val="none"/>
          <w:lang w:val="en-US" w:eastAsia="zh-CN" w:bidi="ar"/>
        </w:rPr>
      </w:r>
      <w:r/>
    </w:p>
    <w:p>
      <w:pPr>
        <w:pStyle w:val="923"/>
        <w:ind w:firstLine="480"/>
        <w:spacing w:line="360" w:lineRule="auto"/>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10.4.3.3供应商其他特定资格要求（具体要求详见第一章“申请人资格要求”）</w:t>
      </w:r>
      <w:r>
        <w:rPr>
          <w:rFonts w:ascii="宋体" w:hAnsi="宋体" w:eastAsia="宋体" w:cs="宋体"/>
          <w:color w:val="000000"/>
          <w:sz w:val="24"/>
          <w:highlight w:val="none"/>
          <w:lang w:val="en-US" w:eastAsia="zh-CN" w:bidi="ar"/>
        </w:rPr>
      </w:r>
      <w:r/>
    </w:p>
    <w:p>
      <w:pPr>
        <w:pStyle w:val="92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23"/>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23"/>
        <w:ind w:firstLine="480"/>
        <w:spacing w:line="360" w:lineRule="auto"/>
        <w:rPr>
          <w:rFonts w:eastAsia="宋体"/>
          <w:highlight w:val="none"/>
          <w:lang w:val="en-US" w:eastAsia="zh-CN"/>
        </w:rPr>
      </w:pPr>
      <w:r>
        <w:rPr>
          <w:rFonts w:hint="eastAsia" w:ascii="宋体" w:hAnsi="宋体" w:eastAsia="宋体" w:cs="宋体"/>
          <w:color w:val="000000"/>
          <w:sz w:val="24"/>
          <w:szCs w:val="24"/>
          <w:highlight w:val="none"/>
          <w:lang w:val="en-US" w:eastAsia="zh-CN"/>
        </w:rPr>
        <w:t xml:space="preserve">10.6.5关于符合本国产品标准的声明函（如有）；</w:t>
      </w:r>
      <w:r>
        <w:rPr>
          <w:rFonts w:eastAsia="宋体"/>
          <w:highlight w:val="none"/>
          <w:lang w:val="en-US" w:eastAsia="zh-CN"/>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23"/>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23"/>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915"/>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915"/>
        <w:ind w:firstLine="482"/>
        <w:spacing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采购文件中未提供格式的，由供应商自拟相应内容。</w:t>
      </w:r>
      <w:r>
        <w:rPr>
          <w:rFonts w:ascii="宋体" w:hAnsi="宋体" w:eastAsia="宋体" w:cs="宋体"/>
          <w:b/>
          <w:bCs/>
          <w:color w:val="000000"/>
          <w:sz w:val="24"/>
          <w:highlight w:val="none"/>
          <w:lang w:val="en-US" w:eastAsia="zh-CN"/>
        </w:rPr>
      </w:r>
      <w:r/>
    </w:p>
    <w:p>
      <w:pPr>
        <w:pStyle w:val="915"/>
        <w:ind w:firstLine="480"/>
        <w:keepLines/>
        <w:keepNext/>
        <w:spacing w:line="360" w:lineRule="auto"/>
        <w:rPr>
          <w:rFonts w:hint="eastAsia" w:ascii="宋体" w:hAnsi="宋体" w:cs="宋体"/>
          <w:color w:val="000000"/>
          <w:sz w:val="24"/>
          <w:highlight w:val="none"/>
        </w:rPr>
        <w:outlineLvl w:val="3"/>
      </w:pPr>
      <w:r/>
      <w:bookmarkStart w:id="63" w:name="_Hlt26670360"/>
      <w:r/>
      <w:bookmarkEnd w:id="63"/>
      <w:r/>
      <w:bookmarkStart w:id="64" w:name="_Hlt26954838"/>
      <w:r/>
      <w:bookmarkEnd w:id="64"/>
      <w:r/>
      <w:bookmarkStart w:id="65" w:name="_Hlt26668975"/>
      <w:r/>
      <w:bookmarkEnd w:id="65"/>
      <w:r/>
      <w:bookmarkStart w:id="66" w:name="_Toc14577357"/>
      <w:r/>
      <w:bookmarkStart w:id="67" w:name="_Toc49090509"/>
      <w:r/>
      <w:bookmarkStart w:id="68" w:name="_Toc513029219"/>
      <w:r/>
      <w:bookmarkStart w:id="69" w:name="_Toc14577354"/>
      <w:r/>
      <w:bookmarkStart w:id="70" w:name="_Toc513029216"/>
      <w:r/>
      <w:bookmarkStart w:id="71" w:name="_Toc49090507"/>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74" w:name="_Hlt26954846"/>
      <w:r/>
      <w:bookmarkEnd w:id="74"/>
      <w:r/>
      <w:bookmarkStart w:id="75" w:name="_Hlt26954731"/>
      <w:r/>
      <w:bookmarkEnd w:id="75"/>
      <w:r/>
      <w:bookmarkStart w:id="76" w:name="_Hlt26670486"/>
      <w:r/>
      <w:bookmarkEnd w:id="76"/>
      <w:r/>
      <w:bookmarkStart w:id="77" w:name="_Hlt26670482"/>
      <w:r/>
      <w:bookmarkEnd w:id="77"/>
      <w:r/>
      <w:bookmarkStart w:id="78" w:name="_Hlt26954848"/>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91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915"/>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14577360"/>
      <w:r/>
      <w:bookmarkStart w:id="82" w:name="_Toc49090511"/>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15"/>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513029224"/>
      <w:r/>
      <w:bookmarkStart w:id="86" w:name="_Toc20823296"/>
      <w:r/>
      <w:bookmarkStart w:id="87" w:name="_Toc120614217"/>
      <w:r/>
      <w:bookmarkStart w:id="88" w:name="_Toc16938540"/>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89" w:name="_Toc513029225"/>
      <w:r/>
      <w:bookmarkStart w:id="90" w:name="_Toc16938541"/>
      <w:r/>
      <w:bookmarkStart w:id="91" w:name="_Toc20823297"/>
      <w:r/>
      <w:bookmarkStart w:id="92" w:name="_Toc462564084"/>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513029226"/>
      <w:r/>
      <w:bookmarkStart w:id="94" w:name="_Toc20823298"/>
      <w:r/>
      <w:bookmarkStart w:id="95" w:name="_Toc16938542"/>
      <w:r>
        <w:rPr>
          <w:rFonts w:hint="eastAsia" w:ascii="宋体" w:hAnsi="宋体" w:cs="宋体"/>
          <w:bCs/>
          <w:color w:val="000000"/>
          <w:sz w:val="24"/>
          <w:highlight w:val="none"/>
        </w:rPr>
      </w:r>
      <w:r/>
    </w:p>
    <w:p>
      <w:pPr>
        <w:pStyle w:val="91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915"/>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96" w:name="_Toc513029227"/>
      <w:r/>
      <w:bookmarkStart w:id="97" w:name="_Toc16938543"/>
      <w:r/>
      <w:bookmarkStart w:id="98" w:name="_Toc20823299"/>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99" w:name="_Toc16938544"/>
      <w:r/>
      <w:bookmarkStart w:id="100" w:name="_Toc20823300"/>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915"/>
        <w:ind w:firstLine="482"/>
        <w:keepLines/>
        <w:keepNext/>
        <w:spacing w:line="360" w:lineRule="auto"/>
        <w:rPr>
          <w:rFonts w:hint="eastAsia" w:ascii="宋体" w:hAnsi="宋体" w:cs="宋体"/>
          <w:b/>
          <w:bCs/>
          <w:color w:val="000000"/>
          <w:sz w:val="24"/>
          <w:highlight w:val="none"/>
        </w:rPr>
        <w:outlineLvl w:val="2"/>
      </w:pPr>
      <w:r/>
      <w:bookmarkStart w:id="102" w:name="_Toc16938545"/>
      <w:r/>
      <w:bookmarkStart w:id="103" w:name="_Toc120614218"/>
      <w:r/>
      <w:bookmarkStart w:id="104" w:name="_Toc20823301"/>
      <w:r/>
      <w:bookmarkStart w:id="105" w:name="_Toc513029229"/>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106" w:name="_Toc16938546"/>
      <w:r/>
      <w:bookmarkStart w:id="107" w:name="_Toc20823302"/>
      <w:r/>
      <w:bookmarkStart w:id="108" w:name="_Toc513029230"/>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16938547"/>
      <w:r/>
      <w:bookmarkStart w:id="111" w:name="_Toc20823303"/>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915"/>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112" w:name="_Toc513029232"/>
      <w:r/>
      <w:bookmarkStart w:id="113" w:name="_Toc16938548"/>
      <w:r/>
      <w:bookmarkStart w:id="114" w:name="_Toc20823304"/>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Start w:id="115" w:name="_Toc16938549"/>
      <w:r/>
      <w:bookmarkStart w:id="116" w:name="_Toc513029233"/>
      <w:r/>
      <w:bookmarkStart w:id="117" w:name="_Toc20823305"/>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5"/>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915"/>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915"/>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915"/>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b/>
          <w:bCs/>
          <w:color w:val="000000"/>
          <w:sz w:val="24"/>
          <w:highlight w:val="none"/>
          <w:lang w:val="en-US" w:eastAsia="zh-CN"/>
        </w:rPr>
        <w:t xml:space="preserve">.1</w:t>
      </w:r>
      <w:r>
        <w:rPr>
          <w:rFonts w:hint="eastAsia" w:ascii="宋体" w:hAnsi="宋体" w:cs="宋体"/>
          <w:color w:val="000000"/>
          <w:sz w:val="24"/>
          <w:highlight w:val="none"/>
        </w:rPr>
        <w:t xml:space="preserve">被列入失信被执行人名单；</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b/>
          <w:bCs/>
          <w:color w:val="000000"/>
          <w:sz w:val="24"/>
          <w:highlight w:val="none"/>
          <w:lang w:val="en-US" w:eastAsia="zh-CN"/>
        </w:rPr>
        <w:t xml:space="preserve">.2</w:t>
      </w:r>
      <w:r>
        <w:rPr>
          <w:rFonts w:hint="eastAsia" w:ascii="宋体" w:hAnsi="宋体" w:cs="宋体"/>
          <w:color w:val="000000"/>
          <w:sz w:val="24"/>
          <w:highlight w:val="none"/>
        </w:rPr>
        <w:t xml:space="preserve">被列入重大税收违法案件当事人名单；</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b/>
          <w:bCs/>
          <w:color w:val="000000"/>
          <w:sz w:val="24"/>
          <w:highlight w:val="none"/>
          <w:lang w:val="en-US" w:eastAsia="zh-CN"/>
        </w:rPr>
        <w:t xml:space="preserve">.3</w:t>
      </w:r>
      <w:r>
        <w:rPr>
          <w:rFonts w:hint="eastAsia" w:ascii="宋体" w:hAnsi="宋体" w:cs="宋体"/>
          <w:color w:val="000000"/>
          <w:sz w:val="24"/>
          <w:highlight w:val="none"/>
        </w:rPr>
        <w:t xml:space="preserve">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915"/>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w:t>
      </w:r>
      <w:r>
        <w:rPr>
          <w:rFonts w:hint="eastAsia" w:ascii="宋体" w:hAnsi="宋体" w:eastAsia="宋体" w:cs="宋体"/>
          <w:bCs/>
          <w:color w:val="000000"/>
          <w:sz w:val="24"/>
          <w:highlight w:val="none"/>
        </w:rPr>
        <w:t xml:space="preserve">而使其成为实质性响应的文件。</w:t>
      </w:r>
      <w:r>
        <w:rPr>
          <w:rFonts w:hint="eastAsia" w:ascii="宋体" w:hAnsi="宋体" w:eastAsia="宋体" w:cs="宋体"/>
          <w:bCs/>
          <w:color w:val="000000"/>
          <w:sz w:val="24"/>
          <w:highlight w:val="none"/>
        </w:rPr>
      </w:r>
      <w:r/>
    </w:p>
    <w:p>
      <w:pPr>
        <w:pStyle w:val="915"/>
        <w:ind w:firstLine="480"/>
        <w:spacing w:line="360" w:lineRule="auto"/>
        <w:rPr>
          <w:rFonts w:hint="eastAsia" w:ascii="宋体" w:hAnsi="宋体" w:eastAsia="宋体" w:cs="宋体"/>
          <w:bCs/>
          <w:color w:val="000000"/>
          <w:sz w:val="24"/>
          <w:highlight w:val="none"/>
        </w:rPr>
      </w:pPr>
      <w:r/>
      <w:bookmarkStart w:id="118" w:name="_Toc513029234"/>
      <w:r/>
      <w:bookmarkStart w:id="119" w:name="_Toc16938550"/>
      <w:r/>
      <w:bookmarkStart w:id="120" w:name="_Toc20823306"/>
      <w:r>
        <w:rPr>
          <w:rFonts w:hint="eastAsia" w:ascii="宋体" w:hAnsi="宋体" w:eastAsia="宋体" w:cs="宋体"/>
          <w:bCs/>
          <w:color w:val="000000"/>
          <w:sz w:val="24"/>
          <w:highlight w:val="none"/>
        </w:rPr>
        <w:t xml:space="preserve">26.6供应商在项目评审全过程中应保持通讯畅通，并安排专人与采购代理机构及磋商小组联系。</w:t>
      </w:r>
      <w:r>
        <w:rPr>
          <w:rFonts w:hint="eastAsia" w:ascii="宋体" w:hAnsi="宋体" w:eastAsia="宋体" w:cs="宋体"/>
          <w:bCs/>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67"/>
        <w:ind w:firstLine="482"/>
        <w:jc w:val="both"/>
        <w:rPr>
          <w:rFonts w:hint="eastAsia" w:eastAsia="宋体" w:cs="宋体"/>
          <w:b/>
          <w:color w:val="000000"/>
          <w:highlight w:val="none"/>
          <w:lang w:eastAsia="zh-CN"/>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lang w:eastAsia="zh-CN"/>
        </w:rPr>
        <w:t xml:space="preserve">）</w:t>
      </w:r>
      <w:r>
        <w:rPr>
          <w:rFonts w:hint="eastAsia" w:eastAsia="宋体" w:cs="宋体"/>
          <w:b/>
          <w:color w:val="000000"/>
          <w:highlight w:val="none"/>
          <w:lang w:eastAsia="zh-CN"/>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23"/>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2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2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本磋商文件所</w:t>
      </w:r>
      <w:r>
        <w:rPr>
          <w:rFonts w:hint="eastAsia" w:ascii="宋体" w:hAnsi="宋体" w:eastAsia="宋体" w:cs="宋体"/>
          <w:color w:val="000000"/>
          <w:sz w:val="24"/>
          <w:highlight w:val="none"/>
        </w:rPr>
        <w:t xml:space="preserve">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1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1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见本磋商文件第五章规定。</w:t>
      </w:r>
      <w:r>
        <w:rPr>
          <w:rFonts w:hint="eastAsia" w:ascii="宋体" w:hAnsi="宋体" w:eastAsia="宋体" w:cs="宋体"/>
          <w:color w:val="000000"/>
          <w:sz w:val="24"/>
          <w:highlight w:val="none"/>
        </w:rPr>
      </w:r>
      <w:r/>
    </w:p>
    <w:p>
      <w:pPr>
        <w:pStyle w:val="915"/>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91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915"/>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915"/>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915"/>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915"/>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91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91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应当将其作为无效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处理。</w:t>
      </w:r>
      <w:r>
        <w:rPr>
          <w:rFonts w:hint="eastAsia" w:ascii="宋体" w:hAnsi="宋体" w:eastAsia="宋体" w:cs="宋体"/>
          <w:color w:val="000000"/>
          <w:sz w:val="24"/>
          <w:highlight w:val="none"/>
        </w:rPr>
      </w:r>
      <w:r/>
    </w:p>
    <w:p>
      <w:pPr>
        <w:pStyle w:val="91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w:t>
      </w:r>
      <w:r>
        <w:rPr>
          <w:rFonts w:hint="eastAsia" w:ascii="宋体" w:hAnsi="宋体" w:eastAsia="宋体" w:cs="宋体"/>
          <w:color w:val="000000"/>
          <w:sz w:val="24"/>
          <w:highlight w:val="none"/>
          <w:lang w:eastAsia="zh-CN"/>
        </w:rPr>
        <w:t xml:space="preserve">成交价格</w:t>
      </w:r>
      <w:r>
        <w:rPr>
          <w:rFonts w:hint="eastAsia" w:ascii="宋体" w:hAnsi="宋体" w:eastAsia="宋体" w:cs="宋体"/>
          <w:color w:val="000000"/>
          <w:sz w:val="24"/>
          <w:highlight w:val="none"/>
        </w:rPr>
        <w:t xml:space="preserve">、类似产品市场价格水平、行业人工费用标准、国家有关部门指导行业协会发布的行业平均成本等相关信息资料提供便利。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91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rPr>
          <w:rFonts w:hint="eastAsia" w:ascii="宋体" w:hAnsi="宋体" w:cs="宋体"/>
          <w:color w:val="000000"/>
          <w:sz w:val="24"/>
          <w:highlight w:val="none"/>
        </w:rPr>
      </w:r>
      <w:r/>
    </w:p>
    <w:p>
      <w:pPr>
        <w:pStyle w:val="915"/>
        <w:ind w:firstLine="482"/>
        <w:keepLines/>
        <w:keepNext/>
        <w:spacing w:line="360" w:lineRule="auto"/>
        <w:rPr>
          <w:rFonts w:hint="eastAsia" w:ascii="宋体" w:hAnsi="宋体" w:cs="宋体"/>
          <w:b/>
          <w:bCs/>
          <w:color w:val="000000"/>
          <w:sz w:val="24"/>
          <w:highlight w:val="none"/>
        </w:rPr>
        <w:outlineLvl w:val="2"/>
      </w:pPr>
      <w:r/>
      <w:bookmarkStart w:id="123" w:name="_Toc16938551"/>
      <w:r/>
      <w:bookmarkStart w:id="124" w:name="_Toc513029235"/>
      <w:r/>
      <w:bookmarkStart w:id="125" w:name="_Toc20823307"/>
      <w:r/>
      <w:bookmarkStart w:id="126" w:name="_Toc120614219"/>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915"/>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16938554"/>
      <w:r/>
      <w:bookmarkStart w:id="129" w:name="_Toc20823310"/>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915"/>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915"/>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915"/>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23"/>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23"/>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磋商供应商</w:t>
      </w:r>
      <w:r>
        <w:rPr>
          <w:rFonts w:hint="eastAsia" w:ascii="宋体" w:hAnsi="宋体" w:cs="宋体"/>
          <w:b/>
          <w:color w:val="000000"/>
          <w:sz w:val="24"/>
          <w:szCs w:val="24"/>
          <w:highlight w:val="none"/>
        </w:rPr>
        <w:t xml:space="preserve">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23"/>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23"/>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23"/>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2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2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成交通知书</w:t>
      </w:r>
      <w:r>
        <w:rPr>
          <w:rFonts w:hint="eastAsia" w:ascii="宋体" w:hAnsi="宋体" w:cs="宋体"/>
          <w:b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915"/>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16938552"/>
      <w:r/>
      <w:bookmarkStart w:id="133" w:name="_Toc513029236"/>
      <w:r/>
      <w:bookmarkStart w:id="134" w:name="_Toc20823308"/>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915"/>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20823309"/>
      <w:r/>
      <w:bookmarkStart w:id="136" w:name="_Toc513029237"/>
      <w:r/>
      <w:bookmarkStart w:id="137" w:name="_Toc16938553"/>
      <w:r>
        <w:rPr>
          <w:rFonts w:hint="eastAsia" w:ascii="宋体" w:hAnsi="宋体" w:cs="宋体"/>
          <w:bCs/>
          <w:color w:val="000000"/>
          <w:sz w:val="24"/>
          <w:highlight w:val="none"/>
        </w:rPr>
        <w:t xml:space="preserve">31.签订合同</w:t>
      </w:r>
      <w:r>
        <w:rPr>
          <w:rFonts w:hint="eastAsia" w:ascii="宋体" w:hAnsi="宋体" w:cs="宋体"/>
          <w:b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915"/>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91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915"/>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15"/>
        <w:ind w:firstLine="482"/>
        <w:spacing w:line="360" w:lineRule="auto"/>
        <w:tabs>
          <w:tab w:val="left" w:pos="567"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33.7针对</w:t>
      </w:r>
      <w:r>
        <w:rPr>
          <w:rFonts w:hint="eastAsia" w:ascii="宋体" w:hAnsi="宋体" w:eastAsia="宋体" w:cs="宋体"/>
          <w:b/>
          <w:bCs/>
          <w:color w:val="000000"/>
          <w:sz w:val="24"/>
          <w:highlight w:val="none"/>
        </w:rPr>
        <w:t xml:space="preserve">采购本国产品的支持政策</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如涉及</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15"/>
        <w:ind w:firstLine="480"/>
        <w:spacing w:line="360" w:lineRule="auto"/>
        <w:tabs>
          <w:tab w:val="left" w:pos="567" w:leader="none"/>
        </w:tabs>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33.7.1</w:t>
      </w:r>
      <w:r>
        <w:rPr>
          <w:rFonts w:hint="eastAsia" w:ascii="宋体" w:hAnsi="宋体" w:eastAsia="宋体" w:cs="宋体"/>
          <w:color w:val="000000"/>
          <w:spacing w:val="7"/>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4"/>
          <w:highlight w:val="none"/>
          <w:lang w:val="en-US"/>
        </w:rPr>
      </w:r>
      <w:r/>
    </w:p>
    <w:p>
      <w:pPr>
        <w:pStyle w:val="91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33.7.2</w:t>
      </w: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91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33.7.3</w:t>
      </w: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91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33.7.4</w:t>
      </w: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格式”的“</w:t>
      </w:r>
      <w:r>
        <w:rPr>
          <w:rFonts w:hint="eastAsia" w:ascii="宋体" w:hAnsi="宋体" w:eastAsia="宋体" w:cs="宋体"/>
          <w:color w:val="000000"/>
          <w:sz w:val="24"/>
          <w:highlight w:val="none"/>
          <w:lang w:val="en-US" w:eastAsia="zh-CN"/>
        </w:rPr>
        <w:t xml:space="preserve">磋商报价分析表</w:t>
      </w:r>
      <w:r>
        <w:rPr>
          <w:rFonts w:hint="eastAsia" w:ascii="宋体" w:hAnsi="宋体" w:eastAsia="宋体" w:cs="宋体"/>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91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33.7.5</w:t>
      </w:r>
      <w:r>
        <w:rPr>
          <w:rFonts w:hint="eastAsia" w:ascii="宋体" w:hAnsi="宋体" w:eastAsia="宋体" w:cs="宋体"/>
          <w:color w:val="000000"/>
          <w:sz w:val="24"/>
          <w:highlight w:val="none"/>
        </w:rPr>
        <w:t xml:space="preserve">供应商需按照</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91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33.7.6</w:t>
      </w:r>
      <w:r>
        <w:rPr>
          <w:rFonts w:hint="eastAsia" w:ascii="宋体" w:hAnsi="宋体" w:eastAsia="宋体" w:cs="宋体"/>
          <w:color w:val="000000"/>
          <w:sz w:val="24"/>
          <w:highlight w:val="none"/>
        </w:rPr>
        <w:t xml:space="preserve">供应商需在《声明函》中逐一、准确填写产品名称、厂名、生产厂址三项信息（《声明函》中用</w:t>
      </w:r>
      <w:r>
        <w:rPr>
          <w:rFonts w:hint="eastAsia" w:ascii="宋体" w:hAnsi="宋体" w:eastAsia="宋体" w:cs="宋体"/>
          <w:color w:val="000000"/>
          <w:sz w:val="24"/>
          <w:highlight w:val="none"/>
          <w:lang w:val="en-US" w:eastAsia="zh-CN"/>
        </w:rPr>
        <w:t xml:space="preserve">横线</w:t>
      </w:r>
      <w:r>
        <w:rPr>
          <w:rFonts w:hint="eastAsia" w:ascii="宋体" w:hAnsi="宋体" w:eastAsia="宋体" w:cs="宋体"/>
          <w:color w:val="000000"/>
          <w:sz w:val="24"/>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915"/>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33.7.7</w:t>
      </w: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规定的，供应商提供的相关产品视为不符合本国产品标准。</w:t>
      </w:r>
      <w:r>
        <w:rPr>
          <w:rFonts w:hint="eastAsia" w:ascii="宋体" w:hAnsi="宋体" w:eastAsia="宋体" w:cs="宋体"/>
          <w:color w:val="000000"/>
          <w:sz w:val="24"/>
          <w:highlight w:val="none"/>
        </w:rPr>
      </w:r>
      <w:r/>
    </w:p>
    <w:p>
      <w:pPr>
        <w:pStyle w:val="915"/>
        <w:ind w:firstLine="482"/>
        <w:spacing w:line="360" w:lineRule="auto"/>
        <w:tabs>
          <w:tab w:val="left" w:pos="567" w:leader="none"/>
        </w:tabs>
        <w:rPr>
          <w:rFonts w:eastAsia="宋体"/>
          <w:b/>
          <w:bCs/>
          <w:highlight w:val="none"/>
          <w:lang w:val="en-US" w:eastAsia="zh-CN"/>
        </w:rPr>
      </w:pPr>
      <w:r>
        <w:rPr>
          <w:rFonts w:hint="eastAsia" w:ascii="宋体" w:hAnsi="宋体" w:eastAsia="宋体" w:cs="宋体"/>
          <w:b/>
          <w:bCs/>
          <w:color w:val="000000"/>
          <w:sz w:val="24"/>
          <w:highlight w:val="none"/>
          <w:lang w:val="en-US" w:eastAsia="zh-CN"/>
        </w:rPr>
        <w:t xml:space="preserve">33.7.8如采购包中不涉及，则无需提供该声明函。</w:t>
      </w:r>
      <w:r>
        <w:rPr>
          <w:rFonts w:eastAsia="宋体"/>
          <w:b/>
          <w:bCs/>
          <w:highlight w:val="none"/>
          <w:lang w:val="en-US" w:eastAsia="zh-CN"/>
        </w:rPr>
      </w:r>
      <w:r/>
    </w:p>
    <w:p>
      <w:pPr>
        <w:pStyle w:val="915"/>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eastAsia="zh-CN"/>
        </w:rPr>
        <w:t xml:space="preserve">响应单位</w:t>
      </w:r>
      <w:r>
        <w:rPr>
          <w:rFonts w:hint="eastAsia" w:ascii="宋体" w:hAnsi="宋体" w:eastAsia="宋体" w:cs="宋体"/>
          <w:b/>
          <w:bCs/>
          <w:color w:val="000000"/>
          <w:sz w:val="24"/>
          <w:highlight w:val="none"/>
        </w:rPr>
        <w:t xml:space="preserve">提供虚假材料，将按“政府采购法”相关规定处理并由政府监管部门给予严肃处理。</w:t>
      </w:r>
      <w:r>
        <w:rPr>
          <w:rFonts w:hint="eastAsia" w:ascii="宋体" w:hAnsi="宋体" w:eastAsia="宋体" w:cs="宋体"/>
          <w:b/>
          <w:bCs/>
          <w:color w:val="000000"/>
          <w:sz w:val="24"/>
          <w:highlight w:val="none"/>
        </w:rPr>
      </w:r>
      <w:r/>
    </w:p>
    <w:p>
      <w:pPr>
        <w:pStyle w:val="921"/>
        <w:tabs>
          <w:tab w:val="center" w:pos="4153" w:leader="none"/>
          <w:tab w:val="right" w:pos="8306" w:leader="none"/>
        </w:tabs>
        <w:rPr>
          <w:rFonts w:hint="eastAsia"/>
          <w:highlight w:val="none"/>
        </w:rPr>
      </w:pPr>
      <w:r>
        <w:rPr>
          <w:rFonts w:hint="eastAsia"/>
          <w:highlight w:val="none"/>
        </w:rPr>
      </w:r>
      <w:r/>
    </w:p>
    <w:p>
      <w:pPr>
        <w:pStyle w:val="95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62"/>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63"/>
        <w:rPr>
          <w:rFonts w:hint="eastAsia" w:ascii="宋体" w:hAnsi="宋体" w:cs="宋体"/>
          <w:color w:val="000000"/>
          <w:sz w:val="24"/>
          <w:szCs w:val="24"/>
          <w:highlight w:val="none"/>
        </w:rPr>
      </w:pPr>
      <w:r>
        <w:rPr>
          <w:rFonts w:hint="eastAsia" w:ascii="宋体" w:hAnsi="宋体" w:cs="宋体"/>
          <w:bCs/>
          <w:color w:val="000000"/>
          <w:sz w:val="24"/>
          <w:highlight w:val="none"/>
        </w:rPr>
      </w:r>
      <w:r>
        <w:rPr>
          <w:rFonts w:hint="eastAsia" w:ascii="宋体" w:hAnsi="宋体" w:cs="宋体"/>
          <w:bCs/>
          <w:color w:val="000000"/>
          <w:sz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63"/>
        <w:rPr>
          <w:rFonts w:hint="eastAsia" w:ascii="宋体" w:hAnsi="宋体" w:cs="宋体"/>
          <w:color w:val="000000"/>
          <w:sz w:val="24"/>
          <w:szCs w:val="24"/>
          <w:highlight w:val="none"/>
        </w:rPr>
      </w:pPr>
      <w:r>
        <w:rPr>
          <w:rFonts w:hint="eastAsia" w:ascii="宋体" w:hAnsi="宋体" w:cs="宋体"/>
          <w:bCs/>
          <w:color w:val="000000"/>
          <w:sz w:val="24"/>
          <w:highlight w:val="none"/>
        </w:rPr>
      </w:r>
      <w:r/>
    </w:p>
    <w:p>
      <w:pPr>
        <w:pStyle w:val="91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1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1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1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15"/>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91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苏州市公安局吴江分局汾湖派出所</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2026年汾湖派出所道路交安设施维护项目</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915"/>
        <w:ind w:firstLine="482"/>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JSZC-320509-ZZHL-C2026-0032</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915"/>
        <w:ind w:firstLine="482"/>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val="0"/>
          <w:bCs/>
          <w:color w:val="000000"/>
          <w:sz w:val="24"/>
          <w:szCs w:val="24"/>
          <w:highlight w:val="none"/>
          <w:lang w:eastAsia="zh-CN"/>
        </w:rPr>
        <w:t xml:space="preserve">2026年汾湖派出所道路交安设施维护项目</w:t>
      </w:r>
      <w:r>
        <w:rPr>
          <w:rFonts w:hint="eastAsia" w:ascii="宋体" w:hAnsi="宋体" w:eastAsia="宋体" w:cs="宋体"/>
          <w:b w:val="0"/>
          <w:bCs/>
          <w:color w:val="000000"/>
          <w:sz w:val="24"/>
          <w:szCs w:val="24"/>
          <w:highlight w:val="none"/>
          <w:lang w:eastAsia="zh-CN"/>
        </w:rPr>
      </w:r>
      <w:r/>
    </w:p>
    <w:p>
      <w:pPr>
        <w:pStyle w:val="915"/>
        <w:ind w:firstLine="482"/>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w:t>
      </w:r>
      <w:r>
        <w:rPr>
          <w:rFonts w:hint="eastAsia" w:ascii="宋体" w:hAnsi="宋体" w:eastAsia="宋体" w:cs="宋体"/>
          <w:b w:val="0"/>
          <w:bCs/>
          <w:color w:val="000000"/>
          <w:sz w:val="24"/>
          <w:szCs w:val="24"/>
          <w:highlight w:val="none"/>
          <w:lang w:eastAsia="zh-CN"/>
        </w:rPr>
        <w:t xml:space="preserve">人民币</w:t>
      </w:r>
      <w:r>
        <w:rPr>
          <w:rFonts w:hint="eastAsia" w:ascii="宋体" w:hAnsi="宋体" w:eastAsia="宋体" w:cs="宋体"/>
          <w:color w:val="000000"/>
          <w:sz w:val="24"/>
          <w:highlight w:val="none"/>
          <w:lang w:val="en-US" w:eastAsia="zh-CN"/>
        </w:rPr>
        <w:t xml:space="preserve">贰佰万圆整（￥：2000000.00）</w:t>
      </w:r>
      <w:r>
        <w:rPr>
          <w:rFonts w:hint="eastAsia" w:ascii="宋体" w:hAnsi="宋体" w:eastAsia="宋体" w:cs="宋体"/>
          <w:b w:val="0"/>
          <w:bCs/>
          <w:color w:val="000000"/>
          <w:sz w:val="24"/>
          <w:szCs w:val="24"/>
          <w:highlight w:val="none"/>
          <w:lang w:eastAsia="zh-CN"/>
        </w:rPr>
      </w:r>
      <w:r/>
    </w:p>
    <w:p>
      <w:pPr>
        <w:pStyle w:val="915"/>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val="0"/>
          <w:bCs/>
          <w:color w:val="000000"/>
          <w:sz w:val="24"/>
          <w:szCs w:val="24"/>
          <w:highlight w:val="none"/>
          <w:lang w:eastAsia="zh-CN"/>
        </w:rPr>
        <w:t xml:space="preserve">人民币</w:t>
      </w:r>
      <w:r>
        <w:rPr>
          <w:rFonts w:hint="eastAsia" w:ascii="宋体" w:hAnsi="宋体" w:eastAsia="宋体" w:cs="宋体"/>
          <w:color w:val="000000"/>
          <w:sz w:val="24"/>
          <w:highlight w:val="none"/>
          <w:lang w:val="en-US" w:eastAsia="zh-CN"/>
        </w:rPr>
        <w:t xml:space="preserve">壹佰玖拾</w:t>
      </w:r>
      <w:r>
        <w:rPr>
          <w:rFonts w:hint="eastAsia" w:ascii="宋体" w:hAnsi="宋体" w:eastAsia="宋体" w:cs="宋体"/>
          <w:color w:val="000000"/>
          <w:sz w:val="24"/>
          <w:highlight w:val="none"/>
          <w:lang w:eastAsia="zh-CN"/>
        </w:rPr>
        <w:t xml:space="preserve">万圆整（￥：</w:t>
      </w:r>
      <w:r>
        <w:rPr>
          <w:rFonts w:hint="eastAsia" w:ascii="宋体" w:hAnsi="宋体" w:eastAsia="宋体" w:cs="宋体"/>
          <w:color w:val="000000"/>
          <w:sz w:val="24"/>
          <w:highlight w:val="none"/>
          <w:lang w:val="en-US" w:eastAsia="zh-CN"/>
        </w:rPr>
        <w:t xml:space="preserve">190</w:t>
      </w:r>
      <w:r>
        <w:rPr>
          <w:rFonts w:hint="eastAsia" w:ascii="宋体" w:hAnsi="宋体" w:eastAsia="宋体" w:cs="宋体"/>
          <w:color w:val="000000"/>
          <w:sz w:val="24"/>
          <w:highlight w:val="none"/>
          <w:lang w:eastAsia="zh-CN"/>
        </w:rPr>
        <w:t xml:space="preserve">0000.00）</w:t>
      </w:r>
      <w:r>
        <w:rPr>
          <w:rFonts w:hint="eastAsia" w:ascii="宋体" w:hAnsi="宋体" w:eastAsia="宋体" w:cs="宋体"/>
          <w:b/>
          <w:color w:val="000000"/>
          <w:sz w:val="24"/>
          <w:szCs w:val="24"/>
          <w:highlight w:val="none"/>
          <w:lang w:eastAsia="zh-CN"/>
        </w:rPr>
      </w:r>
      <w:r/>
    </w:p>
    <w:p>
      <w:pPr>
        <w:pStyle w:val="915"/>
        <w:ind w:firstLine="482"/>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val="0"/>
          <w:bCs/>
          <w:color w:val="000000"/>
          <w:sz w:val="24"/>
          <w:highlight w:val="none"/>
          <w:lang w:eastAsia="zh-CN"/>
        </w:rPr>
        <w:t xml:space="preserve">自合同生效之日起一年或结算金额达到预算为止（以先到为准）</w:t>
      </w:r>
      <w:r>
        <w:rPr>
          <w:rFonts w:hint="eastAsia" w:ascii="宋体" w:hAnsi="宋体" w:eastAsia="宋体" w:cs="宋体"/>
          <w:b/>
          <w:bCs w:val="0"/>
          <w:color w:val="000000"/>
          <w:sz w:val="24"/>
          <w:szCs w:val="24"/>
          <w:highlight w:val="none"/>
          <w:lang w:val="en-US" w:eastAsia="zh-CN"/>
        </w:rPr>
      </w:r>
      <w:r/>
    </w:p>
    <w:p>
      <w:pPr>
        <w:pStyle w:val="915"/>
        <w:ind w:firstLine="482"/>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915"/>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项目概述：</w:t>
      </w:r>
      <w:r>
        <w:rPr>
          <w:rFonts w:hint="eastAsia" w:ascii="宋体" w:hAnsi="宋体" w:eastAsia="宋体" w:cs="宋体"/>
          <w:b/>
          <w:bCs/>
          <w:color w:val="000000"/>
          <w:sz w:val="24"/>
          <w:szCs w:val="24"/>
          <w:highlight w:val="none"/>
        </w:rPr>
      </w:r>
      <w:r/>
    </w:p>
    <w:p>
      <w:pPr>
        <w:pStyle w:val="915"/>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lang w:eastAsia="zh-CN"/>
        </w:rPr>
        <w:t xml:space="preserve">2026年汾湖派出所道路交安设施维护项目</w:t>
      </w:r>
      <w:r>
        <w:rPr>
          <w:rFonts w:hint="eastAsia" w:ascii="宋体" w:hAnsi="宋体" w:cs="宋体"/>
          <w:color w:val="000000"/>
          <w:sz w:val="24"/>
          <w:highlight w:val="none"/>
          <w:lang w:val="en-US" w:eastAsia="zh-CN"/>
        </w:rPr>
        <w:t xml:space="preserve">,服务内容为对辖区存在邻水护栏缺失、道路标牌标线不全、隔离护栏缺少、路口设计不合理、监控设备不足等交通安全隐患进行整改维护。</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2.养护内容</w:t>
      </w:r>
      <w:r>
        <w:rPr>
          <w:rFonts w:hint="eastAsia" w:ascii="宋体" w:hAnsi="宋体" w:eastAsia="宋体" w:cs="宋体"/>
          <w:b/>
          <w:bCs/>
          <w:color w:val="000000"/>
          <w:sz w:val="24"/>
          <w:szCs w:val="24"/>
          <w:highlight w:val="none"/>
          <w:lang w:val="en-US" w:eastAsia="zh-CN"/>
        </w:rPr>
      </w:r>
      <w:r/>
    </w:p>
    <w:p>
      <w:pPr>
        <w:pStyle w:val="915"/>
        <w:ind w:left="0" w:right="0" w:firstLine="420"/>
        <w:jc w:val="both"/>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标线类</w:t>
      </w:r>
      <w:r>
        <w:rPr>
          <w:rFonts w:hint="eastAsia" w:ascii="宋体" w:hAnsi="宋体" w:eastAsia="宋体" w:cs="宋体"/>
          <w:sz w:val="24"/>
          <w:szCs w:val="24"/>
          <w:highlight w:val="none"/>
        </w:rPr>
      </w:r>
      <w:r/>
    </w:p>
    <w:tbl>
      <w:tblPr>
        <w:tblStyle w:val="942"/>
        <w:tblW w:w="91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940"/>
        <w:gridCol w:w="3663"/>
        <w:gridCol w:w="2869"/>
      </w:tblGrid>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单价最高限价（含税）（元）</w:t>
            </w:r>
            <w:r>
              <w:rPr>
                <w:rFonts w:hint="eastAsia" w:ascii="宋体" w:hAnsi="宋体" w:eastAsia="宋体" w:cs="宋体"/>
                <w:b/>
                <w:bCs/>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热熔标线</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1.8±0.2mm热熔标线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42/㎡</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彩色斑马线</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1.8±0.2mm红白色热熔彩色标线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减速震荡线</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200mm*5mm热熔振荡线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箭头</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3m热熔箭头</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箭头</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3m双组份反光型箭头</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300/只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彩色防滑标线1</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3-4mm冷涂型彩色防滑标线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彩色防滑标线2</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4-5mm热熔型彩色防滑标线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180/㎡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箭头</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6m热熔箭头</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300/只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箭头</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6m双组份反光型箭头</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600/只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停车位1</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2.5*5.5m热熔停车位</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停车位2</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2.5*5.5m冷喷停车位</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35/只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常温标线</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常温冷喷标线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水性标线</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常温水性标线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45/㎡</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双组份标线1</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双组份标线（喷涂）</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双组份标线2</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双组份标线（甩涂）</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125/㎡</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双组份标线3</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双组份标线（刮涂）</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175/㎡</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17</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高亮标线</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2mm厚350高亮热熔标线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18</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箭头（常温）1</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3m常温冷喷箭头</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19</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箭头（常温）2</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6m常温冷喷箭头</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108/只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车位（涂改）</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车位标线涂黑</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35/只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标线打磨</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除线机打磨除线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22</w:t>
            </w:r>
            <w:r>
              <w:rPr>
                <w:rFonts w:hint="eastAsia" w:ascii="宋体" w:hAnsi="宋体" w:eastAsia="宋体" w:cs="宋体"/>
                <w:sz w:val="24"/>
                <w:szCs w:val="24"/>
                <w:highlight w:val="none"/>
              </w:rPr>
            </w:r>
            <w:r/>
          </w:p>
        </w:tc>
        <w:tc>
          <w:tcPr>
            <w:tcMar>
              <w:left w:w="108" w:type="dxa"/>
              <w:top w:w="0" w:type="dxa"/>
              <w:right w:w="108" w:type="dxa"/>
              <w:bottom w:w="0" w:type="dxa"/>
            </w:tcMar>
            <w:tcW w:w="1940"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高压冲洗</w:t>
            </w:r>
            <w:r>
              <w:rPr>
                <w:rFonts w:hint="eastAsia" w:ascii="宋体" w:hAnsi="宋体" w:eastAsia="宋体" w:cs="宋体"/>
                <w:sz w:val="24"/>
                <w:szCs w:val="24"/>
                <w:highlight w:val="none"/>
              </w:rPr>
            </w:r>
            <w:r/>
          </w:p>
        </w:tc>
        <w:tc>
          <w:tcPr>
            <w:tcMar>
              <w:left w:w="108" w:type="dxa"/>
              <w:top w:w="0" w:type="dxa"/>
              <w:right w:w="108" w:type="dxa"/>
              <w:bottom w:w="0" w:type="dxa"/>
            </w:tcMar>
            <w:tcW w:w="3663"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高压水冲除标线</w:t>
            </w:r>
            <w:r>
              <w:rPr>
                <w:rFonts w:hint="eastAsia" w:ascii="宋体" w:hAnsi="宋体" w:eastAsia="宋体" w:cs="宋体"/>
                <w:sz w:val="24"/>
                <w:szCs w:val="24"/>
                <w:highlight w:val="none"/>
              </w:rPr>
            </w:r>
            <w:r/>
          </w:p>
        </w:tc>
        <w:tc>
          <w:tcPr>
            <w:tcMar>
              <w:left w:w="108" w:type="dxa"/>
              <w:top w:w="0" w:type="dxa"/>
              <w:right w:w="108" w:type="dxa"/>
              <w:bottom w:w="0" w:type="dxa"/>
            </w:tcMar>
            <w:tcW w:w="2869"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80/㎡</w:t>
            </w:r>
            <w:r>
              <w:rPr>
                <w:rFonts w:hint="eastAsia" w:ascii="宋体" w:hAnsi="宋体" w:eastAsia="宋体" w:cs="宋体"/>
                <w:sz w:val="24"/>
                <w:szCs w:val="24"/>
                <w:highlight w:val="none"/>
              </w:rPr>
            </w:r>
            <w:r/>
          </w:p>
        </w:tc>
      </w:tr>
    </w:tbl>
    <w:p>
      <w:pPr>
        <w:pStyle w:val="915"/>
        <w:numPr>
          <w:ilvl w:val="0"/>
          <w:numId w:val="0"/>
        </w:numPr>
        <w:ind w:left="0" w:firstLine="0"/>
        <w:jc w:val="both"/>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2.2</w:t>
      </w:r>
      <w:r>
        <w:rPr>
          <w:rFonts w:hint="eastAsia" w:ascii="宋体" w:hAnsi="宋体" w:eastAsia="宋体" w:cs="宋体"/>
          <w:color w:val="000000"/>
          <w:sz w:val="24"/>
          <w:szCs w:val="24"/>
          <w:highlight w:val="none"/>
        </w:rPr>
        <w:t xml:space="preserve">标牌设施类</w:t>
      </w:r>
      <w:r>
        <w:rPr>
          <w:rFonts w:hint="eastAsia" w:ascii="宋体" w:hAnsi="宋体" w:eastAsia="宋体" w:cs="宋体"/>
          <w:sz w:val="24"/>
          <w:szCs w:val="24"/>
          <w:highlight w:val="none"/>
        </w:rPr>
      </w:r>
      <w:r/>
    </w:p>
    <w:tbl>
      <w:tblPr>
        <w:tblStyle w:val="942"/>
        <w:tblW w:w="9450"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608"/>
        <w:gridCol w:w="5392"/>
        <w:gridCol w:w="1725"/>
      </w:tblGrid>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单价最高限价（含税）（元）</w:t>
            </w:r>
            <w:r>
              <w:rPr>
                <w:rFonts w:hint="eastAsia" w:ascii="宋体" w:hAnsi="宋体" w:eastAsia="宋体" w:cs="宋体"/>
                <w:b/>
                <w:bCs/>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标志牌1</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2mm厚铝板，工程级膜，含铝槽配件及辅料</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标志牌2</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3mm厚铝板，高强级膜，含铝槽配件及辅料</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标志牌贴面1</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工程级膜改贴面（含人工、机械费）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240/㎡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标志牌贴面2</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高强级膜（含人工、高车费）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小标牌立杆1</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Ф50*3mm镀锌圆杆</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150/根</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小标牌立杆2</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Ф76*3mm镀锌圆杆</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280/根</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小标牌立杆3</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Ф89*3mm镀锌圆杆</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320/根</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sz w:val="24"/>
                <w:szCs w:val="24"/>
                <w:highlight w:val="none"/>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小标牌立杆4</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Ф114*3mm镀锌圆杆</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380/根</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小标牌立杆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Ф</w:t>
            </w: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5*2750</w:t>
            </w:r>
            <w:r>
              <w:rPr>
                <w:rFonts w:hint="eastAsia" w:ascii="宋体" w:hAnsi="宋体" w:eastAsia="宋体" w:cs="宋体"/>
                <w:color w:val="000000"/>
                <w:sz w:val="24"/>
                <w:szCs w:val="24"/>
                <w:highlight w:val="none"/>
              </w:rPr>
              <w:t xml:space="preserve">mm</w:t>
            </w:r>
            <w:r>
              <w:rPr>
                <w:rFonts w:hint="eastAsia" w:ascii="宋体" w:hAnsi="宋体" w:eastAsia="宋体" w:cs="宋体"/>
                <w:color w:val="000000"/>
                <w:sz w:val="24"/>
                <w:szCs w:val="24"/>
                <w:highlight w:val="none"/>
                <w:lang w:val="en-US" w:eastAsia="zh-CN"/>
              </w:rPr>
              <w:t xml:space="preserve">热镀锌标志牌立杆，含0.4*0.4*1mC25钢筋混凝土基础及地脚螺栓安装</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880/根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小标牌立杆</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Ф</w:t>
            </w: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5*3500</w:t>
            </w:r>
            <w:r>
              <w:rPr>
                <w:rFonts w:hint="eastAsia" w:ascii="宋体" w:hAnsi="宋体" w:eastAsia="宋体" w:cs="宋体"/>
                <w:color w:val="000000"/>
                <w:sz w:val="24"/>
                <w:szCs w:val="24"/>
                <w:highlight w:val="none"/>
              </w:rPr>
              <w:t xml:space="preserve">mm</w:t>
            </w:r>
            <w:r>
              <w:rPr>
                <w:rFonts w:hint="eastAsia" w:ascii="宋体" w:hAnsi="宋体" w:eastAsia="宋体" w:cs="宋体"/>
                <w:color w:val="000000"/>
                <w:sz w:val="24"/>
                <w:szCs w:val="24"/>
                <w:highlight w:val="none"/>
                <w:lang w:val="en-US" w:eastAsia="zh-CN"/>
              </w:rPr>
              <w:t xml:space="preserve">热镀锌标志牌立杆，含0.4*0.4*1mC25钢筋混凝土基础及地脚螺栓安装</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980/根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单幅指路标牌立杆</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3F指路标牌立杆,牌面规格3.5*2.6米,Φ273*12镀锌无缝钢管3F杆型立杆,H=8.5m,横杆Φ152*12,L=4.5m。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18000/套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小标牌立杆基础</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50*50*60cm C25钢筋砼基础</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单幅指路牌基础</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1.4*1.4*2.5m C25钢筋砼基础</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4900/套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T字型路名牌</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1400*360mm不锈钢T字型路名牌，含制作、安装、配件、C25砼基础、土方开挖及回填</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2400/套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减速驳</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100*30*5cm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160/m</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斑马线阻车警示桩</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Ø165*4*800mm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360/根</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道口警示柱</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Ø</w:t>
            </w:r>
            <w:r>
              <w:rPr>
                <w:rFonts w:hint="eastAsia" w:ascii="宋体" w:hAnsi="宋体" w:eastAsia="宋体" w:cs="宋体"/>
                <w:color w:val="000000"/>
                <w:sz w:val="24"/>
                <w:szCs w:val="24"/>
                <w:highlight w:val="none"/>
                <w:lang w:val="en-US" w:eastAsia="zh-CN"/>
              </w:rPr>
              <w:t xml:space="preserve">114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镀锌钢管表面贴反光膜，基础制安</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发光太阳能柱帽</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Ø</w:t>
            </w:r>
            <w:r>
              <w:rPr>
                <w:rFonts w:hint="eastAsia" w:ascii="宋体" w:hAnsi="宋体" w:eastAsia="宋体" w:cs="宋体"/>
                <w:color w:val="000000"/>
                <w:sz w:val="24"/>
                <w:szCs w:val="24"/>
                <w:highlight w:val="none"/>
                <w:lang w:val="en-US" w:eastAsia="zh-CN"/>
              </w:rPr>
              <w:t xml:space="preserve">114*150mm道口</w:t>
            </w:r>
            <w:r>
              <w:rPr>
                <w:rFonts w:hint="eastAsia" w:ascii="宋体" w:hAnsi="宋体" w:eastAsia="宋体" w:cs="宋体"/>
                <w:color w:val="000000"/>
                <w:sz w:val="24"/>
                <w:szCs w:val="24"/>
                <w:highlight w:val="none"/>
              </w:rPr>
              <w:t xml:space="preserve">警示柱顶部发光太阳能柱帽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外壳颜色透明，360°可见黄色闪光灯；白天自动关闭，昏暗环境开启；可视距离大于500m</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220/套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指路牌背面铝板封底</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指路牌背面2mm厚铝板封底含人工费、高车费等</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240/m2</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指路牌背面贴广告膜</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指路牌背面贴广告级反光膜含人工费、高车费等</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180/㎡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户外宣传广告写真1</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黑胶户外宣传广告写真含版面设计制作及张贴人工费和机械费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户外宣传广告写真2</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喷绘布户外宣传广告写真含版面设计制作及张贴人工费和机械费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防撞桶</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Ø600*800mm防撞桶，表面红白反光膜</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420/只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水马</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1500*800*180*400cm PE水马</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420/只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PU塑料警示桩</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750*80mm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50/根</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车位挡车器</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M型钢管挡车器：2000*100*76*2mmM型钢管挡车器安装</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val="en-US" w:eastAsia="zh-CN"/>
              </w:rPr>
              <w:t xml:space="preserve">含杆件安装、表面刷漆等</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锥桶</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橡胶锥桶：5KG橡胶锥桶，高度70cm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路锥连接杆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200cm*3cm路锥连接杆，PVC材质，表面红白或黑黄反光膜</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分道体</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color w:val="000000"/>
                <w:sz w:val="24"/>
                <w:szCs w:val="24"/>
                <w:highlight w:val="none"/>
                <w:u w:val="none"/>
                <w:lang w:val="en-US" w:eastAsia="zh-CN" w:bidi="ar"/>
              </w:rPr>
              <w:t xml:space="preserve">红色塑料分道体，高度30cm</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val="0"/>
                <w:color w:val="000000"/>
                <w:sz w:val="24"/>
                <w:szCs w:val="24"/>
                <w:highlight w:val="none"/>
                <w:u w:val="none"/>
                <w:lang w:val="en-US" w:eastAsia="zh-CN" w:bidi="ar"/>
              </w:rPr>
              <w:t xml:space="preserve">22元/个</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反光道钉</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100mm*100mm*20mm铸铝反光道钉</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35/只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太阳能道钉</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130mm*118mm双面黄灯太阳能发光道钉</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太阳能爆闪灯</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双面4灯太阳能爆闪灯：LED寿命10万小时,红色和蓝色，蓄电池功率12V/4Ah,寿命2年。</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可视距离2km，闪烁功率大于180次/min，太阳能电池板功率：3W</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太阳能黄闪灯</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Ø400LED太阳能黄闪灯</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限高杆</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限高杆：Ø165*5*3500mm双立杆，Ø114*4*6000mm横臂，表面反光膜，1*1*1.5m混凝土基础</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12000/套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凸面镜（含杆件安装）</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Ø1000mm凸面镜</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可移动式标牌支架</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1m*2m人字型可移动式标志牌支架：镀锌钢管焊接制作安装</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可移动式不锈钢标牌</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L型不锈钢杆标牌，高度2m版面尺寸1.2*0.8m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标杆刷漆</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表面刷氟碳漆</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横臂式信号灯杆拆除</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横臂式信号灯杆拆除含吊车、人工、运费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指路标志牌杆拆除</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指路标志牌杆拆除含吊车、人工、运费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小立杆拆除</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单杆式小标志牌杆拆除含人工、运费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地面彩色标志</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可粘贴型地面彩色标志，反光度I级</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380/㎡</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人行安全岛</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一体式橡胶人行安全岛：总长6m，橡胶岛头：L1000*W700*H300mm</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行人停踏板：L1000*W700*H60mm</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红白双色柱：H1100mm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阻车石球1</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大理石阻车石球路障：直径40cm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480/套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阻车石桩2</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大理石阻车石桩路障：直径20cm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230/套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46</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拒马移动路障</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1.2米高 3.0米长 宽度75公分 89大管</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76小管 厚度2.0mm，表面红白反光漆</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1600/m</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47</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路口智能红外线语音警示桩</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红外语音警示柱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材质：304不锈钢材质</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尺寸：1080mm*240mm*120mm</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电压：供电电压AC 220V，工作电压DC 12V</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功率：30W</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工作环境要求：</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环境温度：-20 ℃~80℃</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环境湿度：湿度小于95%(无凝结)</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防护等级：IP55</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6.包含</w:t>
            </w:r>
            <w:r>
              <w:rPr>
                <w:rFonts w:hint="eastAsia" w:ascii="宋体" w:hAnsi="宋体" w:eastAsia="宋体" w:cs="宋体"/>
                <w:color w:val="000000"/>
                <w:sz w:val="24"/>
                <w:szCs w:val="24"/>
                <w:highlight w:val="none"/>
              </w:rPr>
              <w:t xml:space="preserve">智能语音模块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智能发光模块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交通红外检测器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开关电源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自动重合闸用电保护器</w:t>
            </w:r>
            <w:r>
              <w:rPr>
                <w:rFonts w:hint="eastAsia" w:ascii="宋体" w:hAnsi="宋体" w:eastAsia="宋体" w:cs="宋体"/>
                <w:color w:val="000000"/>
                <w:sz w:val="24"/>
                <w:szCs w:val="24"/>
                <w:highlight w:val="none"/>
                <w:lang w:val="en-US" w:eastAsia="zh-CN"/>
              </w:rPr>
              <w:t xml:space="preserve">等功能。</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6000/套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太阳能靠右行驶标志</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产品的外壳主体采用铝型材，应具有良好的抗氧化性，使用期内产品不褪色，外壳体要有良好的刚性和耐冲击性，内部结构件有良好的稳固性和密封性。</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产品尺寸：2160mm*435mm*95mm。</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标志内容白天要求与常规标志一致，夜间标志整体主动发光，标志内容与国标一致，LED灯珠不得外露。</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反光膜采用3M或同等品牌的国标Ⅳ级（超强级）微棱镜反光膜，使用年限为7年50%亮度保留值，背胶类型为常温压敏胶。</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在连续阴雨条件下，产品满载工作时间不小于96小时，半载工作时间不小于36小时。</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产品上应有铭牌标明生产企业名称、商标、产品名称、型号、工作电压、电流、功率、重量、产品编号、制造日期、生产标准等。</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发光单元要求</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发光单元采用侧边导光的面发光技术，发光要求均匀、无局部过亮、黑影现象；</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可视距离：夜间动态距离≥250米，静态距离≥210米。</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8.电气性能</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工作电压：太阳能恒压驱动12V。</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额定功率：6W。</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rPr>
              <w:t xml:space="preserve">光伏板参数：15W</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9.工作环境要求</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9.1</w:t>
            </w:r>
            <w:r>
              <w:rPr>
                <w:rFonts w:hint="eastAsia" w:ascii="宋体" w:hAnsi="宋体" w:eastAsia="宋体" w:cs="宋体"/>
                <w:color w:val="000000"/>
                <w:sz w:val="24"/>
                <w:szCs w:val="24"/>
                <w:highlight w:val="none"/>
              </w:rPr>
              <w:t xml:space="preserve">环境温度：-20℃至70℃</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9.2</w:t>
            </w:r>
            <w:r>
              <w:rPr>
                <w:rFonts w:hint="eastAsia" w:ascii="宋体" w:hAnsi="宋体" w:eastAsia="宋体" w:cs="宋体"/>
                <w:color w:val="000000"/>
                <w:sz w:val="24"/>
                <w:szCs w:val="24"/>
                <w:highlight w:val="none"/>
              </w:rPr>
              <w:t xml:space="preserve">环境湿度：相对湿度90%RH</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rPr>
              <w:t xml:space="preserve">防护等级：IP65</w:t>
            </w:r>
            <w:r>
              <w:rPr>
                <w:rFonts w:hint="eastAsia" w:ascii="宋体" w:hAnsi="宋体" w:eastAsia="宋体" w:cs="宋体"/>
                <w:color w:val="000000"/>
                <w:sz w:val="24"/>
                <w:szCs w:val="24"/>
                <w:highlight w:val="none"/>
              </w:rPr>
            </w:r>
            <w:r/>
          </w:p>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 产品质保期限一年。</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7000/套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49</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新型太阳能发光警示柱</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1.产品的外壳主体采用冷轧钣金与型材配合结构，后期喷塑并做阳极处理，具有良好的抗氧化性，使用期内产品不褪色，外壳体要有良好的刚性和耐冲击性，内部结构件有良好的稳固性和密封性。</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2.产品尺寸约：1252mm*210mm*210mm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3.产品有较强的抗腐蚀性和防锈功能，耐振动和耐烟雾性能均满足规范要求。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4.产品光伏板应以内嵌形式置于产品内部，不得外挂或置于外部。</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5.产品柱体四面贴有120cm 长度红白相间国标Ⅳ级（超强级）微棱镜反光膜，使用年限为7年50%亮度保留值，背胶类型为常温压敏胶。</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6.发光单元要求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发光单元采用灯珠散光技术，光线穿透力强、无死灯现象。</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可视距离：夜间动态距离≥250米，静态距离≥210米。</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7.电气性能</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工作电压：太阳能恒压驱动 12V。（2）额定功率：6W。</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电池容量 7.5aH。（4）光伏板参数：18V--5W。</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8.工作环境要求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工作温度：-40℃至60℃，工作环境湿度：10%-90%，防尘防水等级：IP65</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9.产品质保期限一年。</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4000/根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新型面光源发光交通标牌面板（含辅材施工）</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新型面光源发光交通标牌按平方计，采用市电</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2000/m2</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半透视LED主动发光标志</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主动发光交通标志由面板、光源、壳体、光电控制板等组成。</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主动发光交通标志整体厚度≤4cm。</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标志产品的面板、背板、壳体、边框及内部支撑件等结构件在保证结构稳定的条件下，采用符合GB/T 23827的轻质金属或非金属材料，以减少产品自身的重量和增加抗腐蚀能力，内部支撑件应采用铝合金型材。</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主动发光交通标志的面板要求：</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1.面板可透光部分的透光率指标:</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白色≥25.0%;</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红色≥2.5%;</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黄色≥10.0%;</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蓝色≥2.5%;</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绿色≥4.0%。</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2.反光膜应符合GB/T18833的规定。</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3.透明板</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透明板性能指标:</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邵氏硬度≥80 HA;</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拉伸屈服强度≥60 MPa;</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弯曲强度≥60 MPa;</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在55 ℃～-55℃范围内无明显变形。</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4.主动发光交通标志法的光源性能指标:</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采用LED、PCB板制成光源板;</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PCB板应采用环氧树脂材质，厚度≥1.1 mm;</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标志边框边条、或文字信息高度小于1150mm时，光源板只允许单向拼接，不允许双向拼接。</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5.主动发光交通标志的外观质量：</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白天在水平距离≥50 m处观察不发光状态的标志牌，其表面应无明显凹凸、气泡、皱褶、变形等缺陷;夜间在水平距离≥20 m观察正常发光状态的标志牌，其整体色泽亮度应一致，各显示单元内应无阴影现象。</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主动发光交通标志的光学性能：</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6.夜间标志视认距离:</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静态视认距离≥250 m;</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车速60 km/h时，动态视认距离≥230 m。</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7.主动发光交通标志的亮度：</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白色≥300 cd/㎡;</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黄色≥150 cd/㎡;</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红色≥45 cd/㎡;</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绿色≥45 cd/㎡;</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蓝色≥30 cd/㎡;</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棕色≥22 cd/㎡。</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spacing w:line="24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P10全彩可变车道电子指示牌</w:t>
            </w:r>
            <w:r>
              <w:rPr>
                <w:rFonts w:hint="eastAsia" w:ascii="宋体" w:hAnsi="宋体" w:eastAsia="宋体" w:cs="宋体"/>
                <w:sz w:val="24"/>
                <w:szCs w:val="24"/>
                <w:highlight w:val="none"/>
              </w:rPr>
            </w:r>
            <w:r/>
          </w:p>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P10全彩可变车道电子指示牌（包括管线、控制器、机箱、施工、入网、调试等所有相关费用）:</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显示屏为全彩色:每像素由1红、1绿、1蓝，3棵超高亮LED灯组成全彩像素,像素点间距10mm</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发光强度:大于8000CD/平方米</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防雨防尘:IP68</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箱体材料:镀锌钢板或铝合金型材制成，外表面处理喷望</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使用寿命：＞10万小时</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显示屏视角：&gt;140°</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可视距离：内容昼夜清楚可见，在一般情况下，车辆以100km/h速度行驶时，显示信息无论在日光下或黄昏下均能在210米外清晰可见；在雨、雪等天气状况下，司机在150米外仍可清晰读出</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控制方式：由路口信号机提供干节点控制信号，控制可变车道电子指示牌显示方向标志(直行、左转等)</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32000/m2</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斑马线事故预警系统（普通市电款）</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val="en-US" w:eastAsia="zh-CN"/>
              </w:rPr>
              <w:t xml:space="preserve">一体式</w:t>
            </w:r>
            <w:r>
              <w:rPr>
                <w:rFonts w:hint="eastAsia" w:ascii="宋体" w:hAnsi="宋体" w:eastAsia="宋体" w:cs="宋体"/>
                <w:color w:val="000000"/>
                <w:sz w:val="24"/>
                <w:szCs w:val="24"/>
                <w:highlight w:val="none"/>
              </w:rPr>
              <w:t xml:space="preserve">人行横道标志警示柱</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1.产品的外壳主体采用铝型材，应具有良好的抗氧化性，使用期内产品不褪色，外壳体要有良好的刚性和耐冲击性，内部结构件有良好的稳固性和密封性。</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2.产品尺寸：2651*635*88（mm)。</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3.标志内容白天要求与常规标志一致，夜间标志整体主动发光，标志内容与国标一致，LED灯珠不得外露。</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4.反光膜采用3M或同等品牌的国标Ⅳ级（超强级）微棱镜反光膜，使用年限为7年50%亮度保留值，背胶类型为常温压敏胶。</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5.产品上应有铭牌标明生产企业名称、商标、产品名称、型号、工作电压、电流、功率、重量、产品编号、制造日期、生产标准等。</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6.发光单元要求</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（1）发光单元采用侧边导光的面发光技术，发光要求均匀、无局部过亮、黑影现象；</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（2）可视距离：夜间动态距离≥250米，静态距离≥210米。</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7.电气性能</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工作电压：12V,采用市电供电方式。</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额定功率：20W。</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8.工作环境要求</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环境温度：-20℃至70℃</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环境湿度：相对湿度90%RH</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rPr>
              <w:t xml:space="preserve">防护等级：IP65</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9.产品质保期限一年。</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要求连网接入大队现有设施管理平台。</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二、视频检测器</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检测器采用200万像素的星光级筒型摄像机，支持最低照度：0.002Lux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产品质保不低于1年。</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21000/根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道口事故预警系统（高配太阳能款）1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numPr>
                <w:ilvl w:val="0"/>
                <w:numId w:val="2"/>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一体式支路预警主机                                                                                                </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外壳采用钣金制作，表面喷塑，柱身黑色，耐腐蚀；</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产品主体尺寸：2970*320*140（mm）。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产品顶部有红蓝爆闪灯，静态视距大于200米，在预警时爆闪。</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产品中部内嵌900*260mm点阵发光文字标牌，静态视距大于200米，预警时闪烁。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额定电压12V，市电或太阳能供电。</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防尘防水等级：符合 IP65 ，工作环境：-20 ℃~70℃,湿度小于95%(无凝结)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产品质保不得低于1年。</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要求连网接入大队现有设施管理平台。</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二、减速让行全透主动发光标志                                                                                      </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产品采用在面光源表面贴附有国标Ⅳ级（超强级）微棱镜透光反光膜，符合《道路交通反光膜》（GB/T 18833-2012）的要求。发光部分反光膜透光率达到30%以上。</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供电方式：市电供电（输入电压220V，工作电压12V）或太阳能供电。</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发光源：包括LED防水贴片灯珠、高光效PC导光板、聚碳酸酯耐高温匀光板；动态识别视距≥150M；版面标准亮度≥400cd/m²。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产品正面发光面积达到98%以上，标志发光区域内容完全符合国标。</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产品功率不超过10W/m²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产品厚度为13mm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减速让行标志边长为900mm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产品质保要求不低于1年。                                                                                     三、视频检测器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检测器采用200万像素的筒型摄像机，支持最低照度：0.002Lux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产品质保不低于1年。</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四、雷达检测器                                                                                                      供电电压：+8～+20V直流电压。（12V DC）</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工作频率：24.15GHZ</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天线角度：13.6°*37°</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功耗小于1W,重量35g</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相对温度：-40度至85摄氏度；相对湿度在：+95%（非冷凝状态）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测速范围：2-400km/h。</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覆盖车道数：1-4车道。</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自动区分方向，可以设置来向，去向，双向输出。</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目标捕获距离：大于80m。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刷新时间：32ms</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连接：TTL，RS485接口器</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五、锂电池（50AH）+100W太阳能板+支架</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23500/根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道口事故预警系统（高配太阳能款）2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numPr>
                <w:ilvl w:val="0"/>
                <w:numId w:val="3"/>
              </w:num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一体式主路预警主机                                                                                                </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外壳采用钣金制作，表面喷塑，柱身黑色，耐腐蚀；</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产品主体尺寸约：3670*320*140（mm）。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产品顶部有红蓝爆闪灯，静态视距大于200米，在预警时爆闪。</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产品中部内嵌900*260mm点阵发光文字标牌，静态视距大于200米，预警时闪烁。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额定电压12V，市电或太阳能供电。</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防尘防水等级：符合 IP65 ，工作环境：-20 ℃~70℃,湿度小于95%(无凝结)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产品质保不得低于1年。</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要求连网接入大队现有设施管理平台。</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二、注意行人全透主动发光标志                                                                                      </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产品采用在面光源表面贴附有国标Ⅳ级（超强级）微棱镜透光反光膜，符合《道路交通反光膜》（GB/T 18833-2012）的要求。发光部分反光膜透光率达到30%以上。</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供电方式：市电供电（输入电压220V，工作电压12V）或太阳能供电。</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发光源：包括LED防水贴片灯珠、高光效PC导光板、聚碳酸酯耐高温匀光板；动态识别视距≥150M；版面标准亮度≥400cd/m²。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产品正面发光面积达到98%以上，标志发光区域内容完全符合国标。</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产品功率不超过10W/m²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产品厚度为13mm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注意行人标志边长为1100mm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产品质保要求不低于1年。                                                                                     三、视频检测器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检测器采用200万像素的筒型摄像机，支持最低照度：0.002Lux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产品质保不低于1年。</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四、锂电池（50AH）+100W太阳能板+支架</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24500/根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56</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道口事故预警系统（普通太阳能款）1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一、视频检测器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检测器采用200万像素的筒型摄像机，支持最低照度：0.002Lux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产品质保不低于1年</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二、控制箱参数及要求：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1.箱体尺寸：380mm*415mm*250mm。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2.内置20W、4寸喇叭。（主路无喇叭）</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3.内置无线发射（接收）模块。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4.内置控制模块。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三、“主路来车”发光辅助标志参数及要求：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产品采用灯珠镶嵌模式，拼接成文字。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采用高亮发光二极管，装配聚光灯罩，光线穿透力强。</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1.正面尺寸：1200*300mm。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2.额定电压：12V。</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3.防水等级：IP65。</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四、锂电池（50AH）+100W太阳能板+支架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五、减速让行全透主动发光标志                                                                                      </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产品采用在面光源表面贴附有国标Ⅳ级（超强级）微棱镜透光反光膜，符合《道路交通反光膜》（GB/T 18833-2012）的要求。发光部分反光膜透光率达到30%以上。</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供电方式：市电供电（输入电压220V，工作电压12V）或太阳能供电。</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发光源：包括LED防水贴片灯珠、高光效PC导光板、聚碳酸酯耐高温匀光板；动态识别视距≥150M；版面标准亮度≥400cd/m²。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产品正面发光面积达到98%以上，标志发光区域内容完全符合国标。</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产品功率不超过10W/m²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产品厚度为13mm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减速让行标志边长为900mm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产品质保要求不低于1年。</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16000/根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57</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道口事故预警系统（普通太阳能款）2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一、视频检测器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检测器采用200万像素的筒型摄像机，支持最低照度：0.002Lux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产品质保不低于1年</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二、控制箱参数及要求：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1.箱体尺寸：380mm*415mm*250mm。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2.内置20W、4寸喇叭。（主路无喇叭）</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3.内置无线发射（接收）模块。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4.内置控制模块。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三、“有人横穿”发光辅助标志参数及要求：</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产品采用灯珠镶嵌模式，拼接成文字。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采用高亮发光二极管，装配聚光灯罩，光线穿透力强。</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1.正面尺寸：1200*300mm。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2.额定电压：12V。</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3.防水等级：IP65。</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四、锂电池（50AH）+100W太阳能板+支架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五、前方十字路口全透主动发光标志                                                                                      </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产品采用在面光源表面贴附有国标Ⅳ级（超强级）微棱镜透光反光膜，符合《道路交通反光膜》（GB/T 18833-2012）的要求。发光部分反光膜透光率达到30%以上。</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供电方式：市电供电（输入电压220V，工作电压12V）或太阳能供电。</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发光源：包括LED防水贴片灯珠、高光效PC导光板、聚碳酸酯耐高温匀光板；动态识别视距≥150M；版面标准亮度≥400cd/m²。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产品正面发光面积达到98%以上，标志发光区域内容完全符合国标。</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产品功率不超过10W/m²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产品厚度为13mm</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前方十字路口标志边长为1100mm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产品质保要求不低于1年。</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17000/根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58</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智能无线受控道钉</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产品尺寸：φ120*50mm</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产品材质为铝锭，进口PC 料注塑，表面抗压74T，灯光颜色为黄色光，夜间可视距离≥500米，具有常亮和闪烁两种模式，产品质保1年。</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控制器主芯片采用LORA 低能耗单片机，该产品可配合检测器和无线控制器，通过无线信号进行控制。</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产品由太阳能供电，充电电压5V，充电电流标准光强下220ma；产品由高效锂电池供电，产品额定电压3.2V，待机电流1ma。</w:t>
            </w:r>
            <w:r>
              <w:rPr>
                <w:rFonts w:hint="eastAsia" w:ascii="宋体" w:hAnsi="宋体" w:eastAsia="宋体" w:cs="宋体"/>
                <w:color w:val="000000"/>
                <w:sz w:val="24"/>
                <w:szCs w:val="24"/>
                <w:highlight w:val="none"/>
              </w:rPr>
            </w:r>
            <w:r/>
          </w:p>
          <w:p>
            <w:pPr>
              <w:pStyle w:val="915"/>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产品工作环境要求工作温度：-20℃至80℃，相对湿度90%RH，防尘防水等级：IP68。</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660/只</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59</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440" w:lineRule="exact"/>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右侧开口事故预警系统</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5392" w:type="dxa"/>
            <w:vAlign w:val="center"/>
            <w:textDirection w:val="lrTb"/>
            <w:noWrap w:val="false"/>
          </w:tcPr>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一体式右侧开口事故预警主机：</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1.材质：钣金外壳一体成型，表面喷塑</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2.主机规格尺寸：2400*250*140mm</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3.电压：供电电压AC 220V，工作电压DC 12V</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4.额定功率200W</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5.工作环境要求</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5.1环境温度：-20 ℃~80℃</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5.2环境湿度：湿度小于95%(无凝结)</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5.3防护等级：IP55</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主动发光文字标志：</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1.发光类型：点阵灯珠文字发光</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2.材质：钣金外壳一体成型，表面喷塑</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3.标志内容：右侧来车（可定制）</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4.工作电压：DC 12V</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5.工作环境要求</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5.1环境温度：-20℃至80℃</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5.2环境湿度：相对湿度90%RH</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5.3防护等级：IP65</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三、爆闪灯：</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1.发光类型：光源采用高亮LED发光管，</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2.灯罩材质：灯罩采用高透光PC2805材料制成，透明度高不褪色,热变形温度:125℃,耐冲击强度85；</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3.规格尺寸：：105*75*10mm</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4.颜色要求：红色、蓝色</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5.工作电压：12V</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6.工作环境要求</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6.1环境温度：-20℃至80℃</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6.2环境湿度：相对湿度90%RH</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6.3防护等级：IP67</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四、智能语音模块：</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1.驱动组成：WT2003H-24SS高品质MP3语音芯片、PAM8320功放模块、UART指定插播地址音乐播放模块IC，可以提供高保真人声发音；</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2.扬声器采用保真高音喇叭，聚合物音盆，防水效果好；</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3.阻抗：4欧姆，功率12W。响应频率：80-20000Hz。灵敏度（最大声压级）110分贝。</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五、嵌入式系统控制主板：</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内部集成了上电复位（POR）和掉电复位电路。这两种电路始终处于工作状态。当掉电复位电路监测到电源电压低于规定的阈值时，即使外部电路复位，该产品内置能够监测VDD并将其与VPVD阈值比较，当VDD在在VPVD阈值范围外且中断使能时会产生中断，可通过中断服务程序将MCU设置成安全状态。</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3.系统控制主板具有以下功能：</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3.1系统控制主板应具有备用电池功能。</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3.2系统控制主板应具有主从机配组功能。</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3.3系统控制主板应具有静电放电抗干扰功能。</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3.4系统控制主板应具通讯加密功能。</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4.工作环境要求</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4.1环境温度：-20℃至80℃</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4.2环境湿度：相对湿度≤98%RH</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六、智能无线通讯模块：</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该模块具有数据加密和压缩功能，数据压缩功能有效缩短传输时间，降低干扰概率，提高可靠性和传输效率。</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七、智能物联网模块：</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基于4G无线网络的远程操作平台，可实现以下功能：</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1.设备远程实时状态监控；</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2.远程方案设置、批量预案下发；</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3.方案上报及审核；</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4.设备组件故障平台自动报警；</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5.三级用户权限设置。</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八、智能雷达检测器：</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1.雷达天线角度24°×37°</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2.有专用调试软件可修改参数和升级</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3.灵敏度9挡可调，最远检测距离80到100米</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4.速度上报刷新率6挡可调，50~2000ms</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5.可区分及过滤靠近或离开的交通对象</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九、智能交通视频检测器：</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1.检测器采用400万像素的筒型摄像机，支持最低照度：0.0001Lx ，满足高清画质+非常昏暗的场景应用，ICR 红外滤片式自动切换,实现日夜监控；</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2.智能侦测：采用深度学习硬件及算法,提供精准的人车分类侦测,支持区域有人存在持续报警检测模式，最大检测距离50m；</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3.防护等级：符合 IP67 ，环境温度：-30℃至60℃,湿度小于 95%(无凝结) ；</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4.工作电压：DC12V±25% ；</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6.支持视频录像采集，支持H.265编码，可提供多制式视频转换。可自由设置录像参数，包括：帧率、图像大小、分辨率等；</w:t>
            </w:r>
            <w:r>
              <w:rPr>
                <w:rFonts w:hint="eastAsia" w:ascii="宋体" w:hAnsi="宋体" w:eastAsia="宋体" w:cs="宋体"/>
                <w:color w:val="000000"/>
                <w:sz w:val="24"/>
                <w:szCs w:val="24"/>
                <w:highlight w:val="none"/>
                <w:lang w:val="en-US" w:eastAsia="zh-CN"/>
              </w:rPr>
            </w:r>
            <w:r/>
          </w:p>
          <w:p>
            <w:pPr>
              <w:pStyle w:val="915"/>
              <w:jc w:val="left"/>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rPr>
              <w:t xml:space="preserve">7.视频本地储存介质为Micro SD卡，最大支持256G。</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16000元/根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440" w:lineRule="exact"/>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分体式事故预警系统主机</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分体式事故预警系统主机：</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材质：钣金外壳一体成型，表面喷塑</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主机规格尺寸：</w:t>
            </w:r>
            <w:r>
              <w:rPr>
                <w:rFonts w:hint="eastAsia" w:ascii="宋体" w:hAnsi="宋体" w:eastAsia="宋体" w:cs="宋体"/>
                <w:bCs/>
                <w:color w:val="000000"/>
                <w:sz w:val="24"/>
                <w:szCs w:val="24"/>
                <w:highlight w:val="none"/>
                <w:lang w:val="en-US" w:eastAsia="zh-CN" w:bidi="ar"/>
              </w:rPr>
              <w:t xml:space="preserve">12</w:t>
            </w:r>
            <w:r>
              <w:rPr>
                <w:rFonts w:hint="eastAsia" w:ascii="宋体" w:hAnsi="宋体" w:eastAsia="宋体" w:cs="宋体"/>
                <w:bCs/>
                <w:color w:val="000000"/>
                <w:sz w:val="24"/>
                <w:szCs w:val="24"/>
                <w:highlight w:val="none"/>
                <w:lang w:bidi="ar"/>
              </w:rPr>
              <w:t xml:space="preserve">00*3</w:t>
            </w: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0*1</w:t>
            </w: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0mm</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电压：供电电压AC 220V，工作电压DC 12V</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4.</w:t>
            </w:r>
            <w:r>
              <w:rPr>
                <w:rFonts w:hint="eastAsia" w:ascii="宋体" w:hAnsi="宋体" w:eastAsia="宋体" w:cs="宋体"/>
                <w:bCs/>
                <w:color w:val="000000"/>
                <w:sz w:val="24"/>
                <w:szCs w:val="24"/>
                <w:highlight w:val="none"/>
                <w:lang w:bidi="ar"/>
              </w:rPr>
              <w:t xml:space="preserve">额定功率200W</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主动发光文字标志：</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发光类型：点阵灯珠文字发光</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材质：钣金外壳一体成型，表面喷塑</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标志内容：有人横穿</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4.</w:t>
            </w:r>
            <w:r>
              <w:rPr>
                <w:rFonts w:hint="eastAsia" w:ascii="宋体" w:hAnsi="宋体" w:eastAsia="宋体" w:cs="宋体"/>
                <w:bCs/>
                <w:color w:val="000000"/>
                <w:sz w:val="24"/>
                <w:szCs w:val="24"/>
                <w:highlight w:val="none"/>
                <w:lang w:bidi="ar"/>
              </w:rPr>
              <w:t xml:space="preserve">工作电压：DC 12V</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爆闪灯：</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发光类型：光源采用高亮LED发光管，</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灯罩材质：灯罩采用高透光PC2805材料制成，透明度高不褪色,热变形温度:125℃,耐冲击强度85；</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规格尺寸：</w:t>
            </w:r>
            <w:r>
              <w:rPr>
                <w:rFonts w:hint="eastAsia" w:ascii="宋体" w:hAnsi="宋体" w:eastAsia="宋体" w:cs="宋体"/>
                <w:bCs/>
                <w:color w:val="000000"/>
                <w:sz w:val="24"/>
                <w:szCs w:val="24"/>
                <w:highlight w:val="none"/>
                <w:lang w:val="en-US" w:eastAsia="zh-CN" w:bidi="ar"/>
              </w:rPr>
              <w:t xml:space="preserve">105*75*10</w:t>
            </w:r>
            <w:r>
              <w:rPr>
                <w:rFonts w:hint="eastAsia" w:ascii="宋体" w:hAnsi="宋体" w:eastAsia="宋体" w:cs="宋体"/>
                <w:bCs/>
                <w:color w:val="000000"/>
                <w:sz w:val="24"/>
                <w:szCs w:val="24"/>
                <w:highlight w:val="none"/>
                <w:lang w:bidi="ar"/>
              </w:rPr>
              <w:t xml:space="preserve">mm</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4.</w:t>
            </w:r>
            <w:r>
              <w:rPr>
                <w:rFonts w:hint="eastAsia" w:ascii="宋体" w:hAnsi="宋体" w:eastAsia="宋体" w:cs="宋体"/>
                <w:bCs/>
                <w:color w:val="000000"/>
                <w:sz w:val="24"/>
                <w:szCs w:val="24"/>
                <w:highlight w:val="none"/>
                <w:lang w:bidi="ar"/>
              </w:rPr>
              <w:t xml:space="preserve">颜色要求：红色、蓝色</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5.</w:t>
            </w:r>
            <w:r>
              <w:rPr>
                <w:rFonts w:hint="eastAsia" w:ascii="宋体" w:hAnsi="宋体" w:eastAsia="宋体" w:cs="宋体"/>
                <w:bCs/>
                <w:color w:val="000000"/>
                <w:sz w:val="24"/>
                <w:szCs w:val="24"/>
                <w:highlight w:val="none"/>
                <w:lang w:bidi="ar"/>
              </w:rPr>
              <w:t xml:space="preserve">工作电压：12V</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智能语音模块：</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驱动组成：WT2003H-24SS高品质MP3语音芯片、PAM8320功放模块、UART指定插播地址音乐播放模块IC，可以提供高保真人声发音；</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扬声器采用保真高音喇叭，聚合物音盆，防水效果好；</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阻抗：4欧姆，功率12W。响应频率：80-20000Hz。灵敏度（最大声压级）110分贝。</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嵌入式系统控制主板：</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智能无线通讯模块：</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E34-2G4D20D基于nRF241OI+，工作频率为2.4 2.518GHz，TTL输出。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该模块具有数据加密和压缩功能，数据压缩功能有效缩短传输时间，降低干扰概率，提高可靠性和传输效率。</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智能物联网模块</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基于4G无线网络的远程操作平台，可实现以下功能：</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设备远程实时状态监控；</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远程方案设置、批量预案下发；</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方案上报及审核；</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4.</w:t>
            </w:r>
            <w:r>
              <w:rPr>
                <w:rFonts w:hint="eastAsia" w:ascii="宋体" w:hAnsi="宋体" w:eastAsia="宋体" w:cs="宋体"/>
                <w:bCs/>
                <w:color w:val="000000"/>
                <w:sz w:val="24"/>
                <w:szCs w:val="24"/>
                <w:highlight w:val="none"/>
                <w:lang w:bidi="ar"/>
              </w:rPr>
              <w:t xml:space="preserve">设备组件故障平台自动报警；</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5.</w:t>
            </w:r>
            <w:r>
              <w:rPr>
                <w:rFonts w:hint="eastAsia" w:ascii="宋体" w:hAnsi="宋体" w:eastAsia="宋体" w:cs="宋体"/>
                <w:bCs/>
                <w:color w:val="000000"/>
                <w:sz w:val="24"/>
                <w:szCs w:val="24"/>
                <w:highlight w:val="none"/>
                <w:lang w:bidi="ar"/>
              </w:rPr>
              <w:t xml:space="preserve">三级用户权限设置。</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智能交通视频检测器：</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检测器采用200万像素的筒型摄像机，支持最低照度：0.002Lux @(F1.2,AGC ON) ,0 Lux with IR ，满足高清画质+非常昏暗的场景应用，ICR 红外滤片式自动切换,实现日夜监控；</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智能侦测：采用深度学习硬件及算法,提供精准的人车分类侦测,支持区域有人存在持续报警检测模式；</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防护等级：符合 IP67 ，环境温度：-30℃至60℃,湿度小于 95%(无凝结) ；</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4.</w:t>
            </w:r>
            <w:r>
              <w:rPr>
                <w:rFonts w:hint="eastAsia" w:ascii="宋体" w:hAnsi="宋体" w:eastAsia="宋体" w:cs="宋体"/>
                <w:bCs/>
                <w:color w:val="000000"/>
                <w:sz w:val="24"/>
                <w:szCs w:val="24"/>
                <w:highlight w:val="none"/>
                <w:lang w:bidi="ar"/>
              </w:rPr>
              <w:t xml:space="preserve">工作电压：DC12V±25% ；</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5.</w:t>
            </w:r>
            <w:r>
              <w:rPr>
                <w:rFonts w:hint="eastAsia" w:ascii="宋体" w:hAnsi="宋体" w:eastAsia="宋体" w:cs="宋体"/>
                <w:bCs/>
                <w:color w:val="000000"/>
                <w:sz w:val="24"/>
                <w:szCs w:val="24"/>
                <w:highlight w:val="none"/>
                <w:lang w:bidi="ar"/>
              </w:rPr>
              <w:t xml:space="preserve">电源接口类型：Φ5.5mm 圆头电源接口，1 个 RJ45 10M / 100M 自适应以太网口；</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6.</w:t>
            </w:r>
            <w:r>
              <w:rPr>
                <w:rFonts w:hint="eastAsia" w:ascii="宋体" w:hAnsi="宋体" w:eastAsia="宋体" w:cs="宋体"/>
                <w:bCs/>
                <w:color w:val="000000"/>
                <w:sz w:val="24"/>
                <w:szCs w:val="24"/>
                <w:highlight w:val="none"/>
                <w:lang w:bidi="ar"/>
              </w:rPr>
              <w:t xml:space="preserve">支持视频录像采集，支持H.265编码，可提供多制式视频转换。可自由设置录像参数，包括：帧率、图像大小、分辨率等；</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7.</w:t>
            </w:r>
            <w:r>
              <w:rPr>
                <w:rFonts w:hint="eastAsia" w:ascii="宋体" w:hAnsi="宋体" w:eastAsia="宋体" w:cs="宋体"/>
                <w:bCs/>
                <w:color w:val="000000"/>
                <w:sz w:val="24"/>
                <w:szCs w:val="24"/>
                <w:highlight w:val="none"/>
                <w:lang w:bidi="ar"/>
              </w:rPr>
              <w:t xml:space="preserve">视频本地储存介质为Micro SD卡，最大支持512G。</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开关电源：</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自动重合闸用电保护器：</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bidi="ar"/>
              </w:rPr>
              <w:t xml:space="preserve">具备自动复位、过压、欠压、过流、漏电、防雷、延时保护功能和电压显示、设置等功能。</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14500/套</w:t>
            </w:r>
            <w:r>
              <w:rPr>
                <w:rFonts w:hint="eastAsia" w:ascii="宋体" w:hAnsi="宋体" w:eastAsia="宋体" w:cs="宋体"/>
                <w:bCs/>
                <w:color w:val="000000"/>
                <w:sz w:val="24"/>
                <w:szCs w:val="24"/>
                <w:highlight w:val="none"/>
                <w:lang w:val="en-US" w:eastAsia="zh-CN" w:bidi="ar"/>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440" w:lineRule="exact"/>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bidi="ar"/>
              </w:rPr>
              <w:t xml:space="preserve">一体式低位照明预警系统主机</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一体式低位照明预警</w:t>
            </w:r>
            <w:r>
              <w:rPr>
                <w:rFonts w:hint="eastAsia" w:ascii="宋体" w:hAnsi="宋体" w:eastAsia="宋体" w:cs="宋体"/>
                <w:bCs/>
                <w:color w:val="000000"/>
                <w:sz w:val="24"/>
                <w:szCs w:val="24"/>
                <w:highlight w:val="none"/>
                <w:lang w:val="en-US" w:eastAsia="zh-CN" w:bidi="ar"/>
              </w:rPr>
              <w:t xml:space="preserve">系统</w:t>
            </w:r>
            <w:r>
              <w:rPr>
                <w:rFonts w:hint="eastAsia" w:ascii="宋体" w:hAnsi="宋体" w:eastAsia="宋体" w:cs="宋体"/>
                <w:bCs/>
                <w:color w:val="000000"/>
                <w:sz w:val="24"/>
                <w:szCs w:val="24"/>
                <w:highlight w:val="none"/>
                <w:lang w:bidi="ar"/>
              </w:rPr>
              <w:t xml:space="preserve">主机                                                                                                                                                         </w:t>
            </w: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材质：钣金外壳一体成型，表面喷塑</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主机规格尺寸：</w:t>
            </w:r>
            <w:r>
              <w:rPr>
                <w:rFonts w:hint="eastAsia" w:ascii="宋体" w:hAnsi="宋体" w:eastAsia="宋体" w:cs="宋体"/>
                <w:bCs/>
                <w:color w:val="000000"/>
                <w:sz w:val="24"/>
                <w:szCs w:val="24"/>
                <w:highlight w:val="none"/>
                <w:lang w:val="en-US" w:eastAsia="zh-CN" w:bidi="ar"/>
              </w:rPr>
              <w:t xml:space="preserve">200*200*1100mm</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电压：供电电压AC 220V，工作电压DC 12V</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4.</w:t>
            </w:r>
            <w:r>
              <w:rPr>
                <w:rFonts w:hint="eastAsia" w:ascii="宋体" w:hAnsi="宋体" w:eastAsia="宋体" w:cs="宋体"/>
                <w:bCs/>
                <w:color w:val="000000"/>
                <w:sz w:val="24"/>
                <w:szCs w:val="24"/>
                <w:highlight w:val="none"/>
                <w:lang w:bidi="ar"/>
              </w:rPr>
              <w:t xml:space="preserve">额定功率</w:t>
            </w:r>
            <w:r>
              <w:rPr>
                <w:rFonts w:hint="eastAsia" w:ascii="宋体" w:hAnsi="宋体" w:eastAsia="宋体" w:cs="宋体"/>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bidi="ar"/>
              </w:rPr>
              <w:t xml:space="preserve">0W</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低位照明灯</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发光类型：</w:t>
            </w:r>
            <w:r>
              <w:rPr>
                <w:rFonts w:hint="eastAsia" w:ascii="宋体" w:hAnsi="宋体" w:eastAsia="宋体" w:cs="宋体"/>
                <w:bCs/>
                <w:color w:val="000000"/>
                <w:sz w:val="24"/>
                <w:szCs w:val="24"/>
                <w:highlight w:val="none"/>
                <w:lang w:val="en-US" w:eastAsia="zh-CN" w:bidi="ar"/>
              </w:rPr>
              <w:t xml:space="preserve">高亮</w:t>
            </w:r>
            <w:r>
              <w:rPr>
                <w:rFonts w:hint="eastAsia" w:ascii="宋体" w:hAnsi="宋体" w:eastAsia="宋体" w:cs="宋体"/>
                <w:bCs/>
                <w:color w:val="000000"/>
                <w:sz w:val="24"/>
                <w:szCs w:val="24"/>
                <w:highlight w:val="none"/>
                <w:lang w:bidi="ar"/>
              </w:rPr>
              <w:t xml:space="preserve">灯珠</w:t>
            </w:r>
            <w:r>
              <w:rPr>
                <w:rFonts w:hint="eastAsia" w:ascii="宋体" w:hAnsi="宋体" w:eastAsia="宋体" w:cs="宋体"/>
                <w:bCs/>
                <w:color w:val="000000"/>
                <w:sz w:val="24"/>
                <w:szCs w:val="24"/>
                <w:highlight w:val="none"/>
                <w:lang w:val="en-US" w:eastAsia="zh-CN" w:bidi="ar"/>
              </w:rPr>
              <w:t xml:space="preserve">通过单石英透镜平行铺光</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val="en-US" w:eastAsia="zh-CN" w:bidi="ar"/>
              </w:rPr>
              <w:t xml:space="preserve">散热</w:t>
            </w:r>
            <w:r>
              <w:rPr>
                <w:rFonts w:hint="eastAsia" w:ascii="宋体" w:hAnsi="宋体" w:eastAsia="宋体" w:cs="宋体"/>
                <w:bCs/>
                <w:color w:val="000000"/>
                <w:sz w:val="24"/>
                <w:szCs w:val="24"/>
                <w:highlight w:val="none"/>
                <w:lang w:bidi="ar"/>
              </w:rPr>
              <w:t xml:space="preserve">材质：</w:t>
            </w:r>
            <w:r>
              <w:rPr>
                <w:rFonts w:hint="eastAsia" w:ascii="宋体" w:hAnsi="宋体" w:eastAsia="宋体" w:cs="宋体"/>
                <w:bCs/>
                <w:color w:val="000000"/>
                <w:sz w:val="24"/>
                <w:szCs w:val="24"/>
                <w:highlight w:val="none"/>
                <w:lang w:val="en-US" w:eastAsia="zh-CN" w:bidi="ar"/>
              </w:rPr>
              <w:t xml:space="preserve">一体式铝散热（被动）</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3.光型要求：出光方向上部有明显的横向焦散切线，切线外无光照，切线内照明均匀。</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4.照度要求：色温：6500K（纯白色），灯具前方正对光源照度：1米处不低于10000Lux、2米处不低于2800Lux、5米处不低于500Lux。</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5.视觉防护要求：灯具需平行出光，在路面照明距离不少于8米、远端水平宽度不低于4米的情况下，照明高度应控制在距离路面40cm的高度，即40cm以上的物体不应被照亮。</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6.</w:t>
            </w:r>
            <w:r>
              <w:rPr>
                <w:rFonts w:hint="eastAsia" w:ascii="宋体" w:hAnsi="宋体" w:eastAsia="宋体" w:cs="宋体"/>
                <w:bCs/>
                <w:color w:val="000000"/>
                <w:sz w:val="24"/>
                <w:szCs w:val="24"/>
                <w:highlight w:val="none"/>
                <w:lang w:bidi="ar"/>
              </w:rPr>
              <w:t xml:space="preserve">工作电压DC 12V</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功率30W</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爆闪灯：</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发光类型：</w:t>
            </w:r>
            <w:r>
              <w:rPr>
                <w:rFonts w:hint="eastAsia" w:ascii="宋体" w:hAnsi="宋体" w:eastAsia="宋体" w:cs="宋体"/>
                <w:bCs/>
                <w:color w:val="000000"/>
                <w:sz w:val="24"/>
                <w:szCs w:val="24"/>
                <w:highlight w:val="none"/>
                <w:lang w:val="en-US" w:eastAsia="zh-CN" w:bidi="ar"/>
              </w:rPr>
              <w:t xml:space="preserve">黄色</w:t>
            </w:r>
            <w:r>
              <w:rPr>
                <w:rFonts w:hint="eastAsia" w:ascii="宋体" w:hAnsi="宋体" w:eastAsia="宋体" w:cs="宋体"/>
                <w:bCs/>
                <w:color w:val="000000"/>
                <w:sz w:val="24"/>
                <w:szCs w:val="24"/>
                <w:highlight w:val="none"/>
                <w:lang w:bidi="ar"/>
              </w:rPr>
              <w:t xml:space="preserve">光源采用高亮LED发光管，</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灯罩材质：灯罩采用高透光PC2805材料制成，透明度高不褪色,热变形温度:125℃,耐冲击强度85；</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规格尺寸：</w:t>
            </w:r>
            <w:r>
              <w:rPr>
                <w:rFonts w:hint="eastAsia" w:ascii="宋体" w:hAnsi="宋体" w:eastAsia="宋体" w:cs="宋体"/>
                <w:bCs/>
                <w:color w:val="000000"/>
                <w:sz w:val="24"/>
                <w:szCs w:val="24"/>
                <w:highlight w:val="none"/>
                <w:lang w:val="en-US" w:eastAsia="zh-CN" w:bidi="ar"/>
              </w:rPr>
              <w:t xml:space="preserve">105*75*10mm</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4.</w:t>
            </w:r>
            <w:r>
              <w:rPr>
                <w:rFonts w:hint="eastAsia" w:ascii="宋体" w:hAnsi="宋体" w:eastAsia="宋体" w:cs="宋体"/>
                <w:bCs/>
                <w:color w:val="000000"/>
                <w:sz w:val="24"/>
                <w:szCs w:val="24"/>
                <w:highlight w:val="none"/>
                <w:lang w:bidi="ar"/>
              </w:rPr>
              <w:t xml:space="preserve">工作电压：12V</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智能语音模块：</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驱动组成：WT2003H-24SS高品质MP3语音芯片、PAM8320功放模块、UART指定插播地址音乐播放模块IC，可以提供高保真人声发音；</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扬声器采用保真高音喇叭，聚合物音盆，防水效果好；</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阻抗：4欧姆，功率12W。响应频率：80-20000Hz。灵敏度（最大声压级）110分贝。</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嵌入式系统控制主板：</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智能无线通讯模块：</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E34-2G4D20D基于nRF241OI+，工作频率为2.4 2.518GHz，TTL输出。</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智能物联网模块</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基于4G无线网络的远程操作平台，可实现以下功能：</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1.</w:t>
            </w:r>
            <w:r>
              <w:rPr>
                <w:rFonts w:hint="eastAsia" w:ascii="宋体" w:hAnsi="宋体" w:eastAsia="宋体" w:cs="宋体"/>
                <w:bCs/>
                <w:color w:val="000000"/>
                <w:sz w:val="24"/>
                <w:szCs w:val="24"/>
                <w:highlight w:val="none"/>
                <w:lang w:bidi="ar"/>
              </w:rPr>
              <w:t xml:space="preserve">设备远程实时状态监控；</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2.</w:t>
            </w:r>
            <w:r>
              <w:rPr>
                <w:rFonts w:hint="eastAsia" w:ascii="宋体" w:hAnsi="宋体" w:eastAsia="宋体" w:cs="宋体"/>
                <w:bCs/>
                <w:color w:val="000000"/>
                <w:sz w:val="24"/>
                <w:szCs w:val="24"/>
                <w:highlight w:val="none"/>
                <w:lang w:bidi="ar"/>
              </w:rPr>
              <w:t xml:space="preserve">远程方案设置、批量预案下发；</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3.</w:t>
            </w:r>
            <w:r>
              <w:rPr>
                <w:rFonts w:hint="eastAsia" w:ascii="宋体" w:hAnsi="宋体" w:eastAsia="宋体" w:cs="宋体"/>
                <w:bCs/>
                <w:color w:val="000000"/>
                <w:sz w:val="24"/>
                <w:szCs w:val="24"/>
                <w:highlight w:val="none"/>
                <w:lang w:bidi="ar"/>
              </w:rPr>
              <w:t xml:space="preserve">方案上报及审核；</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4.</w:t>
            </w:r>
            <w:r>
              <w:rPr>
                <w:rFonts w:hint="eastAsia" w:ascii="宋体" w:hAnsi="宋体" w:eastAsia="宋体" w:cs="宋体"/>
                <w:bCs/>
                <w:color w:val="000000"/>
                <w:sz w:val="24"/>
                <w:szCs w:val="24"/>
                <w:highlight w:val="none"/>
                <w:lang w:bidi="ar"/>
              </w:rPr>
              <w:t xml:space="preserve">设备组件故障平台自动报警；</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eastAsia="zh-CN" w:bidi="ar"/>
              </w:rPr>
              <w:t xml:space="preserve">5.</w:t>
            </w:r>
            <w:r>
              <w:rPr>
                <w:rFonts w:hint="eastAsia" w:ascii="宋体" w:hAnsi="宋体" w:eastAsia="宋体" w:cs="宋体"/>
                <w:bCs/>
                <w:color w:val="000000"/>
                <w:sz w:val="24"/>
                <w:szCs w:val="24"/>
                <w:highlight w:val="none"/>
                <w:lang w:bidi="ar"/>
              </w:rPr>
              <w:t xml:space="preserve">三级用户权限设置。</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激光雷达</w:t>
            </w:r>
            <w:r>
              <w:rPr>
                <w:rFonts w:hint="eastAsia" w:ascii="宋体" w:hAnsi="宋体" w:eastAsia="宋体" w:cs="宋体"/>
                <w:bCs/>
                <w:color w:val="000000"/>
                <w:sz w:val="24"/>
                <w:szCs w:val="24"/>
                <w:highlight w:val="none"/>
                <w:lang w:bidi="ar"/>
              </w:rPr>
              <w:t xml:space="preserve">检测器</w:t>
            </w:r>
            <w:r>
              <w:rPr>
                <w:rFonts w:hint="eastAsia" w:ascii="宋体" w:hAnsi="宋体" w:eastAsia="宋体" w:cs="宋体"/>
                <w:bCs/>
                <w:color w:val="000000"/>
                <w:sz w:val="24"/>
                <w:szCs w:val="24"/>
                <w:highlight w:val="none"/>
                <w:lang w:val="en-US" w:eastAsia="zh-CN" w:bidi="ar"/>
              </w:rPr>
              <w:t xml:space="preserve">模组</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1.电压：9~250V交直流通用</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2.检测物体：不透明物体</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3.检测方式：漫反射</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4.检测范围：0~6米可调</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5.检测功能：可区分被检测物的移动方向</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开关电源</w:t>
            </w:r>
            <w:r>
              <w:rPr>
                <w:rFonts w:hint="eastAsia" w:ascii="宋体" w:hAnsi="宋体" w:eastAsia="宋体" w:cs="宋体"/>
                <w:bCs/>
                <w:color w:val="000000"/>
                <w:sz w:val="24"/>
                <w:szCs w:val="24"/>
                <w:highlight w:val="none"/>
                <w:lang w:val="en-US" w:eastAsia="zh-CN" w:bidi="ar"/>
              </w:rPr>
            </w:r>
            <w:r/>
          </w:p>
          <w:p>
            <w:pPr>
              <w:pStyle w:val="915"/>
              <w:jc w:val="left"/>
              <w:spacing w:line="240" w:lineRule="auto"/>
              <w:widowControl/>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自动重合闸用电保护器：</w:t>
            </w:r>
            <w:r>
              <w:rPr>
                <w:rFonts w:hint="eastAsia" w:ascii="宋体" w:hAnsi="宋体" w:eastAsia="宋体" w:cs="宋体"/>
                <w:bCs/>
                <w:color w:val="000000"/>
                <w:sz w:val="24"/>
                <w:szCs w:val="24"/>
                <w:highlight w:val="none"/>
                <w:lang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bidi="ar"/>
              </w:rPr>
              <w:t xml:space="preserve">具备自动复位、过压、欠压、过流、漏电、防雷、延时保护功能和电压显示、设置等功能。</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7500/根</w:t>
            </w:r>
            <w:r>
              <w:rPr>
                <w:rFonts w:hint="eastAsia" w:ascii="宋体" w:hAnsi="宋体" w:eastAsia="宋体" w:cs="宋体"/>
                <w:bCs/>
                <w:color w:val="000000"/>
                <w:sz w:val="24"/>
                <w:szCs w:val="24"/>
                <w:highlight w:val="none"/>
                <w:lang w:val="en-US" w:eastAsia="zh-CN" w:bidi="ar"/>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440" w:lineRule="exact"/>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一体式太阳能同频靠右行驶标志</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bCs/>
                <w:color w:val="000000"/>
                <w:sz w:val="24"/>
                <w:szCs w:val="24"/>
                <w:highlight w:val="none"/>
                <w:lang w:val="en-US" w:bidi="ar"/>
              </w:rPr>
            </w:pPr>
            <w:r>
              <w:rPr>
                <w:rFonts w:hint="eastAsia" w:ascii="宋体" w:hAnsi="宋体" w:eastAsia="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val="en-US" w:bidi="ar"/>
              </w:rPr>
              <w:t xml:space="preserve">一体式钣金壳体</w:t>
            </w:r>
            <w:r>
              <w:rPr>
                <w:rFonts w:hint="eastAsia" w:ascii="宋体" w:hAnsi="宋体" w:eastAsia="宋体" w:cs="宋体"/>
                <w:bCs/>
                <w:color w:val="000000"/>
                <w:sz w:val="24"/>
                <w:szCs w:val="24"/>
                <w:highlight w:val="none"/>
                <w:lang w:val="en-US" w:bidi="ar"/>
              </w:rPr>
            </w:r>
            <w:r/>
          </w:p>
          <w:p>
            <w:pPr>
              <w:pStyle w:val="915"/>
              <w:jc w:val="left"/>
              <w:spacing w:line="240" w:lineRule="auto"/>
              <w:widowControl/>
              <w:rPr>
                <w:rFonts w:hint="eastAsia" w:ascii="宋体" w:hAnsi="宋体" w:eastAsia="宋体" w:cs="宋体"/>
                <w:bCs/>
                <w:color w:val="000000"/>
                <w:sz w:val="24"/>
                <w:szCs w:val="24"/>
                <w:highlight w:val="none"/>
                <w:lang w:val="en-US" w:bidi="ar"/>
              </w:rPr>
            </w:pPr>
            <w:r>
              <w:rPr>
                <w:rFonts w:hint="eastAsia" w:ascii="宋体" w:hAnsi="宋体" w:eastAsia="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bidi="ar"/>
              </w:rPr>
              <w:t xml:space="preserve">尺寸：1000*300*100mm</w:t>
            </w:r>
            <w:r>
              <w:rPr>
                <w:rFonts w:hint="eastAsia" w:ascii="宋体" w:hAnsi="宋体" w:eastAsia="宋体" w:cs="宋体"/>
                <w:bCs/>
                <w:color w:val="000000"/>
                <w:sz w:val="24"/>
                <w:szCs w:val="24"/>
                <w:highlight w:val="none"/>
                <w:lang w:val="en-US" w:bidi="ar"/>
              </w:rPr>
            </w:r>
            <w:r/>
          </w:p>
          <w:p>
            <w:pPr>
              <w:pStyle w:val="915"/>
              <w:jc w:val="left"/>
              <w:spacing w:line="240" w:lineRule="auto"/>
              <w:widowControl/>
              <w:rPr>
                <w:rFonts w:hint="eastAsia" w:ascii="宋体" w:hAnsi="宋体" w:eastAsia="宋体" w:cs="宋体"/>
                <w:bCs/>
                <w:color w:val="000000"/>
                <w:sz w:val="24"/>
                <w:szCs w:val="24"/>
                <w:highlight w:val="none"/>
                <w:lang w:val="en-US" w:bidi="ar"/>
              </w:rPr>
            </w:pP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val="en-US" w:bidi="ar"/>
              </w:rPr>
              <w:t xml:space="preserve">柱身黄色反光膜</w:t>
            </w:r>
            <w:r>
              <w:rPr>
                <w:rFonts w:hint="eastAsia" w:ascii="宋体" w:hAnsi="宋体" w:eastAsia="宋体" w:cs="宋体"/>
                <w:bCs/>
                <w:color w:val="000000"/>
                <w:sz w:val="24"/>
                <w:szCs w:val="24"/>
                <w:highlight w:val="none"/>
                <w:lang w:val="en-US" w:bidi="ar"/>
              </w:rPr>
            </w:r>
            <w:r/>
          </w:p>
          <w:p>
            <w:pPr>
              <w:pStyle w:val="915"/>
              <w:jc w:val="left"/>
              <w:spacing w:line="240" w:lineRule="auto"/>
              <w:widowControl/>
              <w:rPr>
                <w:rFonts w:hint="eastAsia" w:ascii="宋体" w:hAnsi="宋体" w:eastAsia="宋体" w:cs="宋体"/>
                <w:bCs/>
                <w:color w:val="000000"/>
                <w:sz w:val="24"/>
                <w:szCs w:val="24"/>
                <w:highlight w:val="none"/>
                <w:lang w:val="en-US" w:bidi="ar"/>
              </w:rPr>
            </w:pPr>
            <w:r>
              <w:rPr>
                <w:rFonts w:hint="eastAsia" w:ascii="宋体" w:hAnsi="宋体" w:eastAsia="宋体" w:cs="宋体"/>
                <w:bCs/>
                <w:color w:val="000000"/>
                <w:sz w:val="24"/>
                <w:szCs w:val="24"/>
                <w:highlight w:val="none"/>
                <w:lang w:val="en-US" w:eastAsia="zh-CN" w:bidi="ar"/>
              </w:rPr>
              <w:t xml:space="preserve">4.</w:t>
            </w:r>
            <w:r>
              <w:rPr>
                <w:rFonts w:hint="eastAsia" w:ascii="宋体" w:hAnsi="宋体" w:eastAsia="宋体" w:cs="宋体"/>
                <w:bCs/>
                <w:color w:val="000000"/>
                <w:sz w:val="24"/>
                <w:szCs w:val="24"/>
                <w:highlight w:val="none"/>
                <w:lang w:val="en-US" w:bidi="ar"/>
              </w:rPr>
              <w:t xml:space="preserve">太阳能板+锂电池+GPS同频</w:t>
            </w:r>
            <w:r>
              <w:rPr>
                <w:rFonts w:hint="eastAsia" w:ascii="宋体" w:hAnsi="宋体" w:eastAsia="宋体" w:cs="宋体"/>
                <w:bCs/>
                <w:color w:val="000000"/>
                <w:sz w:val="24"/>
                <w:szCs w:val="24"/>
                <w:highlight w:val="none"/>
                <w:lang w:val="en-US" w:bidi="ar"/>
              </w:rPr>
            </w:r>
            <w:r/>
          </w:p>
          <w:p>
            <w:pPr>
              <w:pStyle w:val="915"/>
              <w:jc w:val="left"/>
              <w:spacing w:line="240" w:lineRule="auto"/>
              <w:widowControl/>
              <w:rPr>
                <w:rFonts w:hint="eastAsia" w:ascii="宋体" w:hAnsi="宋体" w:eastAsia="宋体" w:cs="宋体"/>
                <w:bCs/>
                <w:color w:val="000000"/>
                <w:sz w:val="24"/>
                <w:szCs w:val="24"/>
                <w:highlight w:val="none"/>
                <w:lang w:val="en-US" w:bidi="ar"/>
              </w:rPr>
            </w:pPr>
            <w:r>
              <w:rPr>
                <w:rFonts w:hint="eastAsia" w:ascii="宋体" w:hAnsi="宋体" w:eastAsia="宋体" w:cs="宋体"/>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val="en-US" w:bidi="ar"/>
              </w:rPr>
              <w:t xml:space="preserve">面光源标志</w:t>
            </w:r>
            <w:r>
              <w:rPr>
                <w:rFonts w:hint="eastAsia" w:ascii="宋体" w:hAnsi="宋体" w:eastAsia="宋体" w:cs="宋体"/>
                <w:bCs/>
                <w:color w:val="000000"/>
                <w:sz w:val="24"/>
                <w:szCs w:val="24"/>
                <w:highlight w:val="none"/>
                <w:lang w:val="en-US" w:bidi="ar"/>
              </w:rPr>
            </w:r>
            <w:r/>
          </w:p>
          <w:p>
            <w:pPr>
              <w:pStyle w:val="915"/>
              <w:jc w:val="left"/>
              <w:spacing w:line="24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6.</w:t>
            </w:r>
            <w:r>
              <w:rPr>
                <w:rFonts w:hint="eastAsia" w:ascii="宋体" w:hAnsi="宋体" w:eastAsia="宋体" w:cs="宋体"/>
                <w:bCs/>
                <w:color w:val="000000"/>
                <w:sz w:val="24"/>
                <w:szCs w:val="24"/>
                <w:highlight w:val="none"/>
                <w:lang w:val="en-US" w:bidi="ar"/>
              </w:rPr>
              <w:t xml:space="preserve">4G物联网平台控制</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3200/根</w:t>
            </w:r>
            <w:r>
              <w:rPr>
                <w:rFonts w:hint="eastAsia" w:ascii="宋体" w:hAnsi="宋体" w:eastAsia="宋体" w:cs="宋体"/>
                <w:bCs/>
                <w:color w:val="000000"/>
                <w:sz w:val="24"/>
                <w:szCs w:val="24"/>
                <w:highlight w:val="none"/>
                <w:lang w:val="en-US" w:eastAsia="zh-CN" w:bidi="ar"/>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63</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1608" w:type="dxa"/>
            <w:vAlign w:val="center"/>
            <w:textDirection w:val="lrTb"/>
            <w:noWrap w:val="false"/>
          </w:tcPr>
          <w:p>
            <w:pPr>
              <w:pStyle w:val="915"/>
              <w:jc w:val="center"/>
              <w:spacing w:line="440" w:lineRule="exact"/>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一体式太阳能同频机非分道标志</w:t>
            </w:r>
            <w:r>
              <w:rPr>
                <w:rFonts w:hint="eastAsia" w:ascii="宋体" w:hAnsi="宋体" w:eastAsia="宋体" w:cs="宋体"/>
                <w:bCs/>
                <w:color w:val="000000"/>
                <w:sz w:val="24"/>
                <w:szCs w:val="24"/>
                <w:highlight w:val="none"/>
                <w:lang w:val="en-US" w:eastAsia="zh-CN" w:bidi="ar"/>
              </w:rPr>
            </w:r>
            <w:r/>
          </w:p>
        </w:tc>
        <w:tc>
          <w:tcPr>
            <w:tcMar>
              <w:left w:w="108" w:type="dxa"/>
              <w:top w:w="0" w:type="dxa"/>
              <w:right w:w="108" w:type="dxa"/>
              <w:bottom w:w="0" w:type="dxa"/>
            </w:tcMar>
            <w:tcW w:w="5392" w:type="dxa"/>
            <w:vAlign w:val="center"/>
            <w:textDirection w:val="lrTb"/>
            <w:noWrap w:val="false"/>
          </w:tcPr>
          <w:p>
            <w:pPr>
              <w:pStyle w:val="915"/>
              <w:jc w:val="lef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rPr>
              <w:t xml:space="preserve">一体式钣金壳体</w:t>
            </w:r>
            <w:r>
              <w:rPr>
                <w:rFonts w:hint="eastAsia" w:ascii="宋体" w:hAnsi="宋体" w:eastAsia="宋体" w:cs="宋体"/>
                <w:color w:val="000000"/>
                <w:sz w:val="24"/>
                <w:szCs w:val="24"/>
                <w:highlight w:val="none"/>
                <w:lang w:val="en-US"/>
              </w:rPr>
            </w:r>
            <w:r/>
          </w:p>
          <w:p>
            <w:pPr>
              <w:pStyle w:val="915"/>
              <w:jc w:val="lef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尺寸：1000*</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00*100mm</w:t>
            </w:r>
            <w:r>
              <w:rPr>
                <w:rFonts w:hint="eastAsia" w:ascii="宋体" w:hAnsi="宋体" w:eastAsia="宋体" w:cs="宋体"/>
                <w:color w:val="000000"/>
                <w:sz w:val="24"/>
                <w:szCs w:val="24"/>
                <w:highlight w:val="none"/>
                <w:lang w:val="en-US"/>
              </w:rPr>
            </w:r>
            <w:r/>
          </w:p>
          <w:p>
            <w:pPr>
              <w:pStyle w:val="915"/>
              <w:jc w:val="lef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t xml:space="preserve">柱身黄色反光膜</w:t>
            </w:r>
            <w:r>
              <w:rPr>
                <w:rFonts w:hint="eastAsia" w:ascii="宋体" w:hAnsi="宋体" w:eastAsia="宋体" w:cs="宋体"/>
                <w:color w:val="000000"/>
                <w:sz w:val="24"/>
                <w:szCs w:val="24"/>
                <w:highlight w:val="none"/>
                <w:lang w:val="en-US"/>
              </w:rPr>
            </w:r>
            <w:r/>
          </w:p>
          <w:p>
            <w:pPr>
              <w:pStyle w:val="915"/>
              <w:jc w:val="lef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rPr>
              <w:t xml:space="preserve">太阳能板+锂电池+GPS同频</w:t>
            </w:r>
            <w:r>
              <w:rPr>
                <w:rFonts w:hint="eastAsia" w:ascii="宋体" w:hAnsi="宋体" w:eastAsia="宋体" w:cs="宋体"/>
                <w:color w:val="000000"/>
                <w:sz w:val="24"/>
                <w:szCs w:val="24"/>
                <w:highlight w:val="none"/>
                <w:lang w:val="en-US"/>
              </w:rPr>
            </w:r>
            <w:r/>
          </w:p>
          <w:p>
            <w:pPr>
              <w:pStyle w:val="915"/>
              <w:jc w:val="lef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rPr>
              <w:t xml:space="preserve">面光源标志</w:t>
            </w:r>
            <w:r>
              <w:rPr>
                <w:rFonts w:hint="eastAsia" w:ascii="宋体" w:hAnsi="宋体" w:eastAsia="宋体" w:cs="宋体"/>
                <w:color w:val="000000"/>
                <w:sz w:val="24"/>
                <w:szCs w:val="24"/>
                <w:highlight w:val="none"/>
                <w:lang w:val="en-US"/>
              </w:rPr>
            </w:r>
            <w:r/>
          </w:p>
          <w:p>
            <w:pPr>
              <w:pStyle w:val="915"/>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4G物联网平台控制</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3000/根</w:t>
            </w:r>
            <w:r>
              <w:rPr>
                <w:rFonts w:hint="eastAsia" w:ascii="宋体" w:hAnsi="宋体" w:eastAsia="宋体" w:cs="宋体"/>
                <w:bCs/>
                <w:color w:val="000000"/>
                <w:sz w:val="24"/>
                <w:szCs w:val="24"/>
                <w:highlight w:val="none"/>
                <w:lang w:val="en-US" w:eastAsia="zh-CN" w:bidi="ar"/>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44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64</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太阳能语音声光报警器</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多种感应报警模式（红外感应、微波感应、红外微波同时感应），内置高容量锂电池，太阳能充电功能，IP65防护等级，红外遥控，U盘更换语音，</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2500/套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太阳能</w:t>
            </w:r>
            <w:r>
              <w:rPr>
                <w:rFonts w:hint="eastAsia" w:ascii="宋体" w:hAnsi="宋体" w:eastAsia="宋体" w:cs="宋体"/>
                <w:bCs/>
                <w:color w:val="000000"/>
                <w:sz w:val="24"/>
                <w:szCs w:val="24"/>
                <w:highlight w:val="none"/>
              </w:rPr>
              <w:t xml:space="preserve">移动信号灯</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1.太阳能板12V50W</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2.蓄电池电压容量12V100Ah</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3.工作温度：-20℃~+70℃   抗风压：≥1.5KN/㎡</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4.材质：钣金喷漆+高透光性聚碳酸酯PC</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5.300mm灯头，1灯3色</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6.移动式升降信号灯，橡胶滚轮有弹性推行省力耐磨损。</w:t>
            </w:r>
            <w:r>
              <w:rPr>
                <w:rFonts w:hint="eastAsia" w:ascii="宋体" w:hAnsi="宋体" w:eastAsia="宋体" w:cs="宋体"/>
                <w:bCs/>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9000/台</w:t>
            </w:r>
            <w:r>
              <w:rPr>
                <w:rFonts w:hint="eastAsia" w:ascii="宋体" w:hAnsi="宋体" w:eastAsia="宋体" w:cs="宋体"/>
                <w:bCs/>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66</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太阳能</w:t>
            </w:r>
            <w:r>
              <w:rPr>
                <w:rFonts w:hint="eastAsia" w:ascii="宋体" w:hAnsi="宋体" w:eastAsia="宋体" w:cs="宋体"/>
                <w:bCs/>
                <w:color w:val="000000"/>
                <w:sz w:val="24"/>
                <w:szCs w:val="24"/>
                <w:highlight w:val="none"/>
              </w:rPr>
              <w:t xml:space="preserve">移动信号灯</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1.太阳能板12V50W</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2.蓄电池电压容量12V100Ah</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3.工作温度：-20℃~+70℃   抗风压：≥1.5KN/㎡</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4.材质：钣金喷漆+高透光性聚碳酸酯PC</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5.300mm灯头，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灯</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色</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6.移动式升降信号灯，橡胶滚轮有弹性推行省力耐磨损。</w:t>
            </w:r>
            <w:r>
              <w:rPr>
                <w:rFonts w:hint="eastAsia" w:ascii="宋体" w:hAnsi="宋体" w:eastAsia="宋体" w:cs="宋体"/>
                <w:bCs/>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0/台</w:t>
            </w:r>
            <w:r>
              <w:rPr>
                <w:rFonts w:hint="eastAsia" w:ascii="宋体" w:hAnsi="宋体" w:eastAsia="宋体" w:cs="宋体"/>
                <w:bCs/>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67</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keepLines w:val="0"/>
              <w:keepNext w:val="0"/>
              <w:pageBreakBefore w:val="0"/>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太阳能</w:t>
            </w:r>
            <w:r>
              <w:rPr>
                <w:rFonts w:hint="eastAsia" w:ascii="宋体" w:hAnsi="宋体" w:eastAsia="宋体" w:cs="宋体"/>
                <w:bCs/>
                <w:color w:val="000000"/>
                <w:sz w:val="24"/>
                <w:szCs w:val="24"/>
                <w:highlight w:val="none"/>
              </w:rPr>
              <w:t xml:space="preserve">移动信号灯</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1.太阳能板12V50W</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2.蓄电池电压容量12V100Ah</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3.工作温度：-20℃~+70℃   抗风压：≥1.5KN/㎡</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4.材质：钣金喷漆+高透光性聚碳酸酯PC</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5.300mm灯头，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灯</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色</w:t>
            </w:r>
            <w:r>
              <w:rPr>
                <w:rFonts w:hint="eastAsia" w:ascii="宋体" w:hAnsi="宋体" w:eastAsia="宋体" w:cs="宋体"/>
                <w:color w:val="000000"/>
                <w:sz w:val="24"/>
                <w:szCs w:val="24"/>
                <w:highlight w:val="none"/>
              </w:rPr>
            </w:r>
            <w:r/>
          </w:p>
          <w:p>
            <w:pPr>
              <w:pStyle w:val="915"/>
              <w:jc w:val="left"/>
              <w:keepLines w:val="0"/>
              <w:keepNext w:val="0"/>
              <w:pageBreakBefore w:val="0"/>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6.移动式升降信号灯，橡胶滚轮有弹性推行省力耐磨损。</w:t>
            </w:r>
            <w:r>
              <w:rPr>
                <w:rFonts w:hint="eastAsia" w:ascii="宋体" w:hAnsi="宋体" w:eastAsia="宋体" w:cs="宋体"/>
                <w:bCs/>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1100</w:t>
            </w:r>
            <w:r>
              <w:rPr>
                <w:rFonts w:hint="eastAsia" w:ascii="宋体" w:hAnsi="宋体" w:eastAsia="宋体" w:cs="宋体"/>
                <w:color w:val="000000"/>
                <w:sz w:val="24"/>
                <w:szCs w:val="24"/>
                <w:highlight w:val="none"/>
              </w:rPr>
              <w:t xml:space="preserve">0/台</w:t>
            </w:r>
            <w:r>
              <w:rPr>
                <w:rFonts w:hint="eastAsia" w:ascii="宋体" w:hAnsi="宋体" w:eastAsia="宋体" w:cs="宋体"/>
                <w:bCs/>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68</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信号灯灯盘</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类型：信号灯灯盘</w:t>
            </w:r>
            <w:r>
              <w:rPr>
                <w:rFonts w:hint="eastAsia" w:ascii="宋体" w:hAnsi="宋体" w:eastAsia="宋体" w:cs="宋体"/>
                <w:color w:val="000000"/>
                <w:sz w:val="24"/>
                <w:szCs w:val="24"/>
                <w:highlight w:val="none"/>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Ø400LED信号灯灯盘</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900/块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69</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倒计时盘</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类型：倒计时盘</w:t>
            </w:r>
            <w:r>
              <w:rPr>
                <w:rFonts w:hint="eastAsia" w:ascii="宋体" w:hAnsi="宋体" w:eastAsia="宋体" w:cs="宋体"/>
                <w:color w:val="000000"/>
                <w:sz w:val="24"/>
                <w:szCs w:val="24"/>
                <w:highlight w:val="none"/>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Ø400LED脉冲型倒计时盘</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1000/块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人行</w:t>
            </w:r>
            <w:r>
              <w:rPr>
                <w:rFonts w:hint="eastAsia" w:ascii="宋体" w:hAnsi="宋体" w:eastAsia="宋体" w:cs="宋体"/>
                <w:color w:val="000000"/>
                <w:sz w:val="24"/>
                <w:szCs w:val="24"/>
                <w:highlight w:val="none"/>
              </w:rPr>
              <w:t xml:space="preserve">灯灯盘</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类型：</w:t>
            </w:r>
            <w:r>
              <w:rPr>
                <w:rFonts w:hint="eastAsia" w:ascii="宋体" w:hAnsi="宋体" w:eastAsia="宋体" w:cs="宋体"/>
                <w:color w:val="000000"/>
                <w:sz w:val="24"/>
                <w:szCs w:val="24"/>
                <w:highlight w:val="none"/>
                <w:lang w:val="en-US" w:eastAsia="zh-CN"/>
              </w:rPr>
              <w:t xml:space="preserve">人行</w:t>
            </w:r>
            <w:r>
              <w:rPr>
                <w:rFonts w:hint="eastAsia" w:ascii="宋体" w:hAnsi="宋体" w:eastAsia="宋体" w:cs="宋体"/>
                <w:color w:val="000000"/>
                <w:sz w:val="24"/>
                <w:szCs w:val="24"/>
                <w:highlight w:val="none"/>
              </w:rPr>
              <w:t xml:space="preserve">灯灯盘</w:t>
            </w:r>
            <w:r>
              <w:rPr>
                <w:rFonts w:hint="eastAsia" w:ascii="宋体" w:hAnsi="宋体" w:eastAsia="宋体" w:cs="宋体"/>
                <w:color w:val="000000"/>
                <w:sz w:val="24"/>
                <w:szCs w:val="24"/>
                <w:highlight w:val="none"/>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Ø</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00LED</w:t>
            </w:r>
            <w:r>
              <w:rPr>
                <w:rFonts w:hint="eastAsia" w:ascii="宋体" w:hAnsi="宋体" w:eastAsia="宋体" w:cs="宋体"/>
                <w:color w:val="000000"/>
                <w:sz w:val="24"/>
                <w:szCs w:val="24"/>
                <w:highlight w:val="none"/>
                <w:lang w:val="en-US" w:eastAsia="zh-CN"/>
              </w:rPr>
              <w:t xml:space="preserve">人行</w:t>
            </w:r>
            <w:r>
              <w:rPr>
                <w:rFonts w:hint="eastAsia" w:ascii="宋体" w:hAnsi="宋体" w:eastAsia="宋体" w:cs="宋体"/>
                <w:color w:val="000000"/>
                <w:sz w:val="24"/>
                <w:szCs w:val="24"/>
                <w:highlight w:val="none"/>
              </w:rPr>
              <w:t xml:space="preserve">灯灯盘</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500/块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信号机主板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类型：信号机主板</w:t>
            </w:r>
            <w:r>
              <w:rPr>
                <w:rFonts w:hint="eastAsia" w:ascii="宋体" w:hAnsi="宋体" w:eastAsia="宋体" w:cs="宋体"/>
                <w:color w:val="000000"/>
                <w:sz w:val="24"/>
                <w:szCs w:val="24"/>
                <w:highlight w:val="none"/>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智能信号机主控板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6500/块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信号机电源板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类型：信号机电源板</w:t>
            </w:r>
            <w:r>
              <w:rPr>
                <w:rFonts w:hint="eastAsia" w:ascii="宋体" w:hAnsi="宋体" w:eastAsia="宋体" w:cs="宋体"/>
                <w:color w:val="000000"/>
                <w:sz w:val="24"/>
                <w:szCs w:val="24"/>
                <w:highlight w:val="none"/>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智能信号机电源板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2000/块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73</w:t>
            </w:r>
            <w:r>
              <w:rPr>
                <w:rFonts w:hint="eastAsia" w:ascii="宋体" w:hAnsi="宋体" w:eastAsia="宋体" w:cs="宋体"/>
                <w:color w:val="000000"/>
                <w:sz w:val="24"/>
                <w:szCs w:val="24"/>
                <w:highlight w:val="none"/>
                <w:lang w:val="en-US" w:eastAsia="zh-CN" w:bidi="ar"/>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信号机灯控板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类型：信号机灯控板</w:t>
            </w:r>
            <w:r>
              <w:rPr>
                <w:rFonts w:hint="eastAsia" w:ascii="宋体" w:hAnsi="宋体" w:eastAsia="宋体" w:cs="宋体"/>
                <w:color w:val="000000"/>
                <w:sz w:val="24"/>
                <w:szCs w:val="24"/>
                <w:highlight w:val="none"/>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智能信号机灯控板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2200/块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手持终端</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
              </w:rPr>
              <w:t xml:space="preserve">类型：手持终端</w:t>
            </w:r>
            <w:r>
              <w:rPr>
                <w:rFonts w:hint="eastAsia" w:ascii="宋体" w:hAnsi="宋体" w:eastAsia="宋体" w:cs="宋体"/>
                <w:color w:val="000000"/>
                <w:sz w:val="24"/>
                <w:szCs w:val="24"/>
                <w:highlight w:val="none"/>
                <w:lang w:val="en-US" w:eastAsia="zh-CN" w:bidi="ar"/>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2.智能信号机手持终端</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3500/台</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信号灯遮阳帽</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1.类型：信号灯遮阳帽</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2.铝合金信号灯遮阳帽</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90/只</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76</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信号灯变压器</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1.类型：信号灯变压器</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2.24V信号灯变压器</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110/只</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77</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信号灯防雷器</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1.类型：信号灯防雷器</w:t>
            </w:r>
            <w:r>
              <w:rPr>
                <w:rFonts w:hint="eastAsia" w:ascii="宋体" w:hAnsi="宋体" w:eastAsia="宋体" w:cs="宋体"/>
                <w:color w:val="000000"/>
                <w:sz w:val="24"/>
                <w:szCs w:val="24"/>
                <w:highlight w:val="none"/>
                <w:lang w:val="en-US" w:eastAsia="zh-CN"/>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2.信号灯电源防雷器</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160/只</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78</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配线1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392" w:type="dxa"/>
            <w:vAlign w:val="center"/>
            <w:textDirection w:val="lrTb"/>
            <w:noWrap w:val="false"/>
          </w:tcPr>
          <w:p>
            <w:pPr>
              <w:pStyle w:val="915"/>
              <w:numPr>
                <w:ilvl w:val="0"/>
                <w:numId w:val="0"/>
              </w:numPr>
              <w:ind w:left="0" w:firstLine="0"/>
              <w:jc w:val="left"/>
              <w:spacing w:line="240" w:lineRule="auto"/>
              <w:widowControl/>
              <w:tabs>
                <w:tab w:val="left" w:pos="0" w:leader="none"/>
              </w:tabs>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名称：电源线</w:t>
            </w:r>
            <w:r>
              <w:rPr>
                <w:rFonts w:hint="eastAsia" w:ascii="宋体" w:hAnsi="宋体" w:eastAsia="宋体" w:cs="宋体"/>
                <w:color w:val="000000"/>
                <w:sz w:val="24"/>
                <w:szCs w:val="24"/>
                <w:highlight w:val="none"/>
              </w:rPr>
            </w:r>
            <w:r/>
          </w:p>
          <w:p>
            <w:pPr>
              <w:pStyle w:val="915"/>
              <w:numPr>
                <w:ilvl w:val="0"/>
                <w:numId w:val="0"/>
              </w:numPr>
              <w:ind w:left="0" w:firstLine="0"/>
              <w:jc w:val="left"/>
              <w:spacing w:line="240" w:lineRule="auto"/>
              <w:widowControl/>
              <w:tabs>
                <w:tab w:val="left" w:pos="0" w:leader="none"/>
              </w:tabs>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规格：RVV-2*2.5mm2</w:t>
            </w:r>
            <w:r>
              <w:rPr>
                <w:rFonts w:hint="eastAsia" w:ascii="宋体" w:hAnsi="宋体" w:eastAsia="宋体" w:cs="宋体"/>
                <w:color w:val="000000"/>
                <w:sz w:val="24"/>
                <w:szCs w:val="24"/>
                <w:highlight w:val="none"/>
              </w:rPr>
            </w:r>
            <w:r/>
          </w:p>
          <w:p>
            <w:pPr>
              <w:pStyle w:val="915"/>
              <w:numPr>
                <w:ilvl w:val="0"/>
                <w:numId w:val="0"/>
              </w:numPr>
              <w:ind w:left="0" w:firstLine="0"/>
              <w:jc w:val="left"/>
              <w:spacing w:line="240" w:lineRule="auto"/>
              <w:widowControl/>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配线部位：管内穿线</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8/m</w:t>
            </w:r>
            <w:r>
              <w:rPr>
                <w:rFonts w:hint="eastAsia" w:ascii="宋体" w:hAnsi="宋体" w:eastAsia="宋体" w:cs="宋体"/>
                <w:color w:val="000000"/>
                <w:sz w:val="24"/>
                <w:szCs w:val="24"/>
                <w:highlight w:val="none"/>
                <w:lang w:val="en-US" w:eastAsia="zh-CN"/>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79</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配线2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名称：信号灯控制线</w:t>
            </w:r>
            <w:r>
              <w:rPr>
                <w:rFonts w:hint="eastAsia" w:ascii="宋体" w:hAnsi="宋体" w:eastAsia="宋体" w:cs="宋体"/>
                <w:color w:val="000000"/>
                <w:sz w:val="24"/>
                <w:szCs w:val="24"/>
                <w:highlight w:val="none"/>
              </w:rPr>
            </w:r>
            <w:r/>
          </w:p>
          <w:p>
            <w:pPr>
              <w:pStyle w:val="91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规格：RVV-4*1.5mm2</w:t>
            </w:r>
            <w:r>
              <w:rPr>
                <w:rFonts w:hint="eastAsia" w:ascii="宋体" w:hAnsi="宋体" w:eastAsia="宋体" w:cs="宋体"/>
                <w:color w:val="000000"/>
                <w:sz w:val="24"/>
                <w:szCs w:val="24"/>
                <w:highlight w:val="none"/>
              </w:rPr>
            </w:r>
            <w:r/>
          </w:p>
          <w:p>
            <w:pPr>
              <w:pStyle w:val="915"/>
              <w:numPr>
                <w:ilvl w:val="0"/>
                <w:numId w:val="0"/>
              </w:num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配线部位：管内穿线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8/m</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配线2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名称：信号灯控制线</w:t>
            </w:r>
            <w:r>
              <w:rPr>
                <w:rFonts w:hint="eastAsia" w:ascii="宋体" w:hAnsi="宋体" w:eastAsia="宋体" w:cs="宋体"/>
                <w:color w:val="000000"/>
                <w:sz w:val="24"/>
                <w:szCs w:val="24"/>
                <w:highlight w:val="none"/>
              </w:rPr>
            </w:r>
            <w:r/>
          </w:p>
          <w:p>
            <w:pPr>
              <w:pStyle w:val="91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规格：RVV-4*1.5mm2</w:t>
            </w:r>
            <w:r>
              <w:rPr>
                <w:rFonts w:hint="eastAsia" w:ascii="宋体" w:hAnsi="宋体" w:eastAsia="宋体" w:cs="宋体"/>
                <w:color w:val="000000"/>
                <w:sz w:val="24"/>
                <w:szCs w:val="24"/>
                <w:highlight w:val="none"/>
              </w:rPr>
            </w:r>
            <w:r/>
          </w:p>
          <w:p>
            <w:pPr>
              <w:pStyle w:val="915"/>
              <w:numPr>
                <w:ilvl w:val="0"/>
                <w:numId w:val="0"/>
              </w:num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配线部位：管内穿线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8/m</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配线</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名称：信号灯控制线</w:t>
            </w:r>
            <w:r>
              <w:rPr>
                <w:rFonts w:hint="eastAsia" w:ascii="宋体" w:hAnsi="宋体" w:eastAsia="宋体" w:cs="宋体"/>
                <w:color w:val="000000"/>
                <w:sz w:val="24"/>
                <w:szCs w:val="24"/>
                <w:highlight w:val="none"/>
              </w:rPr>
            </w:r>
            <w:r/>
          </w:p>
          <w:p>
            <w:pPr>
              <w:pStyle w:val="91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规格：RVV-3*1.5mm2</w:t>
            </w:r>
            <w:r>
              <w:rPr>
                <w:rFonts w:hint="eastAsia" w:ascii="宋体" w:hAnsi="宋体" w:eastAsia="宋体" w:cs="宋体"/>
                <w:color w:val="000000"/>
                <w:sz w:val="24"/>
                <w:szCs w:val="24"/>
                <w:highlight w:val="none"/>
              </w:rPr>
            </w:r>
            <w:r/>
          </w:p>
          <w:p>
            <w:pPr>
              <w:pStyle w:val="915"/>
              <w:numPr>
                <w:ilvl w:val="0"/>
                <w:numId w:val="0"/>
              </w:num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配线部位：管内穿线</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6/m</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配管1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名称：PE50保护管</w:t>
            </w:r>
            <w:r>
              <w:rPr>
                <w:rFonts w:hint="eastAsia" w:ascii="宋体" w:hAnsi="宋体" w:eastAsia="宋体" w:cs="宋体"/>
                <w:color w:val="000000"/>
                <w:sz w:val="24"/>
                <w:szCs w:val="24"/>
                <w:highlight w:val="none"/>
              </w:rPr>
            </w:r>
            <w:r/>
          </w:p>
          <w:p>
            <w:pPr>
              <w:pStyle w:val="915"/>
              <w:numPr>
                <w:ilvl w:val="0"/>
                <w:numId w:val="0"/>
              </w:num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配置形式：绿化带埋地敷设</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15/m</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配管2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名称：PE50保护管</w:t>
            </w:r>
            <w:r>
              <w:rPr>
                <w:rFonts w:hint="eastAsia" w:ascii="宋体" w:hAnsi="宋体" w:eastAsia="宋体" w:cs="宋体"/>
                <w:color w:val="000000"/>
                <w:sz w:val="24"/>
                <w:szCs w:val="24"/>
                <w:highlight w:val="none"/>
              </w:rPr>
            </w:r>
            <w:r/>
          </w:p>
          <w:p>
            <w:pPr>
              <w:pStyle w:val="915"/>
              <w:numPr>
                <w:ilvl w:val="0"/>
                <w:numId w:val="0"/>
              </w:numPr>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配置形式：人行道埋地敷设</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25/m</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人（手）孔井</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类型：手孔井500*600*1000mm</w:t>
            </w:r>
            <w:r>
              <w:rPr>
                <w:rFonts w:hint="eastAsia" w:ascii="宋体" w:hAnsi="宋体" w:eastAsia="宋体" w:cs="宋体"/>
                <w:color w:val="000000"/>
                <w:sz w:val="24"/>
                <w:szCs w:val="24"/>
                <w:highlight w:val="none"/>
              </w:rPr>
            </w:r>
            <w:r/>
          </w:p>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工作内容：开挖、基础砌筑、安装</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400/座</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发光砖：450mm＊250mm （砖＋底座）</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 电压：DC24V</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光源总功率：红灯10.32W，黄灯10.32W，绿灯14.88W</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LED光源板：双基色</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 材质：高分子复合材料</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 单块砖承压重量：50吨</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 工作温度：-40℃～+120℃</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 防水等级：IP68</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 .铣床精加工球墨铸铁底座</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9.反光砖施工安装：路面切割，基座安装，快速混凝土（不含材料费用）浇筑,面板安装调试</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800/套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86</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发光斑马线</w:t>
            </w:r>
            <w:r>
              <w:rPr>
                <w:rFonts w:hint="eastAsia" w:ascii="宋体" w:hAnsi="宋体" w:eastAsia="宋体" w:cs="宋体"/>
                <w:color w:val="000000"/>
                <w:sz w:val="24"/>
                <w:szCs w:val="24"/>
                <w:highlight w:val="none"/>
                <w:lang w:val="en-US" w:eastAsia="zh-CN"/>
              </w:rPr>
              <w:t xml:space="preserve">地砖</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高分子复合材料LED发光地砖，抗压&gt;40吨，防水等级IP68，直流24V,材质：高分子复合材料一次成型，免底座安装，显色：红绿黄或白色，光源寿命&gt;50000小时，抗紫外线设计历久不发黄，防腐设计，防滑设计，防炫光设计，外观尺寸：长600*宽150*高100</w:t>
            </w:r>
            <w:r>
              <w:rPr>
                <w:rFonts w:hint="eastAsia" w:ascii="宋体" w:hAnsi="宋体" w:eastAsia="宋体" w:cs="宋体"/>
                <w:color w:val="000000"/>
                <w:sz w:val="24"/>
                <w:szCs w:val="24"/>
                <w:highlight w:val="none"/>
                <w:lang w:val="en-US" w:eastAsia="zh-CN"/>
              </w:rPr>
              <w:t xml:space="preserve">mm</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2600/块</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87</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水泥基超快硬材料</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胶化时间15——60min，3小时压缩强度不低于28.0mpa*2；同时满足相关技术标准</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11000/吨</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88</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斑马线控制器</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1.控制一个方向的斑马线显示方式</w:t>
            </w:r>
            <w:r>
              <w:rPr>
                <w:rFonts w:hint="eastAsia" w:ascii="宋体" w:hAnsi="宋体" w:eastAsia="宋体" w:cs="宋体"/>
                <w:sz w:val="24"/>
                <w:szCs w:val="24"/>
                <w:highlight w:val="none"/>
              </w:rPr>
            </w:r>
            <w:r/>
          </w:p>
          <w:p>
            <w:pPr>
              <w:pStyle w:val="915"/>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2.接引路口红绿灯信号</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89</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室外落地机箱</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1.尺寸约：800mm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600mm</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450mm</w:t>
            </w:r>
            <w:r>
              <w:rPr>
                <w:rFonts w:hint="eastAsia" w:ascii="宋体" w:hAnsi="宋体" w:eastAsia="宋体" w:cs="宋体"/>
                <w:sz w:val="24"/>
                <w:szCs w:val="24"/>
                <w:highlight w:val="none"/>
              </w:rPr>
            </w:r>
            <w:r/>
          </w:p>
          <w:p>
            <w:pPr>
              <w:pStyle w:val="91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2.防护等级：IP65</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1800/套</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电源线</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RVV3*2.5mm2</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12/m</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91</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PE管</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PE50套管</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15/m</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92</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破胎阻车器</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简易手动破胎阻车器：含不锈钢钢钉和可伸缩底部支架</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85/m</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城市交通护栏1</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1.2*2.2m玉兰花式样交通隔离护栏</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内部花样：白玉兰造型防锈工艺：镀锌加喷塑镂花工艺：进行滚圆、弯管、电焊、打磨制作;镀锌钢板填砼底座重力固定含立柱底座</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380元/米</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94</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城市交通护栏2</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1.2*2.5m京式吴江城区式样交通隔离护栏</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大立柱为130*90*2mm，竖杆为40*20*1.2mm，间距138mm；上横杆为90*80*1.5mm，下横杆为50*50*1.5mm。</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底座为钢板填砼底座（灯笼管口径）400*300*150mm。</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280元/米</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95</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波形护栏</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单面普通型标准波形梁护栏安装工作内容：打Φ114镀锌钢管立柱（间距4m）\波形护栏（3mm厚两波）安装，</w:t>
            </w:r>
            <w:r>
              <w:rPr>
                <w:rFonts w:hint="eastAsia" w:ascii="宋体" w:hAnsi="宋体" w:eastAsia="宋体" w:cs="宋体"/>
                <w:sz w:val="24"/>
                <w:szCs w:val="24"/>
                <w:highlight w:val="none"/>
              </w:rPr>
            </w:r>
            <w:r/>
          </w:p>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含立柱、防阻帽、波形梁、防阻块、螺栓等全部标准配件制作安装</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260/米</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新泽西护栏</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新泽西护栏：50*50cm混凝土新泽西护栏，下宽35cm,上宽15cm，表面黑黄反光漆，含运输及安装</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100/只</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97</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新泽西护栏2</w:t>
            </w:r>
            <w:r>
              <w:rPr>
                <w:rFonts w:hint="eastAsia" w:ascii="宋体" w:hAnsi="宋体" w:eastAsia="宋体" w:cs="宋体"/>
                <w:color w:val="000000"/>
                <w:sz w:val="24"/>
                <w:szCs w:val="24"/>
                <w:highlight w:val="none"/>
                <w:lang w:val="en-US" w:eastAsia="zh-CN" w:bidi="ar"/>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新泽西护栏：200*80cm混凝土新泽西护栏，下宽55cm,上宽20cm，表面黑黄反光漆，含运输及安装</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800/只</w:t>
            </w:r>
            <w:r>
              <w:rPr>
                <w:rFonts w:hint="eastAsia" w:ascii="宋体" w:hAnsi="宋体" w:eastAsia="宋体" w:cs="宋体"/>
                <w:color w:val="000000"/>
                <w:sz w:val="24"/>
                <w:szCs w:val="24"/>
                <w:highlight w:val="none"/>
                <w:lang w:val="en-US" w:eastAsia="zh-CN" w:bidi="ar"/>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98</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护栏连接杆</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Ф50*1.5*2000mm镀锌钢管新泽西护栏连接杆，表面黑黄反光漆，含运输及安装</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70/根</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99</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城市护栏安拆</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护栏拆装人工及机械费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20/米</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人非护栏1</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1.0*2.0m京式人非护栏，含立柱、底墩制作安装</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150/米</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人非护栏2</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0.6*2.0m京式人非护栏，含立柱、底墩制作安装</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100/米</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护栏立柱1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80*100mm人非护栏立柱</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护栏立柱2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80*60mm人非护栏立柱</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55/根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104</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护栏立柱3</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100*1200mm城市交通护栏立柱</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120/根</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105</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护栏底座1</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300*250mm橡胶护栏底座</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20/只</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106</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护栏底座2</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300*400mm镀锌钢板护栏底座含内灌混凝土</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35/只</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107</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护栏清洗</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城市护栏清洗，含机械及人工费</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4.5/米</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108</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608"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修剪绿化</w:t>
            </w:r>
            <w:r>
              <w:rPr>
                <w:rFonts w:hint="eastAsia" w:ascii="宋体" w:hAnsi="宋体" w:eastAsia="宋体" w:cs="宋体"/>
                <w:color w:val="000000"/>
                <w:sz w:val="24"/>
                <w:szCs w:val="24"/>
                <w:highlight w:val="none"/>
                <w:lang w:val="en-US" w:eastAsia="zh-CN" w:bidi="ar"/>
              </w:rPr>
            </w:r>
            <w:r/>
          </w:p>
        </w:tc>
        <w:tc>
          <w:tcPr>
            <w:tcMar>
              <w:left w:w="108" w:type="dxa"/>
              <w:top w:w="0" w:type="dxa"/>
              <w:right w:w="108" w:type="dxa"/>
              <w:bottom w:w="0" w:type="dxa"/>
            </w:tcMar>
            <w:tcW w:w="5392" w:type="dxa"/>
            <w:vAlign w:val="center"/>
            <w:textDirection w:val="lrTb"/>
            <w:noWrap w:val="false"/>
          </w:tcPr>
          <w:p>
            <w:pPr>
              <w:pStyle w:val="915"/>
              <w:jc w:val="left"/>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临时绿化修剪</w:t>
            </w:r>
            <w:r>
              <w:rPr>
                <w:rFonts w:hint="eastAsia" w:ascii="宋体" w:hAnsi="宋体" w:eastAsia="宋体" w:cs="宋体"/>
                <w:color w:val="000000"/>
                <w:sz w:val="24"/>
                <w:szCs w:val="24"/>
                <w:highlight w:val="none"/>
                <w:lang w:val="en-US" w:eastAsia="zh-CN" w:bidi="ar"/>
              </w:rPr>
            </w:r>
            <w:r/>
          </w:p>
        </w:tc>
        <w:tc>
          <w:tcPr>
            <w:tcMar>
              <w:left w:w="108" w:type="dxa"/>
              <w:top w:w="0" w:type="dxa"/>
              <w:right w:w="108" w:type="dxa"/>
              <w:bottom w:w="0" w:type="dxa"/>
            </w:tcMar>
            <w:tcW w:w="1725" w:type="dxa"/>
            <w:vAlign w:val="center"/>
            <w:textDirection w:val="lrTb"/>
            <w:noWrap w:val="false"/>
          </w:tcPr>
          <w:p>
            <w:pPr>
              <w:pStyle w:val="915"/>
              <w:jc w:val="center"/>
              <w:keepLines w:val="0"/>
              <w:keepNext w:val="0"/>
              <w:pageBreakBefore w:val="0"/>
              <w:spacing w:after="0"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500元/工日</w:t>
            </w:r>
            <w:r>
              <w:rPr>
                <w:rFonts w:hint="eastAsia" w:ascii="宋体" w:hAnsi="宋体" w:eastAsia="宋体" w:cs="宋体"/>
                <w:color w:val="000000"/>
                <w:sz w:val="24"/>
                <w:szCs w:val="24"/>
                <w:highlight w:val="none"/>
                <w:lang w:val="en-US" w:eastAsia="zh-CN" w:bidi="ar"/>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109</w:t>
            </w: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应急抢修</w:t>
            </w:r>
            <w:r>
              <w:rPr>
                <w:rFonts w:hint="eastAsia" w:ascii="宋体" w:hAnsi="宋体" w:eastAsia="宋体" w:cs="宋体"/>
                <w:sz w:val="24"/>
                <w:szCs w:val="24"/>
                <w:highlight w:val="none"/>
              </w:rPr>
            </w:r>
            <w:r/>
          </w:p>
        </w:tc>
        <w:tc>
          <w:tcPr>
            <w:tcMar>
              <w:left w:w="108" w:type="dxa"/>
              <w:top w:w="0" w:type="dxa"/>
              <w:right w:w="108" w:type="dxa"/>
              <w:bottom w:w="0" w:type="dxa"/>
            </w:tcMar>
            <w:tcW w:w="5392" w:type="dxa"/>
            <w:vAlign w:val="center"/>
            <w:textDirection w:val="lrTb"/>
            <w:noWrap w:val="false"/>
          </w:tcPr>
          <w:p>
            <w:pPr>
              <w:pStyle w:val="915"/>
              <w:ind w:left="0" w:right="0" w:firstLine="0"/>
              <w:jc w:val="left"/>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应急抢修：含</w:t>
            </w:r>
            <w:r>
              <w:rPr>
                <w:rFonts w:hint="eastAsia" w:ascii="宋体" w:hAnsi="宋体" w:eastAsia="宋体" w:cs="宋体"/>
                <w:color w:val="000000"/>
                <w:sz w:val="24"/>
                <w:szCs w:val="24"/>
                <w:highlight w:val="none"/>
                <w:lang w:val="en-US" w:eastAsia="zh-CN"/>
              </w:rPr>
              <w:t xml:space="preserve">登高车及人工</w:t>
            </w:r>
            <w:r>
              <w:rPr>
                <w:rFonts w:hint="eastAsia" w:ascii="宋体" w:hAnsi="宋体" w:eastAsia="宋体" w:cs="宋体"/>
                <w:color w:val="000000"/>
                <w:sz w:val="24"/>
                <w:szCs w:val="24"/>
                <w:highlight w:val="none"/>
              </w:rPr>
              <w:t xml:space="preserve">费</w:t>
            </w:r>
            <w:r>
              <w:rPr>
                <w:rFonts w:hint="eastAsia" w:ascii="宋体" w:hAnsi="宋体" w:eastAsia="宋体" w:cs="宋体"/>
                <w:color w:val="000000"/>
                <w:sz w:val="24"/>
                <w:szCs w:val="24"/>
                <w:highlight w:val="none"/>
                <w:lang w:val="en-US" w:eastAsia="zh-CN"/>
              </w:rPr>
              <w:t xml:space="preserve">用，</w:t>
            </w:r>
            <w:r>
              <w:rPr>
                <w:rStyle w:val="974"/>
                <w:rFonts w:hint="eastAsia" w:ascii="宋体" w:hAnsi="宋体" w:eastAsia="宋体" w:cs="宋体"/>
                <w:color w:val="000000"/>
                <w:sz w:val="24"/>
                <w:szCs w:val="24"/>
                <w:highlight w:val="none"/>
                <w:lang w:val="en-US" w:eastAsia="zh-CN" w:bidi="ar"/>
              </w:rPr>
              <w:t xml:space="preserve">一台登高车（含配套人员2人）工作1次（单次不超4小时，超过4小时按再记一次）进行计算，同一日应急抢修最多记3次</w:t>
            </w:r>
            <w:r>
              <w:rPr>
                <w:rFonts w:hint="eastAsia" w:ascii="宋体" w:hAnsi="宋体" w:eastAsia="宋体" w:cs="宋体"/>
                <w:sz w:val="24"/>
                <w:szCs w:val="24"/>
                <w:highlight w:val="none"/>
              </w:rPr>
            </w:r>
            <w:r/>
          </w:p>
        </w:tc>
        <w:tc>
          <w:tcPr>
            <w:tcMar>
              <w:left w:w="108" w:type="dxa"/>
              <w:top w:w="0" w:type="dxa"/>
              <w:right w:w="108" w:type="dxa"/>
              <w:bottom w:w="0" w:type="dxa"/>
            </w:tcMar>
            <w:tcW w:w="1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500/次</w:t>
            </w:r>
            <w:r>
              <w:rPr>
                <w:rFonts w:hint="eastAsia" w:ascii="宋体" w:hAnsi="宋体" w:eastAsia="宋体" w:cs="宋体"/>
                <w:sz w:val="24"/>
                <w:szCs w:val="24"/>
                <w:highlight w:val="none"/>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110</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货运车辆费</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9.6米货运车辆租赁费：每台班租赁里程按照45KM以内为1台班计费，超出部分按照同级别货车平台报价计费，包含驾驶员及油费</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1000/台班</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汽车式液压起重机租赁</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16T汽车式液压起重机租赁费，每台班租赁时长按照每8小时为1台班计费，包含驾驶员及油费</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1600/台班</w:t>
            </w:r>
            <w:r>
              <w:rPr>
                <w:rFonts w:hint="eastAsia" w:ascii="宋体" w:hAnsi="宋体" w:eastAsia="宋体" w:cs="宋体"/>
                <w:color w:val="000000"/>
                <w:sz w:val="24"/>
                <w:szCs w:val="24"/>
                <w:highlight w:val="none"/>
                <w:lang w:val="en-US" w:eastAsia="zh-CN" w:bidi="ar-SA"/>
              </w:rPr>
            </w:r>
            <w:r/>
          </w:p>
        </w:tc>
      </w:tr>
      <w:tr>
        <w:trPr>
          <w:trHeight w:val="476"/>
        </w:trPr>
        <w:tc>
          <w:tcPr>
            <w:tcMar>
              <w:left w:w="108" w:type="dxa"/>
              <w:top w:w="0" w:type="dxa"/>
              <w:right w:w="108" w:type="dxa"/>
              <w:bottom w:w="0" w:type="dxa"/>
            </w:tcMar>
            <w:tcW w:w="725" w:type="dxa"/>
            <w:vAlign w:val="center"/>
            <w:textDirection w:val="lrTb"/>
            <w:noWrap w:val="false"/>
          </w:tcPr>
          <w:p>
            <w:pPr>
              <w:pStyle w:val="915"/>
              <w:ind w:left="0" w:right="0" w:firstLine="0"/>
              <w:jc w:val="center"/>
              <w:keepLines w:val="0"/>
              <w:keepNext w:val="0"/>
              <w:pageBreakBefore w:val="0"/>
              <w:spacing w:before="0" w:after="0" w:line="24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112</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608"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防撞车租赁</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392" w:type="dxa"/>
            <w:vAlign w:val="center"/>
            <w:textDirection w:val="lrTb"/>
            <w:noWrap w:val="false"/>
          </w:tcPr>
          <w:p>
            <w:pPr>
              <w:pStyle w:val="915"/>
              <w:jc w:val="left"/>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70Km小型防撞车租赁，每台班租赁时长按照每8小时为1台班计费，包含驾驶员及油费</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1725" w:type="dxa"/>
            <w:vAlign w:val="center"/>
            <w:textDirection w:val="lrTb"/>
            <w:noWrap w:val="false"/>
          </w:tcPr>
          <w:p>
            <w:pPr>
              <w:pStyle w:val="915"/>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1200/台班</w:t>
            </w:r>
            <w:r>
              <w:rPr>
                <w:rFonts w:hint="eastAsia" w:ascii="宋体" w:hAnsi="宋体" w:eastAsia="宋体" w:cs="宋体"/>
                <w:color w:val="000000"/>
                <w:sz w:val="24"/>
                <w:szCs w:val="24"/>
                <w:highlight w:val="none"/>
                <w:lang w:val="en-US" w:eastAsia="zh-CN" w:bidi="ar-SA"/>
              </w:rPr>
            </w:r>
            <w:r/>
          </w:p>
        </w:tc>
      </w:tr>
    </w:tbl>
    <w:p>
      <w:pPr>
        <w:pStyle w:val="915"/>
        <w:ind w:firstLine="482"/>
        <w:spacing w:line="360" w:lineRule="auto"/>
        <w:tabs>
          <w:tab w:val="left" w:pos="567"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rPr>
        <w:t xml:space="preserve">维护服务要求</w:t>
      </w:r>
      <w:r>
        <w:rPr>
          <w:rFonts w:hint="eastAsia" w:ascii="宋体" w:hAnsi="宋体" w:eastAsia="宋体" w:cs="宋体"/>
          <w:b/>
          <w:bCs/>
          <w:color w:val="000000"/>
          <w:sz w:val="24"/>
          <w:szCs w:val="24"/>
          <w:highlight w:val="none"/>
          <w:lang w:val="zh-CN"/>
        </w:rPr>
      </w:r>
      <w:r/>
    </w:p>
    <w:p>
      <w:pPr>
        <w:pStyle w:val="915"/>
        <w:ind w:firstLine="482"/>
        <w:spacing w:line="360" w:lineRule="auto"/>
        <w:tabs>
          <w:tab w:val="left" w:pos="567"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3.1整体要求：</w:t>
      </w:r>
      <w:r>
        <w:rPr>
          <w:rFonts w:hint="eastAsia" w:ascii="宋体" w:hAnsi="宋体" w:eastAsia="宋体" w:cs="宋体"/>
          <w:b/>
          <w:bCs/>
          <w:color w:val="000000"/>
          <w:sz w:val="24"/>
          <w:szCs w:val="24"/>
          <w:highlight w:val="none"/>
          <w:lang w:val="en-US" w:eastAsia="zh-CN"/>
        </w:rPr>
      </w:r>
      <w:r/>
    </w:p>
    <w:p>
      <w:pPr>
        <w:pStyle w:val="915"/>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lang w:val="zh-CN"/>
        </w:rPr>
        <w:t xml:space="preserve">标线类、标牌设施等类别交通设施的维护养护服务，包括</w:t>
      </w:r>
      <w:r>
        <w:rPr>
          <w:rFonts w:hint="eastAsia" w:ascii="宋体" w:hAnsi="宋体" w:eastAsia="宋体" w:cs="宋体"/>
          <w:color w:val="000000"/>
          <w:sz w:val="24"/>
          <w:szCs w:val="24"/>
          <w:highlight w:val="none"/>
          <w:lang w:val="zh-CN" w:eastAsia="zh-CN"/>
        </w:rPr>
        <w:t xml:space="preserve">但不限于</w:t>
      </w:r>
      <w:r>
        <w:rPr>
          <w:rFonts w:hint="eastAsia" w:ascii="宋体" w:hAnsi="宋体" w:eastAsia="宋体" w:cs="宋体"/>
          <w:color w:val="000000"/>
          <w:sz w:val="24"/>
          <w:szCs w:val="24"/>
          <w:highlight w:val="none"/>
          <w:lang w:val="zh-CN"/>
        </w:rPr>
        <w:t xml:space="preserve">设备及其附属装置、线缆的定期检测、清洁、维修、更换以及交通安全隐患排查等涉及的人工、配件更换、备件、备机等。</w:t>
      </w:r>
      <w:r>
        <w:rPr>
          <w:rFonts w:hint="eastAsia" w:ascii="宋体" w:hAnsi="宋体" w:eastAsia="宋体" w:cs="宋体"/>
          <w:color w:val="000000"/>
          <w:sz w:val="24"/>
          <w:szCs w:val="24"/>
          <w:highlight w:val="none"/>
          <w:lang w:val="zh-CN"/>
        </w:rPr>
      </w:r>
      <w:r/>
    </w:p>
    <w:p>
      <w:pPr>
        <w:pStyle w:val="915"/>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3.1.2</w:t>
      </w:r>
      <w:r>
        <w:rPr>
          <w:rFonts w:hint="eastAsia" w:ascii="宋体" w:hAnsi="宋体" w:eastAsia="宋体" w:cs="宋体"/>
          <w:color w:val="000000"/>
          <w:sz w:val="24"/>
          <w:szCs w:val="24"/>
          <w:highlight w:val="none"/>
          <w:lang w:val="zh-CN"/>
        </w:rPr>
        <w:t xml:space="preserve">维护完好率的要求：要求就维护设施的完好率必须达到100%。</w:t>
      </w:r>
      <w:r>
        <w:rPr>
          <w:rFonts w:hint="eastAsia" w:ascii="宋体" w:hAnsi="宋体" w:eastAsia="宋体" w:cs="宋体"/>
          <w:color w:val="000000"/>
          <w:sz w:val="24"/>
          <w:szCs w:val="24"/>
          <w:highlight w:val="none"/>
          <w:lang w:val="zh-CN"/>
        </w:rPr>
      </w:r>
      <w:r/>
    </w:p>
    <w:p>
      <w:pPr>
        <w:pStyle w:val="915"/>
        <w:ind w:firstLine="48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3.1.3</w:t>
      </w:r>
      <w:r>
        <w:rPr>
          <w:rFonts w:hint="eastAsia" w:ascii="宋体" w:hAnsi="宋体" w:eastAsia="宋体" w:cs="宋体"/>
          <w:color w:val="000000"/>
          <w:sz w:val="24"/>
          <w:szCs w:val="24"/>
          <w:highlight w:val="none"/>
          <w:lang w:val="zh-CN"/>
        </w:rPr>
        <w:t xml:space="preserve">本次采购包括设备及其附属装置、线缆的定期检测、清洁、维修、更换以及交通安全隐患排查等涉及的人工、配件更换、备件、备机等一切费用，因服务单位主观操作失误等原因造成的设备故障，由服务单位修复并承担一切责任，采购单位不支付任何费用（除不可抗力外）。响应单位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zh-CN"/>
        </w:rPr>
        <w:t xml:space="preserve">时应予充分考虑。</w:t>
      </w:r>
      <w:r>
        <w:rPr>
          <w:rFonts w:hint="eastAsia" w:ascii="宋体" w:hAnsi="宋体" w:eastAsia="宋体" w:cs="宋体"/>
          <w:color w:val="000000"/>
          <w:sz w:val="24"/>
          <w:szCs w:val="24"/>
          <w:highlight w:val="none"/>
          <w:lang w:val="zh-CN"/>
        </w:rPr>
      </w:r>
      <w:r/>
    </w:p>
    <w:p>
      <w:pPr>
        <w:pStyle w:val="915"/>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3.2</w:t>
      </w:r>
      <w:r>
        <w:rPr>
          <w:rFonts w:hint="eastAsia" w:ascii="宋体" w:hAnsi="宋体" w:eastAsia="宋体" w:cs="宋体"/>
          <w:b/>
          <w:bCs/>
          <w:color w:val="000000"/>
          <w:sz w:val="24"/>
          <w:szCs w:val="24"/>
          <w:highlight w:val="none"/>
        </w:rPr>
        <w:t xml:space="preserve">标志标线类</w:t>
      </w:r>
      <w:r>
        <w:rPr>
          <w:rFonts w:hint="eastAsia" w:ascii="宋体" w:hAnsi="宋体" w:eastAsia="宋体" w:cs="宋体"/>
          <w:b/>
          <w:bCs/>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标志、标线应符合《道路交通标志和标线》（GB5768-2022）、《路面标线涂料》（JT/T280-2022）以及《道路交通反光膜》（GBT18833-2012）等相关标准；</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使用的标线涂料应具有与路面粘结力强、干燥迅速以及良好的耐磨性，耐候性，抗滑性等特性；</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3标线应具有良好的视认性，宽度一致，间隔相等，边缘整齐，线型规则，线条流畅；</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3.2.4</w:t>
      </w:r>
      <w:r>
        <w:rPr>
          <w:rFonts w:hint="eastAsia" w:ascii="宋体" w:hAnsi="宋体" w:eastAsia="宋体" w:cs="宋体"/>
          <w:color w:val="000000"/>
          <w:sz w:val="24"/>
          <w:szCs w:val="24"/>
          <w:highlight w:val="none"/>
        </w:rPr>
        <w:t xml:space="preserve">标线涂层应厚度均匀，无起泡、开裂、发粘、脱落等现象；</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3.2.5</w:t>
      </w:r>
      <w:r>
        <w:rPr>
          <w:rFonts w:hint="eastAsia" w:ascii="宋体" w:hAnsi="宋体" w:eastAsia="宋体" w:cs="宋体"/>
          <w:color w:val="000000"/>
          <w:sz w:val="24"/>
          <w:szCs w:val="24"/>
          <w:highlight w:val="none"/>
        </w:rPr>
        <w:t xml:space="preserve">标线涂层厚度，热熔型涂料标线1.8㎜±0.2；彩色防滑标线等厚度按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及相关国家规范标准要求。</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3.2.6</w:t>
      </w:r>
      <w:r>
        <w:rPr>
          <w:rFonts w:hint="eastAsia" w:ascii="宋体" w:hAnsi="宋体" w:eastAsia="宋体" w:cs="宋体"/>
          <w:color w:val="000000"/>
          <w:sz w:val="24"/>
          <w:szCs w:val="24"/>
          <w:highlight w:val="none"/>
        </w:rPr>
        <w:t xml:space="preserve">反光标线：</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撒布在标线上的玻璃微珠其质量和级配应符合有关国家标准或行业标准要求。</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反光标线面玻璃微珠应分布均匀，标线涂料中预混玻璃珠含量应不小于30%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密度、软化点、耐磨性符合国家或行业标准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白色反光标线的逆反射系数应不小于150mcd·lx-1·m-2；黄色标线的逆反射系数应不小于100mcd·lx-1·m-2。</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.7标线使用寿命：热熔型标线：二级公路24—30个月,城市道路20—24个月,水泥混凝土路面不小于20个月；</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.8标志、标线施工的各个步骤应符合国家或行业或交通部门的相关规定。</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3.2.9</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要负责标志、标线的材料、施工。若标线、标志施工过程中对原建筑（含绿化）或原成品产生破坏，</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要负责修补复原。</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负责项目在未验收合格之前的现场保护工作，标线施工时，应有交通安全措施，设置适当警告标志，阻止车辆及行人在作业区内通行，防止将涂料带出或形成车辙，直至标线充分干燥，并保证施工过程中的施工人员安全和道路交通安全，如因</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未按要求施工和竖立相关标志引发事故，</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自行承担相关责任。若因供方保管不当造成需要修复，</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应负责修复，费用由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915"/>
        <w:ind w:firstLine="482"/>
        <w:spacing w:line="360" w:lineRule="auto"/>
        <w:tabs>
          <w:tab w:val="left" w:pos="567"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3.3标牌设施类</w:t>
      </w:r>
      <w:r>
        <w:rPr>
          <w:rFonts w:hint="eastAsia" w:ascii="宋体" w:hAnsi="宋体" w:eastAsia="宋体" w:cs="宋体"/>
          <w:b/>
          <w:color w:val="000000"/>
          <w:sz w:val="24"/>
          <w:szCs w:val="24"/>
          <w:highlight w:val="none"/>
          <w:lang w:val="en-US" w:eastAsia="zh-CN"/>
        </w:rPr>
      </w:r>
      <w:r/>
    </w:p>
    <w:p>
      <w:pPr>
        <w:pStyle w:val="959"/>
        <w:ind w:left="0"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3.3.1标志牌整体要求</w:t>
      </w:r>
      <w:r>
        <w:rPr>
          <w:rFonts w:hint="eastAsia" w:ascii="宋体" w:hAnsi="宋体" w:eastAsia="宋体" w:cs="宋体"/>
          <w:b/>
          <w:bCs/>
          <w:color w:val="000000"/>
          <w:sz w:val="24"/>
          <w:szCs w:val="24"/>
          <w:highlight w:val="none"/>
          <w:lang w:val="en-US" w:eastAsia="zh-CN"/>
        </w:rPr>
      </w:r>
      <w:r/>
    </w:p>
    <w:p>
      <w:pPr>
        <w:pStyle w:val="959"/>
        <w:ind w:left="0"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3.3.1.1</w:t>
      </w:r>
      <w:r>
        <w:rPr>
          <w:rFonts w:hint="eastAsia" w:ascii="宋体" w:hAnsi="宋体" w:eastAsia="宋体" w:cs="宋体"/>
          <w:color w:val="000000"/>
          <w:sz w:val="24"/>
          <w:szCs w:val="24"/>
          <w:highlight w:val="none"/>
        </w:rPr>
        <w:t xml:space="preserve">标志应符合《道路交通标志和标线》（GB5768-2022）及《道路交通反光膜》（GBT18833-2012）等相关标准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2"/>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3.3.1.2</w:t>
      </w:r>
      <w:r>
        <w:rPr>
          <w:rFonts w:hint="eastAsia" w:ascii="宋体" w:hAnsi="宋体" w:eastAsia="宋体" w:cs="宋体"/>
          <w:color w:val="000000"/>
          <w:sz w:val="24"/>
          <w:szCs w:val="24"/>
          <w:highlight w:val="none"/>
        </w:rPr>
        <w:t xml:space="preserve">标志</w:t>
      </w:r>
      <w:r>
        <w:rPr>
          <w:rFonts w:hint="eastAsia" w:ascii="宋体" w:hAnsi="宋体" w:eastAsia="宋体" w:cs="宋体"/>
          <w:color w:val="000000"/>
          <w:sz w:val="24"/>
          <w:szCs w:val="24"/>
          <w:highlight w:val="none"/>
          <w:lang w:val="en-US" w:eastAsia="zh-CN"/>
        </w:rPr>
        <w:t xml:space="preserve">维护</w:t>
      </w:r>
      <w:r>
        <w:rPr>
          <w:rFonts w:hint="eastAsia" w:ascii="宋体" w:hAnsi="宋体" w:eastAsia="宋体" w:cs="宋体"/>
          <w:color w:val="000000"/>
          <w:sz w:val="24"/>
          <w:szCs w:val="24"/>
          <w:highlight w:val="none"/>
        </w:rPr>
        <w:t xml:space="preserve">施工的各个步骤应符合国家或行业或交通部门的相关规定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5"/>
        <w:ind w:left="0" w:right="0" w:firstLine="420"/>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3.3.1.3</w:t>
      </w:r>
      <w:r>
        <w:rPr>
          <w:rFonts w:hint="eastAsia" w:ascii="宋体" w:hAnsi="宋体" w:eastAsia="宋体" w:cs="宋体"/>
          <w:color w:val="000000"/>
          <w:sz w:val="24"/>
          <w:szCs w:val="24"/>
          <w:highlight w:val="none"/>
        </w:rPr>
        <w:t xml:space="preserve">交通标志底板和标志面所采用的材料应具有相容性，防止因不同的热膨胀系数或其他反应造成标志面的变形和损坏；</w:t>
      </w:r>
      <w:r>
        <w:rPr>
          <w:rFonts w:hint="eastAsia" w:ascii="宋体" w:hAnsi="宋体" w:eastAsia="宋体" w:cs="宋体"/>
          <w:sz w:val="24"/>
          <w:szCs w:val="24"/>
          <w:highlight w:val="none"/>
        </w:rPr>
      </w:r>
      <w:r/>
    </w:p>
    <w:p>
      <w:pPr>
        <w:pStyle w:val="915"/>
        <w:ind w:left="0" w:right="0" w:firstLine="420"/>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3.3.1.4</w:t>
      </w:r>
      <w:r>
        <w:rPr>
          <w:rFonts w:hint="eastAsia" w:ascii="宋体" w:hAnsi="宋体" w:eastAsia="宋体" w:cs="宋体"/>
          <w:color w:val="000000"/>
          <w:sz w:val="24"/>
          <w:szCs w:val="24"/>
          <w:highlight w:val="none"/>
        </w:rPr>
        <w:t xml:space="preserve">标志杆件钢材不得低于Q235碳素钢、所有标志的支架钢管以及连接件应按照GB/T18266的规定做防腐处理；</w:t>
      </w:r>
      <w:r>
        <w:rPr>
          <w:rFonts w:hint="eastAsia" w:ascii="宋体" w:hAnsi="宋体" w:eastAsia="宋体" w:cs="宋体"/>
          <w:sz w:val="24"/>
          <w:szCs w:val="24"/>
          <w:highlight w:val="none"/>
        </w:rPr>
      </w:r>
      <w:r/>
    </w:p>
    <w:p>
      <w:pPr>
        <w:pStyle w:val="915"/>
        <w:ind w:left="0" w:right="0" w:firstLine="420"/>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3.3.1.5</w:t>
      </w:r>
      <w:r>
        <w:rPr>
          <w:rFonts w:hint="eastAsia" w:ascii="宋体" w:hAnsi="宋体" w:eastAsia="宋体" w:cs="宋体"/>
          <w:color w:val="000000"/>
          <w:sz w:val="24"/>
          <w:szCs w:val="24"/>
          <w:highlight w:val="none"/>
        </w:rPr>
        <w:t xml:space="preserve">所有标志应能至少承受10级以上大风、能抗意外破坏作用，当受到任意方向500n的力时，标志板残余变形应不大于100mm/m；</w:t>
      </w:r>
      <w:r>
        <w:rPr>
          <w:rFonts w:hint="eastAsia" w:ascii="宋体" w:hAnsi="宋体" w:eastAsia="宋体" w:cs="宋体"/>
          <w:sz w:val="24"/>
          <w:szCs w:val="24"/>
          <w:highlight w:val="none"/>
        </w:rPr>
      </w:r>
      <w:r/>
    </w:p>
    <w:p>
      <w:pPr>
        <w:pStyle w:val="915"/>
        <w:ind w:left="0" w:right="0" w:firstLine="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3.3.1.6</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要负责标志的材料、</w:t>
      </w:r>
      <w:r>
        <w:rPr>
          <w:rFonts w:hint="eastAsia" w:ascii="宋体" w:hAnsi="宋体" w:eastAsia="宋体" w:cs="宋体"/>
          <w:color w:val="000000"/>
          <w:sz w:val="24"/>
          <w:szCs w:val="24"/>
          <w:highlight w:val="none"/>
          <w:lang w:val="en-US" w:eastAsia="zh-CN"/>
        </w:rPr>
        <w:t xml:space="preserve">维护</w:t>
      </w:r>
      <w:r>
        <w:rPr>
          <w:rFonts w:hint="eastAsia" w:ascii="宋体" w:hAnsi="宋体" w:eastAsia="宋体" w:cs="宋体"/>
          <w:color w:val="000000"/>
          <w:sz w:val="24"/>
          <w:szCs w:val="24"/>
          <w:highlight w:val="none"/>
        </w:rPr>
        <w:t xml:space="preserve">施工。若标志</w:t>
      </w:r>
      <w:r>
        <w:rPr>
          <w:rFonts w:hint="eastAsia" w:ascii="宋体" w:hAnsi="宋体" w:eastAsia="宋体" w:cs="宋体"/>
          <w:color w:val="000000"/>
          <w:sz w:val="24"/>
          <w:szCs w:val="24"/>
          <w:highlight w:val="none"/>
          <w:lang w:val="en-US" w:eastAsia="zh-CN"/>
        </w:rPr>
        <w:t xml:space="preserve">维护</w:t>
      </w:r>
      <w:r>
        <w:rPr>
          <w:rFonts w:hint="eastAsia" w:ascii="宋体" w:hAnsi="宋体" w:eastAsia="宋体" w:cs="宋体"/>
          <w:color w:val="000000"/>
          <w:sz w:val="24"/>
          <w:szCs w:val="24"/>
          <w:highlight w:val="none"/>
        </w:rPr>
        <w:t xml:space="preserve">施工过程中对原建筑（含绿化）或原成品产生破坏，</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要负责修补复原。</w:t>
      </w:r>
      <w:r>
        <w:rPr>
          <w:rFonts w:hint="eastAsia" w:ascii="宋体" w:hAnsi="宋体" w:eastAsia="宋体" w:cs="宋体"/>
          <w:sz w:val="24"/>
          <w:szCs w:val="24"/>
          <w:highlight w:val="none"/>
        </w:rPr>
      </w:r>
      <w:r/>
    </w:p>
    <w:p>
      <w:pPr>
        <w:pStyle w:val="915"/>
        <w:ind w:left="0" w:right="0" w:firstLine="42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3.3.1.7</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负责项目在未验收合格之前的现场保护工作，标志</w:t>
      </w:r>
      <w:r>
        <w:rPr>
          <w:rFonts w:hint="eastAsia" w:ascii="宋体" w:hAnsi="宋体" w:eastAsia="宋体" w:cs="宋体"/>
          <w:color w:val="000000"/>
          <w:sz w:val="24"/>
          <w:szCs w:val="24"/>
          <w:highlight w:val="none"/>
          <w:lang w:val="en-US" w:eastAsia="zh-CN"/>
        </w:rPr>
        <w:t xml:space="preserve">维护</w:t>
      </w:r>
      <w:r>
        <w:rPr>
          <w:rFonts w:hint="eastAsia" w:ascii="宋体" w:hAnsi="宋体" w:eastAsia="宋体" w:cs="宋体"/>
          <w:color w:val="000000"/>
          <w:sz w:val="24"/>
          <w:szCs w:val="24"/>
          <w:highlight w:val="none"/>
        </w:rPr>
        <w:t xml:space="preserve">施工时，应有交通安全措施，设置适当警告标志，阻止车辆及行人在作业区内通行，并保证施工过程中的施工人员安全和道路交通安全，如因</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未按要求施工和竖立相关标志引发事故，</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自行承担相关责任。若因供方保管不当造成需要修复，</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应负责修复，费用由</w:t>
      </w:r>
      <w:r>
        <w:rPr>
          <w:rFonts w:hint="eastAsia" w:ascii="宋体" w:hAnsi="宋体" w:eastAsia="宋体" w:cs="宋体"/>
          <w:color w:val="000000"/>
          <w:sz w:val="24"/>
          <w:szCs w:val="24"/>
          <w:highlight w:val="none"/>
          <w:lang w:eastAsia="zh-CN"/>
        </w:rPr>
        <w:t xml:space="preserve">成交单位</w:t>
      </w:r>
      <w:r>
        <w:rPr>
          <w:rFonts w:hint="eastAsia" w:ascii="宋体" w:hAnsi="宋体" w:eastAsia="宋体" w:cs="宋体"/>
          <w:color w:val="000000"/>
          <w:sz w:val="24"/>
          <w:szCs w:val="24"/>
          <w:highlight w:val="none"/>
        </w:rPr>
        <w:t xml:space="preserve">自行承担。</w:t>
      </w:r>
      <w:r>
        <w:rPr>
          <w:rFonts w:hint="eastAsia" w:ascii="宋体" w:hAnsi="宋体" w:eastAsia="宋体" w:cs="宋体"/>
          <w:sz w:val="24"/>
          <w:szCs w:val="24"/>
          <w:highlight w:val="none"/>
        </w:rPr>
      </w:r>
      <w:r/>
    </w:p>
    <w:p>
      <w:pPr>
        <w:pStyle w:val="915"/>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3.3.2</w:t>
      </w:r>
      <w:r>
        <w:rPr>
          <w:rFonts w:hint="eastAsia" w:ascii="宋体" w:hAnsi="宋体" w:eastAsia="宋体" w:cs="宋体"/>
          <w:b/>
          <w:bCs/>
          <w:color w:val="000000"/>
          <w:sz w:val="24"/>
          <w:szCs w:val="24"/>
          <w:highlight w:val="none"/>
        </w:rPr>
        <w:t xml:space="preserve">路口事故预防系统要求</w:t>
      </w:r>
      <w:r>
        <w:rPr>
          <w:rFonts w:hint="eastAsia" w:ascii="宋体" w:hAnsi="宋体" w:eastAsia="宋体" w:cs="宋体"/>
          <w:b/>
          <w:bCs/>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3.3.2.1</w:t>
      </w:r>
      <w:r>
        <w:rPr>
          <w:rFonts w:hint="eastAsia" w:ascii="宋体" w:hAnsi="宋体" w:eastAsia="宋体" w:cs="宋体"/>
          <w:color w:val="000000"/>
          <w:sz w:val="24"/>
          <w:szCs w:val="24"/>
          <w:highlight w:val="none"/>
        </w:rPr>
        <w:t xml:space="preserve">系统组成及工作原理</w:t>
      </w:r>
      <w:r>
        <w:rPr>
          <w:rFonts w:hint="eastAsia" w:ascii="宋体" w:hAnsi="宋体" w:eastAsia="宋体" w:cs="宋体"/>
          <w:color w:val="000000"/>
          <w:sz w:val="24"/>
          <w:szCs w:val="24"/>
          <w:highlight w:val="none"/>
        </w:rPr>
      </w:r>
      <w:r/>
    </w:p>
    <w:p>
      <w:pPr>
        <w:pStyle w:val="915"/>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路口事故预防系统由一体式支路事故预防主机和一体式主路事故预防主机组成，支路事故预防系统采用视频和雷达双检测技术，对支路上游即将或已经进入路口的人、车进行全域、全天候精准检测，一体式主路事故预防主机采用雷达检测技术，对主路上游即将进入路口的人、车进行精准检测。检测器将检测到的信息通过无线加密通讯方式传给相交道路主机，同时控制相交道路的主动发光标志、发光文字、爆闪灯、喇叭等声光警示设备持续工作，实现主路与支路之间双向预警，直到冲突危险消失，系统进入待机状态。</w:t>
      </w:r>
      <w:r>
        <w:rPr>
          <w:rFonts w:hint="eastAsia" w:ascii="宋体" w:hAnsi="宋体" w:eastAsia="宋体" w:cs="宋体"/>
          <w:color w:val="000000"/>
          <w:sz w:val="24"/>
          <w:szCs w:val="24"/>
          <w:highlight w:val="none"/>
        </w:rPr>
      </w:r>
      <w:r/>
    </w:p>
    <w:p>
      <w:pPr>
        <w:pStyle w:val="915"/>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5265369" cy="296172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5369" cy="29617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6pt;height:233.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4"/>
          <w:szCs w:val="24"/>
          <w:highlight w:val="none"/>
        </w:rPr>
      </w:r>
      <w:r/>
    </w:p>
    <w:p>
      <w:pPr>
        <w:pStyle w:val="915"/>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路口事故预防系统工作原理图</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3.3.2.2一体式支路预警主机系统要求：</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3.3.2.2.1一体式支路预警主机</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（1）外壳采用钣金制作，表面喷塑，柱身黑色，耐腐蚀；</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（2）产品主体尺寸：2970*320*140（mm）。</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（3）产品顶部有红蓝爆闪灯，静态视距大于200米，在预警时爆闪。</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（4）产品中部内嵌900*260mm点阵发光文字标牌，静态视距大于200米，预警时闪烁。</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（5）额定电压12V，市电或太阳能供电。</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（6）防尘防水等级：符合 IP65 ，工作环境：-20 ℃~70℃,湿度小于95%(无凝结)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（7）产品质保不得低于1年。</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3.3.2.2.2减速让行全透主动发光标志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（1）产品采用在面光源表面贴附有国标Ⅳ级（超强级）微棱镜透光反光膜，符合《道路交通反光膜》（GB/T 18833-2012）的要求。发光部分反光膜透光率达到30%以上。</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（2）供电方式：市电供电（输入电压220V，工作电压12V）或太阳能供电。</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（3）发光源：包括LED防水贴片灯珠、高光效PC导光板、聚碳酸酯耐高温匀光板；动态识别视距≥150M；版面标准亮度≥400cd/m²。</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（4）产品正面发光面积达到98%以上，标志发光区域内容完全符合国标。</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（5）产品功率不超过10W/m²</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（6）产品厚度为13mm</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（7）减速让行标志边长为900mm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（8）产品质保要求不低于1年。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3.3.2.2.3视频检测器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（1）检测器采用200万像素的筒型摄像机，支持最低照度：0.002Lux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（4）产品质保不低于1年。</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3.3.2.2.4雷达检测器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供电电压：+8～+20V直流电压。（12V DC）</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工作频率：24.15GHZ</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天线角度：13.6°*37°</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功耗小于1W,重量35g</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相对温度：-40度至85摄氏度；相对湿度在：+95%（非冷凝状态）</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测速范围：2-400km/h。</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覆盖车道数：1-4车道。</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自动区分方向，可以设置来向，去向，双向输出。</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目标捕获距离：大于80m。</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刷新时间：32ms</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连接：TTL，RS485接口器</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3.3.2.2.5锂电池（50AH）+100W太阳能板+支架</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3.3.2.3一体式主路预警主机系统要求</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3.3.2.3.1一体式主路预警主机</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（1）外壳采用钣金制作，表面喷塑，柱身黑色，耐腐蚀；</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（2）产品主体尺寸约：3670*320*140（mm）。</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（3）产品顶部有红蓝爆闪灯，静态视距大于200米，在预警时爆闪。</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（4）产品中部内嵌900*260mm点阵发光文字标牌，静态视距大于200米，预警时闪烁。</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（5）额定电压12V，市电或太阳能供电。</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（6）防尘防水等级：符合 IP65 ，工作环境：-20 ℃~70℃,湿度小于95%(无凝结)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（7）产品质保不得低于1年。</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3.3.2.3.2注意行人全透主动发光标志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（1）产品采用在面光源表面贴附有国标Ⅳ级（超强级）微棱镜透光反光膜，符合《道路交通反光膜》（GB/T 18833-2012）的要求。发光部分反光膜透光率达到30%以上。</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（2）供电方式：市电供电（输入电压220V，工作电压12V）或太阳能供电。</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（3）发光源：包括LED防水贴片灯珠、高光效PC导光板、聚碳酸酯耐高温匀光板；动态识别视距≥150M；版面标准亮度≥400cd/m²。</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（4）产品正面发光面积达到98%以上，标志发光区域内容完全符合国标。</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（5）产品功率不超过10W/m²</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（6）产品厚度为13mm</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（7）注意行人标志边长为1100mm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（8）产品质保要求不低于1年。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3.3.2.3.3视频检测器                                                                                                               </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（1）检测器采用200万像素的筒型摄像机，支持最低照度：0.002Lux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（4）产品质保不低于1年。</w:t>
      </w:r>
      <w:r>
        <w:rPr>
          <w:rFonts w:hint="eastAsia" w:ascii="宋体" w:hAnsi="宋体" w:eastAsia="宋体" w:cs="宋体"/>
          <w:color w:val="000000"/>
          <w:sz w:val="24"/>
          <w:szCs w:val="24"/>
          <w:highlight w:val="none"/>
          <w:lang w:val="en-US" w:eastAsia="zh-CN"/>
        </w:rPr>
      </w:r>
      <w:r/>
    </w:p>
    <w:p>
      <w:pPr>
        <w:pStyle w:val="915"/>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3.3.2.3.4锂电池（50AH）+100W太阳能板+支架</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3.3.3右侧开口事故预警系统</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138" w:name="_Toc98605696"/>
      <w:r/>
      <w:bookmarkStart w:id="139" w:name="_Toc66799693"/>
      <w:r>
        <w:rPr>
          <w:rFonts w:hint="eastAsia" w:ascii="宋体" w:hAnsi="宋体" w:eastAsia="宋体" w:cs="宋体"/>
          <w:color w:val="000000"/>
          <w:sz w:val="24"/>
          <w:szCs w:val="24"/>
          <w:highlight w:val="none"/>
          <w:lang w:val="en-US" w:eastAsia="zh-CN"/>
        </w:rPr>
        <w:t xml:space="preserve">3.3.3.1系统组成及工作原理</w:t>
      </w:r>
      <w:bookmarkEnd w:id="138"/>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右侧开口事故预警系统主要应用于事故多发的道路路段右侧单位或支路开口处，右侧开口事故预警系统由一体式右侧开口事故预警主机、爆闪灯模块、发光文字模块、智能语音模块、控制系统单元、物联网模块、视频检测模块、毫米波雷达检测模块等组成，系统</w:t>
      </w:r>
      <w:r>
        <w:rPr>
          <w:rFonts w:hint="eastAsia" w:ascii="宋体" w:hAnsi="宋体" w:eastAsia="宋体" w:cs="宋体"/>
          <w:color w:val="000000"/>
          <w:sz w:val="24"/>
          <w:szCs w:val="24"/>
          <w:highlight w:val="none"/>
          <w:lang w:val="en-US" w:eastAsia="zh-CN"/>
        </w:rPr>
        <w:t xml:space="preserve">采用视频和雷达双检测技术，对支路上游即将或已经进入路口的人、车进行全域、全天候精准检测，分体式主路事故预警系统由预警电箱、发光文字模块、控制系统单元、物联网模块、雷达检测模块等组成，系统通过视频越界检测技术，当支路或单位门口有人或车出来时，系统启动预警模式；同时系统通过雷达靠近检测技术，当主路非机动车道有非机动车靠近开口时，系统启动预警模式。预警模式下，面向来车方向的爆闪灯、发光文字闪烁+“请注意主路来车”语音提醒；语音大小多时段可远程设置。系统有利于减少路侧开口的冲突型事故警情，提高道路交通安全管理水平。</w:t>
      </w:r>
      <w:r>
        <w:rPr>
          <w:rFonts w:hint="eastAsia" w:ascii="宋体" w:hAnsi="宋体" w:eastAsia="宋体" w:cs="宋体"/>
          <w:color w:val="000000"/>
          <w:sz w:val="24"/>
          <w:szCs w:val="24"/>
          <w:highlight w:val="none"/>
          <w:lang w:val="en-US" w:eastAsia="zh-CN"/>
        </w:rPr>
      </w:r>
      <w:r/>
    </w:p>
    <w:p>
      <w:pPr>
        <w:pStyle w:val="995"/>
        <w:jc w:val="center"/>
        <w:keepLines w:val="0"/>
        <w:keepNext w:val="0"/>
        <w:pageBreakBefore w:val="0"/>
        <w:spacing w:line="360" w:lineRule="auto"/>
        <w:tabs>
          <w:tab w:val="left" w:pos="5250" w:leader="none"/>
        </w:tabs>
        <w:rPr>
          <w:rFonts w:hint="eastAsia" w:ascii="宋体" w:hAnsi="宋体" w:eastAsia="宋体" w:cs="宋体"/>
          <w:b w:val="0"/>
          <w:color w:val="000000"/>
          <w:sz w:val="24"/>
          <w:szCs w:val="24"/>
          <w:highlight w:val="none"/>
          <w:lang w:val="zh-CN" w:eastAsia="zh-CN"/>
        </w:rPr>
      </w:pPr>
      <w:r>
        <w:rPr>
          <w:rFonts w:hint="eastAsia" w:ascii="宋体" w:hAnsi="宋体" w:eastAsia="宋体" w:cs="宋体"/>
          <w:b w:val="0"/>
          <w:color w:val="000000"/>
          <w:sz w:val="24"/>
          <w:szCs w:val="24"/>
          <w:highlight w:val="none"/>
          <w:lang w:val="zh-CN" w:eastAsia="zh-CN"/>
        </w:rPr>
        <mc:AlternateContent>
          <mc:Choice Requires="wpg">
            <w:drawing>
              <wp:inline xmlns:wp="http://schemas.openxmlformats.org/drawingml/2006/wordprocessingDrawing" distT="0" distB="0" distL="0" distR="0">
                <wp:extent cx="5270945" cy="315913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0945" cy="31591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0pt;height:248.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color w:val="000000"/>
          <w:sz w:val="24"/>
          <w:szCs w:val="24"/>
          <w:highlight w:val="none"/>
          <w:lang w:val="zh-CN" w:eastAsia="zh-CN"/>
        </w:rPr>
      </w:r>
      <w:r/>
    </w:p>
    <w:p>
      <w:pPr>
        <w:pStyle w:val="995"/>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右侧开口</w:t>
      </w:r>
      <w:r>
        <w:rPr>
          <w:rFonts w:hint="eastAsia" w:ascii="宋体" w:hAnsi="宋体" w:eastAsia="宋体" w:cs="宋体"/>
          <w:color w:val="000000"/>
          <w:sz w:val="24"/>
          <w:szCs w:val="24"/>
          <w:highlight w:val="none"/>
        </w:rPr>
        <w:t xml:space="preserve">事故</w:t>
      </w:r>
      <w:r>
        <w:rPr>
          <w:rFonts w:hint="eastAsia" w:ascii="宋体" w:hAnsi="宋体" w:eastAsia="宋体" w:cs="宋体"/>
          <w:color w:val="000000"/>
          <w:sz w:val="24"/>
          <w:szCs w:val="24"/>
          <w:highlight w:val="none"/>
          <w:lang w:eastAsia="zh-CN"/>
        </w:rPr>
        <w:t xml:space="preserve">预警</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工作原理图</w:t>
      </w:r>
      <w:r>
        <w:rPr>
          <w:rFonts w:hint="eastAsia" w:ascii="宋体" w:hAnsi="宋体" w:eastAsia="宋体" w:cs="宋体"/>
          <w:color w:val="000000"/>
          <w:sz w:val="24"/>
          <w:szCs w:val="24"/>
          <w:highlight w:val="none"/>
        </w:rPr>
      </w:r>
      <w:r/>
    </w:p>
    <w:p>
      <w:pPr>
        <w:pStyle w:val="995"/>
        <w:jc w:val="center"/>
        <w:keepLines w:val="0"/>
        <w:keepNext w:val="0"/>
        <w:pageBreakBefore w:val="0"/>
        <w:spacing w:line="360" w:lineRule="auto"/>
        <w:tabs>
          <w:tab w:val="left" w:pos="5250" w:leader="none"/>
        </w:tabs>
        <w:rPr>
          <w:rFonts w:hint="eastAsia" w:ascii="宋体" w:hAnsi="宋体" w:eastAsia="宋体" w:cs="宋体"/>
          <w:b w:val="0"/>
          <w:color w:val="000000"/>
          <w:sz w:val="24"/>
          <w:szCs w:val="24"/>
          <w:highlight w:val="none"/>
          <w:lang w:val="zh-CN" w:eastAsia="zh-CN"/>
        </w:rPr>
      </w:pPr>
      <w:r>
        <w:rPr>
          <w:rFonts w:hint="eastAsia" w:ascii="宋体" w:hAnsi="宋体" w:eastAsia="宋体" w:cs="宋体"/>
          <w:b w:val="0"/>
          <w:color w:val="000000"/>
          <w:sz w:val="24"/>
          <w:szCs w:val="24"/>
          <w:highlight w:val="none"/>
          <w:lang w:val="zh-CN" w:eastAsia="zh-CN"/>
        </w:rPr>
      </w:r>
      <w:r/>
    </w:p>
    <w:p>
      <w:pPr>
        <w:pStyle w:val="995"/>
        <w:jc w:val="center"/>
        <w:keepLines w:val="0"/>
        <w:keepNext w:val="0"/>
        <w:pageBreakBefore w:val="0"/>
        <w:spacing w:line="360" w:lineRule="auto"/>
        <w:tabs>
          <w:tab w:val="left" w:pos="5250" w:leader="none"/>
        </w:tabs>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val="zh-CN" w:eastAsia="zh-CN"/>
        </w:rPr>
        <mc:AlternateContent>
          <mc:Choice Requires="wpg">
            <w:drawing>
              <wp:inline xmlns:wp="http://schemas.openxmlformats.org/drawingml/2006/wordprocessingDrawing" distT="0" distB="0" distL="0" distR="0">
                <wp:extent cx="614051" cy="221109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28419" t="0" r="34563" b="0"/>
                        <a:stretch/>
                      </pic:blipFill>
                      <pic:spPr bwMode="auto">
                        <a:xfrm>
                          <a:off x="0" y="0"/>
                          <a:ext cx="614051" cy="2211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4pt;height:174.1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val="0"/>
          <w:color w:val="000000"/>
          <w:sz w:val="24"/>
          <w:szCs w:val="24"/>
          <w:highlight w:val="none"/>
          <w:lang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End w:id="139"/>
      <w:r>
        <w:rPr>
          <w:rFonts w:hint="eastAsia" w:ascii="宋体" w:hAnsi="宋体" w:eastAsia="宋体" w:cs="宋体"/>
          <w:color w:val="000000"/>
          <w:sz w:val="24"/>
          <w:szCs w:val="24"/>
          <w:highlight w:val="none"/>
          <w:lang w:val="en-US" w:eastAsia="zh-CN"/>
        </w:rPr>
        <w:t xml:space="preserve">3.3.3.2一体式右侧开口事故预警主机：</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3.3.3.2.1材质：钣金外壳一体成型，表面喷塑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3.3.3.2.2主机规格尺寸：2400*250*140mm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3.3.3.2.3电压：供电电压AC 220V，工作电压DC 12V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3.3.3.2.4额定功率200W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3.3.3.2.5工作环境要求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 ℃~80℃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（2）环境湿度：湿度小于95%(无凝结)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（3）防护等级：IP55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3.3.3.3主动发光文字标志：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3.3.3.3.1发光类型：点阵灯珠文字发光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3.3.3.3.2材质：钣金外壳一体成型，表面喷塑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3.3.3.3.3标志内容：右侧来车（可定制）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3.3.3.3.4工作电压：DC 12V</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3.3.3.3.5工作环境要求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3.3.3.3.4爆闪灯：</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3.3.3.3.4.1发光类型：光源采用高亮LED发光管，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3.3.3.3.4.2灯罩材质：灯罩采用高透光PC2805材料制成，透明度高不褪色,热变形温度:125℃,耐冲击强度85；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3.3.3.3.4.3规格尺寸：：105*75*10mm</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3.3.3.3.4.4颜色要求：红色、蓝色</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3.3.3.3.4.5工作电压：12V</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3.3.3.3.4.6工作环境要求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（3）防护等级：IP67</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3.3.3.3.5智能语音模块：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3.3.3.3.3.3.1驱动组成：WT2003H-24SS高品质MP3语音芯片、PAM8320功放模块、UART指定插播地址音乐播放模块IC，可以提供高保真人声发音；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3.3.3.3.3.3.2扬声器采用保真高音喇叭，聚合物音盆，防水效果好；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5.3.5.3阻抗：4欧姆，功率12W。响应频率：80-20000Hz。灵敏度（最大声压级）110分贝。</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3.3.3.3.6嵌入式系统控制主板：</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3.3.3.3.6.1CPU采用的内核是Arm®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3.3.3.3.6.2产品内部集成了上电复位（POR）和掉电复位电路。这两种电路始终处于工作状态。当掉电复位电路监测到电源电压低于规定的阈值时，即使外部电路复位，该产品内置能够监测VDD并将其与VPVD阈值比较，当VDD在在VPVD阈值范围外且中断使能时会产生中断，可通过中断服务程序将MCU设置成安全状态。</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3.3.3.3.6.3系统控制主板具有以下功能：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（1）系统控制主板应具有备用电池功能。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（2）系统控制主板应具有主从机配组功能。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（3）系统控制主板应具有静电放电抗干扰功能。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（4）系统控制主板应具通讯加密功能。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3.3.3.3.6.4工作环境要求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（2）环境湿度：相对湿度≤98%RH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3.3.3.3.7智能无线通讯模块：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该模块具有数据加密和压缩功能，数据压缩功能有效缩短传输时间，降低干扰概率，提高可靠性和传输效率。</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3.3.3.3.8智能物联网模块：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基于4G无线网络的远程操作平台，可实现以下功能：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3.3.3.3.8.1设备远程实时状态监控；</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3.3.3.3.8.2远程方案设置、批量预案下发；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3.3.3.3.8.3方案上报及审核；</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3.3.3.3.8.4设备组件故障平台自动报警；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3.3.3.3.8.5三级用户权限设置。</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3.3.3.3.9智能雷达检测器：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3.3.3.3.9.1雷达天线角度24°×37°</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3.3.3.3.9.2有专用调试软件可修改参数和升级</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3.3.3.3.9.3灵敏度9挡可调，最远检测距离80到100米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3.3.3.3.9.4速度上报刷新率6挡可调，50~2000ms</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3.3.3.3.9.5可区分及过滤靠近或离开的交通对象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3.3.3.3.10智能交通视频检测器：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3.3.3.3.10.1检测器采用400万像素的筒型摄像机，支持最低照度：0.0001Lx ，满足高清画质+非常昏暗的场景应用，ICR 红外滤片式自动切换,实现日夜监控；</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3.3.3.3.10.2智能侦测：采用深度学习硬件及算法,提供精准的人车分类侦测,支持区域有人存在持续报警检测模式，最大检测距离50m；</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3.3.3.3.10.3防护等级：符合 IP67 ，环境温度：-30℃至60℃,湿度小于 95%(无凝结)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3.3.3.3.10.4工作电压：DC12V±25%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3.3.3.3.10.5电源接口类型：Φ5.5mm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3.3.3.3.10.6支持视频录像采集，支持H.265编码，可提供多制式视频转换。可自由设置录像参数，包括：帧率、图像大小、分辨率等；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3.3.3.3.10.7视频本地储存介质为Micro SD卡，最大支持256G。</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3.3.3.3.11开关电源：</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3.3.3.3.11.1采用工程级防雨开关电源</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3.3.3.3.11.2防护等级：IP44</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3.3.3.3.11.3电路保护：短路/过负载/过电压/过热</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3.3.3.3.11.4宽电压输入：190-250VAC</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3.3.3.3.11.5稳压输出：12±0.2VDC</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3.3.3.3.11.6最大功率支持250W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自动重合闸用电保护器：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具备自动复位、过压、欠压、过流、漏电、防雷、延时保护功能和电压显示、设置等功能。</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3.3.4斑马线事故预警系统要求</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140" w:name="_Toc98605700"/>
      <w:r>
        <w:rPr>
          <w:rFonts w:hint="eastAsia" w:ascii="宋体" w:hAnsi="宋体" w:eastAsia="宋体" w:cs="宋体"/>
          <w:color w:val="000000"/>
          <w:sz w:val="24"/>
          <w:szCs w:val="24"/>
          <w:highlight w:val="none"/>
          <w:lang w:val="en-US" w:eastAsia="zh-CN"/>
        </w:rPr>
        <w:t xml:space="preserve">3.3.4.1系统组成及工作原理</w:t>
      </w:r>
      <w:bookmarkEnd w:id="140"/>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斑马线事故预防系统由一体式斑马线事故预防主机和智能有线道钉组成，一体式斑马线事故预防主机采用视频技术，对已经进入斑马线区域的人、非机动车进行全天候存在检测，系统将检测到的信息通过无线加密通讯方式传给道路对面的一体式斑马线预防主机设备和智能有线道钉，同时控制预防主机设备上的主动发光标志、发光文字、爆闪灯、喇叭等以及地面的智能有线道钉声光警示设备持续工作，实现对慢行交通过街的精准主动预警，直到冲突危险消失，系统进入待机状态。</w:t>
      </w:r>
      <w:r>
        <w:rPr>
          <w:rFonts w:hint="eastAsia" w:ascii="宋体" w:hAnsi="宋体" w:eastAsia="宋体" w:cs="宋体"/>
          <w:color w:val="000000"/>
          <w:sz w:val="24"/>
          <w:szCs w:val="24"/>
          <w:highlight w:val="none"/>
          <w:lang w:val="en-US" w:eastAsia="zh-CN"/>
        </w:rPr>
      </w:r>
      <w:r/>
    </w:p>
    <w:p>
      <w:pPr>
        <w:pStyle w:val="951"/>
        <w:jc w:val="center"/>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4057739" cy="223313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057738" cy="2233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19.5pt;height:175.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3.3.4.2斑马线事故预警系统要求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3.3.4.2.1人行横道标志警示柱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（1）产品的外壳主体采用铝型材，应具有良好的抗氧化性，使用期内产品不褪色，外壳体要有良好的刚性和耐冲击性，内部结构件有良好的稳固性和密封性。</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（2）产品尺寸：2651*635*88（mm)。</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（3）标志内容白天要求与常规标志一致，夜间标志整体主动发光，标志内容与国标一致，LED灯珠不得外露。</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（4）反光膜采用3M或同等品牌的国标Ⅳ级（超强级）微棱镜反光膜，使用年限为7年50%亮度保留值，背胶类型为常温压敏胶。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（5）产品上应有铭牌标明生产企业名称、商标、产品名称、型号、工作电压、电流、功率、重量、产品编号、制造日期、生产标准等。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（6）发光单元要求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1）发光单元采用侧边导光的面发光技术，发光要求均匀、无局部过亮、黑影现象；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2）可视距离：夜间动态距离≥250米，静态距离≥210米。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（7）电气性能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1)工作电压：12V,采用市电供电方式。</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2)额定功率：20W。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1）环境温度：-20℃至70℃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（9）产品质保期限一年。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3.3.4.2.2视频检测器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（1）检测器采用200万像素的星光级筒型摄像机，支持最低照度：0.002Lux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（4）产品质保不低于1年。</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3.3.5一体式低位照明预警系统要求</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3.3.5.1系统组成及工作原理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低位照明预警系统主要应用于事故多发的非灯控道</w:t>
      </w:r>
      <w:r>
        <w:rPr>
          <w:rFonts w:hint="eastAsia" w:ascii="宋体" w:hAnsi="宋体" w:eastAsia="宋体" w:cs="宋体"/>
          <w:color w:val="000000"/>
          <w:sz w:val="24"/>
          <w:szCs w:val="24"/>
          <w:highlight w:val="none"/>
          <w:lang w:val="en-US" w:eastAsia="zh-CN"/>
        </w:rPr>
        <w:t xml:space="preserve">路斑马线，系统由若干根一体式低位照明预警系统主机组成，一体式低位照明预警主机由机箱、低位照明模块、爆闪灯模块、语音模块、控制系统单元、物联网模块、激光雷达检测模块等组成；低位照明预警系统采用激光雷达越界检测技术，对刚进入斑马线区域的人、非机动车进行全天候越界检测，系统将检测到的信息通过无线加密通讯方式传给道路周边的一体式低位照明预警主机设备，同时控制预警主机设备上的低位照明模块、爆闪灯、喇叭等声光警示设备持续工作，实现对慢行交通过街的精准主动预警和斑马线补光，系统预警时长可设定，预警结束后系统进入待机状态。</w:t>
      </w:r>
      <w:r>
        <w:rPr>
          <w:rFonts w:hint="eastAsia" w:ascii="宋体" w:hAnsi="宋体" w:eastAsia="宋体" w:cs="宋体"/>
          <w:color w:val="000000"/>
          <w:sz w:val="24"/>
          <w:szCs w:val="24"/>
          <w:highlight w:val="none"/>
          <w:lang w:val="en-US" w:eastAsia="zh-CN"/>
        </w:rPr>
      </w:r>
      <w:r/>
    </w:p>
    <w:p>
      <w:pPr>
        <w:pStyle w:val="993"/>
        <w:ind w:firstLine="480"/>
        <w:jc w:val="center"/>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lang w:val="en-US" w:eastAsia="zh-CN" w:bidi="ar-SA"/>
        </w:rPr>
        <mc:AlternateContent>
          <mc:Choice Requires="wpg">
            <w:drawing>
              <wp:inline xmlns:wp="http://schemas.openxmlformats.org/drawingml/2006/wordprocessingDrawing" distT="0" distB="0" distL="0" distR="0">
                <wp:extent cx="706637" cy="214931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06637" cy="2149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5.6pt;height:169.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3.3.5.2一体式低位照明预警系统要求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3.3.5.2.1材质：钣金外壳一体成型，表面喷塑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3.3.5.2.2主机规格尺寸：200*200*1100mm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3.3.5.2.3电压：供电电压AC 220V，工作电压DC 12V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3.3.5.2.4额定功率50W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3.3.5.2.5工作环境要求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 ℃~80℃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（2）环境湿度：湿度小于95%(无凝结)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（3）防护等级：IP55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3.3.5.3低位照明灯：</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3.3.5.3.1发光类型：高亮灯珠通过单石英透镜平行铺光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3.3.5.3.2散热材质：一体式铝散热（被动）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3.3.5.3.3光型要求：出光方向上部有明显的横向焦散切线，切线外无光照，切线内照明均匀。</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3.3.5.3.4照度要求：色温：6500K（纯白色），灯具前方正对光源照度：1米处不低于10000Lux、2米处不低于2800Lux、5米处不低于500Lux。</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3.3.5.3.5视觉防护要求：灯具需平行出光，在路面照明距离不少于8米、远端水平宽度不低于4米的情况下，照明高度应控制在距离路面40cm的高度，即40cm以上的物体不应被照亮。</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3.3.5.3.6工作电压DC 12V，功率30W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3.3.5.3.7工作环境要求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（3）防护等级：IP67</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3.3.5..4爆闪灯：</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3.3.5.4.1发光类型：光源采用高亮LED发光管，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3.3.5.4.2灯罩材质：灯罩采用高透光PC2805材料制成，透明度高不褪色,热变形温度:125℃,耐冲击强度85；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3.3.5.4.3规格尺寸：105*75*10mm（10mm厚度超薄款）</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3.3.5.4.4颜色要求：黄色</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3.3.5.4.5工作电压：12V</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3.3.5.4.6工作环境要求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（3）防护等级：IP67</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3.3.5..5智能语音模块：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5.3.3.5.1驱动组成：WT2003H-24SS高品质MP3语音芯片、PAM8320功放模块、UART指定插播地址音乐播放模块IC，可以提供高保真人声发音；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5.3.3.5.2扬声器采用保真高音喇叭，聚合物音盆，防水效果好；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3.3.5.5.3阻抗：4欧姆，功率12W。响应频率：80-20000Hz。灵敏度（最大声压级）110分贝。</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3.3.5.6嵌入式系统控制主板：</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3.3.5.6.1CPU采用的内核是Arm®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3.3.5.6.2产品内部集成了上电复位（POR）和掉电复位电路。这两种电路始终处于工作状态。当掉电复位电路监测到电源电压低于规定的阈值时，即使外部电路复位，该产品内置能够监测VDD并将其与VPVD阈值比较，当VDD在在VPVD阈值范围外且中断使能时会产生中断，可通过中断服务程序将MCU设置成安全状态。</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3.3.5.6.3系统控制主板具有以下功能：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（1）系统控制主板应具有备用电池功能。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（2）系统控制主板应具有主从机配组功能。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（3）系统控制主板应具有静电放电抗干扰功能。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（4）系统控制主板应具通讯加密功能。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3.3.5.6.4工作环境要求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（2）环境湿度：相对湿度≤98%RH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该模块具有数据加密和压缩功能，数据压缩功能有效缩短传输时间，降低干扰概率，提高可靠性和传输效率。</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3.3.5.7智能物联网模块：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基于4G无线网络的远程操作平台，可实现以下功能：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3.3.5.7.1设备远程实时状态监控；</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3.3.5.7.2远程方案设置、批量预案下发；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3.3.5.7.3方案上报及审核；</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3.3.5.7.4设备组件故障平台自动报警；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3.3.5.7.5三级用户权限设置。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3.3.5.8激光雷达检测器模组：</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3.3.5.8.1电压：9~250V交直流通用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3.3.5.8.2检测物体：不透明物体</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3.3.5.8.3检测方式：漫反射</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3.3.5.8.4检测范围：0~6米可调</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3.3.5.8.5输出方式：继电器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3.3.5.8.6消耗电流：10mA以下</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3.3.5.8.7电路保护：逆连接保护、浪涌吸收、负载短路保护</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3.3.5.8.8环境温/湿度：-30~+65°C(不结冰、不结霜)，35%~95%RH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3.3.5.8.9绝缘阻抗：50MQ以上(DC500兆欧表)充电部分与外壳间</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3.3.5.8.10检测功能：可区分被检测物的移动方向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3.3.5.9开关电源：</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3.3.5.9.1采用工程级防雨开关电源</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3.3.5.9.2防护等级：IP44</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3.3.5.9.3电路保护：短路/过负载/过电压/过热</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3.3.5.9.4宽电压输入：190-250VAC</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3.3.5.9.5稳压输出：12±0.2VDC</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3.3.5.9.6最大功率支持150W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自动重合闸用电保护器：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具备自动复位、过压、欠压、过流、漏电、防雷、延时保护功能和电压显示、设置等功能。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产品质保不低于1年。</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3.3.6分体式事故预警系统主机系统要求</w:t>
      </w:r>
      <w:r>
        <w:rPr>
          <w:rFonts w:hint="eastAsia" w:ascii="宋体" w:hAnsi="宋体" w:eastAsia="宋体" w:cs="宋体"/>
          <w:b/>
          <w:bCs/>
          <w:color w:val="000000"/>
          <w:sz w:val="24"/>
          <w:szCs w:val="24"/>
          <w:highlight w:val="none"/>
          <w:lang w:val="en-US" w:eastAsia="zh-CN"/>
        </w:rPr>
      </w:r>
      <w:r/>
    </w:p>
    <w:p>
      <w:pPr>
        <w:pStyle w:val="91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1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516265" cy="114561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16265" cy="11456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7pt;height:90.2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523334" cy="114808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3334" cy="1148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2pt;height:90.4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455432" cy="1127192"/>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455432" cy="11271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5.9pt;height:88.8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526593" cy="112983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6593" cy="1129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pt;height:89.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3.3.6.1材质：钣金外壳一体成型，表面喷塑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3.3.6.2主机规格尺寸：1200*320*130mm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3.3.6.3电压：供电电压AC 220V，工作电压DC 12V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3.3.6.4额定功率200W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3.3.6.5工作环境要求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3.3.6.5.1环境温度：-20 ℃~80℃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3.3.6.5.2环境湿度：湿度小于95%(无凝结)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3.3.6.6防护等级：IP55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3.3.6.7主动发光文字标志：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3.3.6.7.1发光类型：点阵灯珠文字发光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3.3.6.7.2材质：钣金外壳一体成型，表面喷塑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3.3.6.7.3标志内容：有人横穿</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3.3.6.7.4工作电压：DC 12V</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3.3.6.7.5工作环境要求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3.3.6.7.5.1环境温度：-20℃至80℃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3.3.6.7.5.2环境湿度：相对湿度90%RH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3.3.6.7.5.3防护等级：IP65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3.3.6.8爆闪灯：</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3.3.6.8.1发光类型：光源采用高亮LED发光管，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3.3.6.8.2灯罩材质：灯罩采用高透光PC2805材料制成，透明度高不褪色,热变形温度:125℃,耐冲击强度85；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3.3.6.8.3规格尺寸：105*75*10mm</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3.3.6.8.4颜色要求：红色、蓝色</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3.3.6.8.5工作电压：12V</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3.3.6.8.6工作环境要求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（3）防护等级：IP67</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3.3.6.9智能语音模块：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3.3.6.9.1驱动组成：WT2003H-24SS高品质MP3语音芯片、PAM8320功放模块、UART指定插播地址音乐播放模块IC，可以提供高保真人声发音；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3.3.6.9.2扬声器采用保真高音喇叭，聚合物音盆，防水效果好；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3.3.6.9.3阻抗：4欧姆，功率12W。响应频率：80-20000Hz。灵敏度（最大声压级）110分贝。</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3.3.6.10嵌入式系统控制主板：</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3.3.6.10.1CPU采用的内核是Arm®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3.3.6.10.2产品内部集成了上电复位（POR）和掉电复位电路。这两种电路始终处于工作状态。当掉电复位电路监测到电源电压低于规定的阈值时，即使外部电路复位，该产品内置能够监测VDD并将其与VPVD阈值比较，当VDD在在VPVD阈值范围外且中断使能时会产生中断，可通过中断服务程序将MCU设置成安全状态。</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3.3.6.10.3系统控制主板具有以下功能：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（1）系统控制主板应具有备用电池功能。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（2）系统控制主板应具有主从机配组功能。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（3）系统控制主板应具有静电放电抗干扰功能。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（4）系统控制主板应具通讯加密功能。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3.3.6.10.4工作环境要求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（2）环境湿度：相对湿度≤98%RH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3.3.6.11智能无线通讯模块：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该模块具有数据加密和压缩功能，数据压缩功能有效缩短传输时间，降低干扰概率，提高可靠性和传输效率。</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3.3.6.12智能物联网模块：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基于4G无线网络的远程操作平台，可实现以下功能：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3.3.6.12.1设备远程实时状态监控；</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3.3.6.12.2远程方案设置、批量预案下发；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3.3.6.12.3方案上报及审核；</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3.3.6.12.4设备组件故障平台自动报警；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3.3.6.12.5三级用户权限设置。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3.3.6.13智能交通视频检测器：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3.3.6.13.1检测器采用200万像素的筒型摄像机，支持最低照度：0.002Lux @(F1.2,AGC ON) ,0 Lux with IR ，满足高清画质+非常昏暗的场景应用，ICR 红外滤片式自动切换,实现日夜监控；</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3.3.6.13.2智能侦测：采用深度学习硬件及算法,提供精准的人车分类侦测,支持区域有人存在持续报警检测模式；</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3.3.6.13.3防护等级：符合 IP67 ，环境温度：-30℃至60℃,湿度小于 95%(无凝结)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3.3.6.13.4工作电压：DC12V±25%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3.3.6.13.5电源接口类型：Φ5.5mm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3.3.6.13.6支持视频录像采集，支持H.265编码，可提供多制式视频转换。可自由设置录像参数，包括：帧率、图像大小、分辨率等；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3.3.6.13.7视频本地储存介质为Micro SD卡，最大支持512G。</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3.3.6.14开关电源：</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3.3.6.14.1采用工程级防雨开关电源</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3.3.6.14.2防护等级：IP44</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3.3.6.14.3电路保护：短路/过负载/过电压/过热</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3.3.6.14.4宽电压输入：190-250VAC</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3.3.6.14.5稳压输出：12±0.2VDC</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3.3.6.14.6最大功率支持250W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3.3.6.15自动重合闸用电保护器：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具备自动复位、过压、欠压、过流、漏电、防雷、延时保护功能和电压显示、设置等功能。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3.3.6.16产品质保期限不低于1年。</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3.3.7一体式太阳能同频靠右行驶标志系统要求</w:t>
      </w:r>
      <w:r>
        <w:rPr>
          <w:rFonts w:hint="eastAsia" w:ascii="宋体" w:hAnsi="宋体" w:eastAsia="宋体" w:cs="宋体"/>
          <w:b/>
          <w:bCs/>
          <w:color w:val="000000"/>
          <w:sz w:val="24"/>
          <w:szCs w:val="24"/>
          <w:highlight w:val="none"/>
          <w:lang w:val="en-US" w:eastAsia="zh-CN"/>
        </w:rPr>
      </w:r>
      <w:r/>
    </w:p>
    <w:p>
      <w:pPr>
        <w:pStyle w:val="91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1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mc:AlternateContent>
          <mc:Choice Requires="wpg">
            <w:drawing>
              <wp:inline xmlns:wp="http://schemas.openxmlformats.org/drawingml/2006/wordprocessingDrawing" distT="0" distB="0" distL="0" distR="0">
                <wp:extent cx="631949" cy="163907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31949" cy="1639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9.8pt;height:129.1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24"/>
          <w:highlight w:val="none"/>
          <w:lang w:val="en-US" w:eastAsia="zh-CN"/>
        </w:rPr>
      </w:r>
      <w:r/>
    </w:p>
    <w:p>
      <w:pPr>
        <w:pStyle w:val="915"/>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3.3.7.1由一体式钣金壳体、反光膜警示板、全透发光标志警示板与内嵌式太阳能供电组件组合而成，一体式钣金壳体采用1.5mmQ345锰钢板材质喷塑处理，颜色为RAL7040色号，底座采用5mmQ420b高强度钢板材质，壳体表面底部内嵌黄色反光膜警示板，壳体表面上部内嵌全透发光标志警示板，壳体顶部内嵌光伏板，壳体内部设有储控一体锂电池并带有GPS同频控制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3.3.7.2产品尺寸：1000mm*300mm*100mm。</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3.3.7.3标志内容白天要求与常规标志一致，夜间标志整体主动发光，标志内容与国标一致，LED灯珠不得外露。</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3.3.7.4反光膜采用3M或同等品牌的国标Ⅳ级（超强级）微棱镜反光膜，使用年限为7年50%亮度保留值，背胶类型为常温压敏胶。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3.3.7.5产品上应有铭牌标明生产企业名称、商标、产品名称、型号、工作电压、电流、功率、重量、产品编号、制造日期、生产标准等。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3.3.7.6发光单元要求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3.3.7.6.1发光单元采用侧边导光的面发光技术，发光要求均匀、无局部过亮、黑影现象；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3.3.7.6.2可视距离：夜间动态距离≥250米，静态距离≥210米。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3.3.7.6.3电气性能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3.3.7.6.3.1工作电压：太阳能恒压驱动3V。</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3.3.7.6.3.2额定功率：2W。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3.3.7.6.3.3光伏板参数：4.8W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3.3.7.7工作环境要求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3.3.7.7.1环境温度：-20℃至70℃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3.3.7.7.2环境湿度：相对湿度90%RH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3.3.7.7.3防护等级：IP55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3.3.7.8产品质保期限不低于1年。</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bookmarkStart w:id="141" w:name="_Toc98605720"/>
      <w:r>
        <w:rPr>
          <w:rFonts w:hint="eastAsia" w:ascii="宋体" w:hAnsi="宋体" w:eastAsia="宋体" w:cs="宋体"/>
          <w:b/>
          <w:bCs/>
          <w:color w:val="000000"/>
          <w:sz w:val="24"/>
          <w:szCs w:val="24"/>
          <w:highlight w:val="none"/>
          <w:lang w:val="en-US" w:eastAsia="zh-CN"/>
        </w:rPr>
        <w:t xml:space="preserve">3.3.8一体式太阳能同频机非分道标志</w:t>
      </w:r>
      <w:bookmarkEnd w:id="141"/>
      <w:r>
        <w:rPr>
          <w:rFonts w:hint="eastAsia" w:ascii="宋体" w:hAnsi="宋体" w:eastAsia="宋体" w:cs="宋体"/>
          <w:b/>
          <w:bCs/>
          <w:color w:val="000000"/>
          <w:sz w:val="24"/>
          <w:szCs w:val="24"/>
          <w:highlight w:val="none"/>
          <w:lang w:val="en-US" w:eastAsia="zh-CN"/>
        </w:rPr>
        <w:t xml:space="preserve">系统要求</w:t>
      </w:r>
      <w:r>
        <w:rPr>
          <w:rFonts w:hint="eastAsia" w:ascii="宋体" w:hAnsi="宋体" w:eastAsia="宋体" w:cs="宋体"/>
          <w:b/>
          <w:bCs/>
          <w:color w:val="000000"/>
          <w:sz w:val="24"/>
          <w:szCs w:val="24"/>
          <w:highlight w:val="none"/>
          <w:lang w:val="en-US" w:eastAsia="zh-CN"/>
        </w:rPr>
      </w:r>
      <w:r/>
    </w:p>
    <w:p>
      <w:pPr>
        <w:pStyle w:val="993"/>
        <w:numPr>
          <w:ilvl w:val="0"/>
          <w:numId w:val="0"/>
        </w:numPr>
        <w:ind w:firstLine="420"/>
        <w:jc w:val="center"/>
        <w:spacing w:before="15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mc:AlternateContent>
          <mc:Choice Requires="wpg">
            <w:drawing>
              <wp:inline xmlns:wp="http://schemas.openxmlformats.org/drawingml/2006/wordprocessingDrawing" distT="0" distB="0" distL="0" distR="0">
                <wp:extent cx="836499" cy="216598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836499" cy="2165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5.9pt;height:170.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3.3.8.1由一体式钣金壳体、反光膜警示板、全透发光标志警示板与内嵌式太阳能供电组件组合而成，一体式钣金壳体采用1.5mmQ345锰钢板材质喷塑处理，颜色为RAL7040色号，底座采用5mmQ420b高强度钢板材质，壳体表面底部内嵌黄色反光膜警示板，壳体表面上部内嵌全透发光标志警示板，壳体顶部内嵌光伏板，壳体内部设有储控一体锂电池并带有GPS同频控制模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3.3.8.2产品尺寸：1000mm*200mm*100mm。</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3.3.8.3标志内容白天要求与常规标志一致，夜间标志整体主动发光，标志内容与国标一致，LED灯珠不得外露。</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3.3.8.4反光膜采用3M或同等品牌的国标Ⅳ级（超强级）微棱镜反光膜，使用年限为7年50%亮度保留值，背胶类型为常温压敏胶。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3.3.8.5在连续阴雨条件下，产品满载工作时间不小于72小时，半载工作时间不小于36小时。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3.3.8.6产品上应有铭牌标明生产企业名称、商标、产品名称、型号、工作电压、电流、功率、重量、产品编号、制造日期、生产标准等。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3.3.8.7发光单元要求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（1）发光单元采用侧边导光的面发光技术，发光要求均匀、无局部过亮、黑影现象；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（2）可视距离：夜间动态距离≥250米，静态距离≥210米。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3.3.8.8电气性能</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3.3.8.8.1工作电压：太阳能恒压驱动3V。</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3.3.8.8.2额定功率：2W。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3.3.8.8.3光伏板参数：3.2W</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3.3.8.9工作环境要求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3.3.8.9.1环境温度：-20℃至70℃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3.3.8.9.2环境湿度：相对湿度90%RH</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3.3.8.9.3防护等级：IP55</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3.3.8.10产品质保期限不低于1年。</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4.设施巡查要求</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4.1服务人员需制定具体的巡查计划，并安排对应巡查岗位；</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4.2服务人员在巡查过程中发现设备损坏或其他突发状况，须及时上报采购人，并提出专业解决方案。</w:t>
      </w:r>
      <w:r>
        <w:rPr>
          <w:rFonts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5.人员配备要求</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供应商需为本项目配备项目负责人1名，电工2名，其他服务人员4名（含1名巡查人员），上述为最低人员配备要求，供应商可根据项目情况自行增加人数，费用包含在总报价中。</w:t>
      </w:r>
      <w:r>
        <w:rPr>
          <w:rFonts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七、有关说明：</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1.在维护中遇到失窃现象（不限于数量多少），成交单位应在当天向当地</w:t>
      </w:r>
      <w:r>
        <w:rPr>
          <w:rFonts w:hint="eastAsia" w:ascii="宋体" w:hAnsi="宋体" w:eastAsia="宋体" w:cs="宋体"/>
          <w:color w:val="000000"/>
          <w:sz w:val="24"/>
          <w:szCs w:val="24"/>
          <w:highlight w:val="none"/>
        </w:rPr>
        <w:t xml:space="preserve">公安机关报案和采购单位报案，登记规格型号及数量，并阐述具体情况。</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zh-CN"/>
        </w:rPr>
        <w:t xml:space="preserve">安全措施及责任：</w:t>
      </w:r>
      <w:r>
        <w:rPr>
          <w:rFonts w:hint="eastAsia" w:ascii="宋体" w:hAnsi="宋体" w:eastAsia="宋体" w:cs="宋体"/>
          <w:color w:val="000000"/>
          <w:sz w:val="24"/>
          <w:szCs w:val="24"/>
          <w:highlight w:val="none"/>
        </w:rPr>
        <w:t xml:space="preserve">成交单位自行承担项目服务期间的人员、设备等一切安全责任。</w:t>
      </w:r>
      <w:r>
        <w:rPr>
          <w:rFonts w:hint="eastAsia" w:ascii="宋体" w:hAnsi="宋体" w:eastAsia="宋体" w:cs="宋体"/>
          <w:color w:val="000000"/>
          <w:sz w:val="24"/>
          <w:szCs w:val="24"/>
          <w:highlight w:val="none"/>
          <w:lang w:val="zh-CN"/>
        </w:rPr>
        <w:t xml:space="preserve">在现场工作时，</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zh-CN"/>
        </w:rPr>
        <w:t xml:space="preserve">单位应遵守政府有关安全法律法规，并对其人员的安全负责，在作业现场，</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zh-CN"/>
        </w:rPr>
        <w:t xml:space="preserve">单位应采取必要的安全措施，并应保障甲方免于承担由此导致的一切诉讼、争执、索赔、罚款，任何事故和责任均由</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zh-CN"/>
        </w:rPr>
        <w:t xml:space="preserve">单位承担。</w:t>
      </w:r>
      <w:r>
        <w:rPr>
          <w:rFonts w:hint="eastAsia" w:ascii="宋体" w:hAnsi="宋体" w:eastAsia="宋体" w:cs="宋体"/>
          <w:color w:val="000000"/>
          <w:sz w:val="24"/>
          <w:szCs w:val="24"/>
          <w:highlight w:val="none"/>
          <w:lang w:val="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服务要求：成交单位应严格按照要求进行维护，并接受采购单位的考核。对采购单位提出的关于交通设施维护合理的建议应予执行。采购单位因国家城市建设或其他特殊情况提出的确需变更的事项应予遵守，因此而涉及合同事项的变更，由成交单位和采购单位协商解决。</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在维护过程中，若有其他部门在本次采购交通设施维护管理服务范围内或周边施工，成交单位意识到可能对看护工作造成影响时，成交单位有义务及时与采购单位联系并汇报，并由采购单位出面协调处理相关的工作。如果因成交单位没有作到及时汇报而造成的相应损失或产生的不良后果由成交单位负责。</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维护过程中必须配合采购单位完成交通设施迁移、改造等变更，所产生的费用由另行结算。</w:t>
      </w:r>
      <w:r>
        <w:rPr>
          <w:rFonts w:hint="eastAsia" w:ascii="宋体" w:hAnsi="宋体" w:eastAsia="宋体" w:cs="宋体"/>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报价说明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报价包含完成本次服务项目所需的人工、材料、机械、管理、维护、维修、更换、保险、安全、人身意外伤亡、利润、税金、应考虑的其他因素、政策性文件规定及合同包含的所有风险、责任等一切费用。</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响应单位在报价时应充分考虑以下因素：</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各响应单位应结合各类交通设施的维护要求进行报价；</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报价应考虑整个承包期限内的全部设备的维护、维修、损坏更换（包括更换的设备、材料等）等。包括标线、标牌、信号灯、电子信息等交通设施以及辅助设备、材料的看护、损坏更换等产生的一切费用等全部费用。</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因人为因素造成对相关交通设施的损坏，由维护单位负责及时维修或更换并恢复，自然老化引起的非正常设施需及时维修或更换并恢复，所有涉及更换、补齐的设备、材料均要求与原有品牌型号规格一致，所发生一切费用均包含在响应报价中。</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本次</w:t>
      </w:r>
      <w:r>
        <w:rPr>
          <w:rFonts w:hint="eastAsia" w:ascii="宋体" w:hAnsi="宋体" w:eastAsia="宋体" w:cs="宋体"/>
          <w:b/>
          <w:bCs/>
          <w:color w:val="000000"/>
          <w:sz w:val="24"/>
          <w:szCs w:val="24"/>
          <w:highlight w:val="none"/>
          <w:lang w:eastAsia="zh-CN"/>
        </w:rPr>
        <w:t xml:space="preserve">响应报价</w:t>
      </w:r>
      <w:r>
        <w:rPr>
          <w:rFonts w:hint="eastAsia" w:ascii="宋体" w:hAnsi="宋体" w:eastAsia="宋体" w:cs="宋体"/>
          <w:b/>
          <w:bCs/>
          <w:color w:val="000000"/>
          <w:sz w:val="24"/>
          <w:szCs w:val="24"/>
          <w:highlight w:val="none"/>
        </w:rPr>
        <w:t xml:space="preserve">须根据“采购内容清单”中的“</w:t>
      </w:r>
      <w:r>
        <w:rPr>
          <w:rFonts w:hint="eastAsia" w:ascii="宋体" w:hAnsi="宋体" w:eastAsia="宋体" w:cs="宋体"/>
          <w:b/>
          <w:bCs/>
          <w:color w:val="000000"/>
          <w:sz w:val="24"/>
          <w:szCs w:val="24"/>
          <w:highlight w:val="none"/>
          <w:lang w:val="en-US" w:eastAsia="zh-CN"/>
        </w:rPr>
        <w:t xml:space="preserve">单价最高限价</w:t>
      </w:r>
      <w:r>
        <w:rPr>
          <w:rFonts w:hint="eastAsia" w:ascii="宋体" w:hAnsi="宋体" w:eastAsia="宋体" w:cs="宋体"/>
          <w:b/>
          <w:bCs/>
          <w:color w:val="000000"/>
          <w:sz w:val="24"/>
          <w:szCs w:val="24"/>
          <w:highlight w:val="none"/>
        </w:rPr>
        <w:t xml:space="preserve">”基础上报统一的</w:t>
      </w:r>
      <w:r>
        <w:rPr>
          <w:rFonts w:hint="eastAsia" w:ascii="宋体" w:hAnsi="宋体" w:eastAsia="宋体" w:cs="宋体"/>
          <w:b/>
          <w:bCs/>
          <w:color w:val="000000"/>
          <w:sz w:val="24"/>
          <w:szCs w:val="24"/>
          <w:highlight w:val="none"/>
          <w:lang w:val="en-US" w:eastAsia="zh-CN"/>
        </w:rPr>
        <w:t xml:space="preserve">优惠率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例如</w:t>
      </w:r>
      <w:r>
        <w:rPr>
          <w:rFonts w:hint="eastAsia" w:ascii="宋体" w:hAnsi="宋体" w:eastAsia="宋体" w:cs="宋体"/>
          <w:b/>
          <w:bCs/>
          <w:color w:val="000000"/>
          <w:sz w:val="24"/>
          <w:szCs w:val="24"/>
          <w:highlight w:val="none"/>
          <w:lang w:val="en-US" w:eastAsia="zh-CN"/>
        </w:rPr>
        <w:t xml:space="preserve">优惠率10</w:t>
      </w:r>
      <w:r>
        <w:rPr>
          <w:rFonts w:hint="eastAsia" w:ascii="宋体" w:hAnsi="宋体" w:eastAsia="宋体" w:cs="宋体"/>
          <w:b/>
          <w:bCs/>
          <w:color w:val="000000"/>
          <w:sz w:val="24"/>
          <w:szCs w:val="24"/>
          <w:highlight w:val="none"/>
        </w:rPr>
        <w:t xml:space="preserve">％，则表示结算单价在“全费用综合单价上限价格”的基础上</w:t>
      </w:r>
      <w:r>
        <w:rPr>
          <w:rFonts w:hint="eastAsia" w:ascii="宋体" w:hAnsi="宋体" w:eastAsia="宋体" w:cs="宋体"/>
          <w:b/>
          <w:bCs/>
          <w:color w:val="000000"/>
          <w:sz w:val="24"/>
          <w:szCs w:val="24"/>
          <w:highlight w:val="none"/>
          <w:lang w:val="en-US" w:eastAsia="zh-CN"/>
        </w:rPr>
        <w:t xml:space="preserve">×(1-10%)（即9折）】</w:t>
      </w:r>
      <w:r>
        <w:rPr>
          <w:rFonts w:hint="eastAsia" w:ascii="宋体" w:hAnsi="宋体" w:eastAsia="宋体" w:cs="宋体"/>
          <w:b/>
          <w:bCs/>
          <w:color w:val="000000"/>
          <w:sz w:val="24"/>
          <w:szCs w:val="24"/>
          <w:highlight w:val="none"/>
        </w:rPr>
        <w:t xml:space="preserve">，供应商应自行考虑项目实施期间的风险，具体费用根据成交单价及实际工作量结算。</w:t>
      </w:r>
      <w:r>
        <w:rPr>
          <w:rFonts w:hint="eastAsia" w:ascii="宋体" w:hAnsi="宋体" w:eastAsia="宋体" w:cs="宋体"/>
          <w:b/>
          <w:bCs/>
          <w:color w:val="000000"/>
          <w:sz w:val="24"/>
          <w:szCs w:val="24"/>
          <w:highlight w:val="none"/>
          <w:lang w:eastAsia="zh-CN"/>
        </w:rPr>
        <w:t xml:space="preserve">响应优惠率</w:t>
      </w:r>
      <w:r>
        <w:rPr>
          <w:rFonts w:hint="eastAsia" w:ascii="宋体" w:hAnsi="宋体" w:eastAsia="宋体" w:cs="宋体"/>
          <w:b/>
          <w:bCs/>
          <w:color w:val="000000"/>
          <w:sz w:val="24"/>
          <w:szCs w:val="24"/>
          <w:highlight w:val="none"/>
          <w:lang w:val="en-US" w:eastAsia="zh-CN"/>
        </w:rPr>
        <w:t xml:space="preserve">取整数，不得出现小数。以上单价均为含税价格，且已包含绿化开挖、人工、设备等所有相关费用。</w:t>
      </w:r>
      <w:r>
        <w:rPr>
          <w:rFonts w:hint="eastAsia" w:ascii="宋体" w:hAnsi="宋体" w:eastAsia="宋体" w:cs="宋体"/>
          <w:b/>
          <w:bCs/>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验收标准：根据磋商文件要求、国家标准及行业标准执行。</w:t>
      </w:r>
      <w:r>
        <w:rPr>
          <w:rFonts w:hint="eastAsia" w:ascii="宋体" w:hAnsi="宋体" w:eastAsia="宋体" w:cs="宋体"/>
          <w:b/>
          <w:bCs/>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bCs/>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本项目不接受进口产品。</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响应单位须对本项目中的所有服务进行报价，不得拆开报价或只投其中的部分内容，否则作无效响应处理。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若本次采购的产品属于政府采购节能产品、环境标志产品政府采购品目清单管理中的强制采购产品，供应商应提供认证机构（参与实施政府采购节能产品、环境标志产品认证机构名录中）出具的有效期之内的节能产品、环境标志产品认证证书复印件，品目清单可通过“中国政府采购网”（http://www.ccgp.gov.cn）查询，未提供或提供不全的将视为未实质性响应采购要求；采购产品如不属于品目清单范围内的，供应商因考虑节能、节水、环保、循环、低碳、再生、有机等因素，参考相关国家标准、行业标准或团体标准，提供应相关绿色产品。</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上述清单中的设备如属苏州市政府协议供货目录中规定的产品，</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所投产品型号必须为协议供货目录中有的品牌型号，且</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必须在协议供货价格内，品牌型号及配置可上江苏省政府采购中心网上最新一期中查询，提供相关产品信息的截图资料，否则为</w:t>
      </w:r>
      <w:r>
        <w:rPr>
          <w:rFonts w:hint="eastAsia" w:ascii="宋体" w:hAnsi="宋体" w:eastAsia="宋体" w:cs="宋体"/>
          <w:color w:val="000000"/>
          <w:sz w:val="24"/>
          <w:szCs w:val="24"/>
          <w:highlight w:val="none"/>
          <w:lang w:eastAsia="zh-CN"/>
        </w:rPr>
        <w:t xml:space="preserve">无效响应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响应单位承诺采购文件中提出的全部服务规格与要求，如果以其中某些条款不响应时，应在文件中逐条列出，未列出的视同响应。</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付款步骤</w:t>
      </w:r>
      <w:r>
        <w:rPr>
          <w:rFonts w:hint="eastAsia" w:ascii="宋体" w:hAnsi="宋体" w:eastAsia="宋体" w:cs="宋体"/>
          <w:color w:val="000000"/>
          <w:sz w:val="24"/>
          <w:szCs w:val="24"/>
          <w:highlight w:val="none"/>
          <w:lang w:val="zh-CN"/>
        </w:rPr>
        <w:t xml:space="preserve">按季度付款，以实际发生的业务量和固定优惠率</w:t>
      </w:r>
      <w:r>
        <w:rPr>
          <w:rFonts w:hint="eastAsia" w:ascii="宋体" w:hAnsi="宋体" w:eastAsia="宋体" w:cs="宋体"/>
          <w:color w:val="000000"/>
          <w:sz w:val="24"/>
          <w:szCs w:val="24"/>
          <w:highlight w:val="none"/>
          <w:lang w:val="en-US" w:eastAsia="zh-CN"/>
        </w:rPr>
        <w:t xml:space="preserve">后单价</w:t>
      </w:r>
      <w:r>
        <w:rPr>
          <w:rFonts w:hint="eastAsia" w:ascii="宋体" w:hAnsi="宋体" w:eastAsia="宋体" w:cs="宋体"/>
          <w:color w:val="000000"/>
          <w:sz w:val="24"/>
          <w:szCs w:val="24"/>
          <w:highlight w:val="none"/>
          <w:lang w:val="zh-CN"/>
        </w:rPr>
        <w:t xml:space="preserve">计算服务经费，每季度结算一次。每次支付</w:t>
      </w:r>
      <w:r>
        <w:rPr>
          <w:rFonts w:hint="eastAsia" w:ascii="宋体" w:hAnsi="宋体" w:eastAsia="宋体" w:cs="宋体"/>
          <w:color w:val="000000"/>
          <w:sz w:val="24"/>
          <w:szCs w:val="24"/>
          <w:highlight w:val="none"/>
          <w:lang w:val="en-US" w:eastAsia="zh-CN"/>
        </w:rPr>
        <w:t xml:space="preserve">季度实际发生金额</w:t>
      </w:r>
      <w:r>
        <w:rPr>
          <w:rFonts w:hint="eastAsia" w:ascii="宋体" w:hAnsi="宋体" w:eastAsia="宋体" w:cs="宋体"/>
          <w:color w:val="000000"/>
          <w:sz w:val="24"/>
          <w:szCs w:val="24"/>
          <w:highlight w:val="none"/>
          <w:lang w:val="zh-CN"/>
        </w:rPr>
        <w:t xml:space="preserve">的50%，</w:t>
      </w:r>
      <w:r>
        <w:rPr>
          <w:rFonts w:hint="eastAsia" w:ascii="宋体" w:hAnsi="宋体" w:eastAsia="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lang w:val="zh-CN"/>
        </w:rPr>
        <w:t xml:space="preserve">审计结束后支付审计金额的80%，余款在审计结束后（以最后批次的项目验收合格之日起计算）一年内平均支付。</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响应单位应能保证所提供服务涉及到的知识产权是合法取得，并享有完整的知识产权，不会因为需方的使用而被责令停止使用、追偿或要求赔偿损失，如出现此情况，一切经济和法律责任均由供方承担。</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rPr>
          <w:rFonts w:hint="eastAsia" w:ascii="宋体" w:hAnsi="宋体" w:eastAsia="宋体" w:cs="宋体"/>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十一、综合说明：</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1.磋商供应商提供的服务能够至少达到以上要求，同时明确详细的服务方案。</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2.磋商供应商必须承诺采购文件中提出的全部服务要求，如果以其中某些条款不响应时，应在文件中逐条列出，未列出的视同响应。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3.成交单位将根据采购文件、响应文件的相关约定，承担合同责任，履行合同义务。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磋商供应商应保证在本项目使用的任何产品（包括部分使用）时，不会产生因第三方提出侵犯其专利权、商标权或其它知识产权而引起的法律和经济纠纷，如因专利权、商标权或其它知识产权而引起法律和经济纠纷，由磋商供应商承担所有相关责任。</w:t>
      </w:r>
      <w:r>
        <w:rPr>
          <w:rFonts w:hint="eastAsia" w:ascii="宋体" w:hAnsi="宋体" w:eastAsia="宋体" w:cs="宋体"/>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十二、</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915"/>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color w:val="000000"/>
          <w:sz w:val="30"/>
          <w:szCs w:val="30"/>
          <w:highlight w:val="none"/>
        </w:rPr>
      </w: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97"/>
        <w:tabs>
          <w:tab w:val="center" w:pos="4153" w:leader="none"/>
          <w:tab w:val="right" w:pos="8306" w:leader="none"/>
        </w:tabs>
        <w:rPr>
          <w:rFonts w:hint="eastAsia" w:ascii="宋体" w:hAnsi="宋体" w:eastAsia="宋体"/>
          <w:b/>
          <w:bCs/>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97"/>
        <w:tabs>
          <w:tab w:val="center" w:pos="4153" w:leader="none"/>
          <w:tab w:val="right" w:pos="8306" w:leader="none"/>
        </w:tabs>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915"/>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t xml:space="preserve">具体规定详见采购文件第二章。</w:t>
      </w:r>
      <w:r>
        <w:rPr>
          <w:rFonts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专门面向中小企业采购的项目或者采购包，不再执行价格评审优惠的扶持政策。</w:t>
      </w:r>
      <w:r>
        <w:rPr>
          <w:rFonts w:hint="eastAsia" w:ascii="宋体" w:hAnsi="宋体" w:eastAsia="宋体" w:cs="宋体"/>
          <w:b/>
          <w:bCs/>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如涉及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bookmarkStart w:id="142" w:name="OLE_LINK17"/>
      <w:r/>
      <w:bookmarkStart w:id="143" w:name="OLE_LINK25"/>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000000"/>
          <w:sz w:val="24"/>
          <w:szCs w:val="24"/>
          <w:highlight w:val="none"/>
          <w:lang w:val="en-US" w:eastAsia="zh-CN"/>
        </w:rPr>
        <w:t xml:space="preserve">供应商须在采购文件提供的格式中填写比例</w:t>
      </w:r>
      <w:r>
        <w:rPr>
          <w:rFonts w:hint="eastAsia" w:ascii="宋体" w:hAnsi="宋体" w:eastAsia="宋体" w:cs="宋体"/>
          <w:color w:val="000000"/>
          <w:sz w:val="24"/>
          <w:szCs w:val="24"/>
          <w:highlight w:val="none"/>
        </w:rPr>
        <w:t xml:space="preserve">），依法对该供应商提供的全部产品给予价格评审优惠，即对该供应商提供的全部产品的总报价给予20%的价格扣除，用扣除后的价格参与评审。</w:t>
      </w:r>
      <w:bookmarkStart w:id="144" w:name="OLE_LINK26"/>
      <w:r>
        <w:rPr>
          <w:rFonts w:hint="eastAsia" w:ascii="宋体" w:hAnsi="宋体" w:eastAsia="宋体" w:cs="宋体"/>
          <w:color w:val="000000"/>
          <w:sz w:val="24"/>
          <w:szCs w:val="24"/>
          <w:highlight w:val="none"/>
        </w:rPr>
        <w:t xml:space="preserve">供应商未填写比例数值，或比例数值未达到80%的，将不享受本国产品价格评审优惠。</w:t>
      </w:r>
      <w:bookmarkEnd w:id="142"/>
      <w:r/>
      <w:bookmarkEnd w:id="143"/>
      <w:r/>
      <w:bookmarkEnd w:id="144"/>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.3供应商需按照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的要求对其提供的产品出具《关于符合本国产品标准的声明函》（以下简称《声明函》），如不提供将不享受本国产品价格评审优惠。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需在《声明函》中逐一、准确填写产品名称、厂名、生产厂址三项信息（《声明函》中用线划除的地方无需填写），三项信息中任意一项未填写的视为该项产品不符合本国产品标准，不享受本国产品价格评审优惠。 </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hint="eastAsia" w:ascii="宋体" w:hAnsi="宋体" w:eastAsia="宋体" w:cs="宋体"/>
          <w:color w:val="000000"/>
          <w:sz w:val="24"/>
          <w:szCs w:val="24"/>
          <w:highlight w:val="none"/>
        </w:rPr>
      </w:r>
      <w:r/>
    </w:p>
    <w:p>
      <w:pPr>
        <w:pStyle w:val="915"/>
        <w:ind w:firstLine="482"/>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二、评分标准</w:t>
      </w:r>
      <w:r>
        <w:rPr>
          <w:rFonts w:hint="eastAsia" w:ascii="宋体" w:hAnsi="宋体" w:eastAsia="宋体" w:cs="宋体"/>
          <w:b/>
          <w:bCs/>
          <w:color w:val="000000"/>
          <w:sz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总分值为100分，评审因素及各比重如下：价格分值占总分值的比重为10％（权重），技术及其他分值占总分值的比重为90％（权重）。</w:t>
      </w:r>
      <w:r>
        <w:rPr>
          <w:rFonts w:hint="eastAsia" w:ascii="宋体" w:hAnsi="宋体" w:eastAsia="宋体" w:cs="宋体"/>
          <w:color w:val="000000"/>
          <w:sz w:val="24"/>
          <w:highlight w:val="none"/>
          <w:lang w:val="en-US" w:eastAsia="zh-CN"/>
        </w:rPr>
      </w:r>
      <w:r/>
    </w:p>
    <w:p>
      <w:pPr>
        <w:pStyle w:val="915"/>
        <w:ind w:firstLine="482"/>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（一）价格分：10分</w:t>
      </w:r>
      <w:r>
        <w:rPr>
          <w:rFonts w:hint="eastAsia" w:ascii="宋体" w:hAnsi="宋体" w:eastAsia="宋体" w:cs="宋体"/>
          <w:b/>
          <w:bCs/>
          <w:color w:val="000000"/>
          <w:sz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第一步：</w:t>
      </w:r>
      <w:r>
        <w:rPr>
          <w:rFonts w:hint="eastAsia" w:ascii="宋体" w:hAnsi="宋体" w:eastAsia="宋体" w:cs="宋体"/>
          <w:color w:val="000000"/>
          <w:sz w:val="24"/>
          <w:highlight w:val="none"/>
          <w:lang w:val="en-US" w:eastAsia="zh-CN"/>
        </w:rPr>
        <w:t xml:space="preserve">响应优惠率大于或等于1</w:t>
      </w:r>
      <w:r>
        <w:rPr>
          <w:rFonts w:hint="eastAsia" w:ascii="宋体" w:hAnsi="宋体" w:eastAsia="宋体" w:cs="宋体"/>
          <w:color w:val="000000"/>
          <w:sz w:val="24"/>
          <w:highlight w:val="none"/>
          <w:lang w:val="zh-CN" w:eastAsia="zh-CN"/>
        </w:rPr>
        <w:t xml:space="preserve">%的，为有效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w:t>
      </w:r>
      <w:r>
        <w:rPr>
          <w:rFonts w:hint="eastAsia" w:ascii="宋体" w:hAnsi="宋体" w:eastAsia="宋体" w:cs="宋体"/>
          <w:color w:val="000000"/>
          <w:sz w:val="24"/>
          <w:highlight w:val="none"/>
          <w:lang w:val="en-US" w:eastAsia="zh-CN"/>
        </w:rPr>
        <w:t xml:space="preserve">小于1</w:t>
      </w:r>
      <w:r>
        <w:rPr>
          <w:rFonts w:hint="eastAsia" w:ascii="宋体" w:hAnsi="宋体" w:eastAsia="宋体" w:cs="宋体"/>
          <w:color w:val="000000"/>
          <w:sz w:val="24"/>
          <w:highlight w:val="none"/>
          <w:lang w:val="zh-CN" w:eastAsia="zh-CN"/>
        </w:rPr>
        <w:t xml:space="preserve">%的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报价为无效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报价。无效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文件不得进入评审程序。</w:t>
      </w:r>
      <w:r>
        <w:rPr>
          <w:rFonts w:hint="eastAsia" w:ascii="宋体" w:hAnsi="宋体" w:eastAsia="宋体" w:cs="宋体"/>
          <w:color w:val="000000"/>
          <w:sz w:val="24"/>
          <w:highlight w:val="none"/>
          <w:lang w:val="zh-CN" w:eastAsia="zh-CN"/>
        </w:rPr>
      </w:r>
      <w:r/>
    </w:p>
    <w:p>
      <w:pPr>
        <w:pStyle w:val="915"/>
        <w:ind w:firstLine="480"/>
        <w:keepLines w:val="0"/>
        <w:keepNext w:val="0"/>
        <w:pageBreakBefore w:val="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第二步：价格分采用低价优先法计算，即满足采购文件要求且</w:t>
      </w:r>
      <w:r>
        <w:rPr>
          <w:rFonts w:hint="eastAsia" w:ascii="宋体" w:hAnsi="宋体" w:eastAsia="宋体" w:cs="宋体"/>
          <w:color w:val="000000"/>
          <w:sz w:val="24"/>
          <w:highlight w:val="none"/>
          <w:lang w:val="en-US" w:eastAsia="zh-CN"/>
        </w:rPr>
        <w:t xml:space="preserve">优惠率最高</w:t>
      </w:r>
      <w:r>
        <w:rPr>
          <w:rFonts w:hint="eastAsia" w:ascii="宋体" w:hAnsi="宋体" w:eastAsia="宋体" w:cs="宋体"/>
          <w:color w:val="000000"/>
          <w:sz w:val="24"/>
          <w:highlight w:val="none"/>
          <w:lang w:val="zh-CN" w:eastAsia="zh-CN"/>
        </w:rPr>
        <w:t xml:space="preserve">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报价为评标基准价，其价格分为满分。其他</w:t>
      </w:r>
      <w:r>
        <w:rPr>
          <w:rFonts w:hint="eastAsia" w:ascii="宋体" w:hAnsi="宋体" w:eastAsia="宋体" w:cs="宋体"/>
          <w:color w:val="000000"/>
          <w:sz w:val="24"/>
          <w:highlight w:val="none"/>
          <w:lang w:val="en-US" w:eastAsia="zh-CN"/>
        </w:rPr>
        <w:t xml:space="preserve">磋商供应商</w:t>
      </w:r>
      <w:r>
        <w:rPr>
          <w:rFonts w:hint="eastAsia" w:ascii="宋体" w:hAnsi="宋体" w:eastAsia="宋体" w:cs="宋体"/>
          <w:color w:val="000000"/>
          <w:sz w:val="24"/>
          <w:highlight w:val="none"/>
          <w:lang w:val="zh-CN" w:eastAsia="zh-CN"/>
        </w:rPr>
        <w:t xml:space="preserve">的价格分统一按照下列公式计算：</w:t>
      </w:r>
      <w:r>
        <w:rPr>
          <w:rFonts w:hint="eastAsia" w:ascii="宋体" w:hAnsi="宋体" w:eastAsia="宋体" w:cs="宋体"/>
          <w:color w:val="000000"/>
          <w:sz w:val="24"/>
          <w:highlight w:val="none"/>
          <w:lang w:val="zh-CN" w:eastAsia="zh-CN"/>
        </w:rPr>
      </w:r>
      <w:r/>
    </w:p>
    <w:p>
      <w:pPr>
        <w:pStyle w:val="915"/>
        <w:ind w:firstLine="480"/>
        <w:keepLines w:val="0"/>
        <w:keepNext w:val="0"/>
        <w:pageBreakBefore w:val="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响应报价得分=（评标基准价/响应报价）*价格权值*100，小数点后保留两位（价格权值为10%）。</w:t>
      </w:r>
      <w:r>
        <w:rPr>
          <w:rFonts w:hint="eastAsia" w:ascii="宋体" w:hAnsi="宋体" w:eastAsia="宋体" w:cs="宋体"/>
          <w:color w:val="000000"/>
          <w:sz w:val="24"/>
          <w:highlight w:val="none"/>
          <w:lang w:val="zh-CN" w:eastAsia="zh-CN"/>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（二）服务方案及人员设备配置比较：77分</w:t>
      </w:r>
      <w:r>
        <w:rPr>
          <w:rFonts w:hint="eastAsia" w:ascii="宋体" w:hAnsi="宋体" w:eastAsia="宋体" w:cs="宋体"/>
          <w:b/>
          <w:bCs/>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1.维护管理及保养方案（10分）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日常巡视、检查、检测、检修、日常配合等内容：方案考虑周全、详实具体，安排科学合理、可行性高得10分；方案较为详细，安排较为科学、较为可行得8分；方案详实程度及合理性一般得6分；方案不够详细合理性较差得3分；未提供相关说明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2.设施抢修组织方案（10分）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接到通知后的响应时间、处理方案、人员安排等内容：方案考虑周全，安排科学可行得10分；方案较为详细，安排较为科学、较为可行得8分；方案详实程度及合理性一般得6分；方案不够详细合理性较差得3分；未提供相关说明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3.设施偷盗及人为损坏的处理恢复方案（10分）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对管理范围内的设施偷盗或人为损坏及故障发现后的处置以及偷盗发生后采取的措施等内容：根据偷盗的种类及危害性，分别提供了相应的分析及处置方案，且方案措施合理可实施性强得10分；方案内容分析较好，措施较为合理可行得8分；方案内容分析一般，措施基本可行得6分；方案内容分析简单，措施可实施性较差得3分；未提供相关说明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4.安全管理方案（10分）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正常养护作业时和发生事故时的交通组织和安全防护措施以及各项紧急预案等内容：安全管理方案考虑全面，措施及预案可实施性强得10分；方案考虑较为全面，措施及预案较为科学合理得8分；方案考虑基本到位，措施及预案合理性一般得6分；方案考虑简单，措施及预案合理性较差得3分；未提供相关说明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5.维护所需的工具管理及使用方案（6分）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管理制度完善，方案科学可行得6分；管理制度相对完善，方案较为可行得5分；制度基本完整，方案可行性一般得3分；制度简单，方案合理性较差得2分；未提供相关说明不得分。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6.维护期间与其他单位、部门的综合协调方案（7分）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方案考虑全面，可实施性强得7分；协调方案较为详细，可实施性较好得6分；协调方案不够详细，可实施性一般得5分；协调方案简单，可实施性较差得2分；未提供相关说明不得分。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7.项目了解及重点难点分析（10分）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现场情况调查分析了解深入，重点难点分析清晰得10分；对项目现场调查了解较为详细，重难点分析较为合理得8分；对现场情况调查分析了解情况一般，重难点分析合理性一般得6分；对现场情况调查了解分析较差，重难点不够清楚得3分；未提供相关说明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8.人员配置方案（11分）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8.1项目负责人配置（3分）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负责人具备公路工程专业二级及以上建造师证书的得1分、具备公路工程（交通工程）类专业高级及以上职称证书的得2分，最高为3分。响应文件中提供证书及响应单位截止磋商前三个月内为其缴纳的任意一期社保证明扫描件加盖响应单位公章，否则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8.2电工配置（2分）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组成员（不包括项目负责人）具有低压或高压电工证的，有一人得1分，最高为2分。响应文件中提供证书及响应单位截止磋商前三个月内为其缴纳的任意一期社保证明扫描件加盖响应单位公章，否则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8.3公路交通安全设施工配置（6分）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项目组成员（不包括项目负责人及电工）具有公路交通安全设施工证书的，有一人得2分，最高为6分。响应文件中提供证书及响应单位截止磋商前三个月内为其缴纳的任意一期社保证明扫描件加盖响应单位公章，否则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9.设备配置方案（3分）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9.1配置1辆液压高空作业高车的得1分；最高1分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9.2配置1辆吊车的得1分；最高1分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9.3配置1辆防撞车的得1分；最高1分。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单位应具有履行本项目的专业设备，上述车辆需为响应单位自有或租赁。若为自有车辆的，需提供车辆产权证、有效期内行驶证扫描件加盖磋商响应单位公章；若为租赁车辆的，提供租赁合同及出租单位的车辆产权证、有效期内行驶证、租赁发票扫描件加盖磋商响应单位公章。</w:t>
      </w:r>
      <w:r>
        <w:rPr>
          <w:rFonts w:hint="eastAsia" w:ascii="宋体" w:hAnsi="宋体" w:eastAsia="宋体" w:cs="宋体"/>
          <w:color w:val="000000"/>
          <w:sz w:val="24"/>
          <w:szCs w:val="24"/>
          <w:highlight w:val="none"/>
          <w:lang w:val="en-US" w:eastAsia="zh-CN"/>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（三）服务质量技术保障：5分</w:t>
      </w:r>
      <w:r>
        <w:rPr>
          <w:rFonts w:hint="eastAsia" w:ascii="宋体" w:hAnsi="宋体" w:eastAsia="宋体" w:cs="宋体"/>
          <w:b/>
          <w:bCs/>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1.检测报告（5分）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标线类具有检测资质的检测机构出具的白色热熔标线常规（包含预混玻璃珠含量、密度、软化点、耐磨性等）检测报告；黄色热熔标线常规（包含预混玻璃珠含量、密度、软化点、耐磨性等）检测报告的，每提供一项得1分，最高为2分。响应文件中提供完整的检测报告扫描件加盖响应单位公章，否则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标牌设施类具有检测资质的检测机构出具的道路交通标志板（包含色度性能、光度性能、抗冲击性能、耐盐雾腐蚀性能等）检测报告；交通隔离护栏安全性能评价报告（包含汽车碰撞护栏的试验数据、试验结果情况照片、阻挡功能、导向功能、缓冲功能检测结果等）；道口事故预警系统（包含12VDC~24VDC 宽电压功能、耐湿热95%以上、无线双向通讯功能、多信道抗干扰功能等）的检测报告的每提供一项得1分，最高为3分。响应文件中提供完整的检测报告扫描件加盖响应单位公章，否则不得分。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注，响应文件中须上述1.1-1.2项所要求的完整检测报告扫描件加盖响应单位公章，否则不得分</w:t>
      </w:r>
      <w:r>
        <w:rPr>
          <w:rFonts w:hint="eastAsia" w:ascii="宋体" w:hAnsi="宋体" w:eastAsia="宋体" w:cs="宋体"/>
          <w:color w:val="000000"/>
          <w:sz w:val="24"/>
          <w:szCs w:val="24"/>
          <w:highlight w:val="none"/>
          <w:lang w:val="en-US" w:eastAsia="zh-CN"/>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（四）响应单位综合履约能力：8分</w:t>
      </w:r>
      <w:r>
        <w:rPr>
          <w:rFonts w:hint="eastAsia" w:ascii="宋体" w:hAnsi="宋体" w:eastAsia="宋体" w:cs="宋体"/>
          <w:b/>
          <w:bCs/>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1.认证体系（5分）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单位具有有效期内的质量管理体系认证证书、环境管理体系认证证书、职业健康安全管理体系认证证书、道路交通安全管理体系认证证书、安全应急响应管理体系认证证书，有1个得1分，本项最高得5分.响应文件中提供证书扫描件及证书在全国认证认可信息公共服务平台（http://cx.cnca.cn）网站查询为有效状态的查询结果网页截图加盖响应单位公章，否则不得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2.类似业绩（3分）</w:t>
      </w:r>
      <w:r>
        <w:rPr>
          <w:rFonts w:hint="eastAsia" w:ascii="宋体" w:hAnsi="宋体" w:eastAsia="宋体" w:cs="宋体"/>
          <w:color w:val="000000"/>
          <w:sz w:val="24"/>
          <w:szCs w:val="24"/>
          <w:highlight w:val="none"/>
          <w:lang w:val="en-US" w:eastAsia="zh-CN"/>
        </w:rPr>
      </w:r>
      <w:r/>
    </w:p>
    <w:p>
      <w:pPr>
        <w:pStyle w:val="91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单位自2023年1月1日至今具有类似项目业绩的，每提供一个得1分，最高为3分。响应文件中提供合同、验收报告（或完工证明）扫描件加盖响应单位公章，否则不得分。时间以验收报告（或完工证明）日期为准。</w:t>
      </w:r>
      <w:r>
        <w:rPr>
          <w:rFonts w:hint="eastAsia" w:ascii="宋体" w:hAnsi="宋体" w:eastAsia="宋体" w:cs="宋体"/>
          <w:color w:val="000000"/>
          <w:sz w:val="24"/>
          <w:szCs w:val="24"/>
          <w:highlight w:val="none"/>
          <w:lang w:val="en-US" w:eastAsia="zh-CN"/>
        </w:rPr>
      </w:r>
      <w:r/>
    </w:p>
    <w:p>
      <w:pPr>
        <w:pStyle w:val="970"/>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w:t>
      </w:r>
      <w:r>
        <w:rPr>
          <w:rFonts w:hint="eastAsia" w:ascii="宋体" w:hAnsi="宋体" w:cs="宋体"/>
          <w:color w:val="000000"/>
          <w:sz w:val="24"/>
          <w:highlight w:val="none"/>
          <w:lang w:val="en-US" w:eastAsia="zh-CN"/>
        </w:rPr>
        <w:t xml:space="preserve">报价低于最低优惠率或</w:t>
      </w:r>
      <w:r>
        <w:rPr>
          <w:rFonts w:hint="eastAsia" w:ascii="宋体" w:hAnsi="宋体" w:cs="宋体"/>
          <w:color w:val="000000"/>
          <w:sz w:val="24"/>
          <w:highlight w:val="none"/>
        </w:rPr>
        <w:t xml:space="preserve">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915"/>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8"/>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915"/>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915"/>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32"/>
        <w:ind w:left="0" w:right="0" w:firstLine="480"/>
        <w:jc w:val="both"/>
        <w:keepLines w:val="0"/>
        <w:keepNext w:val="0"/>
        <w:pageBreakBefore w:val="0"/>
        <w:spacing w:line="360" w:lineRule="auto"/>
        <w:widowControl w:val="off"/>
        <w:tabs>
          <w:tab w:val="center" w:pos="4153" w:leader="none"/>
          <w:tab w:val="right" w:pos="8306" w:leader="none"/>
        </w:tabs>
        <w:rPr>
          <w:rFonts w:hint="eastAsia" w:ascii="宋体" w:hAnsi="宋体" w:eastAsia="宋体" w:cs="宋体"/>
          <w:color w:val="000000"/>
          <w:sz w:val="24"/>
          <w:szCs w:val="24"/>
          <w:highlight w:val="none"/>
          <w:lang w:val="zh-CN"/>
        </w:rPr>
        <w:pBdr>
          <w:bottom w:val="none" w:color="000000" w:sz="0" w:space="0"/>
        </w:pBdr>
      </w:pPr>
      <w:r>
        <w:rPr>
          <w:rFonts w:hint="eastAsia" w:ascii="宋体" w:hAnsi="宋体" w:eastAsia="宋体" w:cs="宋体"/>
          <w:color w:val="000000"/>
          <w:sz w:val="24"/>
          <w:szCs w:val="24"/>
          <w:highlight w:val="none"/>
        </w:rPr>
        <w:t xml:space="preserve">根据苏州市吴江区政府采购编号</w:t>
      </w:r>
      <w:r>
        <w:rPr>
          <w:rFonts w:hint="eastAsia" w:ascii="宋体" w:hAnsi="宋体" w:eastAsia="宋体" w:cs="宋体"/>
          <w:color w:val="000000"/>
          <w:sz w:val="24"/>
          <w:szCs w:val="24"/>
          <w:highlight w:val="none"/>
          <w:u w:val="single"/>
          <w:lang w:eastAsia="zh-CN"/>
        </w:rPr>
        <w:t xml:space="preserve">JSZC-320509-ZZHL-C2026-0032</w:t>
      </w:r>
      <w:r>
        <w:rPr>
          <w:rFonts w:hint="eastAsia" w:ascii="宋体" w:hAnsi="宋体" w:eastAsia="宋体" w:cs="宋体"/>
          <w:color w:val="000000"/>
          <w:sz w:val="24"/>
          <w:szCs w:val="24"/>
          <w:highlight w:val="none"/>
        </w:rPr>
        <w:t xml:space="preserve">采购文件及乙方的响应文件和成交通知书，甲乙各方就此次乙方成交的项目事宜，签订本合同书。</w:t>
      </w:r>
      <w:r>
        <w:rPr>
          <w:rFonts w:hint="eastAsia" w:ascii="宋体" w:hAnsi="宋体" w:eastAsia="宋体" w:cs="宋体"/>
          <w:color w:val="000000"/>
          <w:sz w:val="24"/>
          <w:szCs w:val="24"/>
          <w:highlight w:val="none"/>
          <w:lang w:val="zh-CN"/>
        </w:rPr>
      </w:r>
      <w:r/>
    </w:p>
    <w:p>
      <w:pPr>
        <w:pStyle w:val="915"/>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一、维护内容、维护费用和维护时间</w:t>
      </w:r>
      <w:r>
        <w:rPr>
          <w:rFonts w:hint="eastAsia" w:ascii="宋体" w:hAnsi="宋体" w:eastAsia="宋体" w:cs="宋体"/>
          <w:b/>
          <w:color w:val="000000"/>
          <w:sz w:val="24"/>
          <w:szCs w:val="24"/>
          <w:highlight w:val="none"/>
        </w:rPr>
      </w:r>
      <w:r/>
    </w:p>
    <w:p>
      <w:pPr>
        <w:pStyle w:val="994"/>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1.服务</w:t>
      </w: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lang w:eastAsia="zh-CN"/>
        </w:rPr>
        <w:t xml:space="preserve">2026年汾湖派出所道路交安设施维护项目</w:t>
      </w:r>
      <w:r>
        <w:rPr>
          <w:rFonts w:hint="eastAsia" w:ascii="宋体" w:hAnsi="宋体" w:eastAsia="宋体" w:cs="宋体"/>
          <w:color w:val="000000"/>
          <w:sz w:val="24"/>
          <w:szCs w:val="24"/>
          <w:highlight w:val="none"/>
        </w:rPr>
        <w:t xml:space="preserve">，具体按采购需求清单及范围。</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维护费用</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zh-CN"/>
        </w:rPr>
        <w:t xml:space="preserve">合同固定优惠率为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。结算总金额</w:t>
      </w:r>
      <w:r>
        <w:rPr>
          <w:rFonts w:hint="eastAsia" w:ascii="宋体" w:hAnsi="宋体" w:eastAsia="宋体" w:cs="宋体"/>
          <w:color w:val="000000"/>
          <w:sz w:val="24"/>
          <w:szCs w:val="24"/>
          <w:highlight w:val="none"/>
          <w:lang w:val="en-US" w:eastAsia="zh-CN"/>
        </w:rPr>
        <w:t xml:space="preserve">预估金额为</w:t>
      </w:r>
      <w:r>
        <w:rPr>
          <w:rFonts w:hint="eastAsia" w:ascii="宋体" w:hAnsi="宋体" w:eastAsia="宋体" w:cs="宋体"/>
          <w:color w:val="000000"/>
          <w:sz w:val="24"/>
          <w:szCs w:val="24"/>
          <w:highlight w:val="none"/>
          <w:lang w:val="zh-CN"/>
        </w:rPr>
        <w:t xml:space="preserve">人民币（大写）</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乙方报价</w:t>
      </w:r>
      <w:r>
        <w:rPr>
          <w:rFonts w:hint="eastAsia" w:ascii="宋体" w:hAnsi="宋体" w:eastAsia="宋体" w:cs="宋体"/>
          <w:color w:val="000000"/>
          <w:sz w:val="24"/>
          <w:szCs w:val="24"/>
          <w:highlight w:val="none"/>
          <w:lang w:val="zh-CN"/>
        </w:rPr>
        <w:t xml:space="preserve">包括完成该项工作所需的人工、材料、机械、管理、维护、维修、更换、保险、安全、人身意外伤亡、利润、税金、应考虑的其他因素、政策性文件规定及合同包含的所有风险、责任等一切费用。</w:t>
      </w:r>
      <w:r>
        <w:rPr>
          <w:rFonts w:hint="eastAsia" w:ascii="宋体" w:hAnsi="宋体" w:eastAsia="宋体" w:cs="宋体"/>
          <w:color w:val="000000"/>
          <w:sz w:val="24"/>
          <w:szCs w:val="24"/>
          <w:highlight w:val="none"/>
          <w:lang w:val="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zh-CN"/>
        </w:rPr>
        <w:t xml:space="preserve">付款步骤：按季度付款，以实际发生的业务量和固定优惠折扣率计算服务经费每季度结算一次。每次支付当季实际发生业务量的50%，</w:t>
      </w:r>
      <w:r>
        <w:rPr>
          <w:rFonts w:hint="eastAsia" w:ascii="宋体" w:hAnsi="宋体" w:eastAsia="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lang w:val="zh-CN"/>
        </w:rPr>
        <w:t xml:space="preserve">审计结束后支付</w:t>
      </w:r>
      <w:r>
        <w:rPr>
          <w:rFonts w:hint="eastAsia" w:ascii="宋体" w:hAnsi="宋体" w:eastAsia="宋体" w:cs="宋体"/>
          <w:color w:val="000000"/>
          <w:sz w:val="24"/>
          <w:szCs w:val="24"/>
          <w:highlight w:val="none"/>
          <w:lang w:val="zh-CN" w:eastAsia="zh-CN"/>
        </w:rPr>
        <w:t xml:space="preserve">至</w:t>
      </w:r>
      <w:r>
        <w:rPr>
          <w:rFonts w:hint="eastAsia" w:ascii="宋体" w:hAnsi="宋体" w:eastAsia="宋体" w:cs="宋体"/>
          <w:color w:val="000000"/>
          <w:sz w:val="24"/>
          <w:szCs w:val="24"/>
          <w:highlight w:val="none"/>
          <w:lang w:val="zh-CN"/>
        </w:rPr>
        <w:t xml:space="preserve">审定金额的80%，余款在审计结束后</w:t>
      </w:r>
      <w:r>
        <w:rPr>
          <w:rFonts w:hint="eastAsia" w:ascii="宋体" w:hAnsi="宋体" w:eastAsia="宋体" w:cs="宋体"/>
          <w:color w:val="000000"/>
          <w:sz w:val="24"/>
          <w:szCs w:val="24"/>
          <w:highlight w:val="none"/>
          <w:lang w:val="zh-CN"/>
        </w:rPr>
        <w:t xml:space="preserve">（以最后批次的项目验收合格之日起计算）</w:t>
      </w:r>
      <w:r>
        <w:rPr>
          <w:rFonts w:hint="eastAsia" w:ascii="宋体" w:hAnsi="宋体" w:eastAsia="宋体" w:cs="宋体"/>
          <w:color w:val="000000"/>
          <w:sz w:val="24"/>
          <w:szCs w:val="24"/>
          <w:highlight w:val="none"/>
          <w:lang w:val="zh-CN"/>
        </w:rPr>
        <w:t xml:space="preserve">一年内平均支付。</w:t>
      </w:r>
      <w:r>
        <w:rPr>
          <w:rFonts w:hint="eastAsia" w:ascii="宋体" w:hAnsi="宋体" w:eastAsia="宋体" w:cs="宋体"/>
          <w:color w:val="000000"/>
          <w:sz w:val="24"/>
          <w:szCs w:val="24"/>
          <w:highlight w:val="none"/>
          <w:lang w:val="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付款时乙方应提供以下资料：</w:t>
      </w:r>
      <w:r>
        <w:rPr>
          <w:rFonts w:hint="eastAsia" w:ascii="宋体" w:hAnsi="宋体" w:eastAsia="宋体" w:cs="宋体"/>
          <w:color w:val="000000"/>
          <w:sz w:val="24"/>
          <w:szCs w:val="24"/>
          <w:highlight w:val="none"/>
          <w:lang w:val="zh-CN"/>
        </w:rPr>
      </w:r>
      <w:r/>
    </w:p>
    <w:p>
      <w:pPr>
        <w:pStyle w:val="915"/>
        <w:numPr>
          <w:ilvl w:val="3"/>
          <w:numId w:val="0"/>
        </w:numPr>
        <w:ind w:left="0" w:right="0" w:firstLine="480"/>
        <w:jc w:val="both"/>
        <w:keepLines w:val="0"/>
        <w:keepNext w:val="0"/>
        <w:pageBreakBefore w:val="0"/>
        <w:spacing w:line="360" w:lineRule="auto"/>
        <w:widowControl w:val="off"/>
        <w:tabs>
          <w:tab w:val="left" w:pos="846"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2.3.1</w:t>
      </w:r>
      <w:r>
        <w:rPr>
          <w:rFonts w:hint="eastAsia" w:ascii="宋体" w:hAnsi="宋体" w:eastAsia="宋体" w:cs="宋体"/>
          <w:color w:val="000000"/>
          <w:sz w:val="24"/>
          <w:szCs w:val="24"/>
          <w:highlight w:val="none"/>
        </w:rPr>
        <w:t xml:space="preserve">合格的销售发票；</w:t>
      </w:r>
      <w:r>
        <w:rPr>
          <w:rFonts w:hint="eastAsia" w:ascii="宋体" w:hAnsi="宋体" w:eastAsia="宋体" w:cs="宋体"/>
          <w:color w:val="000000"/>
          <w:sz w:val="24"/>
          <w:szCs w:val="24"/>
          <w:highlight w:val="none"/>
        </w:rPr>
      </w:r>
      <w:r/>
    </w:p>
    <w:p>
      <w:pPr>
        <w:pStyle w:val="915"/>
        <w:numPr>
          <w:ilvl w:val="3"/>
          <w:numId w:val="0"/>
        </w:numPr>
        <w:ind w:left="0" w:right="0" w:firstLine="480"/>
        <w:jc w:val="both"/>
        <w:keepLines w:val="0"/>
        <w:keepNext w:val="0"/>
        <w:pageBreakBefore w:val="0"/>
        <w:spacing w:line="360" w:lineRule="auto"/>
        <w:widowControl w:val="off"/>
        <w:tabs>
          <w:tab w:val="left" w:pos="846" w:leader="none"/>
          <w:tab w:val="left" w:pos="1080" w:leader="none"/>
        </w:tabs>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2.3.2设施巡查报告；</w:t>
      </w:r>
      <w:r>
        <w:rPr>
          <w:rFonts w:ascii="宋体" w:hAnsi="宋体" w:eastAsia="宋体" w:cs="宋体"/>
          <w:color w:val="000000"/>
          <w:sz w:val="24"/>
          <w:szCs w:val="24"/>
          <w:highlight w:val="none"/>
          <w:lang w:val="en-US"/>
        </w:rPr>
      </w:r>
      <w:r/>
    </w:p>
    <w:p>
      <w:pPr>
        <w:pStyle w:val="915"/>
        <w:numPr>
          <w:ilvl w:val="3"/>
          <w:numId w:val="0"/>
        </w:numPr>
        <w:ind w:left="0" w:right="0" w:firstLine="480"/>
        <w:jc w:val="both"/>
        <w:keepLines w:val="0"/>
        <w:keepNext w:val="0"/>
        <w:pageBreakBefore w:val="0"/>
        <w:spacing w:line="360" w:lineRule="auto"/>
        <w:widowControl w:val="off"/>
        <w:tabs>
          <w:tab w:val="left" w:pos="846"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w:t>
      </w:r>
      <w:r>
        <w:rPr>
          <w:rFonts w:hint="eastAsia" w:ascii="宋体" w:hAnsi="宋体" w:eastAsia="宋体" w:cs="宋体"/>
          <w:color w:val="000000"/>
          <w:sz w:val="24"/>
          <w:szCs w:val="24"/>
          <w:highlight w:val="none"/>
        </w:rPr>
        <w:t xml:space="preserve">由甲乙双方及采购代理机构签章的《采购合同履行验收报告》。</w:t>
      </w:r>
      <w:r>
        <w:rPr>
          <w:rFonts w:hint="eastAsia" w:ascii="宋体" w:hAnsi="宋体" w:eastAsia="宋体" w:cs="宋体"/>
          <w:color w:val="000000"/>
          <w:sz w:val="24"/>
          <w:szCs w:val="24"/>
          <w:highlight w:val="none"/>
        </w:rPr>
      </w:r>
      <w:r/>
    </w:p>
    <w:p>
      <w:pPr>
        <w:pStyle w:val="915"/>
        <w:numPr>
          <w:ilvl w:val="3"/>
          <w:numId w:val="0"/>
        </w:numPr>
        <w:ind w:left="0" w:right="0" w:firstLine="480"/>
        <w:jc w:val="both"/>
        <w:keepLines w:val="0"/>
        <w:keepNext w:val="0"/>
        <w:pageBreakBefore w:val="0"/>
        <w:spacing w:line="360" w:lineRule="auto"/>
        <w:widowControl w:val="off"/>
        <w:tabs>
          <w:tab w:val="left" w:pos="846" w:leader="none"/>
          <w:tab w:val="left" w:pos="108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因乙方未按上述要求提供完整材料，造成逾期支付等不利后果，由乙方承担。</w:t>
      </w:r>
      <w:r>
        <w:rPr>
          <w:rFonts w:ascii="宋体" w:hAnsi="宋体" w:eastAsia="宋体" w:cs="宋体"/>
          <w:color w:val="000000"/>
          <w:sz w:val="24"/>
          <w:szCs w:val="24"/>
          <w:highlight w:val="none"/>
          <w:lang w:val="en-US" w:eastAsia="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付款方式：银行转账。</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3.合同履约期限</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highlight w:val="none"/>
          <w:lang w:eastAsia="zh-CN"/>
        </w:rPr>
        <w:t xml:space="preserve">自合同生效之日起一年或结算金额达到预算为止（以先到为准）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二、权利和义务</w:t>
      </w:r>
      <w:r>
        <w:rPr>
          <w:rFonts w:hint="eastAsia" w:ascii="宋体" w:hAnsi="宋体" w:eastAsia="宋体" w:cs="宋体"/>
          <w:b/>
          <w:color w:val="000000"/>
          <w:sz w:val="24"/>
          <w:szCs w:val="24"/>
          <w:highlight w:val="none"/>
        </w:rPr>
      </w:r>
      <w:r/>
    </w:p>
    <w:p>
      <w:pPr>
        <w:pStyle w:val="915"/>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甲方权利和义务  </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根据甲方交通设施维护要求及乙方</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中的承诺，对乙方提供的服务及履行本合同情况实行验收考核。</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因突发事件及重大活动，甲方需调动乙方人员、设备时，乙方应服从安排予以配合，但因此发生的费用由甲方承担。</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若乙方在承包维护期间，因将维护管理转包他人，或违反甲方考核要求等有关规定而被解除承包合同。</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乙方权利和义务</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乙方根据交通设施维护技术要求、交通设施维护质量标准和有关要求，积极主动保质保量地完成交通设施维护工作。</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接受并主动配合甲方及行业管理部门的检查。</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维护范围之外的突击性、突发性工作，乙方须服从甲方的安排，不得无故拖延。</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因乙方维护管理不善而损坏的植物、设施应负责及时补植和修复，或照价赔偿。</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乙方在每月经验收考核后，按季领取维护费用。</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乙方应做好详细的维护台账，建立维护档案，并在每月的五号前将上个月维护档案和当月计划报送甲方。</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三、交通设施维护服务基本要求</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在维护中遇到失窃现象（不限于数量多少），乙方应在当天向当地公安机关报案和甲方报案，登记规格型号及数量，并阐述具体情况。</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自行承担项目服务期间的人员、设备等一切安全责任。在现场工作时，乙方应遵守政府有关安全法律法规，并对其人员的安全负责；在作业现场，乙方应采取必要的安全措施，并应保障甲方免于承担由此导致的一切诉讼、争执、索赔、罚款，任何事故和责任均由乙方承担。</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应严格按照要求进行维护，并接受甲方的考核。对甲方提出的关于交通设施维护合理的建议应予执行。甲方因国家城市建设或其他特殊情况提出的确需变更的事项应予遵守，因此而涉及合同事项的变更，由甲乙双方协商解决。</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维护过程中，若有其他部门在本次采购交通设施维护管理服务范围内或周边施工，乙方意识到可能对看护工作造成影响时，乙方有义务及时与甲方联系并汇报，并由甲方出面协调处理相关的工作。如果因乙方没有做到及时汇报而造成的相应损失或产生</w:t>
      </w:r>
      <w:r>
        <w:rPr>
          <w:rFonts w:hint="eastAsia" w:ascii="宋体" w:hAnsi="宋体" w:eastAsia="宋体" w:cs="宋体"/>
          <w:color w:val="000000"/>
          <w:sz w:val="24"/>
          <w:szCs w:val="24"/>
          <w:highlight w:val="none"/>
          <w:lang w:val="en-US" w:eastAsia="zh-CN"/>
        </w:rPr>
        <w:t xml:space="preserve">的不良后果由乙方负责。</w:t>
      </w:r>
      <w:r>
        <w:rPr>
          <w:rFonts w:hint="eastAsia" w:ascii="宋体" w:hAnsi="宋体" w:eastAsia="宋体" w:cs="宋体"/>
          <w:color w:val="000000"/>
          <w:sz w:val="24"/>
          <w:szCs w:val="24"/>
          <w:highlight w:val="none"/>
          <w:lang w:val="en-US" w:eastAsia="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5.维护过程中必须配合乙方完成交通设施迁移、改造等变更，所产生的费用由另行结算。</w:t>
      </w:r>
      <w:r>
        <w:rPr>
          <w:rFonts w:hint="eastAsia" w:ascii="宋体" w:hAnsi="宋体" w:eastAsia="宋体" w:cs="宋体"/>
          <w:color w:val="000000"/>
          <w:sz w:val="24"/>
          <w:szCs w:val="24"/>
          <w:highlight w:val="none"/>
          <w:lang w:val="en-US" w:eastAsia="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6.设施巡查要求</w:t>
      </w:r>
      <w:r>
        <w:rPr>
          <w:rFonts w:hint="eastAsia" w:ascii="宋体" w:hAnsi="宋体" w:eastAsia="宋体" w:cs="宋体"/>
          <w:color w:val="000000"/>
          <w:sz w:val="24"/>
          <w:szCs w:val="24"/>
          <w:highlight w:val="none"/>
          <w:lang w:val="en-US" w:eastAsia="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6.1服务人员需制定具体的巡查计划，并安排对应巡查岗位；</w:t>
      </w:r>
      <w:r>
        <w:rPr>
          <w:rFonts w:hint="eastAsia" w:ascii="宋体" w:hAnsi="宋体" w:eastAsia="宋体" w:cs="宋体"/>
          <w:color w:val="000000"/>
          <w:sz w:val="24"/>
          <w:szCs w:val="24"/>
          <w:highlight w:val="none"/>
          <w:lang w:val="en-US" w:eastAsia="zh-CN"/>
        </w:rPr>
      </w:r>
      <w:r/>
    </w:p>
    <w:p>
      <w:pPr>
        <w:pStyle w:val="9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6.2服务人员在巡查过程中发现设备损坏或其他突发状况，须及时上报采购人，并提出专业解决方案。</w:t>
      </w:r>
      <w:r>
        <w:rPr>
          <w:rFonts w:ascii="宋体" w:hAnsi="宋体" w:eastAsia="宋体" w:cs="宋体"/>
          <w:color w:val="000000"/>
          <w:sz w:val="24"/>
          <w:szCs w:val="24"/>
          <w:highlight w:val="none"/>
          <w:lang w:val="en-US" w:eastAsia="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当甲方提出故障修复要求后，乙方响应时间不得超过2小时，由于设备及其承载系统发生故障的，应在3天内完成修复；由于传输光缆被切断导致的故障，修复时间不超过7天；涉及需要更换杆件及基础的项目，因涉及混凝土基础浇筑和养护可相应放宽到14天内完成恢复。如遇到连续阴雨天气的，考虑到人员、设备等安全，室外故障设备的维修可适当延时。在遇到强雷雨天气和大雪等恶劣天气情况带来的大面积障碍，修复时间可按需要顺延相应天数。如因市政供电问题导致的故障，修复时间从市政供电恢复后开始计算。</w:t>
      </w:r>
      <w:r>
        <w:rPr>
          <w:rFonts w:hint="eastAsia" w:ascii="宋体" w:hAnsi="宋体" w:eastAsia="宋体" w:cs="宋体"/>
          <w:color w:val="000000"/>
          <w:sz w:val="24"/>
          <w:szCs w:val="24"/>
          <w:highlight w:val="none"/>
          <w:lang w:val="en-US" w:eastAsia="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8.甲方有权在任何时候进入现场检查，乙方须无条件配合，不得拒绝。</w:t>
      </w:r>
      <w:r>
        <w:rPr>
          <w:rFonts w:hint="eastAsia" w:ascii="宋体" w:hAnsi="宋体" w:eastAsia="宋体" w:cs="宋体"/>
          <w:color w:val="000000"/>
          <w:sz w:val="24"/>
          <w:szCs w:val="24"/>
          <w:highlight w:val="none"/>
          <w:lang w:val="en-US" w:eastAsia="zh-CN"/>
        </w:rPr>
      </w:r>
      <w:r/>
    </w:p>
    <w:p>
      <w:pPr>
        <w:pStyle w:val="915"/>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9.甲方有权随时查阅乙方所有维护记录，乙方须按要求提供相关材料，并确保材料的真实性和时效性。</w:t>
      </w:r>
      <w:r>
        <w:rPr>
          <w:rFonts w:ascii="宋体" w:hAnsi="宋体" w:eastAsia="宋体" w:cs="宋体"/>
          <w:color w:val="000000"/>
          <w:sz w:val="24"/>
          <w:szCs w:val="24"/>
          <w:highlight w:val="none"/>
          <w:lang w:val="en-US" w:eastAsia="zh-CN"/>
        </w:rPr>
      </w:r>
      <w:r/>
    </w:p>
    <w:p>
      <w:pPr>
        <w:pStyle w:val="915"/>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四、安全</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乙方承担维护的路段必须由专业人员进行维护，其安全方面的管理事宜由乙方负责，甲方不参与其管理，也不承担其责任。</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乙方应加强对维护人员进行法律法令的教育，遵纪守法的教育，如发生打架、赌博等违法乱纪行为，由乙方负责，与甲方无关。</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乙方应对维护人员加强安全管理和教育，强化安全技术措施，配备必要的安全生产工具和劳动保护用品，并认真督促维护人员穿戴好劳保用品上岗作业。</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乙方在维护时应指定专人负责安全，精心组织维护。树立“安全第一，预防为主”的安全工作方针，采取积极有效的安全措施，确保维护及甲方利益不受损害，对甲方提出的安全要求，乙方应予采纳。</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甲方在维护项目分配时，应有专人指派或现场交底，对地下隐蔽部位的管线，建筑实施等提出安全要求，乙方必须按要求作业。</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乙方在维护中发生的各类事故及造成第三者的人、物损（伤）害责任事故，与甲方无关，均由乙方负责。</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五、不可抗力</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六、违约责任</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乙方如将成交项目再行转包，甲方有权立即终止合同。</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如乙方在甲方月检查考核中连续三次不合格发生重大违规现象之一的，甲方有权即行终止合同。</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乙方所维护期间发生安全作业事故，甲方有权即行终止合同。</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七、合同修改</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甲方和乙方都不得擅自变更本合同，但合同继续履行将损害国家和社会公共利益的除外。如必须对合同条款进行改动时，当事人双方须共同签署书面文件，做为合同的补充，并报同级政府采购监督管理部门备案。</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八、转让和分包</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政府采购合同的部分和全部都不得转让。</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九、合同的解除</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甲方和乙方协商一致，可以解除合同。</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有下列情形之一，合同一方可以解除合同：</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因合同一方违约导致合同不能履行，另一方有权解除合同。</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十、争议解决办法</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因本合同或与本合同有关的一切事项发生争议，由双方友好协商解决。协商不成的，任何一方均可选择以下方式解决：</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方式一：双方达成仲裁协议，向约定的仲裁委员会申请仲裁，本合同约定的仲裁委员会是</w:t>
      </w:r>
      <w:r>
        <w:rPr>
          <w:rFonts w:hint="eastAsia" w:ascii="宋体" w:hAnsi="宋体" w:eastAsia="宋体" w:cs="宋体"/>
          <w:color w:val="000000"/>
          <w:sz w:val="24"/>
          <w:szCs w:val="24"/>
          <w:highlight w:val="none"/>
          <w:u w:val="single"/>
        </w:rPr>
        <w:t xml:space="preserve">合同履行所在地仲裁机构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方式二：向甲方所在地的人民法院起诉。</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十一、合同生效及其他</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本合同经甲乙双方法定代表人或其委托代理人签字并加盖公章（或合同章）后生效，多页合同需甲、乙、</w:t>
      </w: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color w:val="000000"/>
          <w:sz w:val="24"/>
          <w:szCs w:val="24"/>
          <w:highlight w:val="none"/>
        </w:rPr>
        <w:t xml:space="preserve">加盖骑缝章，生效合同需经政府采购监督管理部门网上备案。</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915"/>
        <w:numPr>
          <w:ilvl w:val="0"/>
          <w:numId w:val="4"/>
        </w:numPr>
        <w:ind w:left="0" w:right="0" w:firstLine="480"/>
        <w:jc w:val="both"/>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915"/>
        <w:numPr>
          <w:ilvl w:val="0"/>
          <w:numId w:val="4"/>
        </w:numPr>
        <w:ind w:left="0" w:right="0" w:firstLine="480"/>
        <w:jc w:val="both"/>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乙方成交的响应文件；</w:t>
      </w:r>
      <w:r>
        <w:rPr>
          <w:rFonts w:hint="eastAsia" w:ascii="宋体" w:hAnsi="宋体" w:eastAsia="宋体" w:cs="宋体"/>
          <w:color w:val="000000"/>
          <w:sz w:val="24"/>
          <w:szCs w:val="24"/>
          <w:highlight w:val="none"/>
        </w:rPr>
      </w:r>
      <w:r/>
    </w:p>
    <w:p>
      <w:pPr>
        <w:pStyle w:val="915"/>
        <w:numPr>
          <w:ilvl w:val="0"/>
          <w:numId w:val="4"/>
        </w:numPr>
        <w:ind w:left="0" w:right="0" w:firstLine="480"/>
        <w:jc w:val="both"/>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915"/>
        <w:numPr>
          <w:ilvl w:val="0"/>
          <w:numId w:val="4"/>
        </w:numPr>
        <w:ind w:left="0" w:right="0" w:firstLine="480"/>
        <w:jc w:val="both"/>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乙方在采购过程中所作的其他承诺、声明、书面澄清等。</w:t>
      </w:r>
      <w:r>
        <w:rPr>
          <w:rFonts w:hint="eastAsia" w:ascii="宋体" w:hAnsi="宋体" w:eastAsia="宋体" w:cs="宋体"/>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合同在执行过程中出现的未尽事宜，双方在不违背本合同和采购文件的原则下协商解决，协商结果以书面形式盖章记录在案，作为本合同的附件，与本合同具有同等效力，并提交政府采购监督管理部门和</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备存。</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十二、未尽事宜</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未尽事宜应按照《中华人民共和国民法典》、《中华人民共和国政府采购法》等相关法律法规之规定解释。</w:t>
      </w:r>
      <w:r>
        <w:rPr>
          <w:rFonts w:hint="eastAsia" w:ascii="宋体" w:hAnsi="宋体" w:eastAsia="宋体" w:cs="宋体"/>
          <w:color w:val="000000"/>
          <w:sz w:val="24"/>
          <w:szCs w:val="24"/>
          <w:highlight w:val="none"/>
        </w:rPr>
      </w:r>
      <w:r/>
    </w:p>
    <w:p>
      <w:pPr>
        <w:pStyle w:val="915"/>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十三、附则</w:t>
      </w:r>
      <w:r>
        <w:rPr>
          <w:rFonts w:hint="eastAsia" w:ascii="宋体" w:hAnsi="宋体" w:eastAsia="宋体" w:cs="宋体"/>
          <w:b/>
          <w:color w:val="000000"/>
          <w:sz w:val="24"/>
          <w:szCs w:val="24"/>
          <w:highlight w:val="none"/>
        </w:rPr>
      </w:r>
      <w:r/>
    </w:p>
    <w:p>
      <w:pPr>
        <w:pStyle w:val="915"/>
        <w:ind w:left="0" w:right="0" w:firstLine="480"/>
        <w:jc w:val="both"/>
        <w:keepLines w:val="0"/>
        <w:keepNext w:val="0"/>
        <w:pageBreakBefore w:val="0"/>
        <w:spacing w:line="360" w:lineRule="auto"/>
        <w:widowControl w:val="off"/>
        <w:tabs>
          <w:tab w:val="center" w:pos="5131"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本合同一式陆份，甲乙双方各两份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、政府采购管理部门各执一份</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具有同等法律效力</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15"/>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未尽事宜应按照《中华人民共和国民法典》等相关法律法规之规定解释。</w:t>
      </w:r>
      <w:r>
        <w:rPr>
          <w:rFonts w:hint="eastAsia" w:ascii="宋体" w:hAnsi="宋体" w:eastAsia="宋体" w:cs="宋体"/>
          <w:color w:val="000000"/>
          <w:sz w:val="24"/>
          <w:szCs w:val="24"/>
          <w:highlight w:val="none"/>
        </w:rPr>
        <w:t xml:space="preserve">合同在执行过程中出现的未尽事宜，双方在不违背本合同和采购文件的原则下协商解决，协商结果以书面形式盖章记录在案，作为本合同的附件，与本合同具有同等效力，并提交政府采购监督管理部门和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备存。</w:t>
      </w:r>
      <w:r>
        <w:rPr>
          <w:rFonts w:hint="eastAsia" w:ascii="宋体" w:hAnsi="宋体" w:eastAsia="宋体" w:cs="宋体"/>
          <w:color w:val="000000"/>
          <w:sz w:val="24"/>
          <w:szCs w:val="24"/>
          <w:highlight w:val="none"/>
        </w:rPr>
      </w:r>
      <w:r/>
    </w:p>
    <w:p>
      <w:pPr>
        <w:pStyle w:val="928"/>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（以下为签章页，无正文）</w:t>
      </w:r>
      <w:r>
        <w:rPr>
          <w:rFonts w:hint="eastAsia" w:ascii="宋体" w:hAnsi="宋体" w:eastAsia="宋体" w:cs="宋体"/>
          <w:b/>
          <w:bCs/>
          <w:color w:val="000000"/>
          <w:sz w:val="24"/>
          <w:szCs w:val="24"/>
          <w:highlight w:val="none"/>
          <w:lang w:val="en-US" w:eastAsia="zh-CN"/>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15"/>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15"/>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15"/>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ascii="宋体" w:hAnsi="宋体" w:cs="宋体"/>
                <w:b/>
                <w:bCs/>
                <w:color w:val="000000"/>
                <w:sz w:val="24"/>
                <w:highlight w:val="none"/>
              </w:rPr>
            </w:r>
            <w:r/>
          </w:p>
          <w:p>
            <w:pPr>
              <w:pStyle w:val="924"/>
              <w:tabs>
                <w:tab w:val="left" w:pos="5250" w:leader="none"/>
              </w:tabs>
              <w:rPr>
                <w:color w:val="000000"/>
                <w:sz w:val="24"/>
                <w:highlight w:val="none"/>
              </w:rPr>
            </w:pP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15"/>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ascii="宋体" w:hAnsi="宋体" w:cs="宋体"/>
                <w:b/>
                <w:bCs/>
                <w:color w:val="000000"/>
                <w:sz w:val="24"/>
                <w:highlight w:val="none"/>
              </w:rPr>
            </w:r>
            <w:r/>
          </w:p>
          <w:p>
            <w:pPr>
              <w:pStyle w:val="915"/>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1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1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 </w:t>
            </w:r>
            <w:r>
              <w:rPr>
                <w:rFonts w:ascii="宋体" w:hAnsi="宋体" w:cs="宋体"/>
                <w:b/>
                <w:bCs/>
                <w:color w:val="000000"/>
                <w:szCs w:val="21"/>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15"/>
              <w:jc w:val="center"/>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合同签订地</w:t>
            </w:r>
            <w:r>
              <w:rPr>
                <w:rFonts w:ascii="宋体" w:hAnsi="宋体" w:eastAsia="宋体" w:cs="宋体"/>
                <w:b/>
                <w:bCs/>
                <w:color w:val="000000"/>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1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915"/>
        <w:jc w:val="left"/>
        <w:spacing w:line="360" w:lineRule="auto"/>
        <w:widowControl/>
        <w:rPr>
          <w:rFonts w:hint="eastAsia" w:ascii="宋体" w:hAnsi="宋体"/>
          <w:b/>
          <w:bCs w:val="0"/>
          <w:color w:val="000000"/>
          <w:szCs w:val="21"/>
          <w:highlight w:val="none"/>
        </w:rPr>
      </w:pPr>
      <w:r>
        <w:rPr>
          <w:rFonts w:hint="eastAsia" w:ascii="宋体" w:hAnsi="宋体"/>
          <w:b/>
          <w:bCs w:val="0"/>
          <w:color w:val="000000"/>
          <w:szCs w:val="21"/>
          <w:highlight w:val="none"/>
        </w:rPr>
      </w:r>
      <w:r/>
    </w:p>
    <w:p>
      <w:pPr>
        <w:pStyle w:val="967"/>
        <w:ind w:firstLine="0"/>
        <w:jc w:val="both"/>
        <w:rPr>
          <w:rFonts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rPr>
          <w:rFonts w:hint="eastAsia" w:ascii="宋体" w:hAnsi="宋体" w:eastAsia="宋体" w:cs="宋体"/>
          <w:b/>
          <w:bCs w:val="0"/>
          <w:color w:val="000000"/>
          <w:sz w:val="24"/>
          <w:szCs w:val="24"/>
          <w:highlight w:val="none"/>
          <w:lang w:val="en-US" w:eastAsia="zh-CN" w:bidi="ar-SA"/>
        </w:rPr>
      </w:r>
      <w:r/>
    </w:p>
    <w:p>
      <w:pPr>
        <w:pStyle w:val="967"/>
        <w:ind w:firstLine="0"/>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合同附件</w:t>
      </w:r>
      <w:r>
        <w:rPr>
          <w:rFonts w:ascii="宋体" w:hAnsi="宋体" w:eastAsia="宋体" w:cs="宋体"/>
          <w:b/>
          <w:bCs w:val="0"/>
          <w:color w:val="000000"/>
          <w:sz w:val="24"/>
          <w:szCs w:val="24"/>
          <w:highlight w:val="none"/>
          <w:lang w:val="en-US" w:eastAsia="zh-CN" w:bidi="ar-SA"/>
        </w:rPr>
      </w:r>
      <w:r/>
    </w:p>
    <w:p>
      <w:pPr>
        <w:pStyle w:val="967"/>
        <w:ind w:firstLine="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验收方案</w:t>
      </w:r>
      <w:r>
        <w:rPr>
          <w:rFonts w:hint="eastAsia" w:ascii="宋体" w:hAnsi="宋体" w:eastAsia="宋体" w:cs="宋体"/>
          <w:b/>
          <w:bCs/>
          <w:color w:val="000000"/>
          <w:sz w:val="24"/>
          <w:szCs w:val="24"/>
          <w:highlight w:val="none"/>
        </w:rPr>
      </w:r>
      <w:r/>
    </w:p>
    <w:p>
      <w:pPr>
        <w:pStyle w:val="967"/>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5"/>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一、验收单位</w:t>
      </w:r>
      <w:r>
        <w:rPr>
          <w:rFonts w:hint="eastAsia" w:ascii="宋体" w:hAnsi="宋体" w:eastAsia="宋体" w:cs="宋体"/>
          <w:b/>
          <w:bCs/>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苏州市公安局吴江分局汾湖派出所 </w:t>
      </w:r>
      <w:r>
        <w:rPr>
          <w:rFonts w:hint="eastAsia" w:ascii="宋体" w:hAnsi="宋体" w:eastAsia="宋体" w:cs="宋体"/>
          <w:color w:val="000000"/>
          <w:sz w:val="24"/>
          <w:highlight w:val="none"/>
        </w:rPr>
        <w:t xml:space="preserve">(具体人员另行安排)</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二、验收时间</w:t>
      </w:r>
      <w:r>
        <w:rPr>
          <w:rFonts w:hint="eastAsia" w:ascii="宋体" w:hAnsi="宋体" w:eastAsia="宋体" w:cs="宋体"/>
          <w:b/>
          <w:bCs/>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具体验收时间另行通知</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三、验收依据</w:t>
      </w:r>
      <w:r>
        <w:rPr>
          <w:rFonts w:hint="eastAsia" w:ascii="宋体" w:hAnsi="宋体" w:eastAsia="宋体" w:cs="宋体"/>
          <w:b/>
          <w:bCs/>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验收依据为</w:t>
      </w:r>
      <w:r>
        <w:rPr>
          <w:rFonts w:hint="eastAsia" w:ascii="宋体" w:hAnsi="宋体" w:eastAsia="宋体" w:cs="宋体"/>
          <w:color w:val="000000"/>
          <w:sz w:val="24"/>
          <w:highlight w:val="none"/>
          <w:lang w:val="en-US" w:eastAsia="zh-CN"/>
        </w:rPr>
        <w:t xml:space="preserve">供应商提供的2026年汾湖派出所道路交安设施维护项目（项</w:t>
      </w:r>
      <w:r>
        <w:rPr>
          <w:rFonts w:hint="eastAsia" w:ascii="宋体" w:hAnsi="宋体" w:eastAsia="宋体" w:cs="宋体"/>
          <w:color w:val="000000"/>
          <w:sz w:val="24"/>
          <w:highlight w:val="none"/>
        </w:rPr>
        <w:t xml:space="preserve">目过程中依据项目需求</w:t>
      </w:r>
      <w:r>
        <w:rPr>
          <w:rFonts w:hint="eastAsia" w:ascii="宋体" w:hAnsi="宋体" w:eastAsia="宋体" w:cs="宋体"/>
          <w:color w:val="000000"/>
          <w:sz w:val="24"/>
          <w:highlight w:val="none"/>
          <w:lang w:val="en-US" w:eastAsia="zh-CN"/>
        </w:rPr>
        <w:t xml:space="preserve">的服务能力</w:t>
      </w:r>
      <w:r>
        <w:rPr>
          <w:rFonts w:hint="eastAsia" w:ascii="宋体" w:hAnsi="宋体" w:eastAsia="宋体" w:cs="宋体"/>
          <w:color w:val="000000"/>
          <w:sz w:val="24"/>
          <w:highlight w:val="none"/>
        </w:rPr>
        <w:t xml:space="preserve">，生成的阶段性交付成果。</w:t>
      </w:r>
      <w:r>
        <w:rPr>
          <w:rFonts w:hint="eastAsia" w:ascii="宋体" w:hAnsi="宋体" w:eastAsia="宋体" w:cs="宋体"/>
          <w:color w:val="000000"/>
          <w:sz w:val="24"/>
          <w:highlight w:val="none"/>
          <w:lang w:val="en-US" w:eastAsia="zh-CN"/>
        </w:rPr>
        <w:t xml:space="preserve">磋商响应</w:t>
      </w:r>
      <w:r>
        <w:rPr>
          <w:rFonts w:hint="eastAsia" w:ascii="宋体" w:hAnsi="宋体" w:eastAsia="宋体" w:cs="宋体"/>
          <w:color w:val="000000"/>
          <w:sz w:val="24"/>
          <w:highlight w:val="none"/>
        </w:rPr>
        <w:t xml:space="preserve">文件提交的各技术</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方案以及</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文件的采购需求也是阶段验收的依据之一)。</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具体依据如下:</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1)本项目</w:t>
      </w:r>
      <w:r>
        <w:rPr>
          <w:rFonts w:hint="eastAsia" w:ascii="宋体" w:hAnsi="宋体" w:eastAsia="宋体" w:cs="宋体"/>
          <w:color w:val="000000"/>
          <w:sz w:val="24"/>
          <w:highlight w:val="none"/>
          <w:lang w:val="en-US" w:eastAsia="zh-CN"/>
        </w:rPr>
        <w:t xml:space="preserve">采购文件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，尤其是项目需求部分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2)确认收到的验收提交文档资料情况。</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四、验收内容和标准</w:t>
      </w:r>
      <w:r>
        <w:rPr>
          <w:rFonts w:hint="eastAsia" w:ascii="宋体" w:hAnsi="宋体" w:eastAsia="宋体" w:cs="宋体"/>
          <w:b/>
          <w:bCs/>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验收相关标准</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根据项目具体的采购需求制定。验收内容一般包括</w:t>
      </w:r>
      <w:r>
        <w:rPr>
          <w:rFonts w:hint="eastAsia" w:ascii="宋体" w:hAnsi="宋体" w:eastAsia="宋体" w:cs="宋体"/>
          <w:color w:val="000000"/>
          <w:sz w:val="24"/>
          <w:highlight w:val="none"/>
          <w:lang w:val="en-US" w:eastAsia="zh-CN"/>
        </w:rPr>
        <w:t xml:space="preserve">服务过程资料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需要验收的内容</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验收内容工作主要包括:按项目采购需求的服务能力，生成的各项阶段性交付文档。文档验收标准一般包括</w:t>
      </w:r>
      <w:r>
        <w:rPr>
          <w:rFonts w:hint="eastAsia" w:ascii="宋体" w:hAnsi="宋体" w:eastAsia="宋体" w:cs="宋体"/>
          <w:color w:val="000000"/>
          <w:sz w:val="24"/>
          <w:highlight w:val="none"/>
          <w:lang w:val="en-US" w:eastAsia="zh-CN"/>
        </w:rPr>
        <w:t xml:space="preserve">但不限于</w:t>
      </w:r>
      <w:r>
        <w:rPr>
          <w:rFonts w:hint="eastAsia" w:ascii="宋体" w:hAnsi="宋体" w:eastAsia="宋体" w:cs="宋体"/>
          <w:color w:val="000000"/>
          <w:sz w:val="24"/>
          <w:highlight w:val="none"/>
        </w:rPr>
        <w:t xml:space="preserve">:文档完备性、内容针对性、内容充分性、内容一致性、文字明确性、图表详实性、易读性等。</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五、验收结论</w:t>
      </w:r>
      <w:r>
        <w:rPr>
          <w:rFonts w:hint="eastAsia" w:ascii="宋体" w:hAnsi="宋体" w:eastAsia="宋体" w:cs="宋体"/>
          <w:b/>
          <w:bCs/>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由验收小组根据验收情况和相关资料得出结论，并进行确认签字。验收结果分为:验收合格和验收不合格两种情况。</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1.验收合格情况</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符合项目服务标准、任务按期保质完成，考核指标达标，视为验收合格。</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2.验收不合格情况</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1)未按项目考核指标或合同要求达到所预定的考核指标的。</w:t>
      </w:r>
      <w:r>
        <w:rPr>
          <w:rFonts w:hint="eastAsia" w:ascii="宋体" w:hAnsi="宋体" w:eastAsia="宋体" w:cs="宋体"/>
          <w:color w:val="000000"/>
          <w:sz w:val="24"/>
          <w:highlight w:val="none"/>
        </w:rPr>
      </w:r>
      <w:r/>
    </w:p>
    <w:p>
      <w:pPr>
        <w:pStyle w:val="915"/>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2)所提供材料不齐全或不真实的。</w:t>
      </w:r>
      <w:r>
        <w:rPr>
          <w:rFonts w:hint="eastAsia" w:ascii="宋体" w:hAnsi="宋体" w:eastAsia="宋体" w:cs="宋体"/>
          <w:color w:val="000000"/>
          <w:sz w:val="24"/>
          <w:highlight w:val="none"/>
        </w:rPr>
      </w:r>
      <w:r/>
    </w:p>
    <w:p>
      <w:pPr>
        <w:pStyle w:val="937"/>
        <w:jc w:val="both"/>
        <w:spacing w:after="312"/>
        <w:tabs>
          <w:tab w:val="left" w:pos="315" w:leader="none"/>
          <w:tab w:val="left" w:pos="720" w:leader="none"/>
          <w:tab w:val="center" w:pos="4153"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p>
      <w:pPr>
        <w:pStyle w:val="915"/>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915"/>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91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915"/>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JSZC-320509-ZZHL-C2026-0032</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en-US" w:eastAsia="zh-CN"/>
        </w:rPr>
        <w:t xml:space="preserve">代理服务费由采购人支付的，供应商可自行删除本条内容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915"/>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915"/>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15"/>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23"/>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23"/>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23"/>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23"/>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2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2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15"/>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36"/>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36"/>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36"/>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915"/>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915"/>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9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磋商编号：JSZC-320509-ZZHL-C2026-0032号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32"/>
        <w:gridCol w:w="2355"/>
        <w:gridCol w:w="2524"/>
        <w:gridCol w:w="2769"/>
      </w:tblGrid>
      <w:tr>
        <w:trPr>
          <w:trHeight w:val="602"/>
        </w:trPr>
        <w:tc>
          <w:tcPr>
            <w:tcW w:w="1232" w:type="dxa"/>
            <w:vAlign w:val="center"/>
            <w:textDirection w:val="lrTb"/>
            <w:noWrap w:val="false"/>
          </w:tcPr>
          <w:p>
            <w:pPr>
              <w:pStyle w:val="915"/>
              <w:jc w:val="center"/>
              <w:spacing w:line="360" w:lineRule="auto"/>
              <w:rPr>
                <w:rFonts w:hint="eastAsia" w:ascii="宋体" w:hAnsi="宋体" w:eastAsia="宋体" w:cs="宋体"/>
                <w:color w:val="000000"/>
                <w:spacing w:val="20"/>
                <w:sz w:val="24"/>
                <w:highlight w:val="none"/>
                <w:lang w:eastAsia="zh-CN"/>
              </w:rPr>
            </w:pPr>
            <w:r>
              <w:rPr>
                <w:rFonts w:hint="eastAsia" w:ascii="宋体" w:hAnsi="宋体" w:cs="宋体"/>
                <w:color w:val="000000"/>
                <w:spacing w:val="20"/>
                <w:sz w:val="24"/>
                <w:highlight w:val="none"/>
                <w:lang w:val="en-US" w:eastAsia="zh-CN"/>
              </w:rPr>
              <w:t xml:space="preserve">序号</w:t>
            </w:r>
            <w:r>
              <w:rPr>
                <w:rFonts w:hint="eastAsia" w:ascii="宋体" w:hAnsi="宋体" w:eastAsia="宋体" w:cs="宋体"/>
                <w:color w:val="000000"/>
                <w:spacing w:val="20"/>
                <w:sz w:val="24"/>
                <w:highlight w:val="none"/>
                <w:lang w:eastAsia="zh-CN"/>
              </w:rPr>
            </w:r>
            <w:r/>
          </w:p>
        </w:tc>
        <w:tc>
          <w:tcPr>
            <w:tcW w:w="2355" w:type="dxa"/>
            <w:vAlign w:val="center"/>
            <w:textDirection w:val="lrTb"/>
            <w:noWrap w:val="false"/>
          </w:tcPr>
          <w:p>
            <w:pPr>
              <w:pStyle w:val="91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2524" w:type="dxa"/>
            <w:vAlign w:val="center"/>
            <w:textDirection w:val="lrTb"/>
            <w:noWrap w:val="false"/>
          </w:tcPr>
          <w:p>
            <w:pPr>
              <w:pStyle w:val="915"/>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响应优惠率</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91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1232" w:type="dxa"/>
            <w:vAlign w:val="center"/>
            <w:textDirection w:val="lrTb"/>
            <w:noWrap w:val="false"/>
          </w:tcPr>
          <w:p>
            <w:pPr>
              <w:pStyle w:val="91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c>
          <w:tcPr>
            <w:tcW w:w="2355" w:type="dxa"/>
            <w:vAlign w:val="center"/>
            <w:textDirection w:val="lrTb"/>
            <w:noWrap w:val="false"/>
          </w:tcPr>
          <w:p>
            <w:pPr>
              <w:pStyle w:val="9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524" w:type="dxa"/>
            <w:vAlign w:val="center"/>
            <w:textDirection w:val="lrTb"/>
            <w:noWrap w:val="false"/>
          </w:tcPr>
          <w:p>
            <w:pPr>
              <w:pStyle w:val="9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915"/>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w:t>
      </w:r>
      <w:r>
        <w:rPr>
          <w:rFonts w:hint="eastAsia" w:ascii="宋体" w:hAnsi="宋体" w:eastAsia="宋体" w:cs="宋体"/>
          <w:color w:val="000000"/>
          <w:sz w:val="24"/>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eastAsia="zh-CN"/>
        </w:rPr>
        <w:t xml:space="preserve">响应报价</w:t>
      </w:r>
      <w:r>
        <w:rPr>
          <w:rFonts w:hint="eastAsia" w:ascii="宋体" w:hAnsi="宋体" w:eastAsia="宋体" w:cs="宋体"/>
          <w:color w:val="000000"/>
          <w:sz w:val="24"/>
          <w:highlight w:val="none"/>
        </w:rPr>
        <w:t xml:space="preserve">须根据“采购内容清单”中的“</w:t>
      </w:r>
      <w:r>
        <w:rPr>
          <w:rFonts w:hint="eastAsia" w:ascii="宋体" w:hAnsi="宋体" w:eastAsia="宋体" w:cs="宋体"/>
          <w:color w:val="000000"/>
          <w:sz w:val="24"/>
          <w:highlight w:val="none"/>
          <w:lang w:val="en-US" w:eastAsia="zh-CN"/>
        </w:rPr>
        <w:t xml:space="preserve">单价最高限价</w:t>
      </w:r>
      <w:r>
        <w:rPr>
          <w:rFonts w:hint="eastAsia" w:ascii="宋体" w:hAnsi="宋体" w:eastAsia="宋体" w:cs="宋体"/>
          <w:color w:val="000000"/>
          <w:sz w:val="24"/>
          <w:highlight w:val="none"/>
        </w:rPr>
        <w:t xml:space="preserve">”基础上报统一的</w:t>
      </w:r>
      <w:r>
        <w:rPr>
          <w:rFonts w:hint="eastAsia" w:ascii="宋体" w:hAnsi="宋体" w:eastAsia="宋体" w:cs="宋体"/>
          <w:color w:val="000000"/>
          <w:sz w:val="24"/>
          <w:highlight w:val="none"/>
          <w:lang w:val="en-US" w:eastAsia="zh-CN"/>
        </w:rPr>
        <w:t xml:space="preserve">优惠率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例如</w:t>
      </w:r>
      <w:r>
        <w:rPr>
          <w:rFonts w:hint="eastAsia" w:ascii="宋体" w:hAnsi="宋体" w:eastAsia="宋体" w:cs="宋体"/>
          <w:color w:val="000000"/>
          <w:sz w:val="24"/>
          <w:highlight w:val="none"/>
          <w:lang w:val="en-US" w:eastAsia="zh-CN"/>
        </w:rPr>
        <w:t xml:space="preserve">优惠率10</w:t>
      </w:r>
      <w:r>
        <w:rPr>
          <w:rFonts w:hint="eastAsia" w:ascii="宋体" w:hAnsi="宋体" w:eastAsia="宋体" w:cs="宋体"/>
          <w:color w:val="000000"/>
          <w:sz w:val="24"/>
          <w:highlight w:val="none"/>
        </w:rPr>
        <w:t xml:space="preserve">％，则表示结算单价在“全费用综合单价上限价格”的基础上</w:t>
      </w:r>
      <w:r>
        <w:rPr>
          <w:rFonts w:hint="eastAsia" w:ascii="宋体" w:hAnsi="宋体" w:eastAsia="宋体" w:cs="宋体"/>
          <w:color w:val="000000"/>
          <w:sz w:val="24"/>
          <w:highlight w:val="none"/>
          <w:lang w:val="en-US" w:eastAsia="zh-CN"/>
        </w:rPr>
        <w:t xml:space="preserve">×(1-10%)（即9折）】</w:t>
      </w:r>
      <w:r>
        <w:rPr>
          <w:rFonts w:hint="eastAsia" w:ascii="宋体" w:hAnsi="宋体" w:eastAsia="宋体" w:cs="宋体"/>
          <w:color w:val="000000"/>
          <w:sz w:val="24"/>
          <w:highlight w:val="none"/>
        </w:rPr>
        <w:t xml:space="preserve">，供应商应自行考虑项目实施期间的风险，具体费用根据成交单价及实际工作量结算。</w:t>
      </w:r>
      <w:r>
        <w:rPr>
          <w:rFonts w:hint="eastAsia" w:ascii="宋体" w:hAnsi="宋体" w:eastAsia="宋体" w:cs="宋体"/>
          <w:color w:val="000000"/>
          <w:sz w:val="24"/>
          <w:highlight w:val="none"/>
          <w:lang w:eastAsia="zh-CN"/>
        </w:rPr>
        <w:t xml:space="preserve">响应优惠率</w:t>
      </w:r>
      <w:r>
        <w:rPr>
          <w:rFonts w:hint="eastAsia" w:ascii="宋体" w:hAnsi="宋体" w:eastAsia="宋体" w:cs="宋体"/>
          <w:color w:val="000000"/>
          <w:sz w:val="24"/>
          <w:highlight w:val="none"/>
          <w:lang w:val="en-US" w:eastAsia="zh-CN"/>
        </w:rPr>
        <w:t xml:space="preserve">取整数，不得出现小数。以上单价均为含税价格，且已包含绿化开挖、人工、设备等所有相关费用。</w:t>
      </w:r>
      <w:r>
        <w:rPr>
          <w:rFonts w:hint="eastAsia" w:ascii="宋体" w:hAnsi="宋体" w:eastAsia="宋体" w:cs="宋体"/>
          <w:color w:val="000000"/>
          <w:sz w:val="24"/>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2.所报优惠率越高，则表示对应的响应报价越低，价格得分则越高。</w:t>
      </w:r>
      <w:r>
        <w:rPr>
          <w:rFonts w:hint="eastAsia" w:ascii="宋体" w:hAnsi="宋体" w:eastAsia="宋体" w:cs="宋体"/>
          <w:color w:val="000000"/>
          <w:sz w:val="24"/>
          <w:highlight w:val="none"/>
          <w:lang w:val="en-US" w:eastAsia="zh-CN"/>
        </w:rPr>
      </w:r>
      <w:r/>
    </w:p>
    <w:p>
      <w:pPr>
        <w:pStyle w:val="915"/>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3.供应商须对所要采购的全部内容进行报价，未按本表规定格式提供则视为无效。</w:t>
      </w:r>
      <w:r>
        <w:rPr>
          <w:rFonts w:ascii="宋体" w:hAnsi="宋体" w:eastAsia="宋体" w:cs="宋体"/>
          <w:color w:val="000000"/>
          <w:sz w:val="24"/>
          <w:highlight w:val="none"/>
          <w:lang w:val="en-US" w:eastAsia="zh-CN"/>
        </w:rPr>
      </w:r>
      <w:r/>
    </w:p>
    <w:p>
      <w:pPr>
        <w:pStyle w:val="915"/>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4.如本格式与“苏采云”格式冲突的，以苏采云格式为准。</w:t>
      </w:r>
      <w:r>
        <w:rPr>
          <w:rFonts w:ascii="宋体" w:hAnsi="宋体" w:eastAsia="宋体" w:cs="宋体"/>
          <w:color w:val="000000"/>
          <w:sz w:val="24"/>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 </w:t>
      </w: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szCs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附件4：磋商报价分析表（报优惠率项目无需提供）</w:t>
      </w:r>
      <w:r>
        <w:rPr>
          <w:rFonts w:hint="eastAsia" w:ascii="宋体" w:hAnsi="宋体" w:eastAsia="宋体" w:cs="宋体"/>
          <w:b/>
          <w:bCs/>
          <w:color w:val="000000"/>
          <w:sz w:val="24"/>
          <w:szCs w:val="24"/>
          <w:highlight w:val="none"/>
          <w:lang w:val="en-US" w:eastAsia="zh-CN" w:bidi="ar-SA"/>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9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915"/>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1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要求条文的偏差和例外。</w:t>
      </w:r>
      <w:r>
        <w:rPr>
          <w:rFonts w:hint="eastAsia" w:ascii="宋体" w:hAnsi="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23"/>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1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915"/>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采购编号：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915"/>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1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1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服务关于商务条款等详细描述和说明的替代。</w:t>
      </w: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w:t>
      </w: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1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30"/>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915"/>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磋商项目名称：                磋商编号： </w:t>
      </w:r>
      <w:r>
        <w:rPr>
          <w:rFonts w:hint="eastAsia" w:ascii="宋体" w:hAnsi="宋体" w:eastAsia="宋体" w:cs="宋体"/>
          <w:color w:val="000000"/>
          <w:sz w:val="24"/>
          <w:highlight w:val="none"/>
          <w:lang w:eastAsia="zh-CN"/>
        </w:rPr>
        <w:t xml:space="preserve">JSZC-320509-ZZHL-C2026-0032</w:t>
      </w:r>
      <w:r>
        <w:rPr>
          <w:rFonts w:hint="eastAsia" w:ascii="宋体" w:hAnsi="宋体" w:eastAsia="宋体" w:cs="宋体"/>
          <w:color w:val="000000"/>
          <w:sz w:val="24"/>
          <w:highlight w:val="none"/>
        </w:rPr>
        <w:t xml:space="preserve">号</w:t>
      </w:r>
      <w:r>
        <w:rPr>
          <w:rFonts w:hint="eastAsia" w:ascii="宋体" w:hAnsi="宋体" w:eastAsia="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24"/>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w:t>
      </w: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3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33"/>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5"/>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15"/>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rPr>
          <w:rFonts w:hint="eastAsia" w:ascii="宋体" w:hAnsi="宋体" w:cs="宋体"/>
          <w:b/>
          <w:bCs/>
          <w:color w:val="000000"/>
          <w:sz w:val="24"/>
          <w:szCs w:val="24"/>
          <w:highlight w:val="none"/>
        </w:rPr>
      </w:pPr>
      <w:r>
        <w:rPr>
          <w:rFonts w:hint="eastAsia" w:ascii="宋体" w:hAnsi="宋体" w:cs="宋体"/>
          <w:b/>
          <w:bCs/>
          <w:color w:val="000000"/>
          <w:sz w:val="24"/>
          <w:highlight w:val="none"/>
        </w:rPr>
      </w:r>
      <w:r>
        <w:rPr>
          <w:rFonts w:hint="eastAsia" w:ascii="宋体" w:hAnsi="宋体" w:cs="宋体"/>
          <w:b/>
          <w:bCs/>
          <w:color w:val="000000"/>
          <w:sz w:val="24"/>
          <w:highlight w:val="none"/>
        </w:rPr>
      </w:r>
      <w:r/>
    </w:p>
    <w:p>
      <w:pPr>
        <w:pStyle w:val="915"/>
        <w:rPr>
          <w:rFonts w:hint="eastAsia" w:ascii="宋体" w:hAnsi="宋体" w:cs="宋体"/>
          <w:b/>
          <w:bCs/>
          <w:color w:val="000000"/>
          <w:sz w:val="24"/>
          <w:szCs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915"/>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磋商项目名称：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磋商编号： </w:t>
      </w:r>
      <w:r>
        <w:rPr>
          <w:rFonts w:hint="eastAsia" w:ascii="宋体" w:hAnsi="宋体" w:eastAsia="宋体" w:cs="宋体"/>
          <w:color w:val="000000"/>
          <w:sz w:val="24"/>
          <w:highlight w:val="none"/>
          <w:lang w:eastAsia="zh-CN"/>
        </w:rPr>
        <w:t xml:space="preserve">JSZC-320509-ZZHL-C2026-0032</w:t>
      </w:r>
      <w:r>
        <w:rPr>
          <w:rFonts w:hint="eastAsia" w:ascii="宋体" w:hAnsi="宋体" w:eastAsia="宋体" w:cs="宋体"/>
          <w:color w:val="000000"/>
          <w:sz w:val="24"/>
          <w:highlight w:val="none"/>
        </w:rPr>
        <w:t xml:space="preserve">号</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15"/>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w:t>
      </w: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35"/>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35"/>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915"/>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915"/>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91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91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1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：（单位盖章）</w:t>
      </w: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1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91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4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4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4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915"/>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15"/>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3"/>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23"/>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2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响应单位：（签章）</w:t>
      </w:r>
      <w:r>
        <w:rPr>
          <w:rFonts w:hint="eastAsia" w:ascii="宋体" w:hAnsi="宋体" w:cs="宋体"/>
          <w:color w:val="000000"/>
          <w:sz w:val="24"/>
          <w:szCs w:val="24"/>
          <w:highlight w:val="none"/>
        </w:rPr>
      </w:r>
      <w:r/>
    </w:p>
    <w:p>
      <w:pPr>
        <w:pStyle w:val="92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15"/>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923"/>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23"/>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23"/>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23"/>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23"/>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23"/>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23"/>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15"/>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91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915"/>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71"/>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71"/>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15"/>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915"/>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67"/>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915"/>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5"/>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15"/>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4"/>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4"/>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4"/>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4"/>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4"/>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24"/>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bookmarkStart w:id="145" w:name="OLE_LINK13"/>
      <w:r/>
      <w:bookmarkStart w:id="146"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915"/>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5"/>
      <w:r/>
      <w:bookmarkEnd w:id="146"/>
      <w:r>
        <w:rPr>
          <w:rFonts w:hint="eastAsia" w:ascii="宋体" w:hAnsi="宋体" w:cs="宋体"/>
          <w:b/>
          <w:color w:val="000000"/>
          <w:spacing w:val="6"/>
          <w:sz w:val="24"/>
          <w:highlight w:val="none"/>
        </w:rPr>
      </w:r>
      <w:r/>
    </w:p>
    <w:p>
      <w:pPr>
        <w:pStyle w:val="915"/>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915"/>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915"/>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915"/>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15"/>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15"/>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915"/>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915"/>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915"/>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15"/>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15"/>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15"/>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15"/>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7"/>
        <w:rPr>
          <w:rFonts w:hint="eastAsia"/>
          <w:color w:val="000000"/>
          <w:highlight w:val="none"/>
          <w:lang w:val="zh-CN"/>
        </w:rPr>
      </w:pPr>
      <w:r>
        <w:rPr>
          <w:rFonts w:hint="eastAsia"/>
          <w:color w:val="000000"/>
          <w:highlight w:val="none"/>
          <w:lang w:val="zh-CN"/>
        </w:rPr>
      </w:r>
      <w:r/>
    </w:p>
    <w:p>
      <w:pPr>
        <w:pStyle w:val="915"/>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15"/>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15"/>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15"/>
        <w:ind w:right="-4"/>
        <w:pageBreakBefore/>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附件14：</w:t>
      </w:r>
      <w:r>
        <w:rPr>
          <w:rFonts w:hint="eastAsia" w:ascii="宋体" w:hAnsi="宋体" w:eastAsia="宋体" w:cs="宋体"/>
          <w:b/>
          <w:color w:val="000000"/>
          <w:sz w:val="24"/>
          <w:highlight w:val="none"/>
        </w:rPr>
        <w:t xml:space="preserve">关于符合本国产品标准的声明函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如涉及</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915"/>
        <w:rPr>
          <w:rFonts w:hint="eastAsia"/>
          <w:highlight w:val="none"/>
        </w:rPr>
      </w:pPr>
      <w:r>
        <w:rPr>
          <w:rFonts w:hint="eastAsia"/>
          <w:highlight w:val="none"/>
        </w:rPr>
      </w:r>
      <w:r/>
    </w:p>
    <w:p>
      <w:pPr>
        <w:pStyle w:val="915"/>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t xml:space="preserve">关于符合本国产品标准的声明函</w:t>
      </w:r>
      <w:r>
        <w:rPr>
          <w:rFonts w:hint="eastAsia" w:ascii="宋体" w:hAnsi="宋体" w:eastAsia="宋体" w:cs="宋体"/>
          <w:b/>
          <w:color w:val="000000"/>
          <w:spacing w:val="6"/>
          <w:sz w:val="24"/>
          <w:highlight w:val="none"/>
        </w:rPr>
      </w:r>
      <w:r/>
    </w:p>
    <w:p>
      <w:pPr>
        <w:pStyle w:val="915"/>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944"/>
          <w:rFonts w:hint="eastAsia" w:ascii="宋体" w:hAnsi="宋体" w:eastAsia="宋体" w:cs="宋体"/>
          <w:i w:val="0"/>
          <w:iCs w:val="0"/>
          <w:caps w:val="0"/>
          <w:color w:val="000000"/>
          <w:spacing w:val="0"/>
          <w:sz w:val="24"/>
          <w:szCs w:val="24"/>
          <w:highlight w:val="none"/>
          <w:shd w:val="clear" w:color="auto" w:fill="ffffff"/>
        </w:rPr>
        <w:t xml:space="preserve">（产品名称1）</w:t>
      </w:r>
      <w:r>
        <w:rPr>
          <w:rStyle w:val="944"/>
          <w:rFonts w:hint="eastAsia" w:ascii="宋体" w:hAnsi="宋体" w:eastAsia="宋体" w:cs="宋体"/>
          <w:i w:val="0"/>
          <w:iCs w:val="0"/>
          <w:caps w:val="0"/>
          <w:color w:val="000000"/>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944"/>
          <w:rFonts w:hint="eastAsia" w:ascii="宋体" w:hAnsi="宋体" w:eastAsia="宋体" w:cs="宋体"/>
          <w:i w:val="0"/>
          <w:iCs w:val="0"/>
          <w:caps w:val="0"/>
          <w:color w:val="000000"/>
          <w:spacing w:val="0"/>
          <w:sz w:val="24"/>
          <w:szCs w:val="24"/>
          <w:highlight w:val="none"/>
          <w:shd w:val="clear" w:color="auto" w:fill="ffffff"/>
        </w:rPr>
        <w:t xml:space="preserve">（厂名）</w:t>
      </w:r>
      <w:r>
        <w:rPr>
          <w:rStyle w:val="944"/>
          <w:rFonts w:hint="eastAsia" w:ascii="宋体" w:hAnsi="宋体" w:eastAsia="宋体" w:cs="宋体"/>
          <w:i w:val="0"/>
          <w:iCs w:val="0"/>
          <w:caps w:val="0"/>
          <w:color w:val="000000"/>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944"/>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44"/>
          <w:rFonts w:hint="eastAsia" w:ascii="宋体" w:hAnsi="宋体" w:eastAsia="宋体" w:cs="宋体"/>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Style w:val="944"/>
          <w:rFonts w:hint="eastAsia" w:ascii="宋体" w:hAnsi="宋体" w:eastAsia="宋体" w:cs="宋体"/>
          <w:i w:val="0"/>
          <w:iCs w:val="0"/>
          <w:caps w:val="0"/>
          <w:color w:val="000000"/>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Style w:val="944"/>
          <w:rFonts w:hint="eastAsia" w:ascii="宋体" w:hAnsi="宋体" w:eastAsia="宋体" w:cs="宋体"/>
          <w:i w:val="0"/>
          <w:iCs w:val="0"/>
          <w:caps w:val="0"/>
          <w:color w:val="000000"/>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Style w:val="944"/>
          <w:rFonts w:hint="eastAsia" w:ascii="宋体" w:hAnsi="宋体" w:eastAsia="宋体" w:cs="宋体"/>
          <w:i w:val="0"/>
          <w:iCs w:val="0"/>
          <w:caps w:val="0"/>
          <w:color w:val="000000"/>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944"/>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944"/>
          <w:rFonts w:hint="eastAsia" w:ascii="宋体" w:hAnsi="宋体" w:eastAsia="宋体" w:cs="宋体"/>
          <w:i w:val="0"/>
          <w:iCs w:val="0"/>
          <w:caps w:val="0"/>
          <w:color w:val="000000"/>
          <w:spacing w:val="0"/>
          <w:sz w:val="24"/>
          <w:szCs w:val="24"/>
          <w:highlight w:val="non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944"/>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44"/>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公司（单位）名称（盖章）：　</w:t>
      </w: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w:t>
      </w: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rPr>
          <w:rFonts w:hint="eastAsia" w:ascii="宋体" w:hAnsi="宋体" w:eastAsia="宋体" w:cs="宋体"/>
          <w:i w:val="0"/>
          <w:iCs w:val="0"/>
          <w:caps w:val="0"/>
          <w:color w:val="000000"/>
          <w:spacing w:val="0"/>
          <w:sz w:val="24"/>
          <w:szCs w:val="24"/>
          <w:highlight w:val="none"/>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shd w:val="clear" w:color="auto" w:fill="ffffff"/>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shd w:val="clear" w:color="auto" w:fill="ffffff"/>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936"/>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36"/>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6.供应商应当对所有所投产品一一进行声明。</w:t>
      </w:r>
      <w:r>
        <w:rPr>
          <w:rFonts w:hint="eastAsia" w:ascii="宋体" w:hAnsi="宋体" w:eastAsia="宋体" w:cs="宋体"/>
          <w:b/>
          <w:bCs/>
          <w:i w:val="0"/>
          <w:iCs w:val="0"/>
          <w:caps w:val="0"/>
          <w:color w:val="000000"/>
          <w:spacing w:val="0"/>
          <w:sz w:val="24"/>
          <w:szCs w:val="24"/>
          <w:highlight w:val="none"/>
          <w:shd w:val="clear" w:color="auto" w:fill="ffffff"/>
          <w:lang w:val="en-US" w:eastAsia="zh-CN"/>
        </w:rPr>
      </w:r>
      <w:r/>
    </w:p>
    <w:p>
      <w:pPr>
        <w:pStyle w:val="936"/>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7.划线部分</w:t>
      </w:r>
      <w:r>
        <w:rPr>
          <w:rFonts w:hint="eastAsia" w:ascii="宋体" w:hAnsi="宋体" w:eastAsia="宋体" w:cs="宋体"/>
          <w:b/>
          <w:sz w:val="24"/>
          <w:szCs w:val="24"/>
          <w:highlight w:val="none"/>
        </w:rPr>
        <w:t xml:space="preserve">无需填写。</w:t>
      </w:r>
      <w:r>
        <w:rPr>
          <w:rFonts w:hint="eastAsia" w:ascii="宋体" w:hAnsi="宋体" w:eastAsia="宋体" w:cs="宋体"/>
          <w:b/>
          <w:sz w:val="24"/>
          <w:szCs w:val="24"/>
          <w:highlight w:val="none"/>
        </w:rPr>
      </w:r>
      <w:r/>
    </w:p>
    <w:p>
      <w:pPr>
        <w:pStyle w:val="936"/>
        <w:ind w:left="0" w:right="0" w:firstLine="482"/>
        <w:jc w:val="both"/>
        <w:keepLines w:val="0"/>
        <w:keepNext w:val="0"/>
        <w:pageBreakBefore w:val="0"/>
        <w:spacing w:beforeAutospacing="0" w:afterAutospacing="0" w:line="360" w:lineRule="auto"/>
        <w:shd w:val="clear" w:color="auto" w:fill="ffffff"/>
        <w:widowControl/>
        <w:rPr>
          <w:rFonts w:ascii="宋体" w:hAnsi="宋体" w:eastAsia="宋体" w:cs="宋体"/>
          <w:b/>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val="en-US" w:eastAsia="zh-CN"/>
        </w:rPr>
        <w:t xml:space="preserve">8.若本采购包中不涉及，则无需提供该声明函。</w:t>
      </w:r>
      <w:r>
        <w:rPr>
          <w:rFonts w:ascii="宋体" w:hAnsi="宋体" w:eastAsia="宋体" w:cs="宋体"/>
          <w:b/>
          <w:sz w:val="24"/>
          <w:szCs w:val="24"/>
          <w:highlight w:val="none"/>
          <w:lang w:val="en-US" w:eastAsia="zh-CN"/>
        </w:rPr>
      </w:r>
      <w:r/>
    </w:p>
    <w:p>
      <w:pPr>
        <w:pStyle w:val="921"/>
        <w:tabs>
          <w:tab w:val="center" w:pos="4153" w:leader="none"/>
          <w:tab w:val="right" w:pos="8306" w:leader="none"/>
        </w:tabs>
        <w:rPr>
          <w:rFonts w:hint="eastAsia"/>
          <w:highlight w:val="none"/>
        </w:rPr>
      </w:pPr>
      <w:r>
        <w:rPr>
          <w:rFonts w:hint="eastAsia"/>
          <w:highlight w:val="none"/>
        </w:rPr>
      </w:r>
      <w:r/>
    </w:p>
    <w:p>
      <w:pPr>
        <w:pStyle w:val="921"/>
        <w:tabs>
          <w:tab w:val="center" w:pos="4153" w:leader="none"/>
          <w:tab w:val="right" w:pos="8306" w:leader="none"/>
        </w:tabs>
        <w:rPr>
          <w:rFonts w:hint="eastAsia"/>
          <w:highlight w:val="none"/>
        </w:rPr>
      </w:pPr>
      <w:r>
        <w:rPr>
          <w:rFonts w:hint="eastAsia"/>
          <w:highlight w:val="none"/>
        </w:rPr>
      </w:r>
      <w:r/>
    </w:p>
    <w:p>
      <w:pPr>
        <w:pStyle w:val="915"/>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24"/>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91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15"/>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91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91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91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91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91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5"/>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5"/>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91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1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91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91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91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91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91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91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91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15"/>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1"/>
      <w:footerReference w:type="first" r:id="rId12"/>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fldSimple w:instr="PAGE \* MERGEFORMAT">
      <w:r>
        <w:t xml:space="preserve">1</w:t>
      </w:r>
    </w:fldSimple>
    <w:r/>
    <w:r/>
  </w:p>
  <w:p>
    <w:pPr>
      <w:pStyle w:val="7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JSZC-320509-ZZHL-C2026-0032</w:t>
    </w:r>
    <w:r>
      <w:rPr>
        <w:rFonts w:hint="eastAsia" w:eastAsia="宋体"/>
        <w:lang w:eastAsia="zh-CN"/>
      </w:rPr>
    </w:r>
    <w:r/>
  </w:p>
  <w:p>
    <w:pPr>
      <w:pStyle w:val="932"/>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5"/>
        <w:ind w:left="2579" w:hanging="420"/>
        <w:tabs>
          <w:tab w:val="num" w:pos="2579" w:leader="none"/>
        </w:tabs>
      </w:pPr>
      <w:rPr>
        <w:rFonts w:hint="eastAsia"/>
      </w:rPr>
    </w:lvl>
    <w:lvl w:ilvl="1">
      <w:start w:val="1"/>
      <w:numFmt w:val="lowerLetter"/>
      <w:isLgl w:val="false"/>
      <w:suff w:val="tab"/>
      <w:lvlText w:val="%2)"/>
      <w:lvlJc w:val="left"/>
      <w:pPr>
        <w:pStyle w:val="915"/>
        <w:ind w:left="2579" w:hanging="420"/>
        <w:tabs>
          <w:tab w:val="num" w:pos="2579" w:leader="none"/>
        </w:tabs>
      </w:pPr>
    </w:lvl>
    <w:lvl w:ilvl="2">
      <w:start w:val="1"/>
      <w:numFmt w:val="lowerRoman"/>
      <w:isLgl w:val="false"/>
      <w:suff w:val="tab"/>
      <w:lvlText w:val="%3."/>
      <w:lvlJc w:val="right"/>
      <w:pPr>
        <w:pStyle w:val="915"/>
        <w:ind w:left="2999" w:hanging="420"/>
        <w:tabs>
          <w:tab w:val="num" w:pos="2999" w:leader="none"/>
        </w:tabs>
      </w:pPr>
    </w:lvl>
    <w:lvl w:ilvl="3">
      <w:start w:val="1"/>
      <w:numFmt w:val="decimal"/>
      <w:isLgl w:val="false"/>
      <w:suff w:val="tab"/>
      <w:lvlText w:val="%4."/>
      <w:lvlJc w:val="left"/>
      <w:pPr>
        <w:pStyle w:val="915"/>
        <w:ind w:left="3419" w:hanging="420"/>
        <w:tabs>
          <w:tab w:val="num" w:pos="3419" w:leader="none"/>
        </w:tabs>
      </w:pPr>
    </w:lvl>
    <w:lvl w:ilvl="4">
      <w:start w:val="1"/>
      <w:numFmt w:val="lowerLetter"/>
      <w:isLgl w:val="false"/>
      <w:suff w:val="tab"/>
      <w:lvlText w:val="%5)"/>
      <w:lvlJc w:val="left"/>
      <w:pPr>
        <w:pStyle w:val="915"/>
        <w:ind w:left="3839" w:hanging="420"/>
        <w:tabs>
          <w:tab w:val="num" w:pos="3839" w:leader="none"/>
        </w:tabs>
      </w:pPr>
    </w:lvl>
    <w:lvl w:ilvl="5">
      <w:start w:val="1"/>
      <w:numFmt w:val="lowerRoman"/>
      <w:isLgl w:val="false"/>
      <w:suff w:val="tab"/>
      <w:lvlText w:val="%6."/>
      <w:lvlJc w:val="right"/>
      <w:pPr>
        <w:pStyle w:val="915"/>
        <w:ind w:left="4259" w:hanging="420"/>
        <w:tabs>
          <w:tab w:val="num" w:pos="4259" w:leader="none"/>
        </w:tabs>
      </w:pPr>
    </w:lvl>
    <w:lvl w:ilvl="6">
      <w:start w:val="1"/>
      <w:numFmt w:val="decimal"/>
      <w:isLgl w:val="false"/>
      <w:suff w:val="tab"/>
      <w:lvlText w:val="%7."/>
      <w:lvlJc w:val="left"/>
      <w:pPr>
        <w:pStyle w:val="915"/>
        <w:ind w:left="4679" w:hanging="420"/>
        <w:tabs>
          <w:tab w:val="num" w:pos="4679" w:leader="none"/>
        </w:tabs>
      </w:pPr>
    </w:lvl>
    <w:lvl w:ilvl="7">
      <w:start w:val="1"/>
      <w:numFmt w:val="lowerLetter"/>
      <w:isLgl w:val="false"/>
      <w:suff w:val="tab"/>
      <w:lvlText w:val="%8)"/>
      <w:lvlJc w:val="left"/>
      <w:pPr>
        <w:pStyle w:val="915"/>
        <w:ind w:left="5099" w:hanging="420"/>
        <w:tabs>
          <w:tab w:val="num" w:pos="5099" w:leader="none"/>
        </w:tabs>
      </w:pPr>
    </w:lvl>
    <w:lvl w:ilvl="8">
      <w:start w:val="1"/>
      <w:numFmt w:val="lowerRoman"/>
      <w:isLgl w:val="false"/>
      <w:suff w:val="tab"/>
      <w:lvlText w:val="%9."/>
      <w:lvlJc w:val="right"/>
      <w:pPr>
        <w:pStyle w:val="915"/>
        <w:ind w:left="5519" w:hanging="420"/>
        <w:tabs>
          <w:tab w:val="num" w:pos="5519" w:leader="none"/>
        </w:tabs>
      </w:pPr>
    </w:lvl>
  </w:abstractNum>
  <w:abstractNum w:abstractNumId="1">
    <w:multiLevelType w:val="hybridMultilevel"/>
    <w:lvl w:ilvl="0">
      <w:start w:val="1"/>
      <w:numFmt w:val="chineseCounting"/>
      <w:isLgl w:val="false"/>
      <w:suff w:val="nothing"/>
      <w:lvlText w:val="%1、"/>
      <w:lvlJc w:val="left"/>
      <w:pPr>
        <w:pStyle w:val="915"/>
      </w:pPr>
      <w:rPr>
        <w:rFonts w:hint="eastAsia"/>
      </w:rPr>
    </w:lvl>
    <w:lvl w:ilvl="1">
      <w:start w:val="1"/>
      <w:numFmt w:val="bullet"/>
      <w:isLgl w:val="false"/>
      <w:suff w:val="tab"/>
      <w:lvlText w:val="o"/>
      <w:lvlJc w:val="left"/>
      <w:pPr>
        <w:pStyle w:val="915"/>
        <w:ind w:left="1440" w:hanging="360"/>
      </w:pPr>
      <w:rPr>
        <w:rFonts w:ascii="Courier New" w:hAnsi="Courier New" w:eastAsia="Courier New" w:cs="Courier New"/>
      </w:rPr>
    </w:lvl>
    <w:lvl w:ilvl="2">
      <w:start w:val="1"/>
      <w:numFmt w:val="bullet"/>
      <w:isLgl w:val="false"/>
      <w:suff w:val="tab"/>
      <w:lvlText w:val="§"/>
      <w:lvlJc w:val="left"/>
      <w:pPr>
        <w:pStyle w:val="915"/>
        <w:ind w:left="2160" w:hanging="360"/>
      </w:pPr>
      <w:rPr>
        <w:rFonts w:ascii="Wingdings" w:hAnsi="Wingdings" w:eastAsia="Wingdings" w:cs="Wingdings"/>
      </w:rPr>
    </w:lvl>
    <w:lvl w:ilvl="3">
      <w:start w:val="1"/>
      <w:numFmt w:val="bullet"/>
      <w:isLgl w:val="false"/>
      <w:suff w:val="tab"/>
      <w:lvlText w:val="·"/>
      <w:lvlJc w:val="left"/>
      <w:pPr>
        <w:pStyle w:val="915"/>
        <w:ind w:left="2880" w:hanging="360"/>
      </w:pPr>
      <w:rPr>
        <w:rFonts w:ascii="Symbol" w:hAnsi="Symbol" w:eastAsia="Symbol" w:cs="Symbol"/>
      </w:rPr>
    </w:lvl>
    <w:lvl w:ilvl="4">
      <w:start w:val="1"/>
      <w:numFmt w:val="bullet"/>
      <w:isLgl w:val="false"/>
      <w:suff w:val="tab"/>
      <w:lvlText w:val="o"/>
      <w:lvlJc w:val="left"/>
      <w:pPr>
        <w:pStyle w:val="915"/>
        <w:ind w:left="3600" w:hanging="360"/>
      </w:pPr>
      <w:rPr>
        <w:rFonts w:ascii="Courier New" w:hAnsi="Courier New" w:eastAsia="Courier New" w:cs="Courier New"/>
      </w:rPr>
    </w:lvl>
    <w:lvl w:ilvl="5">
      <w:start w:val="1"/>
      <w:numFmt w:val="bullet"/>
      <w:isLgl w:val="false"/>
      <w:suff w:val="tab"/>
      <w:lvlText w:val="§"/>
      <w:lvlJc w:val="left"/>
      <w:pPr>
        <w:pStyle w:val="915"/>
        <w:ind w:left="4320" w:hanging="360"/>
      </w:pPr>
      <w:rPr>
        <w:rFonts w:ascii="Wingdings" w:hAnsi="Wingdings" w:eastAsia="Wingdings" w:cs="Wingdings"/>
      </w:rPr>
    </w:lvl>
    <w:lvl w:ilvl="6">
      <w:start w:val="1"/>
      <w:numFmt w:val="bullet"/>
      <w:isLgl w:val="false"/>
      <w:suff w:val="tab"/>
      <w:lvlText w:val="·"/>
      <w:lvlJc w:val="left"/>
      <w:pPr>
        <w:pStyle w:val="915"/>
        <w:ind w:left="5040" w:hanging="360"/>
      </w:pPr>
      <w:rPr>
        <w:rFonts w:ascii="Symbol" w:hAnsi="Symbol" w:eastAsia="Symbol" w:cs="Symbol"/>
      </w:rPr>
    </w:lvl>
    <w:lvl w:ilvl="7">
      <w:start w:val="1"/>
      <w:numFmt w:val="bullet"/>
      <w:isLgl w:val="false"/>
      <w:suff w:val="tab"/>
      <w:lvlText w:val="o"/>
      <w:lvlJc w:val="left"/>
      <w:pPr>
        <w:pStyle w:val="915"/>
        <w:ind w:left="5760" w:hanging="360"/>
      </w:pPr>
      <w:rPr>
        <w:rFonts w:ascii="Courier New" w:hAnsi="Courier New" w:eastAsia="Courier New" w:cs="Courier New"/>
      </w:rPr>
    </w:lvl>
    <w:lvl w:ilvl="8">
      <w:start w:val="1"/>
      <w:numFmt w:val="bullet"/>
      <w:isLgl w:val="false"/>
      <w:suff w:val="tab"/>
      <w:lvlText w:val="§"/>
      <w:lvlJc w:val="left"/>
      <w:pPr>
        <w:pStyle w:val="915"/>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第%1章"/>
      <w:lvlJc w:val="left"/>
      <w:pPr>
        <w:pStyle w:val="915"/>
        <w:ind w:left="432" w:hanging="432"/>
        <w:tabs>
          <w:tab w:val="num" w:pos="432" w:leader="none"/>
        </w:tabs>
      </w:pPr>
      <w:rPr>
        <w:rFonts w:hint="eastAsia" w:ascii="宋体" w:hAnsi="宋体" w:eastAsia="宋体"/>
        <w:b/>
        <w:i w:val="0"/>
        <w:sz w:val="28"/>
        <w:szCs w:val="28"/>
      </w:rPr>
    </w:lvl>
    <w:lvl w:ilvl="1">
      <w:start w:val="1"/>
      <w:numFmt w:val="decimal"/>
      <w:pStyle w:val="917"/>
      <w:isLgl w:val="false"/>
      <w:suff w:val="tab"/>
      <w:lvlText w:val="%1.%2"/>
      <w:lvlJc w:val="left"/>
      <w:pPr>
        <w:pStyle w:val="915"/>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915"/>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915"/>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915"/>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915"/>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915"/>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915"/>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915"/>
        <w:ind w:left="3744" w:hanging="1584"/>
        <w:tabs>
          <w:tab w:val="num" w:pos="3744" w:leader="none"/>
        </w:tabs>
      </w:pPr>
      <w:rPr>
        <w:rFonts w:hint="eastAsia" w:ascii="宋体" w:hAnsi="宋体" w:eastAsia="宋体"/>
        <w:b/>
        <w:sz w:val="28"/>
        <w:szCs w:val="28"/>
      </w:rPr>
    </w:lvl>
  </w:abstractNum>
  <w:abstractNum w:abstractNumId="3">
    <w:multiLevelType w:val="hybridMultilevel"/>
    <w:lvl w:ilvl="0">
      <w:start w:val="1"/>
      <w:numFmt w:val="chineseCounting"/>
      <w:isLgl w:val="false"/>
      <w:suff w:val="nothing"/>
      <w:lvlText w:val="%1、"/>
      <w:lvlJc w:val="left"/>
      <w:pPr>
        <w:pStyle w:val="915"/>
      </w:pPr>
      <w:rPr>
        <w:rFonts w:hint="eastAsia"/>
      </w:rPr>
    </w:lvl>
    <w:lvl w:ilvl="1">
      <w:start w:val="1"/>
      <w:numFmt w:val="bullet"/>
      <w:isLgl w:val="false"/>
      <w:suff w:val="tab"/>
      <w:lvlText w:val="o"/>
      <w:lvlJc w:val="left"/>
      <w:pPr>
        <w:pStyle w:val="915"/>
        <w:ind w:left="1440" w:hanging="360"/>
      </w:pPr>
      <w:rPr>
        <w:rFonts w:ascii="Courier New" w:hAnsi="Courier New" w:eastAsia="Courier New" w:cs="Courier New"/>
      </w:rPr>
    </w:lvl>
    <w:lvl w:ilvl="2">
      <w:start w:val="1"/>
      <w:numFmt w:val="bullet"/>
      <w:isLgl w:val="false"/>
      <w:suff w:val="tab"/>
      <w:lvlText w:val="§"/>
      <w:lvlJc w:val="left"/>
      <w:pPr>
        <w:pStyle w:val="915"/>
        <w:ind w:left="2160" w:hanging="360"/>
      </w:pPr>
      <w:rPr>
        <w:rFonts w:ascii="Wingdings" w:hAnsi="Wingdings" w:eastAsia="Wingdings" w:cs="Wingdings"/>
      </w:rPr>
    </w:lvl>
    <w:lvl w:ilvl="3">
      <w:start w:val="1"/>
      <w:numFmt w:val="bullet"/>
      <w:isLgl w:val="false"/>
      <w:suff w:val="tab"/>
      <w:lvlText w:val="·"/>
      <w:lvlJc w:val="left"/>
      <w:pPr>
        <w:pStyle w:val="915"/>
        <w:ind w:left="2880" w:hanging="360"/>
      </w:pPr>
      <w:rPr>
        <w:rFonts w:ascii="Symbol" w:hAnsi="Symbol" w:eastAsia="Symbol" w:cs="Symbol"/>
      </w:rPr>
    </w:lvl>
    <w:lvl w:ilvl="4">
      <w:start w:val="1"/>
      <w:numFmt w:val="bullet"/>
      <w:isLgl w:val="false"/>
      <w:suff w:val="tab"/>
      <w:lvlText w:val="o"/>
      <w:lvlJc w:val="left"/>
      <w:pPr>
        <w:pStyle w:val="915"/>
        <w:ind w:left="3600" w:hanging="360"/>
      </w:pPr>
      <w:rPr>
        <w:rFonts w:ascii="Courier New" w:hAnsi="Courier New" w:eastAsia="Courier New" w:cs="Courier New"/>
      </w:rPr>
    </w:lvl>
    <w:lvl w:ilvl="5">
      <w:start w:val="1"/>
      <w:numFmt w:val="bullet"/>
      <w:isLgl w:val="false"/>
      <w:suff w:val="tab"/>
      <w:lvlText w:val="§"/>
      <w:lvlJc w:val="left"/>
      <w:pPr>
        <w:pStyle w:val="915"/>
        <w:ind w:left="4320" w:hanging="360"/>
      </w:pPr>
      <w:rPr>
        <w:rFonts w:ascii="Wingdings" w:hAnsi="Wingdings" w:eastAsia="Wingdings" w:cs="Wingdings"/>
      </w:rPr>
    </w:lvl>
    <w:lvl w:ilvl="6">
      <w:start w:val="1"/>
      <w:numFmt w:val="bullet"/>
      <w:isLgl w:val="false"/>
      <w:suff w:val="tab"/>
      <w:lvlText w:val="·"/>
      <w:lvlJc w:val="left"/>
      <w:pPr>
        <w:pStyle w:val="915"/>
        <w:ind w:left="5040" w:hanging="360"/>
      </w:pPr>
      <w:rPr>
        <w:rFonts w:ascii="Symbol" w:hAnsi="Symbol" w:eastAsia="Symbol" w:cs="Symbol"/>
      </w:rPr>
    </w:lvl>
    <w:lvl w:ilvl="7">
      <w:start w:val="1"/>
      <w:numFmt w:val="bullet"/>
      <w:isLgl w:val="false"/>
      <w:suff w:val="tab"/>
      <w:lvlText w:val="o"/>
      <w:lvlJc w:val="left"/>
      <w:pPr>
        <w:pStyle w:val="915"/>
        <w:ind w:left="5760" w:hanging="360"/>
      </w:pPr>
      <w:rPr>
        <w:rFonts w:ascii="Courier New" w:hAnsi="Courier New" w:eastAsia="Courier New" w:cs="Courier New"/>
      </w:rPr>
    </w:lvl>
    <w:lvl w:ilvl="8">
      <w:start w:val="1"/>
      <w:numFmt w:val="bullet"/>
      <w:isLgl w:val="false"/>
      <w:suff w:val="tab"/>
      <w:lvlText w:val="§"/>
      <w:lvlJc w:val="left"/>
      <w:pPr>
        <w:pStyle w:val="915"/>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5"/>
    <w:next w:val="915"/>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5"/>
    <w:next w:val="915"/>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5"/>
    <w:next w:val="915"/>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5"/>
    <w:next w:val="915"/>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5"/>
    <w:next w:val="915"/>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5"/>
    <w:next w:val="91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5"/>
    <w:next w:val="91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5"/>
    <w:next w:val="91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5"/>
    <w:next w:val="91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915"/>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915"/>
    <w:next w:val="915"/>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915"/>
    <w:next w:val="915"/>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15"/>
    <w:next w:val="915"/>
    <w:link w:val="762"/>
    <w:uiPriority w:val="29"/>
    <w:qFormat/>
    <w:pPr>
      <w:ind w:left="720" w:right="720"/>
    </w:pPr>
    <w:rPr>
      <w:i/>
    </w:rPr>
  </w:style>
  <w:style w:type="character" w:styleId="762">
    <w:name w:val="Quote Char"/>
    <w:link w:val="761"/>
    <w:uiPriority w:val="29"/>
    <w:rPr>
      <w:i/>
    </w:rPr>
  </w:style>
  <w:style w:type="paragraph" w:styleId="763">
    <w:name w:val="Intense Quote"/>
    <w:basedOn w:val="915"/>
    <w:next w:val="91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15"/>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915"/>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21"/>
    <w:link w:val="915"/>
    <w:qFormat/>
    <w:pPr>
      <w:jc w:val="both"/>
      <w:widowControl w:val="off"/>
    </w:pPr>
    <w:rPr>
      <w:rFonts w:ascii="Calibri" w:hAnsi="Calibri" w:cs="Calibri"/>
      <w:sz w:val="21"/>
      <w:szCs w:val="24"/>
      <w:lang w:val="en-US" w:eastAsia="zh-CN" w:bidi="ar-SA"/>
    </w:rPr>
  </w:style>
  <w:style w:type="paragraph" w:styleId="916">
    <w:name w:val="标题 1"/>
    <w:basedOn w:val="915"/>
    <w:next w:val="915"/>
    <w:link w:val="915"/>
    <w:qFormat/>
    <w:pPr>
      <w:ind w:left="405" w:hanging="405"/>
      <w:jc w:val="left"/>
      <w:keepNext/>
      <w:spacing w:line="300" w:lineRule="auto"/>
      <w:tabs>
        <w:tab w:val="left" w:pos="405" w:leader="none"/>
      </w:tabs>
      <w:outlineLvl w:val="0"/>
    </w:pPr>
    <w:rPr>
      <w:sz w:val="28"/>
    </w:rPr>
  </w:style>
  <w:style w:type="paragraph" w:styleId="917">
    <w:name w:val="标题 2"/>
    <w:basedOn w:val="915"/>
    <w:next w:val="915"/>
    <w:link w:val="915"/>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18">
    <w:name w:val="标题 3"/>
    <w:basedOn w:val="915"/>
    <w:next w:val="915"/>
    <w:link w:val="915"/>
    <w:qFormat/>
    <w:pPr>
      <w:keepLines/>
      <w:keepNext/>
      <w:spacing w:before="260" w:after="260" w:line="413" w:lineRule="auto"/>
      <w:outlineLvl w:val="2"/>
    </w:pPr>
    <w:rPr>
      <w:b/>
      <w:sz w:val="32"/>
    </w:rPr>
  </w:style>
  <w:style w:type="character" w:styleId="919">
    <w:name w:val="默认段落字体"/>
    <w:next w:val="919"/>
    <w:link w:val="915"/>
    <w:semiHidden/>
    <w:qFormat/>
  </w:style>
  <w:style w:type="table" w:styleId="920">
    <w:name w:val="普通表格"/>
    <w:next w:val="920"/>
    <w:link w:val="915"/>
    <w:semiHidden/>
    <w:tblPr/>
  </w:style>
  <w:style w:type="paragraph" w:styleId="921">
    <w:name w:val="页脚"/>
    <w:basedOn w:val="915"/>
    <w:next w:val="921"/>
    <w:link w:val="915"/>
    <w:uiPriority w:val="99"/>
    <w:qFormat/>
    <w:pPr>
      <w:jc w:val="left"/>
      <w:tabs>
        <w:tab w:val="center" w:pos="4153" w:leader="none"/>
        <w:tab w:val="right" w:pos="8306" w:leader="none"/>
      </w:tabs>
    </w:pPr>
    <w:rPr>
      <w:sz w:val="18"/>
      <w:szCs w:val="18"/>
    </w:rPr>
  </w:style>
  <w:style w:type="paragraph" w:styleId="922">
    <w:name w:val="目录 7"/>
    <w:basedOn w:val="915"/>
    <w:next w:val="915"/>
    <w:link w:val="915"/>
    <w:uiPriority w:val="39"/>
    <w:unhideWhenUsed/>
    <w:qFormat/>
    <w:pPr>
      <w:ind w:left="1260"/>
      <w:jc w:val="left"/>
    </w:pPr>
    <w:rPr>
      <w:sz w:val="18"/>
      <w:szCs w:val="18"/>
    </w:rPr>
  </w:style>
  <w:style w:type="paragraph" w:styleId="923">
    <w:name w:val="正文缩进"/>
    <w:basedOn w:val="915"/>
    <w:next w:val="924"/>
    <w:link w:val="915"/>
    <w:qFormat/>
    <w:pPr>
      <w:ind w:firstLine="420"/>
    </w:pPr>
    <w:rPr>
      <w:szCs w:val="20"/>
    </w:rPr>
  </w:style>
  <w:style w:type="paragraph" w:styleId="924">
    <w:name w:val="正文文本"/>
    <w:basedOn w:val="915"/>
    <w:next w:val="924"/>
    <w:link w:val="915"/>
    <w:qFormat/>
    <w:pPr>
      <w:tabs>
        <w:tab w:val="left" w:pos="5250" w:leader="none"/>
      </w:tabs>
    </w:pPr>
    <w:rPr>
      <w:sz w:val="28"/>
    </w:rPr>
  </w:style>
  <w:style w:type="paragraph" w:styleId="925">
    <w:name w:val="批注文字"/>
    <w:basedOn w:val="915"/>
    <w:next w:val="925"/>
    <w:link w:val="926"/>
    <w:qFormat/>
    <w:pPr>
      <w:jc w:val="left"/>
    </w:pPr>
  </w:style>
  <w:style w:type="character" w:styleId="926">
    <w:name w:val="批注文字 字符"/>
    <w:next w:val="926"/>
    <w:link w:val="925"/>
    <w:rPr>
      <w:rFonts w:ascii="Calibri" w:hAnsi="Calibri" w:cs="Calibri"/>
      <w:sz w:val="21"/>
      <w:szCs w:val="24"/>
    </w:rPr>
  </w:style>
  <w:style w:type="paragraph" w:styleId="927">
    <w:name w:val="正文文本缩进"/>
    <w:basedOn w:val="915"/>
    <w:next w:val="928"/>
    <w:link w:val="915"/>
    <w:qFormat/>
    <w:pPr>
      <w:ind w:left="420"/>
      <w:spacing w:after="120"/>
    </w:pPr>
  </w:style>
  <w:style w:type="paragraph" w:styleId="928">
    <w:name w:val="寄信人地址"/>
    <w:basedOn w:val="915"/>
    <w:next w:val="928"/>
    <w:link w:val="915"/>
    <w:qFormat/>
    <w:rPr>
      <w:rFonts w:ascii="Arial" w:hAnsi="Arial" w:eastAsia="楷体_GB2312"/>
      <w:sz w:val="26"/>
      <w:szCs w:val="20"/>
    </w:rPr>
  </w:style>
  <w:style w:type="paragraph" w:styleId="929">
    <w:name w:val="文本块"/>
    <w:basedOn w:val="916"/>
    <w:next w:val="915"/>
    <w:link w:val="915"/>
    <w:qFormat/>
    <w:pPr>
      <w:ind w:left="420" w:right="-294"/>
      <w:spacing w:line="320" w:lineRule="exact"/>
      <w:tabs>
        <w:tab w:val="left" w:pos="405" w:leader="none"/>
      </w:tabs>
    </w:pPr>
    <w:rPr>
      <w:rFonts w:ascii="宋体"/>
      <w:sz w:val="24"/>
    </w:rPr>
  </w:style>
  <w:style w:type="paragraph" w:styleId="930">
    <w:name w:val="纯文本"/>
    <w:basedOn w:val="915"/>
    <w:next w:val="930"/>
    <w:link w:val="915"/>
    <w:qFormat/>
    <w:rPr>
      <w:rFonts w:ascii="宋体" w:hAnsi="Courier New" w:eastAsia="楷体_GB2312"/>
      <w:sz w:val="28"/>
    </w:rPr>
  </w:style>
  <w:style w:type="paragraph" w:styleId="931">
    <w:name w:val="批注框文本"/>
    <w:basedOn w:val="915"/>
    <w:next w:val="931"/>
    <w:link w:val="915"/>
    <w:qFormat/>
    <w:rPr>
      <w:sz w:val="18"/>
      <w:szCs w:val="18"/>
    </w:rPr>
  </w:style>
  <w:style w:type="paragraph" w:styleId="932">
    <w:name w:val="页眉"/>
    <w:basedOn w:val="915"/>
    <w:next w:val="932"/>
    <w:link w:val="915"/>
    <w:uiPriority w:val="99"/>
    <w:qFormat/>
    <w:pPr>
      <w:jc w:val="center"/>
      <w:tabs>
        <w:tab w:val="center" w:pos="4153" w:leader="none"/>
        <w:tab w:val="right" w:pos="8306" w:leader="none"/>
      </w:tabs>
      <w:pBdr>
        <w:bottom w:val="none" w:color="000000" w:sz="0" w:space="1"/>
      </w:pBdr>
    </w:pPr>
    <w:rPr>
      <w:sz w:val="18"/>
      <w:szCs w:val="18"/>
    </w:rPr>
  </w:style>
  <w:style w:type="paragraph" w:styleId="933">
    <w:name w:val="副标题"/>
    <w:basedOn w:val="915"/>
    <w:next w:val="915"/>
    <w:link w:val="915"/>
    <w:qFormat/>
    <w:pPr>
      <w:jc w:val="center"/>
      <w:spacing w:before="240" w:after="60" w:line="312" w:lineRule="auto"/>
      <w:outlineLvl w:val="1"/>
    </w:pPr>
    <w:rPr>
      <w:rFonts w:ascii="宋体" w:hAnsi="Courier New" w:eastAsia="楷体_GB2312"/>
      <w:sz w:val="26"/>
    </w:rPr>
  </w:style>
  <w:style w:type="paragraph" w:styleId="934">
    <w:name w:val="脚注文本"/>
    <w:basedOn w:val="916"/>
    <w:next w:val="929"/>
    <w:link w:val="915"/>
    <w:qFormat/>
    <w:pPr>
      <w:ind w:firstLine="3584"/>
      <w:spacing w:line="360" w:lineRule="auto"/>
      <w:tabs>
        <w:tab w:val="left" w:pos="405" w:leader="none"/>
      </w:tabs>
    </w:pPr>
  </w:style>
  <w:style w:type="paragraph" w:styleId="935">
    <w:name w:val="正文文本 2"/>
    <w:basedOn w:val="915"/>
    <w:next w:val="935"/>
    <w:link w:val="915"/>
    <w:qFormat/>
    <w:pPr>
      <w:spacing w:line="360" w:lineRule="auto"/>
    </w:pPr>
    <w:rPr>
      <w:color w:val="ff0000"/>
    </w:rPr>
  </w:style>
  <w:style w:type="paragraph" w:styleId="936">
    <w:name w:val="普通(网站)"/>
    <w:basedOn w:val="915"/>
    <w:next w:val="936"/>
    <w:link w:val="915"/>
    <w:uiPriority w:val="99"/>
    <w:qFormat/>
    <w:pPr>
      <w:jc w:val="left"/>
      <w:spacing w:beforeAutospacing="1" w:afterAutospacing="1"/>
    </w:pPr>
    <w:rPr>
      <w:rFonts w:cs="Times New Roman"/>
      <w:sz w:val="24"/>
    </w:rPr>
  </w:style>
  <w:style w:type="paragraph" w:styleId="937">
    <w:name w:val="标题"/>
    <w:basedOn w:val="915"/>
    <w:next w:val="915"/>
    <w:link w:val="915"/>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38">
    <w:name w:val="批注主题"/>
    <w:basedOn w:val="925"/>
    <w:next w:val="925"/>
    <w:link w:val="939"/>
    <w:rPr>
      <w:b/>
      <w:bCs/>
    </w:rPr>
  </w:style>
  <w:style w:type="character" w:styleId="939">
    <w:name w:val="批注主题 字符"/>
    <w:next w:val="939"/>
    <w:link w:val="938"/>
    <w:rPr>
      <w:rFonts w:ascii="Calibri" w:hAnsi="Calibri" w:cs="Calibri"/>
      <w:b/>
      <w:bCs/>
      <w:sz w:val="21"/>
      <w:szCs w:val="24"/>
    </w:rPr>
  </w:style>
  <w:style w:type="paragraph" w:styleId="940">
    <w:name w:val="正文首行缩进"/>
    <w:basedOn w:val="924"/>
    <w:next w:val="915"/>
    <w:link w:val="915"/>
    <w:qFormat/>
    <w:pPr>
      <w:ind w:firstLine="420"/>
      <w:tabs>
        <w:tab w:val="left" w:pos="5250" w:leader="none"/>
      </w:tabs>
    </w:pPr>
  </w:style>
  <w:style w:type="paragraph" w:styleId="941">
    <w:name w:val="正文首行缩进 2"/>
    <w:basedOn w:val="927"/>
    <w:next w:val="941"/>
    <w:link w:val="915"/>
    <w:uiPriority w:val="99"/>
    <w:unhideWhenUsed/>
    <w:qFormat/>
    <w:pPr>
      <w:ind w:firstLine="420"/>
    </w:pPr>
  </w:style>
  <w:style w:type="table" w:styleId="942">
    <w:name w:val="网格型"/>
    <w:basedOn w:val="920"/>
    <w:next w:val="942"/>
    <w:link w:val="915"/>
    <w:qFormat/>
    <w:tblPr/>
  </w:style>
  <w:style w:type="character" w:styleId="943">
    <w:name w:val="页码"/>
    <w:next w:val="943"/>
    <w:link w:val="915"/>
    <w:qFormat/>
  </w:style>
  <w:style w:type="character" w:styleId="944">
    <w:name w:val="强调"/>
    <w:next w:val="944"/>
    <w:link w:val="915"/>
    <w:uiPriority w:val="20"/>
    <w:qFormat/>
    <w:rPr>
      <w:rFonts w:ascii="Times New Roman" w:hAnsi="Times New Roman" w:eastAsia="宋体" w:cs="Times New Roman"/>
      <w:i/>
      <w:sz w:val="21"/>
    </w:rPr>
  </w:style>
  <w:style w:type="character" w:styleId="945">
    <w:name w:val="批注引用"/>
    <w:next w:val="945"/>
    <w:link w:val="915"/>
    <w:rPr>
      <w:sz w:val="21"/>
      <w:szCs w:val="21"/>
    </w:rPr>
  </w:style>
  <w:style w:type="paragraph" w:styleId="946">
    <w:name w:val="段"/>
    <w:basedOn w:val="947"/>
    <w:next w:val="915"/>
    <w:link w:val="915"/>
    <w:qFormat/>
    <w:pPr>
      <w:ind w:firstLine="200"/>
      <w:jc w:val="both"/>
    </w:pPr>
    <w:rPr>
      <w:rFonts w:ascii="宋体" w:hAnsi="Calibri"/>
      <w:sz w:val="21"/>
      <w:lang w:val="en-US" w:eastAsia="zh-CN" w:bidi="ar-SA"/>
    </w:rPr>
  </w:style>
  <w:style w:type="paragraph" w:styleId="947">
    <w:name w:val="正文1"/>
    <w:basedOn w:val="948"/>
    <w:next w:val="950"/>
    <w:link w:val="915"/>
    <w:qFormat/>
    <w:pPr>
      <w:ind w:left="420" w:firstLine="527"/>
      <w:spacing w:before="120" w:line="360" w:lineRule="auto"/>
    </w:pPr>
    <w:rPr>
      <w:rFonts w:ascii="宋体" w:hAnsi="宋体"/>
    </w:rPr>
  </w:style>
  <w:style w:type="paragraph" w:styleId="948">
    <w:name w:val="正文12"/>
    <w:next w:val="949"/>
    <w:link w:val="915"/>
    <w:qFormat/>
    <w:pPr>
      <w:jc w:val="both"/>
      <w:widowControl w:val="off"/>
    </w:pPr>
    <w:rPr>
      <w:rFonts w:ascii="Times New Roman" w:hAnsi="Times New Roman" w:eastAsia="宋体" w:cs="Times New Roman"/>
      <w:sz w:val="21"/>
      <w:szCs w:val="24"/>
      <w:lang w:val="en-US" w:eastAsia="zh-CN" w:bidi="ar-SA"/>
    </w:rPr>
  </w:style>
  <w:style w:type="paragraph" w:styleId="949">
    <w:name w:val="Default"/>
    <w:next w:val="949"/>
    <w:link w:val="915"/>
    <w:qFormat/>
    <w:pPr>
      <w:widowControl w:val="off"/>
    </w:pPr>
    <w:rPr>
      <w:rFonts w:ascii="宋体" w:hAnsi="Times New Roman" w:eastAsia="宋体" w:cs="宋体"/>
      <w:color w:val="000000"/>
      <w:sz w:val="24"/>
      <w:szCs w:val="24"/>
      <w:lang w:val="en-US" w:eastAsia="zh-CN" w:bidi="ar-SA"/>
    </w:rPr>
  </w:style>
  <w:style w:type="paragraph" w:styleId="950">
    <w:name w:val="正文首行缩进1"/>
    <w:basedOn w:val="951"/>
    <w:next w:val="954"/>
    <w:link w:val="915"/>
    <w:qFormat/>
    <w:pPr>
      <w:ind w:firstLine="420"/>
    </w:pPr>
    <w:rPr>
      <w:szCs w:val="22"/>
    </w:rPr>
  </w:style>
  <w:style w:type="paragraph" w:styleId="951">
    <w:name w:val="正文文本1"/>
    <w:basedOn w:val="952"/>
    <w:next w:val="953"/>
    <w:link w:val="915"/>
    <w:qFormat/>
    <w:pPr>
      <w:spacing w:after="120"/>
    </w:pPr>
  </w:style>
  <w:style w:type="paragraph" w:styleId="952">
    <w:name w:val="正文11"/>
    <w:next w:val="915"/>
    <w:link w:val="915"/>
    <w:qFormat/>
    <w:pPr>
      <w:jc w:val="both"/>
      <w:widowControl w:val="off"/>
    </w:pPr>
    <w:rPr>
      <w:rFonts w:ascii="Times New Roman" w:hAnsi="Times New Roman" w:eastAsia="宋体" w:cs="Times New Roman"/>
      <w:sz w:val="21"/>
      <w:szCs w:val="24"/>
      <w:lang w:val="en-US" w:eastAsia="zh-CN" w:bidi="ar-SA"/>
    </w:rPr>
  </w:style>
  <w:style w:type="paragraph" w:styleId="953">
    <w:name w:val="正文缩进1"/>
    <w:basedOn w:val="915"/>
    <w:next w:val="915"/>
    <w:link w:val="915"/>
    <w:qFormat/>
    <w:pPr>
      <w:ind w:firstLine="420"/>
      <w:jc w:val="left"/>
    </w:pPr>
    <w:rPr>
      <w:rFonts w:eastAsia="楷体_GB2312"/>
      <w:sz w:val="24"/>
      <w:szCs w:val="20"/>
    </w:rPr>
  </w:style>
  <w:style w:type="paragraph" w:styleId="954">
    <w:name w:val="正文首行缩进 21"/>
    <w:basedOn w:val="955"/>
    <w:next w:val="947"/>
    <w:link w:val="915"/>
    <w:qFormat/>
    <w:pPr>
      <w:ind w:firstLine="420"/>
      <w:widowControl/>
    </w:pPr>
    <w:rPr>
      <w:rFonts w:ascii="仿宋_GB2312"/>
      <w:color w:val="ff6600"/>
      <w:sz w:val="21"/>
    </w:rPr>
  </w:style>
  <w:style w:type="paragraph" w:styleId="955">
    <w:name w:val="正文文本缩进1"/>
    <w:basedOn w:val="915"/>
    <w:next w:val="956"/>
    <w:link w:val="915"/>
    <w:qFormat/>
    <w:pPr>
      <w:ind w:firstLine="560"/>
      <w:spacing w:line="300" w:lineRule="auto"/>
    </w:pPr>
    <w:rPr>
      <w:sz w:val="28"/>
    </w:rPr>
  </w:style>
  <w:style w:type="paragraph" w:styleId="956">
    <w:name w:val="寄信人地址1"/>
    <w:basedOn w:val="915"/>
    <w:next w:val="956"/>
    <w:link w:val="915"/>
    <w:qFormat/>
    <w:rPr>
      <w:rFonts w:ascii="Arial" w:hAnsi="Arial"/>
    </w:rPr>
  </w:style>
  <w:style w:type="paragraph" w:styleId="957">
    <w:name w:val="一级条标题"/>
    <w:basedOn w:val="958"/>
    <w:next w:val="946"/>
    <w:link w:val="91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8">
    <w:name w:val="章标题"/>
    <w:next w:val="915"/>
    <w:link w:val="915"/>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9">
    <w:name w:val="正文首行缩进 211"/>
    <w:basedOn w:val="960"/>
    <w:next w:val="962"/>
    <w:link w:val="915"/>
    <w:qFormat/>
    <w:pPr>
      <w:ind w:left="420" w:firstLine="420"/>
      <w:spacing w:after="120" w:line="240" w:lineRule="auto"/>
    </w:pPr>
    <w:rPr>
      <w:b w:val="0"/>
      <w:szCs w:val="24"/>
    </w:rPr>
  </w:style>
  <w:style w:type="paragraph" w:styleId="960">
    <w:name w:val="正文文本缩进11"/>
    <w:basedOn w:val="915"/>
    <w:next w:val="961"/>
    <w:link w:val="915"/>
    <w:qFormat/>
    <w:pPr>
      <w:ind w:left="315" w:firstLine="632"/>
      <w:spacing w:line="360" w:lineRule="auto"/>
    </w:pPr>
    <w:rPr>
      <w:b/>
    </w:rPr>
  </w:style>
  <w:style w:type="paragraph" w:styleId="961">
    <w:name w:val="寄信人地址111"/>
    <w:basedOn w:val="915"/>
    <w:next w:val="961"/>
    <w:link w:val="915"/>
    <w:qFormat/>
    <w:rPr>
      <w:rFonts w:ascii="Arial" w:hAnsi="Arial" w:eastAsia="楷体_GB2312"/>
      <w:sz w:val="26"/>
    </w:rPr>
  </w:style>
  <w:style w:type="paragraph" w:styleId="962">
    <w:name w:val="正文文本缩进 21"/>
    <w:basedOn w:val="915"/>
    <w:next w:val="963"/>
    <w:link w:val="915"/>
    <w:qFormat/>
    <w:pPr>
      <w:ind w:firstLine="420"/>
      <w:spacing w:line="360" w:lineRule="auto"/>
    </w:pPr>
    <w:rPr>
      <w:rFonts w:ascii="宋体" w:hAnsi="宋体"/>
    </w:rPr>
  </w:style>
  <w:style w:type="paragraph" w:styleId="963">
    <w:name w:val="索引 91"/>
    <w:basedOn w:val="915"/>
    <w:next w:val="915"/>
    <w:link w:val="915"/>
    <w:qFormat/>
    <w:pPr>
      <w:ind w:left="1600"/>
    </w:pPr>
    <w:rPr>
      <w:szCs w:val="24"/>
    </w:rPr>
  </w:style>
  <w:style w:type="paragraph" w:styleId="964">
    <w:name w:val="PlainText1"/>
    <w:basedOn w:val="915"/>
    <w:next w:val="964"/>
    <w:link w:val="915"/>
    <w:uiPriority w:val="99"/>
    <w:qFormat/>
    <w:rPr>
      <w:rFonts w:ascii="宋体" w:hAnsi="Courier New" w:eastAsia="楷体_GB2312"/>
      <w:sz w:val="28"/>
      <w:szCs w:val="20"/>
    </w:rPr>
  </w:style>
  <w:style w:type="paragraph" w:styleId="965">
    <w:name w:val="目录 51"/>
    <w:next w:val="915"/>
    <w:link w:val="915"/>
    <w:qFormat/>
    <w:pPr>
      <w:ind w:left="1275"/>
      <w:jc w:val="both"/>
    </w:pPr>
    <w:rPr>
      <w:rFonts w:ascii="Calibri" w:hAnsi="Calibri" w:eastAsia="宋体" w:cs="Times New Roman"/>
      <w:sz w:val="21"/>
      <w:lang w:val="en-US" w:eastAsia="zh-CN" w:bidi="ar-SA"/>
    </w:rPr>
  </w:style>
  <w:style w:type="paragraph" w:styleId="966">
    <w:name w:val="列表段落"/>
    <w:basedOn w:val="915"/>
    <w:next w:val="966"/>
    <w:link w:val="915"/>
    <w:uiPriority w:val="34"/>
    <w:qFormat/>
    <w:pPr>
      <w:ind w:firstLine="420"/>
    </w:pPr>
  </w:style>
  <w:style w:type="paragraph" w:styleId="967">
    <w:name w:val="首行缩进"/>
    <w:basedOn w:val="915"/>
    <w:next w:val="967"/>
    <w:link w:val="915"/>
    <w:qFormat/>
    <w:pPr>
      <w:ind w:firstLine="480"/>
      <w:jc w:val="left"/>
      <w:spacing w:line="360" w:lineRule="auto"/>
    </w:pPr>
    <w:rPr>
      <w:rFonts w:ascii="宋体" w:hAnsi="宋体"/>
      <w:sz w:val="24"/>
    </w:rPr>
  </w:style>
  <w:style w:type="character" w:styleId="968">
    <w:name w:val="NormalCharacter1"/>
    <w:next w:val="968"/>
    <w:link w:val="915"/>
    <w:qFormat/>
  </w:style>
  <w:style w:type="paragraph" w:styleId="969">
    <w:name w:val="+标题1"/>
    <w:basedOn w:val="916"/>
    <w:next w:val="969"/>
    <w:link w:val="915"/>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70">
    <w:name w:val="纯文本13"/>
    <w:basedOn w:val="915"/>
    <w:next w:val="970"/>
    <w:link w:val="915"/>
    <w:qFormat/>
    <w:pPr>
      <w:jc w:val="left"/>
      <w:widowControl/>
    </w:pPr>
    <w:rPr>
      <w:rFonts w:ascii="宋体" w:hAnsi="Courier New" w:eastAsia="楷体_GB2312"/>
      <w:sz w:val="26"/>
      <w:lang w:eastAsia="en-US"/>
    </w:rPr>
  </w:style>
  <w:style w:type="paragraph" w:styleId="971">
    <w:name w:val="纯文本1"/>
    <w:basedOn w:val="915"/>
    <w:next w:val="971"/>
    <w:link w:val="915"/>
    <w:qFormat/>
    <w:rPr>
      <w:rFonts w:ascii="宋体" w:hAnsi="Courier New" w:eastAsia="楷体_GB2312"/>
      <w:sz w:val="26"/>
    </w:rPr>
  </w:style>
  <w:style w:type="character" w:styleId="972">
    <w:name w:val="font11"/>
    <w:basedOn w:val="919"/>
    <w:next w:val="972"/>
    <w:link w:val="915"/>
    <w:rPr>
      <w:rFonts w:hint="eastAsia" w:ascii="宋体" w:hAnsi="宋体" w:eastAsia="宋体" w:cs="宋体"/>
      <w:i w:val="0"/>
      <w:iCs w:val="0"/>
      <w:color w:val="000000"/>
      <w:sz w:val="22"/>
      <w:szCs w:val="22"/>
      <w:u w:val="none"/>
    </w:rPr>
  </w:style>
  <w:style w:type="character" w:styleId="973">
    <w:name w:val="font61"/>
    <w:basedOn w:val="919"/>
    <w:next w:val="973"/>
    <w:link w:val="915"/>
    <w:rPr>
      <w:rFonts w:ascii="Arial" w:hAnsi="Arial" w:cs="Arial"/>
      <w:i w:val="0"/>
      <w:iCs w:val="0"/>
      <w:color w:val="000000"/>
      <w:sz w:val="22"/>
      <w:szCs w:val="22"/>
      <w:u w:val="none"/>
    </w:rPr>
  </w:style>
  <w:style w:type="character" w:styleId="974">
    <w:name w:val="font71"/>
    <w:basedOn w:val="975"/>
    <w:next w:val="974"/>
    <w:link w:val="915"/>
    <w:rPr>
      <w:rFonts w:hint="eastAsia" w:ascii="宋体" w:hAnsi="宋体" w:eastAsia="宋体" w:cs="宋体"/>
      <w:i w:val="0"/>
      <w:iCs w:val="0"/>
      <w:color w:val="ff0000"/>
      <w:sz w:val="22"/>
      <w:szCs w:val="22"/>
      <w:u w:val="none"/>
    </w:rPr>
  </w:style>
  <w:style w:type="character" w:styleId="975">
    <w:name w:val="默认段落字体1"/>
    <w:next w:val="975"/>
    <w:link w:val="915"/>
    <w:semiHidden/>
    <w:qFormat/>
  </w:style>
  <w:style w:type="character" w:styleId="976">
    <w:name w:val="font81"/>
    <w:basedOn w:val="919"/>
    <w:next w:val="976"/>
    <w:link w:val="915"/>
    <w:rPr>
      <w:rFonts w:ascii="Calibri" w:hAnsi="Calibri" w:cs="Calibri"/>
      <w:i w:val="0"/>
      <w:iCs w:val="0"/>
      <w:color w:val="000000"/>
      <w:sz w:val="22"/>
      <w:szCs w:val="22"/>
      <w:u w:val="none"/>
    </w:rPr>
  </w:style>
  <w:style w:type="paragraph" w:styleId="977">
    <w:name w:val="p0"/>
    <w:basedOn w:val="915"/>
    <w:next w:val="977"/>
    <w:link w:val="915"/>
    <w:qFormat/>
    <w:rPr>
      <w:rFonts w:ascii="Times New Roman" w:hAnsi="Times New Roman"/>
      <w:szCs w:val="24"/>
    </w:rPr>
  </w:style>
  <w:style w:type="paragraph" w:styleId="978">
    <w:name w:val="纯文本3"/>
    <w:basedOn w:val="915"/>
    <w:next w:val="978"/>
    <w:link w:val="915"/>
    <w:qFormat/>
    <w:rPr>
      <w:rFonts w:ascii="宋体" w:hAnsi="Courier New" w:eastAsia="KaiTi_GB2312"/>
      <w:sz w:val="28"/>
      <w:szCs w:val="20"/>
    </w:rPr>
  </w:style>
  <w:style w:type="paragraph" w:styleId="979">
    <w:name w:val="纯文本11"/>
    <w:basedOn w:val="915"/>
    <w:next w:val="979"/>
    <w:link w:val="915"/>
    <w:qFormat/>
    <w:rPr>
      <w:rFonts w:ascii="宋体" w:hAnsi="Courier New" w:eastAsia="楷体_GB2312"/>
      <w:sz w:val="28"/>
      <w:szCs w:val="20"/>
    </w:rPr>
  </w:style>
  <w:style w:type="paragraph" w:styleId="980">
    <w:name w:val="正文文本缩进 311"/>
    <w:basedOn w:val="915"/>
    <w:next w:val="980"/>
    <w:link w:val="915"/>
    <w:uiPriority w:val="99"/>
    <w:qFormat/>
    <w:pPr>
      <w:ind w:firstLine="480"/>
      <w:spacing w:line="360" w:lineRule="auto"/>
      <w:widowControl/>
    </w:pPr>
    <w:rPr>
      <w:sz w:val="24"/>
    </w:rPr>
  </w:style>
  <w:style w:type="paragraph" w:styleId="981">
    <w:name w:val="标题 21"/>
    <w:basedOn w:val="915"/>
    <w:next w:val="915"/>
    <w:link w:val="915"/>
    <w:qFormat/>
    <w:pPr>
      <w:keepLines/>
      <w:keepNext/>
      <w:spacing w:before="260" w:after="260" w:line="413" w:lineRule="auto"/>
      <w:outlineLvl w:val="1"/>
    </w:pPr>
    <w:rPr>
      <w:rFonts w:ascii="Arial" w:hAnsi="Arial" w:eastAsia="黑体"/>
      <w:b/>
      <w:bCs/>
      <w:sz w:val="32"/>
      <w:szCs w:val="32"/>
    </w:rPr>
  </w:style>
  <w:style w:type="table" w:styleId="982">
    <w:name w:val="网格型2"/>
    <w:basedOn w:val="920"/>
    <w:next w:val="982"/>
    <w:link w:val="915"/>
    <w:uiPriority w:val="99"/>
    <w:qFormat/>
    <w:pPr>
      <w:jc w:val="both"/>
      <w:widowControl w:val="off"/>
    </w:pPr>
    <w:tblPr/>
  </w:style>
  <w:style w:type="paragraph" w:styleId="983">
    <w:name w:val="正文-标"/>
    <w:basedOn w:val="915"/>
    <w:next w:val="983"/>
    <w:link w:val="915"/>
    <w:qFormat/>
    <w:pPr>
      <w:ind w:firstLine="200"/>
      <w:spacing w:line="360" w:lineRule="auto"/>
    </w:pPr>
  </w:style>
  <w:style w:type="paragraph" w:styleId="984">
    <w:name w:val="Table Text"/>
    <w:basedOn w:val="915"/>
    <w:next w:val="984"/>
    <w:link w:val="915"/>
    <w:semiHidden/>
    <w:qFormat/>
    <w:rPr>
      <w:rFonts w:ascii="宋体" w:hAnsi="宋体" w:eastAsia="宋体" w:cs="宋体"/>
      <w:sz w:val="15"/>
      <w:szCs w:val="15"/>
      <w:lang w:val="en-US" w:eastAsia="en-US" w:bidi="ar-SA"/>
    </w:rPr>
  </w:style>
  <w:style w:type="table" w:styleId="985">
    <w:name w:val="Table Normal"/>
    <w:next w:val="985"/>
    <w:link w:val="915"/>
    <w:unhideWhenUsed/>
    <w:qFormat/>
    <w:tblPr/>
  </w:style>
  <w:style w:type="paragraph" w:styleId="986">
    <w:name w:val="正文文本 21"/>
    <w:basedOn w:val="915"/>
    <w:next w:val="986"/>
    <w:link w:val="915"/>
    <w:qFormat/>
    <w:pPr>
      <w:spacing w:after="120" w:line="480" w:lineRule="auto"/>
    </w:pPr>
  </w:style>
  <w:style w:type="paragraph" w:styleId="987">
    <w:name w:val="页脚1"/>
    <w:basedOn w:val="915"/>
    <w:next w:val="987"/>
    <w:link w:val="915"/>
    <w:qFormat/>
    <w:pPr>
      <w:jc w:val="left"/>
      <w:tabs>
        <w:tab w:val="center" w:pos="4153" w:leader="none"/>
        <w:tab w:val="right" w:pos="8306" w:leader="none"/>
      </w:tabs>
    </w:pPr>
    <w:rPr>
      <w:sz w:val="18"/>
      <w:szCs w:val="18"/>
    </w:rPr>
  </w:style>
  <w:style w:type="character" w:styleId="988">
    <w:name w:val="font31"/>
    <w:basedOn w:val="919"/>
    <w:next w:val="988"/>
    <w:link w:val="915"/>
    <w:qFormat/>
    <w:rPr>
      <w:rFonts w:ascii="等线" w:hAnsi="等线" w:eastAsia="等线" w:cs="等线"/>
      <w:color w:val="000000"/>
      <w:sz w:val="21"/>
      <w:szCs w:val="21"/>
      <w:u w:val="none"/>
    </w:rPr>
  </w:style>
  <w:style w:type="paragraph" w:styleId="989">
    <w:name w:val="正文文本11"/>
    <w:basedOn w:val="915"/>
    <w:next w:val="990"/>
    <w:link w:val="915"/>
    <w:uiPriority w:val="99"/>
    <w:qFormat/>
    <w:pPr>
      <w:spacing w:after="120"/>
    </w:pPr>
    <w:rPr>
      <w:rFonts w:ascii="Times New Roman" w:hAnsi="Times New Roman"/>
      <w:sz w:val="20"/>
      <w:szCs w:val="20"/>
    </w:rPr>
  </w:style>
  <w:style w:type="paragraph" w:styleId="990">
    <w:name w:val="正文缩进111"/>
    <w:basedOn w:val="915"/>
    <w:next w:val="915"/>
    <w:link w:val="915"/>
    <w:qFormat/>
    <w:pPr>
      <w:ind w:firstLine="420"/>
      <w:jc w:val="left"/>
    </w:pPr>
    <w:rPr>
      <w:rFonts w:ascii="Times New Roman" w:hAnsi="Times New Roman" w:eastAsia="楷体_GB2312"/>
      <w:sz w:val="24"/>
      <w:szCs w:val="20"/>
    </w:rPr>
  </w:style>
  <w:style w:type="character" w:styleId="991">
    <w:name w:val="font41"/>
    <w:basedOn w:val="919"/>
    <w:next w:val="991"/>
    <w:link w:val="915"/>
    <w:rPr>
      <w:rFonts w:hint="eastAsia" w:ascii="宋体" w:hAnsi="宋体" w:eastAsia="宋体" w:cs="宋体"/>
      <w:b/>
      <w:bCs/>
      <w:i w:val="0"/>
      <w:iCs w:val="0"/>
      <w:color w:val="ff0000"/>
      <w:sz w:val="32"/>
      <w:szCs w:val="32"/>
      <w:u w:val="none"/>
    </w:rPr>
  </w:style>
  <w:style w:type="paragraph" w:styleId="992">
    <w:name w:val="寄信人地址11"/>
    <w:basedOn w:val="915"/>
    <w:next w:val="992"/>
    <w:link w:val="915"/>
    <w:qFormat/>
    <w:rPr>
      <w:rFonts w:ascii="Arial" w:hAnsi="Arial" w:eastAsia="楷体_GB2312"/>
      <w:sz w:val="26"/>
    </w:rPr>
  </w:style>
  <w:style w:type="paragraph" w:styleId="993">
    <w:name w:val="LJX段落-楷体"/>
    <w:basedOn w:val="915"/>
    <w:next w:val="993"/>
    <w:link w:val="915"/>
    <w:qFormat/>
    <w:pPr>
      <w:ind w:firstLine="200"/>
      <w:spacing w:before="50" w:line="360" w:lineRule="auto"/>
    </w:pPr>
    <w:rPr>
      <w:rFonts w:ascii="Arial" w:hAnsi="Arial" w:eastAsia="仿宋_GB2312"/>
      <w:sz w:val="24"/>
    </w:rPr>
  </w:style>
  <w:style w:type="paragraph" w:styleId="994">
    <w:name w:val="纯文本111"/>
    <w:basedOn w:val="915"/>
    <w:next w:val="994"/>
    <w:link w:val="915"/>
    <w:qFormat/>
    <w:rPr>
      <w:rFonts w:ascii="宋体" w:hAnsi="Courier New" w:eastAsia="楷体_GB2312"/>
      <w:sz w:val="28"/>
    </w:rPr>
  </w:style>
  <w:style w:type="paragraph" w:styleId="995">
    <w:name w:val="LJX表格文字"/>
    <w:basedOn w:val="996"/>
    <w:next w:val="995"/>
    <w:link w:val="915"/>
    <w:qFormat/>
    <w:pPr>
      <w:jc w:val="center"/>
      <w:spacing w:after="0" w:line="300" w:lineRule="auto"/>
      <w:tabs>
        <w:tab w:val="left" w:pos="5250" w:leader="none"/>
      </w:tabs>
    </w:pPr>
    <w:rPr>
      <w:rFonts w:ascii="Arial" w:hAnsi="Arial" w:eastAsia="仿宋_GB2312"/>
      <w:sz w:val="24"/>
      <w:szCs w:val="21"/>
    </w:rPr>
  </w:style>
  <w:style w:type="paragraph" w:styleId="996">
    <w:name w:val="正文文本111"/>
    <w:basedOn w:val="915"/>
    <w:next w:val="996"/>
    <w:link w:val="915"/>
    <w:qFormat/>
    <w:pPr>
      <w:tabs>
        <w:tab w:val="left" w:pos="5250" w:leader="none"/>
      </w:tabs>
    </w:pPr>
    <w:rPr>
      <w:sz w:val="28"/>
    </w:rPr>
  </w:style>
  <w:style w:type="paragraph" w:styleId="997">
    <w:name w:val="页脚11"/>
    <w:basedOn w:val="915"/>
    <w:next w:val="997"/>
    <w:link w:val="915"/>
    <w:uiPriority w:val="99"/>
    <w:qFormat/>
    <w:pPr>
      <w:jc w:val="left"/>
      <w:tabs>
        <w:tab w:val="center" w:pos="4153" w:leader="none"/>
        <w:tab w:val="right" w:pos="8306" w:leader="none"/>
      </w:tabs>
    </w:pPr>
    <w:rPr>
      <w:sz w:val="18"/>
      <w:szCs w:val="18"/>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jp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jpg"/><Relationship Id="rId24"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5</cp:revision>
  <dcterms:created xsi:type="dcterms:W3CDTF">2025-05-19T08:19:00Z</dcterms:created>
  <dcterms:modified xsi:type="dcterms:W3CDTF">2026-08-13T02:41:57Z</dcterms:modified>
</cp:coreProperties>
</file>