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p>
    <w:p>
      <w:pPr>
        <w:pStyle w:val="946"/>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p>
    <w:p>
      <w:pPr>
        <w:pStyle w:val="946"/>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p>
    <w:p>
      <w:pPr>
        <w:pStyle w:val="946"/>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46"/>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46"/>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项目编号：JSZC-320211-JZCG-G2026-0021</w:t>
      </w:r>
      <w:r/>
    </w:p>
    <w:p>
      <w:pPr>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项目名称：无锡市河埒街道社区卫生服务中心物业管理服务项目</w:t>
      </w:r>
      <w:r/>
    </w:p>
    <w:p>
      <w:pPr>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人：无锡市滨湖区河埒街道社区卫生服务中心</w:t>
      </w: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pStyle w:val="946"/>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6"/>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6"/>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6"/>
        <w:ind w:firstLine="0"/>
        <w:jc w:val="center"/>
        <w:spacing w:before="0" w:after="0"/>
        <w:rPr>
          <w:rFonts w:hint="eastAsia" w:ascii="宋体" w:hAnsi="宋体" w:eastAsia="黑体"/>
          <w:color w:val="000000" w:themeColor="text1"/>
          <w:sz w:val="32"/>
          <w:szCs w:val="32"/>
          <w:highlight w:val="none"/>
          <w:shd w:val="clear" w:color="ffffff" w:fill="d9d9d9"/>
          <w:lang w:eastAsia="zh-CN"/>
        </w:rPr>
      </w:pPr>
      <w:r>
        <w:rPr>
          <w:rFonts w:hint="eastAsia" w:ascii="黑体" w:hAnsi="华文中宋" w:eastAsia="黑体"/>
          <w:bCs/>
          <w:color w:val="000000" w:themeColor="text1"/>
          <w:sz w:val="32"/>
          <w:szCs w:val="32"/>
          <w:highlight w:val="none"/>
        </w:rPr>
        <w:t xml:space="preserve">采购代理机构：</w:t>
      </w:r>
      <w:r>
        <w:rPr>
          <w:rFonts w:hint="eastAsia" w:ascii="黑体" w:hAnsi="华文中宋" w:eastAsia="黑体"/>
          <w:bCs/>
          <w:color w:val="000000" w:themeColor="text1"/>
          <w:sz w:val="32"/>
          <w:szCs w:val="32"/>
          <w:highlight w:val="none"/>
          <w:lang w:eastAsia="zh-CN"/>
        </w:rPr>
        <w:t xml:space="preserve">无锡市滨湖区公共资源交易中心</w:t>
      </w:r>
      <w:r/>
    </w:p>
    <w:p>
      <w:pPr>
        <w:pStyle w:val="946"/>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lang w:val="en-US" w:eastAsia="zh-CN"/>
        </w:rPr>
        <w:t xml:space="preserve">八</w:t>
      </w:r>
      <w:r>
        <w:rPr>
          <w:rFonts w:hint="eastAsia" w:ascii="黑体" w:hAnsi="华文中宋" w:eastAsia="黑体"/>
          <w:bCs/>
          <w:color w:val="000000" w:themeColor="text1"/>
          <w:sz w:val="32"/>
          <w:szCs w:val="32"/>
          <w:highlight w:val="none"/>
        </w:rPr>
        <w:t xml:space="preserve">月</w:t>
      </w:r>
      <w:r/>
    </w:p>
    <w:p>
      <w:pPr>
        <w:pStyle w:val="946"/>
        <w:ind w:firstLine="0"/>
        <w:jc w:val="center"/>
        <w:rPr>
          <w:rFonts w:hint="eastAsia" w:ascii="黑体" w:hAnsi="黑体" w:eastAsia="黑体"/>
          <w:b/>
          <w:bCs/>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黑体" w:eastAsia="黑体"/>
          <w:b/>
          <w:bCs/>
          <w:color w:val="000000" w:themeColor="text1"/>
          <w:sz w:val="36"/>
          <w:szCs w:val="36"/>
          <w:highlight w:val="none"/>
        </w:rPr>
        <w:t xml:space="preserve">总  目  录</w:t>
      </w:r>
      <w:r/>
    </w:p>
    <w:p>
      <w:pPr>
        <w:jc w:val="center"/>
        <w:spacing w:line="480" w:lineRule="auto"/>
        <w:rPr>
          <w:rFonts w:hint="eastAsia" w:ascii="黑体" w:hAnsi="Arial" w:eastAsia="黑体"/>
          <w:b/>
          <w:bCs/>
          <w:color w:val="000000" w:themeColor="text1"/>
          <w:sz w:val="44"/>
          <w:highlight w:val="none"/>
        </w:rPr>
        <w:outlineLvl w:val="0"/>
      </w:pPr>
      <w:r>
        <w:rPr>
          <w:rFonts w:hint="eastAsia" w:ascii="黑体" w:hAnsi="Arial" w:eastAsia="黑体"/>
          <w:b/>
          <w:bCs/>
          <w:color w:val="000000" w:themeColor="text1"/>
          <w:sz w:val="44"/>
          <w:highlight w:val="none"/>
        </w:rPr>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投标邀请</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投标人须知</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合同文本</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采购需求</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评标方法与评标标准</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bookmarkEnd w:id="0"/>
      <w:r/>
    </w:p>
    <w:p>
      <w:pPr>
        <w:ind w:firstLine="480"/>
        <w:spacing w:line="500" w:lineRule="exact"/>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val="en-US" w:eastAsia="zh-CN"/>
        </w:rPr>
        <w:t xml:space="preserve">无锡市滨湖区河埒街道社区卫生服务中心</w:t>
      </w:r>
      <w:r>
        <w:rPr>
          <w:rFonts w:hint="eastAsia" w:ascii="宋体" w:hAnsi="宋体"/>
          <w:color w:val="000000" w:themeColor="text1"/>
          <w:sz w:val="24"/>
          <w:szCs w:val="24"/>
          <w:highlight w:val="none"/>
        </w:rPr>
        <w:t xml:space="preserve">的委托，</w:t>
      </w:r>
      <w:r>
        <w:rPr>
          <w:rFonts w:hint="eastAsia" w:ascii="宋体" w:hAnsi="宋体"/>
          <w:color w:val="000000" w:themeColor="text1"/>
          <w:sz w:val="24"/>
          <w:szCs w:val="24"/>
          <w:highlight w:val="none"/>
          <w:lang w:eastAsia="zh-CN"/>
        </w:rPr>
        <w:t xml:space="preserve">无锡市滨湖区公共资源交易中心</w:t>
      </w:r>
      <w:r>
        <w:rPr>
          <w:rFonts w:hint="eastAsia" w:ascii="宋体" w:hAnsi="宋体"/>
          <w:color w:val="000000" w:themeColor="text1"/>
          <w:sz w:val="24"/>
          <w:szCs w:val="24"/>
          <w:highlight w:val="none"/>
        </w:rPr>
        <w:t xml:space="preserve">就</w:t>
      </w:r>
      <w:r>
        <w:rPr>
          <w:rFonts w:hint="eastAsia" w:ascii="宋体" w:hAnsi="宋体"/>
          <w:color w:val="000000" w:themeColor="text1"/>
          <w:sz w:val="24"/>
          <w:szCs w:val="24"/>
          <w:highlight w:val="none"/>
          <w:lang w:val="en-US" w:eastAsia="zh-CN"/>
        </w:rPr>
        <w:t xml:space="preserve">无锡市河埒街道社区卫生服务中心物业管理服务项目</w:t>
      </w:r>
      <w:r>
        <w:rPr>
          <w:rFonts w:hint="eastAsia" w:ascii="宋体" w:hAnsi="宋体"/>
          <w:color w:val="000000" w:themeColor="text1"/>
          <w:sz w:val="24"/>
          <w:szCs w:val="24"/>
          <w:highlight w:val="none"/>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val="en-US" w:eastAsia="zh-CN"/>
        </w:rPr>
        <w:t xml:space="preserve">无锡市河埒街道社区卫生服务中心物业管理服务项目</w:t>
      </w:r>
      <w:r>
        <w:rPr>
          <w:rFonts w:hint="eastAsia" w:ascii="宋体" w:hAnsi="宋体"/>
          <w:color w:val="000000" w:themeColor="text1"/>
          <w:sz w:val="24"/>
          <w:szCs w:val="24"/>
          <w:highlight w:val="none"/>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21</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lang w:val="en-US" w:eastAsia="zh-CN"/>
        </w:rPr>
        <w:t xml:space="preserve">14</w:t>
      </w:r>
      <w:r>
        <w:rPr>
          <w:rFonts w:hint="eastAsia" w:ascii="宋体" w:hAnsi="宋体"/>
          <w:b/>
          <w:bCs/>
          <w:color w:val="000000" w:themeColor="text1"/>
          <w:sz w:val="24"/>
          <w:szCs w:val="24"/>
          <w:highlight w:val="none"/>
        </w:rPr>
        <w:t xml:space="preserve">点</w:t>
      </w:r>
      <w:r>
        <w:rPr>
          <w:rFonts w:hint="eastAsia" w:ascii="宋体" w:hAnsi="宋体"/>
          <w:b/>
          <w:bCs/>
          <w:color w:val="000000" w:themeColor="text1"/>
          <w:sz w:val="24"/>
          <w:szCs w:val="24"/>
          <w:highlight w:val="none"/>
          <w:lang w:val="en-US" w:eastAsia="zh-CN"/>
        </w:rPr>
        <w:t xml:space="preserve">00</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p>
    <w:p>
      <w:pPr>
        <w:pStyle w:val="860"/>
        <w:ind w:firstLine="452"/>
        <w:keepLines w:val="0"/>
        <w:keepNext w:val="0"/>
        <w:spacing w:before="0" w:after="0" w:line="500" w:lineRule="exact"/>
        <w:rPr>
          <w:color w:val="000000" w:themeColor="text1"/>
          <w:sz w:val="30"/>
          <w:szCs w:val="30"/>
          <w:highlight w:val="none"/>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color w:val="000000" w:themeColor="text1"/>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1.项目编号：JSZC-320211-JZCG-G2026-0021</w:t>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2.项目名称：无锡市河埒街道社区卫生服务中心物业管理服务项目</w:t>
      </w:r>
      <w:bookmarkEnd w:id="11"/>
      <w:r/>
    </w:p>
    <w:p>
      <w:pPr>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200</w:t>
      </w:r>
      <w:r>
        <w:rPr>
          <w:rFonts w:hint="eastAsia" w:ascii="宋体" w:hAnsi="宋体" w:eastAsia="宋体" w:cs="Times New Roman"/>
          <w:color w:val="000000" w:themeColor="text1"/>
          <w:sz w:val="24"/>
          <w:szCs w:val="24"/>
          <w:highlight w:val="none"/>
        </w:rPr>
        <w:t xml:space="preserve">万元</w:t>
      </w:r>
      <w:r/>
    </w:p>
    <w:p>
      <w:pPr>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4.项目最高限价：</w:t>
      </w:r>
      <w:r>
        <w:rPr>
          <w:rFonts w:hint="eastAsia" w:ascii="宋体" w:hAnsi="宋体" w:cs="Times New Roman"/>
          <w:color w:val="000000" w:themeColor="text1"/>
          <w:sz w:val="24"/>
          <w:szCs w:val="24"/>
          <w:highlight w:val="none"/>
          <w:lang w:val="en-US" w:eastAsia="zh-CN"/>
        </w:rPr>
        <w:t xml:space="preserve">179.2938</w:t>
      </w:r>
      <w:r>
        <w:rPr>
          <w:rFonts w:hint="eastAsia" w:ascii="宋体" w:hAnsi="宋体" w:eastAsia="宋体" w:cs="Times New Roman"/>
          <w:color w:val="000000" w:themeColor="text1"/>
          <w:sz w:val="24"/>
          <w:szCs w:val="24"/>
          <w:highlight w:val="none"/>
        </w:rPr>
        <w:t xml:space="preserve">万元</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rPr>
        <w:t xml:space="preserve">物业管理</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60"/>
        <w:ind w:firstLine="452"/>
        <w:keepLines w:val="0"/>
        <w:keepNext w:val="0"/>
        <w:spacing w:before="0" w:after="0" w:line="500" w:lineRule="exact"/>
        <w:rPr>
          <w:color w:val="000000" w:themeColor="text1"/>
          <w:sz w:val="30"/>
          <w:szCs w:val="30"/>
          <w:highlight w:val="none"/>
        </w:rPr>
      </w:pPr>
      <w:r/>
      <w:bookmarkStart w:id="12" w:name="_Toc28359080"/>
      <w:r/>
      <w:bookmarkStart w:id="13" w:name="_Toc38985264"/>
      <w:r/>
      <w:bookmarkStart w:id="14" w:name="_Toc35393622"/>
      <w:r/>
      <w:bookmarkStart w:id="15" w:name="_Toc28359003"/>
      <w:r/>
      <w:bookmarkStart w:id="16" w:name="_Toc35393791"/>
      <w:r>
        <w:rPr>
          <w:rFonts w:hint="eastAsia"/>
          <w:color w:val="000000" w:themeColor="text1"/>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rPr>
      </w:pPr>
      <w:r/>
      <w:bookmarkStart w:id="17" w:name="_Toc38985265"/>
      <w:r/>
      <w:bookmarkStart w:id="18" w:name="_Toc28359004"/>
      <w:r/>
      <w:bookmarkStart w:id="19" w:name="_Toc35393623"/>
      <w:r/>
      <w:bookmarkStart w:id="20" w:name="_Toc28359081"/>
      <w:r/>
      <w:bookmarkStart w:id="21" w:name="_Toc35393792"/>
      <w:r>
        <w:rPr>
          <w:rFonts w:hint="eastAsia" w:ascii="宋体" w:hAnsi="宋体"/>
          <w:color w:val="000000" w:themeColor="text1"/>
          <w:sz w:val="24"/>
          <w:szCs w:val="24"/>
          <w:highlight w:val="none"/>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2.1中小企业政策：本项目专门面向中小企业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p>
    <w:p>
      <w:pPr>
        <w:pStyle w:val="860"/>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p>
    <w:p>
      <w:pPr>
        <w:ind w:firstLine="540"/>
        <w:spacing w:line="500" w:lineRule="exact"/>
        <w:rPr>
          <w:rStyle w:val="935"/>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“江苏省政府采购（苏采云）平台”获取的</w:t>
      </w:r>
      <w:r>
        <w:rPr>
          <w:rFonts w:hint="eastAsia" w:ascii="宋体" w:hAnsi="宋体"/>
          <w:bCs/>
          <w:color w:val="000000" w:themeColor="text1"/>
          <w:sz w:val="24"/>
          <w:szCs w:val="24"/>
          <w:highlight w:val="none"/>
        </w:rPr>
        <w:t xml:space="preserve">招标文件，视为依法获取的招标文件。</w:t>
      </w:r>
      <w:r/>
    </w:p>
    <w:p>
      <w:pPr>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p>
    <w:p>
      <w:pPr>
        <w:pStyle w:val="860"/>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bookmarkEnd w:id="23"/>
      <w:r>
        <w:rPr>
          <w:rFonts w:hint="eastAsia"/>
          <w:color w:val="000000" w:themeColor="text1"/>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21</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lang w:val="en-US" w:eastAsia="zh-CN"/>
        </w:rPr>
        <w:t xml:space="preserve">14</w:t>
      </w:r>
      <w:r>
        <w:rPr>
          <w:rFonts w:hint="eastAsia" w:ascii="宋体" w:hAnsi="宋体"/>
          <w:b/>
          <w:bCs w:val="0"/>
          <w:color w:val="000000" w:themeColor="text1"/>
          <w:sz w:val="24"/>
          <w:szCs w:val="24"/>
          <w:highlight w:val="none"/>
        </w:rPr>
        <w:t xml:space="preserve">点</w:t>
      </w:r>
      <w:r>
        <w:rPr>
          <w:rFonts w:hint="eastAsia" w:ascii="宋体" w:hAnsi="宋体"/>
          <w:b/>
          <w:bCs w:val="0"/>
          <w:color w:val="000000" w:themeColor="text1"/>
          <w:sz w:val="24"/>
          <w:szCs w:val="24"/>
          <w:highlight w:val="none"/>
          <w:lang w:val="en-US" w:eastAsia="zh-CN"/>
        </w:rPr>
        <w:t xml:space="preserve">00</w:t>
      </w:r>
      <w:bookmarkStart w:id="205" w:name="_GoBack"/>
      <w:r/>
      <w:bookmarkEnd w:id="205"/>
      <w:r>
        <w:rPr>
          <w:rFonts w:hint="eastAsia" w:ascii="宋体" w:hAnsi="宋体"/>
          <w:b/>
          <w:bCs w:val="0"/>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p>
    <w:p>
      <w:pPr>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p>
    <w:p>
      <w:pPr>
        <w:pStyle w:val="860"/>
        <w:ind w:firstLine="452"/>
        <w:keepLines w:val="0"/>
        <w:keepNext w:val="0"/>
        <w:spacing w:before="0" w:after="0" w:line="500" w:lineRule="exact"/>
        <w:rPr>
          <w:color w:val="000000" w:themeColor="text1"/>
          <w:sz w:val="30"/>
          <w:szCs w:val="30"/>
          <w:highlight w:val="none"/>
        </w:rPr>
      </w:pPr>
      <w:r/>
      <w:bookmarkStart w:id="27" w:name="_Toc35393794"/>
      <w:r/>
      <w:bookmarkStart w:id="28" w:name="_Toc35393625"/>
      <w:r/>
      <w:bookmarkStart w:id="29" w:name="_Toc28359007"/>
      <w:r/>
      <w:bookmarkStart w:id="30" w:name="_Toc38985267"/>
      <w:r/>
      <w:bookmarkStart w:id="31" w:name="_Toc28359084"/>
      <w:r>
        <w:rPr>
          <w:rFonts w:hint="eastAsia"/>
          <w:color w:val="000000" w:themeColor="text1"/>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p>
    <w:p>
      <w:pPr>
        <w:pStyle w:val="860"/>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p>
    <w:p>
      <w:pPr>
        <w:pStyle w:val="860"/>
        <w:ind w:firstLine="452"/>
        <w:keepLines w:val="0"/>
        <w:keepNext w:val="0"/>
        <w:spacing w:before="0" w:after="0" w:line="360" w:lineRule="auto"/>
        <w:rPr>
          <w:color w:val="000000" w:themeColor="text1"/>
          <w:sz w:val="30"/>
          <w:szCs w:val="30"/>
          <w:highlight w:val="none"/>
        </w:rPr>
      </w:pPr>
      <w:r/>
      <w:bookmarkStart w:id="35" w:name="_Toc28359085"/>
      <w:r/>
      <w:bookmarkStart w:id="36" w:name="_Toc35393627"/>
      <w:r/>
      <w:bookmarkStart w:id="37" w:name="_Toc28359008"/>
      <w:r/>
      <w:bookmarkStart w:id="38" w:name="_Toc38985269"/>
      <w:r/>
      <w:bookmarkStart w:id="39" w:name="_Toc35393796"/>
      <w:r>
        <w:rPr>
          <w:rFonts w:hint="eastAsia"/>
          <w:color w:val="000000" w:themeColor="text1"/>
          <w:sz w:val="30"/>
          <w:szCs w:val="30"/>
          <w:highlight w:val="none"/>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名称：无锡市滨湖区河埒街道社区卫生服务中心</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rPr>
        <w:t xml:space="preserve">联系人：</w:t>
      </w:r>
      <w:r>
        <w:rPr>
          <w:rFonts w:hint="eastAsia" w:cs="宋体" w:asciiTheme="minorEastAsia" w:hAnsiTheme="minorEastAsia"/>
          <w:color w:val="000000" w:themeColor="text1"/>
          <w:sz w:val="24"/>
          <w:szCs w:val="24"/>
          <w:lang w:val="en-US" w:eastAsia="zh-CN"/>
        </w:rPr>
        <w:t xml:space="preserve">薛耀忠</w:t>
      </w: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联系电话：18906179503</w:t>
      </w: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联系地址：无锡市滨湖区梁荷路18号</w:t>
      </w:r>
      <w:r/>
    </w:p>
    <w:p>
      <w:pPr>
        <w:pStyle w:val="86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文件，如确定参加本次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0" w:name="_Toc120614211"/>
      <w:r>
        <w:rPr>
          <w:rFonts w:hint="eastAsia" w:ascii="黑体" w:hAnsi="黑体" w:eastAsia="黑体"/>
          <w:color w:val="000000" w:themeColor="text1"/>
          <w:sz w:val="36"/>
          <w:szCs w:val="36"/>
          <w:highlight w:val="none"/>
        </w:rPr>
        <w:t xml:space="preserve">第二章  </w:t>
      </w:r>
      <w:bookmarkEnd w:id="1"/>
      <w:r/>
      <w:bookmarkEnd w:id="2"/>
      <w:r/>
      <w:bookmarkEnd w:id="3"/>
      <w:r/>
      <w:bookmarkEnd w:id="4"/>
      <w:r/>
      <w:bookmarkEnd w:id="5"/>
      <w:r/>
      <w:bookmarkEnd w:id="40"/>
      <w:r/>
      <w:bookmarkStart w:id="41" w:name="_Toc120614213"/>
      <w:r/>
      <w:bookmarkStart w:id="42" w:name="_Toc16938518"/>
      <w:r/>
      <w:bookmarkStart w:id="43" w:name="_Toc20823274"/>
      <w:r/>
      <w:bookmarkStart w:id="44" w:name="_Toc513029202"/>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60"/>
        <w:ind w:firstLine="452"/>
        <w:keepLines w:val="0"/>
        <w:keepNext w:val="0"/>
        <w:spacing w:before="0" w:after="0" w:line="500" w:lineRule="exact"/>
        <w:rPr>
          <w:rFonts w:hint="eastAsia"/>
          <w:color w:val="000000" w:themeColor="text1"/>
          <w:sz w:val="30"/>
          <w:szCs w:val="30"/>
          <w:highlight w:val="none"/>
        </w:rPr>
      </w:pPr>
      <w:r/>
      <w:bookmarkStart w:id="45" w:name="_Toc513029203"/>
      <w:r/>
      <w:bookmarkStart w:id="46" w:name="_Toc20823275"/>
      <w:r/>
      <w:bookmarkStart w:id="47" w:name="_Toc120614214"/>
      <w:r/>
      <w:bookmarkStart w:id="48" w:name="_Toc16938519"/>
      <w:r>
        <w:rPr>
          <w:rFonts w:hint="eastAsia"/>
          <w:color w:val="000000" w:themeColor="text1"/>
          <w:sz w:val="30"/>
          <w:szCs w:val="30"/>
          <w:highlight w:val="none"/>
        </w:rPr>
        <w:t xml:space="preserve">一、总则</w:t>
      </w:r>
      <w:bookmarkEnd w:id="45"/>
      <w:r/>
      <w:bookmarkEnd w:id="46"/>
      <w:r/>
      <w:bookmarkEnd w:id="47"/>
      <w:r/>
      <w:bookmarkEnd w:id="48"/>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49" w:name="_Hlt16619475"/>
      <w:r/>
      <w:bookmarkEnd w:id="49"/>
      <w:r/>
      <w:bookmarkStart w:id="50" w:name="_Toc513029204"/>
      <w:r/>
      <w:bookmarkStart w:id="51" w:name="_Toc16938520"/>
      <w:r/>
      <w:bookmarkStart w:id="52" w:name="_Toc20823276"/>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53" w:name="_Toc16938521"/>
      <w:r/>
      <w:bookmarkStart w:id="54" w:name="_Toc20823277"/>
      <w:r/>
      <w:bookmarkStart w:id="55" w:name="_Toc513029205"/>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16938522"/>
      <w:r/>
      <w:bookmarkStart w:id="57" w:name="_Toc20823278"/>
      <w:r/>
      <w:bookmarkStart w:id="58" w:name="_Toc513029206"/>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20823279"/>
      <w:r/>
      <w:bookmarkStart w:id="60" w:name="_Toc462564067"/>
      <w:r/>
      <w:bookmarkStart w:id="61" w:name="_Toc513029207"/>
      <w:r/>
      <w:bookmarkStart w:id="62" w:name="_Toc16938523"/>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60"/>
        <w:ind w:firstLine="452"/>
        <w:keepLines w:val="0"/>
        <w:keepNext w:val="0"/>
        <w:spacing w:before="0" w:after="0" w:line="500" w:lineRule="exact"/>
        <w:rPr>
          <w:rFonts w:hint="eastAsia"/>
          <w:color w:val="000000" w:themeColor="text1"/>
          <w:sz w:val="30"/>
          <w:szCs w:val="30"/>
          <w:highlight w:val="none"/>
        </w:rPr>
      </w:pPr>
      <w:r/>
      <w:bookmarkStart w:id="63" w:name="_Toc513029209"/>
      <w:r/>
      <w:bookmarkStart w:id="64" w:name="_Toc120614215"/>
      <w:r/>
      <w:bookmarkStart w:id="65" w:name="_Toc20823281"/>
      <w:r/>
      <w:bookmarkStart w:id="66" w:name="_Toc16938525"/>
      <w:r>
        <w:rPr>
          <w:rFonts w:hint="eastAsia"/>
          <w:color w:val="000000" w:themeColor="text1"/>
          <w:sz w:val="30"/>
          <w:szCs w:val="30"/>
          <w:highlight w:val="none"/>
        </w:rPr>
        <w:t xml:space="preserve">二、招标文件</w:t>
      </w:r>
      <w:bookmarkEnd w:id="63"/>
      <w:r/>
      <w:bookmarkEnd w:id="64"/>
      <w:r/>
      <w:bookmarkEnd w:id="65"/>
      <w:r/>
      <w:bookmarkEnd w:id="66"/>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67" w:name="_Toc20823282"/>
      <w:r/>
      <w:bookmarkStart w:id="68" w:name="_Toc513029210"/>
      <w:r/>
      <w:bookmarkStart w:id="69" w:name="_Toc16938526"/>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462564070"/>
      <w:r/>
      <w:bookmarkStart w:id="71" w:name="_Toc20823283"/>
      <w:r/>
      <w:bookmarkStart w:id="72" w:name="_Toc16938527"/>
      <w:r/>
      <w:bookmarkStart w:id="73" w:name="_Toc513029211"/>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74" w:name="_Toc462564071"/>
      <w:r/>
      <w:bookmarkStart w:id="75" w:name="_Toc16938528"/>
      <w:r/>
      <w:bookmarkStart w:id="76" w:name="_Toc513029212"/>
      <w:r/>
      <w:bookmarkStart w:id="77" w:name="_Toc20823284"/>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color w:val="000000" w:themeColor="text1"/>
          <w:sz w:val="24"/>
          <w:szCs w:val="24"/>
          <w:highlight w:val="none"/>
          <w:lang w:eastAsia="zh-CN"/>
        </w:rPr>
        <w:t xml:space="preserve">全面</w:t>
      </w:r>
      <w:r>
        <w:rPr>
          <w:rFonts w:hint="eastAsia" w:ascii="宋体" w:hAnsi="宋体"/>
          <w:bCs/>
          <w:color w:val="000000" w:themeColor="text1"/>
          <w:sz w:val="24"/>
          <w:szCs w:val="24"/>
          <w:highlight w:val="none"/>
        </w:rPr>
        <w:t xml:space="preserve">关注更正公告导致其提交的投标材料不符合本项目相关招标要求，而造成的损失及风险（包括但不限于未中标）由投标人自行承担。</w:t>
      </w:r>
      <w:r/>
    </w:p>
    <w:p>
      <w:pPr>
        <w:pStyle w:val="860"/>
        <w:ind w:firstLine="452"/>
        <w:keepLines w:val="0"/>
        <w:keepNext w:val="0"/>
        <w:spacing w:before="0" w:after="0" w:line="500" w:lineRule="exact"/>
        <w:rPr>
          <w:rFonts w:hint="eastAsia"/>
          <w:color w:val="000000" w:themeColor="text1"/>
          <w:sz w:val="30"/>
          <w:szCs w:val="30"/>
          <w:highlight w:val="none"/>
        </w:rPr>
      </w:pPr>
      <w:r/>
      <w:bookmarkStart w:id="78" w:name="_Toc16938529"/>
      <w:r/>
      <w:bookmarkStart w:id="79" w:name="_Toc513029213"/>
      <w:r/>
      <w:bookmarkStart w:id="80" w:name="_Toc120614216"/>
      <w:r/>
      <w:bookmarkStart w:id="81" w:name="_Toc462564072"/>
      <w:r/>
      <w:bookmarkStart w:id="82" w:name="_Toc20823285"/>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83" w:name="_Toc462564073"/>
      <w:r/>
      <w:bookmarkStart w:id="84" w:name="_Toc20823286"/>
      <w:r/>
      <w:bookmarkStart w:id="85" w:name="_Toc513029214"/>
      <w:r/>
      <w:bookmarkStart w:id="86" w:name="_Toc16938530"/>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87" w:name="_Toc462564074"/>
      <w:r/>
      <w:bookmarkStart w:id="88" w:name="_Toc16938531"/>
      <w:r/>
      <w:bookmarkStart w:id="89" w:name="_Toc20823287"/>
      <w:r/>
      <w:bookmarkStart w:id="90" w:name="_Toc513029215"/>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91" w:name="_Hlt26668975"/>
      <w:r/>
      <w:bookmarkEnd w:id="91"/>
      <w:r/>
      <w:bookmarkStart w:id="92" w:name="_Hlt26670360"/>
      <w:r/>
      <w:bookmarkEnd w:id="92"/>
      <w:r/>
      <w:bookmarkStart w:id="93" w:name="_Hlt26954838"/>
      <w:r/>
      <w:bookmarkEnd w:id="93"/>
      <w:r/>
      <w:bookmarkStart w:id="94" w:name="_Toc14577357"/>
      <w:r/>
      <w:bookmarkStart w:id="95" w:name="_Toc49090509"/>
      <w:r/>
      <w:bookmarkStart w:id="96" w:name="_Toc513029219"/>
      <w:r/>
      <w:bookmarkStart w:id="97" w:name="_Toc513029216"/>
      <w:r/>
      <w:bookmarkStart w:id="98" w:name="_Toc14577354"/>
      <w:r/>
      <w:bookmarkStart w:id="99" w:name="_Toc49090507"/>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bookmarkEnd w:id="98"/>
      <w:bookmarkEnd w:id="99"/>
      <w:r/>
    </w:p>
    <w:p>
      <w:pPr>
        <w:ind w:firstLine="480"/>
        <w:spacing w:line="500" w:lineRule="exact"/>
        <w:rPr>
          <w:rFonts w:hint="eastAsia" w:ascii="宋体" w:hAnsi="宋体"/>
          <w:bCs/>
          <w:color w:val="000000" w:themeColor="text1"/>
          <w:sz w:val="24"/>
          <w:highlight w:val="none"/>
        </w:rPr>
      </w:pPr>
      <w:r/>
      <w:bookmarkStart w:id="100" w:name="_Toc49090508"/>
      <w:r/>
      <w:bookmarkStart w:id="101" w:name="_Toc14577355"/>
      <w:r>
        <w:rPr>
          <w:rFonts w:hint="eastAsia" w:ascii="宋体" w:hAnsi="宋体"/>
          <w:bCs/>
          <w:color w:val="000000" w:themeColor="text1"/>
          <w:sz w:val="24"/>
          <w:highlight w:val="none"/>
        </w:rPr>
        <w:t xml:space="preserve">11.1投标人应按照法律、法规、规章和规范性文件以及招标文件要求提交证明文件，证明</w:t>
      </w:r>
      <w:r>
        <w:rPr>
          <w:rFonts w:hint="eastAsia" w:ascii="宋体" w:hAnsi="宋体"/>
          <w:bCs/>
          <w:color w:val="000000" w:themeColor="text1"/>
          <w:sz w:val="24"/>
          <w:highlight w:val="none"/>
          <w:lang w:eastAsia="zh-CN"/>
        </w:rPr>
        <w:t xml:space="preserve">其</w:t>
      </w:r>
      <w:r>
        <w:rPr>
          <w:rFonts w:hint="eastAsia" w:ascii="宋体" w:hAnsi="宋体"/>
          <w:bCs/>
          <w:color w:val="000000" w:themeColor="text1"/>
          <w:sz w:val="24"/>
          <w:highlight w:val="none"/>
        </w:rPr>
        <w:t xml:space="preserve">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02" w:name="_Toc14577359"/>
      <w:r/>
      <w:bookmarkStart w:id="103" w:name="_Toc49090510"/>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2"/>
      <w:bookmarkEnd w:id="103"/>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0"/>
      <w:r/>
      <w:bookmarkEnd w:id="101"/>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4" w:name="_Hlt26954840"/>
      <w:r/>
      <w:bookmarkEnd w:id="104"/>
      <w:r>
        <w:rPr>
          <w:rFonts w:hint="eastAsia" w:ascii="宋体" w:hAnsi="宋体"/>
          <w:color w:val="000000" w:themeColor="text1"/>
          <w:sz w:val="24"/>
          <w:highlight w:val="none"/>
        </w:rPr>
        <w:t xml:space="preserve">标人应按照招标文件规定格式填报</w:t>
      </w:r>
      <w:bookmarkStart w:id="105" w:name="_Hlt26670399"/>
      <w:r/>
      <w:bookmarkEnd w:id="105"/>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06" w:name="_Hlt26954844"/>
      <w:r/>
      <w:bookmarkEnd w:id="106"/>
      <w:r/>
      <w:bookmarkStart w:id="107" w:name="_Hlt26668983"/>
      <w:r/>
      <w:bookmarkEnd w:id="107"/>
      <w:r/>
      <w:bookmarkStart w:id="108" w:name="_Hlt26954846"/>
      <w:r/>
      <w:bookmarkEnd w:id="108"/>
      <w:r/>
      <w:bookmarkStart w:id="109" w:name="_Hlt26670425"/>
      <w:r/>
      <w:bookmarkEnd w:id="109"/>
      <w:r/>
      <w:bookmarkStart w:id="110" w:name="_Hlt26670482"/>
      <w:r/>
      <w:bookmarkEnd w:id="110"/>
      <w:r/>
      <w:bookmarkStart w:id="111" w:name="_Hlt26670403"/>
      <w:r/>
      <w:bookmarkEnd w:id="111"/>
      <w:r/>
      <w:bookmarkStart w:id="112" w:name="_Hlt26670486"/>
      <w:r/>
      <w:bookmarkEnd w:id="112"/>
      <w:r/>
      <w:bookmarkStart w:id="113" w:name="_Hlt26954848"/>
      <w:r/>
      <w:bookmarkEnd w:id="113"/>
      <w:r/>
      <w:bookmarkStart w:id="114" w:name="_Hlt26954731"/>
      <w:r/>
      <w:bookmarkEnd w:id="114"/>
      <w:r/>
      <w:bookmarkStart w:id="115" w:name="_Hlt26954842"/>
      <w:r/>
      <w:bookmarkEnd w:id="115"/>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ascii="宋体" w:hAnsi="宋体" w:eastAsia="宋体"/>
          <w:bCs w:val="0"/>
          <w:color w:val="000000" w:themeColor="text1"/>
          <w:highlight w:val="none"/>
        </w:rPr>
        <w:t xml:space="preserve">15.投标有效期</w:t>
      </w:r>
      <w:bookmarkEnd w:id="119"/>
      <w:r/>
      <w:bookmarkEnd w:id="120"/>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60"/>
        <w:ind w:firstLine="452"/>
        <w:keepLines w:val="0"/>
        <w:keepNext w:val="0"/>
        <w:spacing w:before="0" w:after="0" w:line="500" w:lineRule="exact"/>
        <w:rPr>
          <w:rFonts w:hint="eastAsia"/>
          <w:color w:val="000000" w:themeColor="text1"/>
          <w:sz w:val="30"/>
          <w:szCs w:val="30"/>
          <w:highlight w:val="none"/>
        </w:rPr>
      </w:pPr>
      <w:r/>
      <w:bookmarkStart w:id="121" w:name="_Hlt26954852"/>
      <w:r/>
      <w:bookmarkEnd w:id="121"/>
      <w:r/>
      <w:bookmarkStart w:id="122" w:name="_Hlt26954739"/>
      <w:r/>
      <w:bookmarkEnd w:id="122"/>
      <w:r/>
      <w:bookmarkStart w:id="123" w:name="_Toc16938540"/>
      <w:r/>
      <w:bookmarkStart w:id="124" w:name="_Toc513029224"/>
      <w:r/>
      <w:bookmarkStart w:id="125" w:name="_Toc120614217"/>
      <w:r/>
      <w:bookmarkStart w:id="126" w:name="_Toc20823296"/>
      <w:r>
        <w:rPr>
          <w:rFonts w:hint="eastAsia"/>
          <w:color w:val="000000" w:themeColor="text1"/>
          <w:sz w:val="30"/>
          <w:szCs w:val="30"/>
          <w:highlight w:val="none"/>
        </w:rPr>
        <w:t xml:space="preserve">四、投标文件的递交</w:t>
      </w:r>
      <w:bookmarkEnd w:id="123"/>
      <w:r/>
      <w:bookmarkEnd w:id="124"/>
      <w:r/>
      <w:bookmarkEnd w:id="125"/>
      <w:r/>
      <w:bookmarkEnd w:id="126"/>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27" w:name="_Toc20823297"/>
      <w:r/>
      <w:bookmarkStart w:id="128" w:name="_Toc16938541"/>
      <w:r/>
      <w:bookmarkStart w:id="129" w:name="_Toc513029225"/>
      <w:r/>
      <w:bookmarkStart w:id="130" w:name="_Toc462564084"/>
      <w:r>
        <w:rPr>
          <w:rFonts w:hint="eastAsia" w:ascii="宋体" w:hAnsi="宋体" w:eastAsia="宋体"/>
          <w:bCs w:val="0"/>
          <w:color w:val="000000" w:themeColor="text1"/>
          <w:highlight w:val="none"/>
        </w:rPr>
        <w:t xml:space="preserve">17.投标文件</w:t>
      </w:r>
      <w:bookmarkEnd w:id="127"/>
      <w:r/>
      <w:bookmarkEnd w:id="128"/>
      <w:r/>
      <w:bookmarkEnd w:id="129"/>
      <w:r/>
      <w:bookmarkEnd w:id="130"/>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7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1" w:name="_Toc16938542"/>
      <w:r/>
      <w:bookmarkStart w:id="132" w:name="_Toc20823298"/>
      <w:r/>
      <w:bookmarkStart w:id="133" w:name="_Toc513029226"/>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1"/>
      <w:r/>
      <w:bookmarkEnd w:id="132"/>
      <w:r/>
      <w:bookmarkEnd w:id="133"/>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themeColor="text1"/>
          <w:sz w:val="24"/>
          <w:highlight w:val="none"/>
          <w:lang w:eastAsia="zh-CN"/>
        </w:rPr>
        <w:t xml:space="preserve">作</w:t>
      </w:r>
      <w:r>
        <w:rPr>
          <w:rFonts w:hint="eastAsia" w:ascii="宋体" w:hAnsi="宋体"/>
          <w:bCs/>
          <w:color w:val="000000" w:themeColor="text1"/>
          <w:sz w:val="24"/>
          <w:highlight w:val="none"/>
        </w:rPr>
        <w:t xml:space="preserve">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34" w:name="_Toc513029227"/>
      <w:r/>
      <w:bookmarkStart w:id="135" w:name="_Toc20823299"/>
      <w:r/>
      <w:bookmarkStart w:id="136" w:name="_Toc16938543"/>
      <w:r>
        <w:rPr>
          <w:rFonts w:hint="eastAsia" w:ascii="宋体" w:hAnsi="宋体" w:eastAsia="宋体"/>
          <w:bCs w:val="0"/>
          <w:color w:val="000000" w:themeColor="text1"/>
          <w:highlight w:val="none"/>
        </w:rPr>
        <w:t xml:space="preserve">19.投标文件</w:t>
      </w:r>
      <w:bookmarkEnd w:id="134"/>
      <w:r/>
      <w:bookmarkEnd w:id="135"/>
      <w:r/>
      <w:bookmarkEnd w:id="136"/>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20823300"/>
      <w:r/>
      <w:bookmarkStart w:id="138" w:name="_Toc16938544"/>
      <w:r/>
      <w:bookmarkStart w:id="139" w:name="_Toc513029228"/>
      <w:r>
        <w:rPr>
          <w:rFonts w:hint="eastAsia" w:ascii="宋体" w:hAnsi="宋体" w:eastAsia="宋体"/>
          <w:bCs w:val="0"/>
          <w:color w:val="000000" w:themeColor="text1"/>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60"/>
        <w:ind w:firstLine="452"/>
        <w:keepLines w:val="0"/>
        <w:keepNext w:val="0"/>
        <w:spacing w:before="0" w:after="0" w:line="500" w:lineRule="exact"/>
        <w:rPr>
          <w:rFonts w:hint="eastAsia"/>
          <w:color w:val="000000" w:themeColor="text1"/>
          <w:sz w:val="30"/>
          <w:szCs w:val="30"/>
          <w:highlight w:val="none"/>
        </w:rPr>
      </w:pPr>
      <w:r/>
      <w:bookmarkStart w:id="140" w:name="_Toc20823301"/>
      <w:r/>
      <w:bookmarkStart w:id="141" w:name="_Toc16938545"/>
      <w:r/>
      <w:bookmarkStart w:id="142" w:name="_Toc120614218"/>
      <w:r/>
      <w:bookmarkStart w:id="143" w:name="_Toc513029229"/>
      <w:r>
        <w:rPr>
          <w:rFonts w:hint="eastAsia"/>
          <w:color w:val="000000" w:themeColor="text1"/>
          <w:sz w:val="30"/>
          <w:szCs w:val="30"/>
          <w:highlight w:val="none"/>
        </w:rPr>
        <w:t xml:space="preserve">五、开标与评标</w:t>
      </w:r>
      <w:bookmarkEnd w:id="140"/>
      <w:r/>
      <w:bookmarkEnd w:id="141"/>
      <w:r/>
      <w:bookmarkEnd w:id="142"/>
      <w:r/>
      <w:bookmarkEnd w:id="143"/>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44" w:name="_Toc20823302"/>
      <w:r/>
      <w:bookmarkStart w:id="145" w:name="_Toc513029230"/>
      <w:r/>
      <w:bookmarkStart w:id="146" w:name="_Toc16938546"/>
      <w:r>
        <w:rPr>
          <w:rFonts w:hint="eastAsia" w:ascii="宋体" w:hAnsi="宋体" w:eastAsia="宋体"/>
          <w:bCs w:val="0"/>
          <w:color w:val="000000" w:themeColor="text1"/>
          <w:highlight w:val="none"/>
        </w:rPr>
        <w:t xml:space="preserve">21.开标</w:t>
      </w:r>
      <w:bookmarkEnd w:id="144"/>
      <w:r/>
      <w:bookmarkEnd w:id="145"/>
      <w:r/>
      <w:bookmarkEnd w:id="146"/>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16938547"/>
      <w:r/>
      <w:bookmarkStart w:id="148" w:name="_Toc513029231"/>
      <w:r/>
      <w:bookmarkStart w:id="149" w:name="_Toc20823303"/>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47"/>
      <w:bookmarkEnd w:id="148"/>
      <w:bookmarkEnd w:id="149"/>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513029232"/>
      <w:r/>
      <w:bookmarkStart w:id="151" w:name="_Toc16938548"/>
      <w:r/>
      <w:bookmarkStart w:id="152" w:name="_Toc20823304"/>
      <w:r>
        <w:rPr>
          <w:rFonts w:hint="eastAsia" w:ascii="宋体" w:hAnsi="宋体" w:eastAsia="宋体"/>
          <w:bCs w:val="0"/>
          <w:color w:val="000000" w:themeColor="text1"/>
          <w:highlight w:val="none"/>
        </w:rPr>
        <w:t xml:space="preserve">24.投标文件的澄清</w:t>
      </w:r>
      <w:bookmarkEnd w:id="150"/>
      <w:r/>
      <w:bookmarkEnd w:id="151"/>
      <w:r/>
      <w:bookmarkEnd w:id="152"/>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20823305"/>
      <w:r/>
      <w:bookmarkStart w:id="154" w:name="_Toc16938549"/>
      <w:r/>
      <w:bookmarkStart w:id="155" w:name="_Toc513029233"/>
      <w:r>
        <w:rPr>
          <w:rFonts w:hint="eastAsia" w:ascii="宋体" w:hAnsi="宋体" w:eastAsia="宋体"/>
          <w:bCs w:val="0"/>
          <w:color w:val="000000" w:themeColor="text1"/>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www.ccgp.gov.cn</w:t>
      </w:r>
      <w:r>
        <w:rPr>
          <w:rFonts w:hint="eastAsia" w:ascii="宋体" w:hAnsi="宋体" w:cs="宋体"/>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rPr>
        <w:t xml:space="preserve">不符</w:t>
      </w:r>
      <w:r>
        <w:rPr>
          <w:rFonts w:hint="eastAsia" w:ascii="宋体" w:hAnsi="宋体"/>
          <w:color w:val="000000" w:themeColor="text1"/>
          <w:sz w:val="24"/>
          <w:highlight w:val="none"/>
        </w:rPr>
        <w:t xml:space="preserve">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6" w:name="_Toc16938550"/>
      <w:r/>
      <w:bookmarkStart w:id="157" w:name="_Toc20823306"/>
      <w:r/>
      <w:bookmarkStart w:id="158" w:name="_Toc513029234"/>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6"/>
      <w:r/>
      <w:bookmarkEnd w:id="157"/>
      <w:r/>
      <w:bookmarkEnd w:id="158"/>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59" w:name="_Toc16938551"/>
      <w:r/>
      <w:bookmarkStart w:id="160" w:name="_Toc20823307"/>
      <w:r/>
      <w:bookmarkStart w:id="161" w:name="_Toc513029235"/>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bookmarkStart w:id="162" w:name="_Toc120614219"/>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60"/>
        <w:ind w:firstLine="452"/>
        <w:keepLines w:val="0"/>
        <w:keepNext w:val="0"/>
        <w:spacing w:before="0" w:after="0" w:line="500" w:lineRule="exact"/>
        <w:rPr>
          <w:rFonts w:hint="eastAsia"/>
          <w:color w:val="000000" w:themeColor="text1"/>
          <w:sz w:val="30"/>
          <w:szCs w:val="30"/>
          <w:highlight w:val="none"/>
        </w:rPr>
      </w:pPr>
      <w:r>
        <w:rPr>
          <w:rFonts w:hint="eastAsia"/>
          <w:color w:val="000000" w:themeColor="text1"/>
          <w:sz w:val="30"/>
          <w:szCs w:val="30"/>
          <w:highlight w:val="none"/>
        </w:rPr>
        <w:t xml:space="preserve">六、</w:t>
      </w:r>
      <w:bookmarkEnd w:id="159"/>
      <w:r/>
      <w:bookmarkEnd w:id="160"/>
      <w:r/>
      <w:bookmarkEnd w:id="161"/>
      <w:r>
        <w:rPr>
          <w:rFonts w:hint="eastAsia"/>
          <w:color w:val="000000" w:themeColor="text1"/>
          <w:sz w:val="30"/>
          <w:szCs w:val="30"/>
          <w:highlight w:val="none"/>
        </w:rPr>
        <w:t xml:space="preserve">定标</w:t>
      </w:r>
      <w:bookmarkEnd w:id="162"/>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63" w:name="_Toc513029238"/>
      <w:r/>
      <w:bookmarkStart w:id="164" w:name="_Toc16938554"/>
      <w:r/>
      <w:bookmarkStart w:id="165" w:name="_Toc20823310"/>
      <w:r>
        <w:rPr>
          <w:rFonts w:hint="eastAsia" w:ascii="宋体" w:hAnsi="宋体" w:eastAsia="宋体"/>
          <w:bCs w:val="0"/>
          <w:color w:val="000000" w:themeColor="text1"/>
          <w:highlight w:val="none"/>
        </w:rPr>
        <w:t xml:space="preserve">27</w:t>
      </w:r>
      <w:bookmarkEnd w:id="163"/>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4"/>
      <w:r/>
      <w:bookmarkEnd w:id="165"/>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6"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6"/>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60"/>
        <w:ind w:firstLine="452"/>
        <w:keepLines w:val="0"/>
        <w:keepNext w:val="0"/>
        <w:spacing w:before="0" w:after="0" w:line="500" w:lineRule="exact"/>
        <w:rPr>
          <w:rFonts w:hint="eastAsia"/>
          <w:color w:val="000000" w:themeColor="text1"/>
          <w:sz w:val="30"/>
          <w:szCs w:val="30"/>
          <w:highlight w:val="none"/>
        </w:rPr>
      </w:pPr>
      <w:r/>
      <w:bookmarkStart w:id="167" w:name="_Toc120614220"/>
      <w:r/>
      <w:bookmarkStart w:id="168" w:name="_Toc513029236"/>
      <w:r/>
      <w:bookmarkStart w:id="169" w:name="_Toc20823308"/>
      <w:r/>
      <w:bookmarkStart w:id="170" w:name="_Toc16938552"/>
      <w:r>
        <w:rPr>
          <w:rFonts w:hint="eastAsia"/>
          <w:color w:val="000000" w:themeColor="text1"/>
          <w:sz w:val="30"/>
          <w:szCs w:val="30"/>
          <w:highlight w:val="none"/>
        </w:rPr>
        <w:t xml:space="preserve">七、授予合同</w:t>
      </w:r>
      <w:bookmarkEnd w:id="167"/>
      <w:r/>
      <w:bookmarkEnd w:id="168"/>
      <w:bookmarkEnd w:id="169"/>
      <w:bookmarkEnd w:id="170"/>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bookmarkStart w:id="171" w:name="_Toc20823309"/>
      <w:r/>
      <w:bookmarkStart w:id="172" w:name="_Toc16938553"/>
      <w:r/>
      <w:bookmarkStart w:id="173" w:name="_Toc513029237"/>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1"/>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bookmarkEnd w:id="172"/>
      <w:bookmarkEnd w:id="173"/>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4" w:name="_Toc479757207"/>
      <w:r/>
      <w:bookmarkStart w:id="175" w:name="_Toc16938558"/>
      <w:r/>
      <w:bookmarkStart w:id="176" w:name="_Toc20823314"/>
      <w:r/>
      <w:bookmarkStart w:id="177" w:name="_Toc513029242"/>
      <w:r/>
      <w:bookmarkStart w:id="178" w:name="_Toc120614221"/>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themeColor="text1"/>
          <w:sz w:val="36"/>
          <w:szCs w:val="36"/>
          <w:highlight w:val="none"/>
        </w:rPr>
        <w:t xml:space="preserve">文本</w:t>
      </w:r>
      <w:r/>
    </w:p>
    <w:p>
      <w:pPr>
        <w:ind w:firstLine="480"/>
        <w:spacing w:line="400" w:lineRule="exact"/>
        <w:rPr>
          <w:rFonts w:ascii="宋体" w:hAnsi="宋体"/>
          <w:bCs/>
          <w:color w:val="000000" w:themeColor="text1"/>
          <w:sz w:val="24"/>
          <w:szCs w:val="24"/>
          <w:highlight w:val="none"/>
        </w:rPr>
      </w:pPr>
      <w:r/>
      <w:bookmarkStart w:id="179" w:name="_Toc513029243"/>
      <w:r/>
      <w:bookmarkStart w:id="180" w:name="_Toc16938559"/>
      <w:r/>
      <w:bookmarkStart w:id="181" w:name="_Toc20823315"/>
      <w:r>
        <w:rPr>
          <w:rFonts w:hint="eastAsia" w:ascii="宋体" w:hAnsi="宋体"/>
          <w:bCs/>
          <w:color w:val="000000" w:themeColor="text1"/>
          <w:sz w:val="24"/>
          <w:highlight w:val="none"/>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p>
    <w:p>
      <w:pPr>
        <w:pStyle w:val="894"/>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p>
    <w:p>
      <w:pPr>
        <w:pStyle w:val="894"/>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p>
    <w:p>
      <w:pPr>
        <w:pStyle w:val="894"/>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p>
    <w:p>
      <w:pPr>
        <w:pStyle w:val="894"/>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lang w:eastAsia="zh-CN"/>
        </w:rPr>
        <w:t xml:space="preserve">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并做好书面确认工作；对所有图、档、卡、册等资料应做好建档工作。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或依照法律程序解除部分或全部合同。</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w:t>
      </w:r>
      <w:r>
        <w:rPr>
          <w:rFonts w:hint="eastAsia" w:ascii="宋体" w:hAnsi="宋体" w:cs="宋体"/>
          <w:color w:val="000000" w:themeColor="text1"/>
          <w:sz w:val="24"/>
          <w:highlight w:val="none"/>
          <w:lang w:eastAsia="zh-CN"/>
        </w:rPr>
        <w:t xml:space="preserve">做好</w:t>
      </w:r>
      <w:r>
        <w:rPr>
          <w:rFonts w:hint="eastAsia" w:ascii="宋体" w:hAnsi="宋体" w:cs="宋体"/>
          <w:color w:val="000000" w:themeColor="text1"/>
          <w:sz w:val="24"/>
          <w:highlight w:val="none"/>
        </w:rPr>
        <w:t xml:space="preserve">服务的交接和善后工作，移交或配合甲方移交管理用房和管理的全部档案资料等。</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p>
    <w:p>
      <w:pPr>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79757211"/>
      <w:r/>
      <w:bookmarkStart w:id="188" w:name="_Toc462564139"/>
      <w:r>
        <w:rPr>
          <w:rFonts w:hint="eastAsia" w:ascii="黑体" w:hAnsi="黑体" w:eastAsia="黑体"/>
          <w:color w:val="000000" w:themeColor="text1"/>
          <w:sz w:val="36"/>
          <w:szCs w:val="36"/>
          <w:highlight w:val="none"/>
        </w:rPr>
        <w:t xml:space="preserve">第</w:t>
      </w:r>
      <w:bookmarkEnd w:id="183"/>
      <w:r>
        <w:rPr>
          <w:rFonts w:hint="eastAsia" w:ascii="黑体" w:hAnsi="黑体" w:eastAsia="黑体"/>
          <w:color w:val="000000" w:themeColor="text1"/>
          <w:sz w:val="36"/>
          <w:szCs w:val="36"/>
          <w:highlight w:val="none"/>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themeColor="text1"/>
          <w:sz w:val="30"/>
          <w:szCs w:val="30"/>
          <w:highlight w:val="none"/>
        </w:rPr>
      </w:pPr>
      <w:r/>
      <w:bookmarkStart w:id="189" w:name="_Toc49090575"/>
      <w:r/>
      <w:bookmarkStart w:id="190" w:name="_Toc26554093"/>
      <w:r>
        <w:rPr>
          <w:rFonts w:hint="eastAsia" w:ascii="黑体" w:hAnsi="黑体" w:eastAsia="黑体"/>
          <w:color w:val="000000" w:themeColor="text1"/>
          <w:sz w:val="30"/>
          <w:szCs w:val="30"/>
          <w:highlight w:val="none"/>
        </w:rPr>
        <w:t xml:space="preserve">本项目属性：服务类项目</w:t>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本项目标的物所属行业：物业管理</w:t>
      </w:r>
      <w:r/>
    </w:p>
    <w:p>
      <w:pPr>
        <w:ind w:firstLine="602"/>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30"/>
          <w:szCs w:val="30"/>
          <w:highlight w:val="none"/>
        </w:rPr>
        <w:t xml:space="preserve">第一部分  项目技术要求</w:t>
      </w:r>
      <w:r/>
    </w:p>
    <w:p>
      <w:pPr>
        <w:ind w:firstLine="480"/>
        <w:spacing w:line="360" w:lineRule="auto"/>
        <w:rPr>
          <w:rFonts w:hint="eastAsia" w:ascii="宋体" w:hAnsi="宋体"/>
          <w:b/>
          <w:bCs/>
          <w:color w:val="auto"/>
          <w:sz w:val="24"/>
          <w:highlight w:val="none"/>
        </w:rPr>
      </w:pPr>
      <w:r>
        <w:rPr>
          <w:rFonts w:hint="eastAsia" w:ascii="宋体" w:hAnsi="宋体" w:cs="宋体"/>
          <w:bCs/>
          <w:color w:val="auto"/>
          <w:sz w:val="24"/>
          <w:highlight w:val="none"/>
        </w:rPr>
        <w:t xml:space="preserve">本项目为</w:t>
      </w:r>
      <w:r>
        <w:rPr>
          <w:rFonts w:hint="eastAsia" w:ascii="宋体" w:hAnsi="宋体" w:eastAsia="宋体" w:cs="宋体"/>
          <w:b/>
          <w:bCs/>
          <w:color w:val="auto"/>
          <w:sz w:val="24"/>
          <w:highlight w:val="none"/>
          <w:lang w:eastAsia="zh-CN"/>
        </w:rPr>
        <w:t xml:space="preserve">无锡市河埒街道社区卫生服务中心物业管理服务项目</w:t>
      </w:r>
      <w:r>
        <w:rPr>
          <w:rFonts w:hint="eastAsia" w:ascii="宋体" w:hAnsi="宋体" w:cs="宋体"/>
          <w:bCs/>
          <w:color w:val="auto"/>
          <w:sz w:val="24"/>
          <w:highlight w:val="none"/>
        </w:rPr>
        <w:t xml:space="preserve">，具体要求如下</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rPr>
        <w:t xml:space="preserve">供应商须满足以下要求，不得有负偏离。</w:t>
      </w:r>
      <w:r/>
    </w:p>
    <w:p>
      <w:pPr>
        <w:ind w:firstLine="482"/>
        <w:jc w:val="left"/>
        <w:spacing w:line="360" w:lineRule="auto"/>
        <w:widowControl/>
        <w:tabs>
          <w:tab w:val="left" w:pos="360" w:leader="none"/>
          <w:tab w:val="left" w:pos="960" w:leader="none"/>
        </w:tabs>
        <w:rPr>
          <w:rFonts w:hint="eastAsia" w:ascii="宋体" w:hAnsi="宋体" w:cs="宋体"/>
          <w:b/>
          <w:color w:val="auto"/>
          <w:sz w:val="24"/>
          <w:highlight w:val="none"/>
          <w:lang w:bidi="zh-CN"/>
        </w:rPr>
      </w:pPr>
      <w:r>
        <w:rPr>
          <w:rFonts w:hint="eastAsia" w:ascii="宋体" w:hAnsi="宋体" w:cs="宋体"/>
          <w:b/>
          <w:color w:val="auto"/>
          <w:sz w:val="24"/>
          <w:highlight w:val="none"/>
          <w:lang w:bidi="zh-CN"/>
        </w:rPr>
        <w:t xml:space="preserve">一、本项目采购标的概况、采购项目交付或者实施的时间和地点要求</w:t>
      </w:r>
      <w:r/>
    </w:p>
    <w:p>
      <w:pPr>
        <w:ind w:firstLine="480"/>
        <w:jc w:val="left"/>
        <w:spacing w:line="360" w:lineRule="auto"/>
        <w:widowControl/>
        <w:tabs>
          <w:tab w:val="left" w:pos="360" w:leader="none"/>
          <w:tab w:val="left" w:pos="960" w:leader="none"/>
        </w:tabs>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1.项目名称：无锡市河埒街道社区卫生服务中心物业管理服务项目</w:t>
      </w:r>
      <w:r/>
    </w:p>
    <w:p>
      <w:pPr>
        <w:ind w:firstLine="480"/>
        <w:jc w:val="left"/>
        <w:spacing w:line="360" w:lineRule="auto"/>
        <w:widowControl/>
        <w:tabs>
          <w:tab w:val="left" w:pos="360" w:leader="none"/>
          <w:tab w:val="left" w:pos="960" w:leader="none"/>
        </w:tabs>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2.服务期：一年；</w:t>
      </w:r>
      <w:r/>
    </w:p>
    <w:p>
      <w:pPr>
        <w:ind w:firstLine="480"/>
        <w:jc w:val="left"/>
        <w:spacing w:line="360" w:lineRule="auto"/>
        <w:widowControl/>
        <w:tabs>
          <w:tab w:val="left" w:pos="360" w:leader="none"/>
          <w:tab w:val="left" w:pos="960" w:leader="none"/>
        </w:tabs>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3.服务质量标准：满足采购人要求；</w:t>
      </w:r>
      <w:r/>
    </w:p>
    <w:p>
      <w:pPr>
        <w:ind w:firstLine="480"/>
        <w:jc w:val="left"/>
        <w:spacing w:line="360" w:lineRule="auto"/>
        <w:widowControl/>
        <w:tabs>
          <w:tab w:val="left" w:pos="360" w:leader="none"/>
          <w:tab w:val="left" w:pos="960" w:leader="none"/>
        </w:tabs>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4.服务地点：无锡市河埒街道社区卫生服务中心（</w:t>
      </w:r>
      <w:r>
        <w:rPr>
          <w:rFonts w:hint="eastAsia" w:ascii="宋体" w:hAnsi="宋体" w:eastAsia="宋体" w:cs="宋体"/>
          <w:color w:val="auto"/>
          <w:sz w:val="24"/>
          <w:highlight w:val="none"/>
          <w:lang w:eastAsia="zh-CN" w:bidi="zh-CN"/>
        </w:rPr>
        <w:t xml:space="preserve">中心及水秀服务站</w:t>
      </w:r>
      <w:r>
        <w:rPr>
          <w:rFonts w:hint="eastAsia" w:ascii="宋体" w:hAnsi="宋体" w:cs="宋体"/>
          <w:color w:val="auto"/>
          <w:sz w:val="24"/>
          <w:highlight w:val="none"/>
          <w:lang w:bidi="zh-CN"/>
        </w:rPr>
        <w:t xml:space="preserve">）；</w:t>
      </w:r>
      <w:r/>
    </w:p>
    <w:p>
      <w:pPr>
        <w:ind w:firstLine="482"/>
        <w:jc w:val="left"/>
        <w:spacing w:line="360" w:lineRule="auto"/>
        <w:widowControl/>
        <w:tabs>
          <w:tab w:val="left" w:pos="360" w:leader="none"/>
          <w:tab w:val="left" w:pos="960" w:leader="none"/>
        </w:tabs>
        <w:rPr>
          <w:rFonts w:ascii="宋体" w:hAnsi="宋体" w:cs="宋体"/>
          <w:b/>
          <w:color w:val="auto"/>
          <w:sz w:val="24"/>
          <w:highlight w:val="none"/>
          <w:lang w:bidi="zh-CN"/>
        </w:rPr>
      </w:pPr>
      <w:r>
        <w:rPr>
          <w:rFonts w:hint="eastAsia" w:ascii="宋体" w:hAnsi="宋体" w:cs="宋体"/>
          <w:b/>
          <w:color w:val="auto"/>
          <w:sz w:val="24"/>
          <w:highlight w:val="none"/>
          <w:lang w:bidi="zh-CN"/>
        </w:rPr>
        <w:t xml:space="preserve">二、物业服务总体要求</w:t>
      </w:r>
      <w:r/>
    </w:p>
    <w:p>
      <w:pPr>
        <w:ind w:firstLine="480"/>
        <w:jc w:val="left"/>
        <w:spacing w:line="360" w:lineRule="auto"/>
        <w:widowControl/>
        <w:tabs>
          <w:tab w:val="left" w:pos="360" w:leader="none"/>
          <w:tab w:val="left" w:pos="960" w:leader="none"/>
        </w:tabs>
        <w:rPr>
          <w:rFonts w:hint="eastAsia"/>
          <w:color w:val="auto"/>
          <w:sz w:val="24"/>
          <w:szCs w:val="24"/>
          <w:highlight w:val="none"/>
          <w:lang w:val="en-US" w:eastAsia="zh-CN"/>
        </w:rPr>
      </w:pPr>
      <w:r>
        <w:rPr>
          <w:rFonts w:hint="eastAsia" w:ascii="宋体" w:hAnsi="宋体" w:cs="宋体"/>
          <w:color w:val="auto"/>
          <w:sz w:val="24"/>
          <w:highlight w:val="none"/>
          <w:lang w:bidi="zh-CN"/>
        </w:rPr>
        <w:t xml:space="preserve">负责无锡市河埒街道社区卫生服务中心的物业管理服务工作，包括</w:t>
      </w:r>
      <w:r>
        <w:rPr>
          <w:rFonts w:hint="eastAsia" w:ascii="宋体" w:hAnsi="宋体" w:cs="宋体"/>
          <w:color w:val="auto"/>
          <w:sz w:val="24"/>
          <w:highlight w:val="none"/>
          <w:lang w:val="en-US" w:bidi="zh-CN"/>
        </w:rPr>
        <w:t xml:space="preserve">医院</w:t>
      </w:r>
      <w:r>
        <w:rPr>
          <w:rFonts w:hint="eastAsia" w:ascii="宋体" w:hAnsi="宋体" w:cs="宋体"/>
          <w:color w:val="auto"/>
          <w:sz w:val="24"/>
          <w:highlight w:val="none"/>
          <w:lang w:bidi="zh-CN"/>
        </w:rPr>
        <w:t xml:space="preserve">安保、日常保洁、医废及</w:t>
      </w:r>
      <w:r>
        <w:rPr>
          <w:rFonts w:hint="eastAsia" w:ascii="宋体" w:hAnsi="宋体" w:cs="宋体"/>
          <w:color w:val="auto"/>
          <w:sz w:val="24"/>
          <w:highlight w:val="none"/>
          <w:lang w:val="en-US" w:bidi="zh-CN"/>
        </w:rPr>
        <w:t xml:space="preserve">导医</w:t>
      </w:r>
      <w:r>
        <w:rPr>
          <w:rFonts w:hint="eastAsia" w:ascii="宋体" w:hAnsi="宋体" w:cs="宋体"/>
          <w:color w:val="auto"/>
          <w:sz w:val="24"/>
          <w:highlight w:val="none"/>
          <w:lang w:bidi="zh-CN"/>
        </w:rPr>
        <w:t xml:space="preserve">等服务。中心占地面积</w:t>
      </w:r>
      <w:r>
        <w:rPr>
          <w:rFonts w:hint="eastAsia" w:ascii="宋体" w:hAnsi="宋体" w:cs="宋体"/>
          <w:color w:val="auto"/>
          <w:sz w:val="24"/>
          <w:highlight w:val="none"/>
          <w:lang w:val="en-US" w:bidi="zh-CN"/>
        </w:rPr>
        <w:t xml:space="preserve">4000</w:t>
      </w:r>
      <w:r>
        <w:rPr>
          <w:rFonts w:hint="eastAsia" w:ascii="宋体" w:hAnsi="宋体" w:cs="宋体"/>
          <w:color w:val="auto"/>
          <w:sz w:val="24"/>
          <w:highlight w:val="none"/>
          <w:lang w:bidi="zh-CN"/>
        </w:rPr>
        <w:t xml:space="preserve">平方米，建筑面积1</w:t>
      </w:r>
      <w:r>
        <w:rPr>
          <w:rFonts w:hint="eastAsia" w:ascii="宋体" w:hAnsi="宋体" w:cs="宋体"/>
          <w:color w:val="auto"/>
          <w:sz w:val="24"/>
          <w:highlight w:val="none"/>
          <w:lang w:val="en-US" w:bidi="zh-CN"/>
        </w:rPr>
        <w:t xml:space="preserve">0669</w:t>
      </w:r>
      <w:r>
        <w:rPr>
          <w:rFonts w:hint="eastAsia" w:ascii="宋体" w:hAnsi="宋体" w:cs="宋体"/>
          <w:color w:val="auto"/>
          <w:sz w:val="24"/>
          <w:highlight w:val="none"/>
          <w:lang w:bidi="zh-CN"/>
        </w:rPr>
        <w:t xml:space="preserve">平方米，绿化面积</w:t>
      </w:r>
      <w:r>
        <w:rPr>
          <w:rFonts w:hint="eastAsia" w:ascii="宋体" w:hAnsi="宋体" w:cs="宋体"/>
          <w:color w:val="auto"/>
          <w:sz w:val="24"/>
          <w:highlight w:val="none"/>
          <w:lang w:val="en-US" w:bidi="zh-CN"/>
        </w:rPr>
        <w:t xml:space="preserve">1</w:t>
      </w:r>
      <w:r>
        <w:rPr>
          <w:rFonts w:hint="eastAsia" w:ascii="宋体" w:hAnsi="宋体" w:cs="宋体"/>
          <w:color w:val="auto"/>
          <w:sz w:val="24"/>
          <w:highlight w:val="none"/>
          <w:lang w:bidi="zh-CN"/>
        </w:rPr>
        <w:t xml:space="preserve">20平方米；水秀服务站占地面积</w:t>
      </w:r>
      <w:r>
        <w:rPr>
          <w:rFonts w:hint="eastAsia" w:ascii="宋体" w:hAnsi="宋体" w:cs="宋体"/>
          <w:color w:val="auto"/>
          <w:sz w:val="24"/>
          <w:highlight w:val="none"/>
          <w:lang w:val="en-US" w:bidi="zh-CN"/>
        </w:rPr>
        <w:t xml:space="preserve">1000平方</w:t>
      </w:r>
      <w:r>
        <w:rPr>
          <w:rFonts w:hint="eastAsia" w:ascii="宋体" w:hAnsi="宋体" w:cs="宋体"/>
          <w:color w:val="auto"/>
          <w:sz w:val="24"/>
          <w:highlight w:val="none"/>
          <w:lang w:bidi="zh-CN"/>
        </w:rPr>
        <w:t xml:space="preserve">米</w:t>
      </w:r>
      <w:r>
        <w:rPr>
          <w:rFonts w:hint="eastAsia" w:ascii="宋体" w:hAnsi="宋体" w:cs="宋体"/>
          <w:color w:val="auto"/>
          <w:sz w:val="24"/>
          <w:highlight w:val="none"/>
          <w:lang w:val="en-US" w:bidi="zh-CN"/>
        </w:rPr>
        <w:t xml:space="preserve">，建筑面积1500平方米。</w:t>
      </w:r>
      <w:r>
        <w:rPr>
          <w:rFonts w:hint="eastAsia" w:ascii="宋体" w:hAnsi="宋体" w:cs="宋体"/>
          <w:color w:val="auto"/>
          <w:sz w:val="24"/>
          <w:highlight w:val="none"/>
          <w:lang w:bidi="zh-CN"/>
        </w:rPr>
        <w:t xml:space="preserve">其中：</w:t>
      </w:r>
      <w:r>
        <w:rPr>
          <w:rFonts w:hint="eastAsia" w:ascii="宋体" w:hAnsi="宋体" w:eastAsia="宋体" w:cs="宋体"/>
          <w:color w:val="auto"/>
          <w:sz w:val="24"/>
          <w:highlight w:val="none"/>
          <w:lang w:eastAsia="zh-CN"/>
        </w:rPr>
        <w:t xml:space="preserve">无锡市河埒街道社区卫生服务中心</w:t>
      </w:r>
      <w:r>
        <w:rPr>
          <w:rFonts w:hint="eastAsia" w:ascii="宋体" w:hAnsi="宋体" w:cs="宋体"/>
          <w:color w:val="auto"/>
          <w:sz w:val="24"/>
          <w:highlight w:val="none"/>
        </w:rPr>
        <w:t xml:space="preserve">含主要出入口南门、车辆出入口</w:t>
      </w:r>
      <w:r>
        <w:rPr>
          <w:rFonts w:hint="eastAsia" w:ascii="宋体" w:hAnsi="宋体" w:eastAsia="宋体" w:cs="宋体"/>
          <w:color w:val="auto"/>
          <w:sz w:val="24"/>
          <w:highlight w:val="none"/>
          <w:lang w:eastAsia="zh-CN"/>
        </w:rPr>
        <w:t xml:space="preserve">北</w:t>
      </w:r>
      <w:r>
        <w:rPr>
          <w:rFonts w:hint="eastAsia" w:ascii="宋体" w:hAnsi="宋体" w:cs="宋体"/>
          <w:color w:val="auto"/>
          <w:sz w:val="24"/>
          <w:highlight w:val="none"/>
        </w:rPr>
        <w:t xml:space="preserve">门，</w:t>
      </w:r>
      <w:bookmarkStart w:id="191" w:name="OLE_LINK13"/>
      <w:r/>
      <w:bookmarkStart w:id="192" w:name="OLE_LINK12"/>
      <w:r>
        <w:rPr>
          <w:rFonts w:hint="eastAsia" w:ascii="宋体" w:hAnsi="宋体" w:cs="宋体"/>
          <w:color w:val="auto"/>
          <w:sz w:val="24"/>
          <w:highlight w:val="none"/>
        </w:rPr>
        <w:t xml:space="preserve">电动自行车车棚</w:t>
      </w:r>
      <w:bookmarkEnd w:id="191"/>
      <w:r/>
      <w:bookmarkEnd w:id="192"/>
      <w:r>
        <w:rPr>
          <w:rFonts w:hint="eastAsia" w:ascii="宋体" w:hAnsi="宋体" w:eastAsia="宋体" w:cs="宋体"/>
          <w:color w:val="auto"/>
          <w:sz w:val="24"/>
          <w:highlight w:val="none"/>
          <w:lang w:val="en-US" w:eastAsia="zh-CN"/>
        </w:rPr>
        <w:t xml:space="preserve">3处（含水秀服务站1处）</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eastAsia="zh-CN"/>
        </w:rPr>
        <w:t xml:space="preserve">地下室业务用房</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eastAsia="zh-CN"/>
        </w:rPr>
        <w:t xml:space="preserve">病房</w:t>
      </w:r>
      <w:r>
        <w:rPr>
          <w:rFonts w:hint="eastAsia" w:ascii="宋体" w:hAnsi="宋体" w:eastAsia="宋体" w:cs="宋体"/>
          <w:color w:val="auto"/>
          <w:sz w:val="24"/>
          <w:highlight w:val="none"/>
          <w:lang w:val="en-US" w:eastAsia="zh-CN"/>
        </w:rPr>
        <w:t xml:space="preserve">80间</w:t>
      </w:r>
      <w:r>
        <w:rPr>
          <w:rFonts w:hint="eastAsia" w:ascii="宋体" w:hAnsi="宋体" w:cs="宋体"/>
          <w:color w:val="auto"/>
          <w:sz w:val="24"/>
          <w:highlight w:val="none"/>
        </w:rPr>
        <w:t xml:space="preserve">等</w:t>
      </w:r>
      <w:r>
        <w:rPr>
          <w:rFonts w:hint="eastAsia" w:ascii="宋体" w:hAnsi="宋体" w:eastAsia="宋体" w:cs="宋体"/>
          <w:color w:val="auto"/>
          <w:sz w:val="24"/>
          <w:highlight w:val="none"/>
          <w:lang w:eastAsia="zh-CN"/>
        </w:rPr>
        <w:t xml:space="preserve">。</w:t>
      </w:r>
      <w:r/>
    </w:p>
    <w:p>
      <w:pPr>
        <w:ind w:firstLine="470"/>
        <w:spacing w:line="360" w:lineRule="auto"/>
        <w:rPr>
          <w:rFonts w:hint="default"/>
          <w:color w:val="auto"/>
          <w:sz w:val="24"/>
          <w:highlight w:val="none"/>
          <w:lang w:val="en-US" w:eastAsia="zh-CN"/>
        </w:rPr>
      </w:pPr>
      <w:r>
        <w:rPr>
          <w:rFonts w:hint="eastAsia" w:ascii="宋体" w:hAnsi="宋体"/>
          <w:bCs/>
          <w:color w:val="auto"/>
          <w:sz w:val="24"/>
          <w:highlight w:val="none"/>
          <w:lang w:val="en-US" w:eastAsia="zh-CN"/>
        </w:rPr>
        <w:t xml:space="preserve">本项目配</w:t>
      </w:r>
      <w:r>
        <w:rPr>
          <w:rFonts w:hint="eastAsia" w:ascii="宋体" w:hAnsi="宋体"/>
          <w:bCs/>
          <w:color w:val="auto"/>
          <w:sz w:val="24"/>
          <w:highlight w:val="none"/>
        </w:rPr>
        <w:t xml:space="preserve">置</w:t>
      </w:r>
      <w:r>
        <w:rPr>
          <w:rFonts w:hint="eastAsia" w:ascii="宋体" w:hAnsi="宋体"/>
          <w:b/>
          <w:bCs/>
          <w:color w:val="auto"/>
          <w:sz w:val="24"/>
          <w:szCs w:val="24"/>
          <w:highlight w:val="none"/>
          <w:lang w:val="en-US" w:eastAsia="zh-CN"/>
        </w:rPr>
        <w:t xml:space="preserve">人员不少于</w:t>
      </w:r>
      <w:r>
        <w:rPr>
          <w:rFonts w:hint="eastAsia" w:hAnsi="宋体"/>
          <w:b/>
          <w:bCs/>
          <w:color w:val="auto"/>
          <w:sz w:val="24"/>
          <w:szCs w:val="24"/>
          <w:highlight w:val="none"/>
          <w:lang w:val="en-US" w:eastAsia="zh-CN"/>
        </w:rPr>
        <w:t xml:space="preserve">25</w:t>
      </w:r>
      <w:r>
        <w:rPr>
          <w:rFonts w:hint="eastAsia" w:ascii="宋体" w:hAnsi="宋体"/>
          <w:color w:val="auto"/>
          <w:sz w:val="24"/>
          <w:szCs w:val="24"/>
          <w:highlight w:val="none"/>
          <w:lang w:val="en-US" w:eastAsia="zh-CN"/>
        </w:rPr>
        <w:t xml:space="preserve">人</w:t>
      </w:r>
      <w:r>
        <w:rPr>
          <w:rFonts w:hint="eastAsia" w:ascii="宋体" w:hAnsi="宋体"/>
          <w:bCs/>
          <w:color w:val="auto"/>
          <w:sz w:val="24"/>
          <w:highlight w:val="none"/>
        </w:rPr>
        <w:t xml:space="preserve">。</w:t>
      </w:r>
      <w:r>
        <w:rPr>
          <w:color w:val="auto"/>
          <w:sz w:val="24"/>
          <w:highlight w:val="none"/>
          <w:lang w:eastAsia="zh-CN"/>
        </w:rPr>
        <w:t xml:space="preserve">本项目允许配置按国家规定可不缴纳社保的人员，该类人员最多不超过</w:t>
      </w:r>
      <w:r>
        <w:rPr>
          <w:rFonts w:hint="eastAsia"/>
          <w:color w:val="auto"/>
          <w:sz w:val="24"/>
          <w:highlight w:val="none"/>
          <w:u w:val="single"/>
          <w:lang w:val="en-US" w:eastAsia="zh-CN"/>
        </w:rPr>
        <w:t xml:space="preserve">5</w:t>
      </w:r>
      <w:r>
        <w:rPr>
          <w:color w:val="auto"/>
          <w:sz w:val="24"/>
          <w:highlight w:val="none"/>
          <w:lang w:eastAsia="zh-CN"/>
        </w:rPr>
        <w:t xml:space="preserve">人</w:t>
      </w:r>
      <w:r>
        <w:rPr>
          <w:rFonts w:hint="eastAsia"/>
          <w:color w:val="auto"/>
          <w:sz w:val="24"/>
          <w:highlight w:val="none"/>
          <w:lang w:val="en-US" w:eastAsia="zh-CN"/>
        </w:rPr>
        <w:t xml:space="preserve">。</w:t>
      </w:r>
      <w:r/>
    </w:p>
    <w:p>
      <w:pPr>
        <w:pStyle w:val="980"/>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满足下列岗位要求：</w:t>
      </w:r>
      <w:r/>
    </w:p>
    <w:p>
      <w:pPr>
        <w:pStyle w:val="980"/>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项目负责人：1名（男女不限，男性年龄不得超过60周岁，女性年龄不得超过50周岁，做六休一）；</w:t>
      </w:r>
      <w:r/>
    </w:p>
    <w:p>
      <w:pPr>
        <w:pStyle w:val="980"/>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（2）保安人员：6人（男性，年龄不得超过60周岁，做六休一，含保安队长1名，须持证上岗）；</w:t>
      </w:r>
      <w:r/>
    </w:p>
    <w:p>
      <w:pPr>
        <w:pStyle w:val="980"/>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（3）消控人员：4人（男性，年龄不得超过60周岁，24小时双人双证，须持证上岗）；</w:t>
      </w:r>
      <w:r/>
    </w:p>
    <w:p>
      <w:pPr>
        <w:pStyle w:val="980"/>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（4）保洁、医废及导诊等服务人员：12人（男女不限，男性年龄不得超过60周岁，女性年龄不得超过55周岁，做六休一）；</w:t>
      </w:r>
      <w:r/>
    </w:p>
    <w:p>
      <w:pPr>
        <w:pStyle w:val="980"/>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（5）配电间电工：2名（男性，年龄不超过60周岁，须持高压电工证上岗）。</w:t>
      </w:r>
      <w:r/>
    </w:p>
    <w:p>
      <w:pPr>
        <w:ind w:firstLine="472"/>
        <w:spacing w:line="360" w:lineRule="auto"/>
        <w:rPr>
          <w:rFonts w:hint="eastAsia"/>
          <w:b/>
          <w:color w:val="auto"/>
          <w:sz w:val="24"/>
          <w:szCs w:val="24"/>
          <w:highlight w:val="none"/>
        </w:rPr>
      </w:pPr>
      <w:r>
        <w:rPr>
          <w:rFonts w:hint="eastAsia" w:ascii="宋体" w:hAnsi="宋体"/>
          <w:b/>
          <w:bCs/>
          <w:color w:val="auto"/>
          <w:sz w:val="24"/>
          <w:szCs w:val="24"/>
          <w:highlight w:val="none"/>
        </w:rPr>
        <w:t xml:space="preserve">注：</w:t>
      </w:r>
      <w:r>
        <w:rPr>
          <w:color w:val="auto"/>
          <w:sz w:val="24"/>
          <w:highlight w:val="none"/>
        </w:rPr>
        <w:t xml:space="preserve">物业管理过程中涉及</w:t>
      </w:r>
      <w:r>
        <w:rPr>
          <w:rFonts w:hint="eastAsia"/>
          <w:color w:val="auto"/>
          <w:sz w:val="24"/>
          <w:highlight w:val="none"/>
        </w:rPr>
        <w:t xml:space="preserve">的公共能耗包括公共区域范围内的电耗和水耗等全部费用，由</w:t>
      </w:r>
      <w:r>
        <w:rPr>
          <w:rFonts w:hint="eastAsia" w:eastAsia="宋体"/>
          <w:color w:val="auto"/>
          <w:sz w:val="24"/>
          <w:highlight w:val="none"/>
          <w:lang w:eastAsia="zh-CN"/>
        </w:rPr>
        <w:t xml:space="preserve">采购人承担</w:t>
      </w:r>
      <w:r>
        <w:rPr>
          <w:rFonts w:hint="eastAsia"/>
          <w:b/>
          <w:color w:val="auto"/>
          <w:sz w:val="24"/>
          <w:szCs w:val="24"/>
          <w:highlight w:val="none"/>
        </w:rPr>
        <w:t xml:space="preserve">。</w:t>
      </w:r>
      <w:r/>
    </w:p>
    <w:p>
      <w:pPr>
        <w:pStyle w:val="980"/>
        <w:ind w:left="0" w:firstLine="482"/>
        <w:spacing w:line="360" w:lineRule="auto"/>
        <w:rPr>
          <w:rFonts w:ascii="宋体" w:hAnsi="宋体"/>
          <w:b/>
          <w:color w:val="auto"/>
          <w:sz w:val="24"/>
          <w:highlight w:val="none"/>
        </w:rPr>
      </w:pPr>
      <w:r>
        <w:rPr>
          <w:rFonts w:hint="eastAsia" w:ascii="宋体" w:hAnsi="宋体" w:eastAsia="宋体"/>
          <w:b/>
          <w:color w:val="auto"/>
          <w:sz w:val="24"/>
          <w:highlight w:val="none"/>
          <w:lang w:val="en-US" w:eastAsia="zh-CN"/>
        </w:rPr>
        <w:t xml:space="preserve">三</w:t>
      </w:r>
      <w:r>
        <w:rPr>
          <w:rFonts w:hint="eastAsia" w:ascii="宋体" w:hAnsi="宋体"/>
          <w:b/>
          <w:color w:val="auto"/>
          <w:sz w:val="24"/>
          <w:highlight w:val="none"/>
        </w:rPr>
        <w:t xml:space="preserve">、物业管理职责</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eastAsia="zh-CN"/>
        </w:rPr>
        <w:t xml:space="preserve">一</w:t>
      </w:r>
      <w:r>
        <w:rPr>
          <w:rFonts w:hint="eastAsia" w:ascii="宋体" w:hAnsi="宋体"/>
          <w:b/>
          <w:color w:val="auto"/>
          <w:sz w:val="24"/>
          <w:highlight w:val="none"/>
        </w:rPr>
        <w:t xml:space="preserve">）保安管理要求</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保安管理服务包括以下几个方面：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（1）门禁管理服务</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规章制度执行管理</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（2）问询制度</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①失物招领；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②公共钥匙保管及记录。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（3）巡逻警卫</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①24小时无盲区巡逻；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②进入或滞留在</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内人员的盘查与处理；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③消防栓、灭火器材的检查；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内公共照明的定时启闭；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⑤留意公共地方的环境清洁及公共设备的损毁情况。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（4）车辆管理：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①车辆进出登记；</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内车辆道路交通指挥；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③交通标志设置及维护；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④车辆识别证（停车证）的发放和换证管理；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⑤车场（车库）停放秩序管理；</w:t>
      </w:r>
      <w:r/>
    </w:p>
    <w:p>
      <w:pPr>
        <w:ind w:firstLine="480"/>
        <w:spacing w:line="360" w:lineRule="auto"/>
        <w:rPr>
          <w:rFonts w:hint="eastAsia"/>
          <w:color w:val="auto"/>
          <w:highlight w:val="none"/>
        </w:rPr>
      </w:pPr>
      <w:r>
        <w:rPr>
          <w:rFonts w:hint="eastAsia" w:ascii="宋体" w:hAnsi="宋体"/>
          <w:bCs/>
          <w:color w:val="auto"/>
          <w:sz w:val="24"/>
          <w:highlight w:val="none"/>
        </w:rPr>
        <w:t xml:space="preserve">⑥门口广场车辆管理。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eastAsia="宋体"/>
          <w:bCs/>
          <w:color w:val="auto"/>
          <w:sz w:val="24"/>
          <w:highlight w:val="none"/>
          <w:lang w:val="en-US" w:eastAsia="zh-CN"/>
        </w:rPr>
        <w:t xml:space="preserve">5</w:t>
      </w:r>
      <w:r>
        <w:rPr>
          <w:rFonts w:hint="eastAsia" w:ascii="宋体" w:hAnsi="宋体"/>
          <w:bCs/>
          <w:color w:val="auto"/>
          <w:sz w:val="24"/>
          <w:highlight w:val="none"/>
        </w:rPr>
        <w:t xml:space="preserve">）防火、水浸事务管理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①火灾报警设备监视及控制；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②防火门、消防灭火装置和设施的定期查验</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消防器具的定期更换</w:t>
      </w:r>
      <w:r>
        <w:rPr>
          <w:rFonts w:hint="eastAsia" w:ascii="宋体" w:hAnsi="宋体" w:eastAsia="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③危险品、易燃物品管理、处置及记录；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④避难及逃生通道障碍的清除。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（6）安全监控及紧急事件的处理：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①安全监控、记录及即时录像和保管；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②发现可疑情况的应变和处置（作业流程）；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③有疑案发生时配合警方的侦查；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④遇有火灾、水浸险情时现场引导和警戒。</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val="en-US" w:eastAsia="zh-CN"/>
        </w:rPr>
        <w:t xml:space="preserve">（7）</w:t>
      </w:r>
      <w:r>
        <w:rPr>
          <w:rFonts w:hint="eastAsia" w:ascii="宋体" w:hAnsi="宋体"/>
          <w:bCs/>
          <w:color w:val="auto"/>
          <w:sz w:val="24"/>
          <w:highlight w:val="none"/>
        </w:rPr>
        <w:t xml:space="preserve">报告事项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①勤务轮值排班表；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②巡逻检查表格；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③夜间工作人员及访客登记记录表；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④进出车辆情况表；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⑤非常事件的报告、笔录等。</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保安队长的职责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（1）在物业经理的领导下，主持保安队工作。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（2）熟悉和掌握</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安全状况和安保工作的规律、特点及各岗位的职责、任务、工作要点、考核标准等。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（3）制定本队的工作计划（包括军训、物管工作的培训和学习），并负责组织实施。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（4）了解和掌握队员的思想状况，关心爱护队员，并及时做好队员的思想工作，解决思想问题。</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（5）负责组织每周一次班务会，每月一次队务会，每季一次业务、理论考核，每半年一次应急处理方案演习（包括防台、消防及重大治安、刑事案件的应急处置方案），并做好详细记录。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（7）带领保安员协助管理处做好管理工作。纠正和制止各类违规违章行为。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（8）完成上级交代</w:t>
      </w:r>
      <w:r>
        <w:rPr>
          <w:rFonts w:hint="eastAsia" w:ascii="宋体" w:hAnsi="宋体"/>
          <w:bCs/>
          <w:color w:val="auto"/>
          <w:sz w:val="24"/>
          <w:highlight w:val="none"/>
          <w:lang w:eastAsia="zh-CN"/>
        </w:rPr>
        <w:t xml:space="preserve">的其他工作</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保安员职责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（1）保安员上岗必须穿着统一制服，佩戴规定装备</w:t>
      </w:r>
      <w:r>
        <w:rPr>
          <w:rFonts w:hint="eastAsia" w:ascii="宋体" w:hAnsi="宋体" w:eastAsia="宋体"/>
          <w:bCs/>
          <w:color w:val="auto"/>
          <w:sz w:val="24"/>
          <w:highlight w:val="none"/>
          <w:lang w:eastAsia="zh-CN"/>
        </w:rPr>
        <w:t xml:space="preserve">和</w:t>
      </w:r>
      <w:r>
        <w:rPr>
          <w:rFonts w:hint="eastAsia" w:ascii="宋体" w:hAnsi="宋体"/>
          <w:bCs/>
          <w:color w:val="auto"/>
          <w:sz w:val="24"/>
          <w:highlight w:val="none"/>
        </w:rPr>
        <w:t xml:space="preserve">统一的工作牌</w:t>
      </w:r>
      <w:r>
        <w:rPr>
          <w:rFonts w:hint="eastAsia" w:ascii="宋体" w:hAnsi="宋体" w:eastAsia="宋体"/>
          <w:bCs/>
          <w:color w:val="auto"/>
          <w:sz w:val="24"/>
          <w:highlight w:val="none"/>
          <w:lang w:eastAsia="zh-CN"/>
        </w:rPr>
        <w:t xml:space="preserve">，保持整洁的</w:t>
      </w:r>
      <w:r>
        <w:rPr>
          <w:rFonts w:hint="eastAsia" w:ascii="宋体" w:hAnsi="宋体"/>
          <w:bCs/>
          <w:color w:val="auto"/>
          <w:sz w:val="24"/>
          <w:highlight w:val="none"/>
        </w:rPr>
        <w:t xml:space="preserve">仪容，纠正违章时先敬礼，必须做到文明服务、礼貌待人。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（2）上岗时要认真检查设施、设备，</w:t>
      </w:r>
      <w:r>
        <w:rPr>
          <w:rFonts w:hint="eastAsia" w:ascii="宋体" w:hAnsi="宋体"/>
          <w:bCs/>
          <w:color w:val="auto"/>
          <w:sz w:val="24"/>
          <w:highlight w:val="none"/>
          <w:lang w:eastAsia="zh-CN"/>
        </w:rPr>
        <w:t xml:space="preserve">认真做好</w:t>
      </w:r>
      <w:r>
        <w:rPr>
          <w:rFonts w:hint="eastAsia" w:ascii="宋体" w:hAnsi="宋体"/>
          <w:bCs/>
          <w:color w:val="auto"/>
          <w:sz w:val="24"/>
          <w:highlight w:val="none"/>
        </w:rPr>
        <w:t xml:space="preserve">防火、防盗、防抢劫工作，发现不安全因素立即查明情况，并及时报告主管部门及领导，确保</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的安全。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（3）提高警惕，发现违法犯罪分子要坚决依法</w:t>
      </w:r>
      <w:r>
        <w:rPr>
          <w:rFonts w:hint="eastAsia" w:ascii="宋体" w:hAnsi="宋体" w:eastAsia="宋体"/>
          <w:bCs/>
          <w:color w:val="auto"/>
          <w:sz w:val="24"/>
          <w:highlight w:val="none"/>
          <w:lang w:eastAsia="zh-CN"/>
        </w:rPr>
        <w:t xml:space="preserve">将其抓获</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（4）熟悉本岗位职责和工作程序，执勤过程中要勤巡查，要有敏锐的目光，注意发现可疑的人、事、物</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预防</w:t>
      </w:r>
      <w:r>
        <w:rPr>
          <w:rFonts w:hint="eastAsia" w:ascii="宋体" w:hAnsi="宋体"/>
          <w:bCs/>
          <w:color w:val="auto"/>
          <w:sz w:val="24"/>
          <w:highlight w:val="none"/>
          <w:lang w:eastAsia="zh-CN"/>
        </w:rPr>
        <w:t xml:space="preserve">案件</w:t>
      </w:r>
      <w:r>
        <w:rPr>
          <w:rFonts w:hint="eastAsia" w:ascii="宋体" w:hAnsi="宋体"/>
          <w:bCs/>
          <w:color w:val="auto"/>
          <w:sz w:val="24"/>
          <w:highlight w:val="none"/>
        </w:rPr>
        <w:t xml:space="preserve">发生，力争做到万无一失。</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（5）爱护设施设备、公共财物，对</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内的一切设施、财物不得随便移动及乱用，熟悉</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消防系统及消防器材的安装位置，掌握各种灭火器材的使用方法，遇到突发事件能正确进行处理。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（6）值班期间，对岗内发生的各种情况要认真处理，</w:t>
      </w:r>
      <w:r>
        <w:rPr>
          <w:rFonts w:hint="eastAsia" w:ascii="宋体" w:hAnsi="宋体" w:eastAsia="宋体"/>
          <w:bCs/>
          <w:color w:val="auto"/>
          <w:sz w:val="24"/>
          <w:highlight w:val="none"/>
          <w:lang w:eastAsia="zh-CN"/>
        </w:rPr>
        <w:t xml:space="preserve">并</w:t>
      </w:r>
      <w:r>
        <w:rPr>
          <w:rFonts w:hint="eastAsia" w:ascii="宋体" w:hAnsi="宋体"/>
          <w:bCs/>
          <w:color w:val="auto"/>
          <w:sz w:val="24"/>
          <w:highlight w:val="none"/>
          <w:lang w:eastAsia="zh-CN"/>
        </w:rPr>
        <w:t xml:space="preserve">做好</w:t>
      </w:r>
      <w:r>
        <w:rPr>
          <w:rFonts w:hint="eastAsia" w:ascii="宋体" w:hAnsi="宋体"/>
          <w:bCs/>
          <w:color w:val="auto"/>
          <w:sz w:val="24"/>
          <w:highlight w:val="none"/>
        </w:rPr>
        <w:t xml:space="preserve">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（7）遇有紧急、突发性重大事情，要及时向主管领导请示报告。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（8）严格执行交接班制度，按时交接班，不得迟到、早退。</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（9）积极向业主（</w:t>
      </w:r>
      <w:r>
        <w:rPr>
          <w:rFonts w:hint="eastAsia" w:ascii="宋体" w:hAnsi="宋体" w:eastAsia="宋体"/>
          <w:bCs/>
          <w:color w:val="auto"/>
          <w:sz w:val="24"/>
          <w:highlight w:val="none"/>
          <w:lang w:eastAsia="zh-CN"/>
        </w:rPr>
        <w:t xml:space="preserve">住户</w:t>
      </w:r>
      <w:r>
        <w:rPr>
          <w:rFonts w:hint="eastAsia" w:ascii="宋体" w:hAnsi="宋体"/>
          <w:bCs/>
          <w:color w:val="auto"/>
          <w:sz w:val="24"/>
          <w:highlight w:val="none"/>
        </w:rPr>
        <w:t xml:space="preserve">、用户）进行遵纪守法和治安防范知识的宣传。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（10）认真完成领导交办的其他任务。</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保安员纪律规定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（1）遵守国家的</w:t>
      </w:r>
      <w:r>
        <w:rPr>
          <w:rFonts w:hint="eastAsia" w:ascii="宋体" w:hAnsi="宋体" w:eastAsia="宋体"/>
          <w:bCs/>
          <w:color w:val="auto"/>
          <w:sz w:val="24"/>
          <w:highlight w:val="none"/>
          <w:lang w:eastAsia="zh-CN"/>
        </w:rPr>
        <w:t xml:space="preserve">法律法规</w:t>
      </w:r>
      <w:r>
        <w:rPr>
          <w:rFonts w:hint="eastAsia" w:ascii="宋体" w:hAnsi="宋体"/>
          <w:bCs/>
          <w:color w:val="auto"/>
          <w:sz w:val="24"/>
          <w:highlight w:val="none"/>
        </w:rPr>
        <w:t xml:space="preserve">及公司的各项规章制度。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（2）服从管理，听从指挥，廉洁奉公，敢于同违法犯罪分子作斗争。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（3）按时交接班，不得迟到、早退。</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（4）坚守岗位，忠于职守，严格执行岗位职责。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（5）按规定着装，注意仪容整洁，讲究文明服务，礼貌待人。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（6）值班时禁止喝酒</w:t>
      </w:r>
      <w:r>
        <w:rPr>
          <w:rFonts w:hint="eastAsia" w:ascii="宋体" w:hAnsi="宋体" w:eastAsia="宋体"/>
          <w:bCs/>
          <w:color w:val="auto"/>
          <w:sz w:val="24"/>
          <w:highlight w:val="none"/>
          <w:lang w:eastAsia="zh-CN"/>
        </w:rPr>
        <w:t xml:space="preserve">、吸烟、吃东西，</w:t>
      </w:r>
      <w:r>
        <w:rPr>
          <w:rFonts w:hint="eastAsia" w:ascii="宋体" w:hAnsi="宋体"/>
          <w:bCs/>
          <w:color w:val="auto"/>
          <w:sz w:val="24"/>
          <w:highlight w:val="none"/>
        </w:rPr>
        <w:t xml:space="preserve">不准嬉戏、打闹</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会客、看书报、听广播、打瞌睡</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不准</w:t>
      </w:r>
      <w:r>
        <w:rPr>
          <w:rFonts w:hint="eastAsia" w:ascii="宋体" w:hAnsi="宋体"/>
          <w:bCs/>
          <w:color w:val="auto"/>
          <w:sz w:val="24"/>
          <w:highlight w:val="none"/>
          <w:lang w:eastAsia="zh-CN"/>
        </w:rPr>
        <w:t xml:space="preserve">做其他</w:t>
      </w:r>
      <w:r>
        <w:rPr>
          <w:rFonts w:hint="eastAsia" w:ascii="宋体" w:hAnsi="宋体"/>
          <w:bCs/>
          <w:color w:val="auto"/>
          <w:sz w:val="24"/>
          <w:highlight w:val="none"/>
        </w:rPr>
        <w:t xml:space="preserve">和</w:t>
      </w:r>
      <w:r>
        <w:rPr>
          <w:rFonts w:hint="eastAsia" w:ascii="宋体" w:hAnsi="宋体"/>
          <w:bCs/>
          <w:color w:val="auto"/>
          <w:sz w:val="24"/>
          <w:highlight w:val="none"/>
          <w:lang w:eastAsia="zh-CN"/>
        </w:rPr>
        <w:t xml:space="preserve">执勤</w:t>
      </w:r>
      <w:r>
        <w:rPr>
          <w:rFonts w:hint="eastAsia" w:ascii="宋体" w:hAnsi="宋体"/>
          <w:bCs/>
          <w:color w:val="auto"/>
          <w:sz w:val="24"/>
          <w:highlight w:val="none"/>
        </w:rPr>
        <w:t xml:space="preserve">职责无关的事。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（7）不准包庇坏人，不准贪污受贿，不准徇私舞弊。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（8）爱护各种警械器具装备，不得丢失、损坏、转借或随意携带外出。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（9）不准利用娱乐之便作变相赌博。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（10）有事外出时必须请假，严格执行请、销假制度。</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安全管理工作流程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设定流程的目的：为识别过程中的关键活动，对安全保卫服务的全过程实施控制，以确保项目安全的要求。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内容：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（1）管理处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①保安队长具体贯彻落实</w:t>
      </w:r>
      <w:r>
        <w:rPr>
          <w:rFonts w:hint="eastAsia" w:ascii="宋体" w:hAnsi="宋体" w:eastAsia="宋体"/>
          <w:bCs/>
          <w:color w:val="auto"/>
          <w:sz w:val="24"/>
          <w:highlight w:val="none"/>
          <w:lang w:eastAsia="zh-CN"/>
        </w:rPr>
        <w:t xml:space="preserve">公司</w:t>
      </w:r>
      <w:r>
        <w:rPr>
          <w:rFonts w:hint="eastAsia" w:ascii="宋体" w:hAnsi="宋体"/>
          <w:bCs/>
          <w:color w:val="auto"/>
          <w:sz w:val="24"/>
          <w:highlight w:val="none"/>
        </w:rPr>
        <w:t xml:space="preserve">各项安全保卫制度。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②具体组织实施本管理处的安全保卫工作。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③管理安全服务过程中出现的不合格。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④管理处每月初制定《安管队月度工作计划表》，并报公司安全管理中心备案。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（2）保安队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①安全保卫服务具体操作由保安队负责。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②管理处通常下设三个保安班。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（3）大门岗作业流程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①做好作业前准备工作和交接工作。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②来人来访登记</w:t>
      </w:r>
      <w:r/>
    </w:p>
    <w:p>
      <w:pPr>
        <w:numPr>
          <w:ilvl w:val="0"/>
          <w:numId w:val="5"/>
        </w:num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对外来人员</w:t>
      </w:r>
      <w:r>
        <w:rPr>
          <w:rFonts w:hint="eastAsia" w:ascii="宋体" w:hAnsi="宋体" w:eastAsia="宋体"/>
          <w:bCs/>
          <w:color w:val="auto"/>
          <w:sz w:val="24"/>
          <w:highlight w:val="none"/>
          <w:lang w:eastAsia="zh-CN"/>
        </w:rPr>
        <w:t xml:space="preserve">进行监督，</w:t>
      </w:r>
      <w:r>
        <w:rPr>
          <w:rFonts w:hint="eastAsia" w:ascii="宋体" w:hAnsi="宋体"/>
          <w:bCs/>
          <w:color w:val="auto"/>
          <w:sz w:val="24"/>
          <w:highlight w:val="none"/>
        </w:rPr>
        <w:t xml:space="preserve">必要时</w:t>
      </w:r>
      <w:r>
        <w:rPr>
          <w:rFonts w:hint="eastAsia" w:ascii="宋体" w:hAnsi="宋体" w:eastAsia="宋体"/>
          <w:bCs/>
          <w:color w:val="auto"/>
          <w:sz w:val="24"/>
          <w:highlight w:val="none"/>
          <w:lang w:eastAsia="zh-CN"/>
        </w:rPr>
        <w:t xml:space="preserve">实行凭</w:t>
      </w:r>
      <w:r>
        <w:rPr>
          <w:rFonts w:hint="eastAsia" w:ascii="宋体" w:hAnsi="宋体"/>
          <w:bCs/>
          <w:color w:val="auto"/>
          <w:sz w:val="24"/>
          <w:highlight w:val="none"/>
        </w:rPr>
        <w:t xml:space="preserve">有效</w:t>
      </w:r>
      <w:r>
        <w:rPr>
          <w:rFonts w:hint="eastAsia" w:ascii="宋体" w:hAnsi="宋体" w:eastAsia="宋体"/>
          <w:bCs/>
          <w:color w:val="auto"/>
          <w:sz w:val="24"/>
          <w:highlight w:val="none"/>
          <w:lang w:eastAsia="zh-CN"/>
        </w:rPr>
        <w:t xml:space="preserve">身份证件</w:t>
      </w:r>
      <w:r>
        <w:rPr>
          <w:rFonts w:hint="eastAsia" w:ascii="宋体" w:hAnsi="宋体"/>
          <w:bCs/>
          <w:color w:val="auto"/>
          <w:sz w:val="24"/>
          <w:highlight w:val="none"/>
        </w:rPr>
        <w:t xml:space="preserve">登记后进出的制度</w:t>
      </w:r>
      <w:r>
        <w:rPr>
          <w:rFonts w:hint="eastAsia" w:ascii="宋体" w:hAnsi="宋体" w:eastAsia="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b</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认真填写《来人来访登记表》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（4）巡逻岗作业流程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①做好作业前的准备工作和交接工作。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②每班巡逻不得少于六次。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③发现异常情况及时处理，或向主管领导汇报。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（5）车场（库）巡逻岗作业流程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w:t>
      </w:r>
      <w:r>
        <w:rPr>
          <w:rFonts w:hint="eastAsia" w:ascii="宋体" w:hAnsi="宋体"/>
          <w:bCs/>
          <w:color w:val="auto"/>
          <w:sz w:val="24"/>
          <w:highlight w:val="none"/>
          <w:lang w:eastAsia="zh-CN"/>
        </w:rPr>
        <w:t xml:space="preserve">做好</w:t>
      </w:r>
      <w:r>
        <w:rPr>
          <w:rFonts w:hint="eastAsia" w:ascii="宋体" w:hAnsi="宋体"/>
          <w:bCs/>
          <w:color w:val="auto"/>
          <w:sz w:val="24"/>
          <w:highlight w:val="none"/>
        </w:rPr>
        <w:t xml:space="preserve">作业前准备工作和交接工作。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②车辆进出场（库），应认真检查车辆是否有明显损坏痕迹并做好记录。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③每班对车场（库）内的防盗、防火设施检查一次。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④保持车场（库）内清洁卫生。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（6）相关记录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《安管队月度工作计划表》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（7）大门岗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①岗位职责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a</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24小时严密监控大门进出人员的各种情况，发现可疑或不安全迹象及时通知主管领导。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b</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密切注视在大门的客人动态，维护大门秩序。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c</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熟悉</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内人员情况及经常交往的社会关系。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d</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认真做好执勤记录，接班人员未上岗前，不准下岗，严格执行交接班制度，做到交接清楚，责任明确。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对于进入</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进行作业的各类人员，严禁携带易爆物品</w:t>
      </w:r>
      <w:r>
        <w:rPr>
          <w:rFonts w:hint="eastAsia" w:ascii="宋体" w:hAnsi="宋体"/>
          <w:bCs/>
          <w:color w:val="auto"/>
          <w:sz w:val="24"/>
          <w:highlight w:val="none"/>
          <w:lang w:eastAsia="zh-CN"/>
        </w:rPr>
        <w:t xml:space="preserve">进入</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，经检验合格后，随后放行。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②工作流程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a</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设定流程的目的：确保</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大门处于正常受控状态，保证住户平安出入，秩序井然，环境整洁。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b</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适用范围：有大门岗的</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c</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上岗前的准备：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按《保安员的</w:t>
      </w:r>
      <w:r>
        <w:rPr>
          <w:rFonts w:hint="eastAsia" w:ascii="宋体" w:hAnsi="宋体" w:eastAsia="宋体"/>
          <w:bCs/>
          <w:color w:val="auto"/>
          <w:sz w:val="24"/>
          <w:highlight w:val="none"/>
          <w:lang w:eastAsia="zh-CN"/>
        </w:rPr>
        <w:t xml:space="preserve">仪容仪表</w:t>
      </w:r>
      <w:r>
        <w:rPr>
          <w:rFonts w:hint="eastAsia" w:ascii="宋体" w:hAnsi="宋体"/>
          <w:bCs/>
          <w:color w:val="auto"/>
          <w:sz w:val="24"/>
          <w:highlight w:val="none"/>
        </w:rPr>
        <w:t xml:space="preserve">及</w:t>
      </w:r>
      <w:r>
        <w:rPr>
          <w:rFonts w:hint="eastAsia" w:ascii="宋体" w:hAnsi="宋体" w:eastAsia="宋体"/>
          <w:bCs/>
          <w:color w:val="auto"/>
          <w:sz w:val="24"/>
          <w:highlight w:val="none"/>
          <w:lang w:eastAsia="zh-CN"/>
        </w:rPr>
        <w:t xml:space="preserve">语言</w:t>
      </w:r>
      <w:r>
        <w:rPr>
          <w:rFonts w:hint="eastAsia" w:ascii="宋体" w:hAnsi="宋体"/>
          <w:bCs/>
          <w:color w:val="auto"/>
          <w:sz w:val="24"/>
          <w:highlight w:val="none"/>
        </w:rPr>
        <w:t xml:space="preserve">规范》和《保安员交接班制度》做好上岗前的准备工作及交接工作。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d</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工作职责：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熟悉</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的人员情况。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维护大门的正常秩序和环境卫生。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严格执行物品搬迁的规定。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协助邮递员做好邮件收发工作。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工作规程：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值班制度。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大门岗工作执行24小时全天候值班制。</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时间规定：</w:t>
      </w:r>
      <w:r>
        <w:rPr>
          <w:rFonts w:hint="eastAsia" w:ascii="宋体" w:hAnsi="宋体" w:eastAsia="宋体"/>
          <w:bCs/>
          <w:color w:val="auto"/>
          <w:sz w:val="24"/>
          <w:highlight w:val="none"/>
          <w:lang w:val="en-US" w:eastAsia="zh-CN"/>
        </w:rPr>
        <w:t xml:space="preserve">按照甲方实际要求。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f</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每周各班依班次轮班一次，每周五为倒班日。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g</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大门岗要求以跨立姿势站立在大门内，具体时间</w:t>
      </w:r>
      <w:r>
        <w:rPr>
          <w:rFonts w:hint="eastAsia" w:ascii="宋体" w:hAnsi="宋体" w:eastAsia="宋体"/>
          <w:bCs/>
          <w:color w:val="auto"/>
          <w:sz w:val="24"/>
          <w:highlight w:val="none"/>
          <w:lang w:val="en-US" w:eastAsia="zh-CN"/>
        </w:rPr>
        <w:t xml:space="preserve">以甲方工作时间为准（其他特殊情况另作调整）</w:t>
      </w:r>
      <w:r>
        <w:rPr>
          <w:rFonts w:hint="eastAsia" w:ascii="宋体" w:hAnsi="宋体"/>
          <w:bCs/>
          <w:color w:val="auto"/>
          <w:sz w:val="24"/>
          <w:highlight w:val="none"/>
        </w:rPr>
        <w:t xml:space="preserve">，其他时间要求以正确的坐姿坐于值班台后。</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h</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来人来访登记。</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外来人员进入时，应面带微笑，主动热情打招呼，说“您好”或“先生/小姐，请问有什么事吗？”等文明用语。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要求外来人员出示证件、登记时应使用“请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麻烦您”等文明用语，并做好解释工作，以消除外来客人的不满意情绪。</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若遇公司、管理处领导陪同</w:t>
      </w:r>
      <w:r>
        <w:rPr>
          <w:rFonts w:hint="eastAsia" w:ascii="宋体" w:hAnsi="宋体" w:eastAsia="宋体"/>
          <w:bCs/>
          <w:color w:val="auto"/>
          <w:sz w:val="24"/>
          <w:highlight w:val="none"/>
          <w:lang w:eastAsia="zh-CN"/>
        </w:rPr>
        <w:t xml:space="preserve">来卫生服务中心进行指导</w:t>
      </w:r>
      <w:r>
        <w:rPr>
          <w:rFonts w:hint="eastAsia" w:ascii="宋体" w:hAnsi="宋体"/>
          <w:bCs/>
          <w:color w:val="auto"/>
          <w:sz w:val="24"/>
          <w:highlight w:val="none"/>
        </w:rPr>
        <w:t xml:space="preserve">、参观、学习的社会</w:t>
      </w:r>
      <w:r>
        <w:rPr>
          <w:rFonts w:hint="eastAsia" w:ascii="宋体" w:hAnsi="宋体" w:eastAsia="宋体"/>
          <w:bCs/>
          <w:color w:val="auto"/>
          <w:sz w:val="24"/>
          <w:highlight w:val="none"/>
          <w:lang w:eastAsia="zh-CN"/>
        </w:rPr>
        <w:t xml:space="preserve">各界人士</w:t>
      </w:r>
      <w:r>
        <w:rPr>
          <w:rFonts w:hint="eastAsia" w:ascii="宋体" w:hAnsi="宋体"/>
          <w:bCs/>
          <w:color w:val="auto"/>
          <w:sz w:val="24"/>
          <w:highlight w:val="none"/>
        </w:rPr>
        <w:t xml:space="preserve">时，应立即起立敬礼，以示欢迎，并热情回答客人的询问。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（8）巡逻岗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①岗位职责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a</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监视管区内人员，车辆活动情况，维护管区内秩序，防止</w:t>
      </w:r>
      <w:r>
        <w:rPr>
          <w:rFonts w:hint="eastAsia" w:ascii="宋体" w:hAnsi="宋体"/>
          <w:bCs/>
          <w:color w:val="auto"/>
          <w:sz w:val="24"/>
          <w:highlight w:val="none"/>
          <w:lang w:eastAsia="zh-CN"/>
        </w:rPr>
        <w:t xml:space="preserve">发生</w:t>
      </w:r>
      <w:r>
        <w:rPr>
          <w:rFonts w:hint="eastAsia" w:ascii="宋体" w:hAnsi="宋体"/>
          <w:bCs/>
          <w:color w:val="auto"/>
          <w:sz w:val="24"/>
          <w:highlight w:val="none"/>
        </w:rPr>
        <w:t xml:space="preserve">安全事故。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b</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巡查公共部位设施设备完好情况。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c</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对管区内可疑人员和物品进行盘问和检查。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d</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制止管区内的打架</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肇事事件。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驱赶管区内的摆卖、乞讨、捡破烂、散发广告等闲杂人员。</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f</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对业主</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住户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违反管理规定，影响他人工作、休息的行为要进行劝阻和制止。</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g</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检查、看管好停放在管区内的车辆，防止丢失和损坏。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h</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指挥机动车辆按规定行驶和停泊，保证消防通道畅通，防止发生交通事故。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i</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回答访客的咨询，必要时为其向导。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j</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巡查各岗位执勤情况，协助处理疑难问题。</w:t>
      </w:r>
      <w:r/>
    </w:p>
    <w:p>
      <w:pPr>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6.</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道路交通管理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对</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内道路通畅和人员的安全将有以下措施：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（1）对机动车辆的管理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（2）在节假日等车辆行驶高峰，保安员对进入</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的车辆应进行正确引导，加强巡视安排车辆合理停放；</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（3）强化保安员的巡逻职责，同时在非停车区内的道路上增设</w:t>
      </w:r>
      <w:r>
        <w:rPr>
          <w:rFonts w:hint="eastAsia" w:ascii="宋体" w:hAnsi="宋体"/>
          <w:bCs/>
          <w:color w:val="auto"/>
          <w:sz w:val="24"/>
          <w:highlight w:val="none"/>
          <w:lang w:eastAsia="zh-CN"/>
        </w:rPr>
        <w:t xml:space="preserve">挡</w:t>
      </w:r>
      <w:r>
        <w:rPr>
          <w:rFonts w:hint="eastAsia" w:ascii="宋体" w:hAnsi="宋体"/>
          <w:bCs/>
          <w:color w:val="auto"/>
          <w:sz w:val="24"/>
          <w:highlight w:val="none"/>
        </w:rPr>
        <w:t xml:space="preserve">车桩。除紧急救助外，严禁机动车辆进入非停车区人行道上；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（4）逐步完善</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内的交通设施；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（5）面对个别违章车主，车管员将严格执行管理规定。对违章行驶或停泊且屡教不改者，管理处应积极向上级监管机关反映情况，取得行政上的支持。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（6）对自行车、摩托车要求进入指定停放点发卡停放，并凭卡放行。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（7）道路交通设施管理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①根据</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内的需要，管理处</w:t>
      </w:r>
      <w:r>
        <w:rPr>
          <w:rFonts w:hint="eastAsia" w:ascii="宋体" w:hAnsi="宋体"/>
          <w:bCs/>
          <w:color w:val="auto"/>
          <w:sz w:val="24"/>
          <w:highlight w:val="none"/>
          <w:lang w:eastAsia="zh-CN"/>
        </w:rPr>
        <w:t xml:space="preserve">将</w:t>
      </w:r>
      <w:r>
        <w:rPr>
          <w:rFonts w:hint="eastAsia" w:ascii="宋体" w:hAnsi="宋体"/>
          <w:bCs/>
          <w:color w:val="auto"/>
          <w:sz w:val="24"/>
          <w:highlight w:val="none"/>
        </w:rPr>
        <w:t xml:space="preserve">增设道路减速带和减速标识系统，指导</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内车辆驾驶员在限速范围内行驶。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②每半年对</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道路牙进行一次维修，并用红白两色油漆刷涂明显标识，以便于驾驶员夜间在</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内道路上行车。</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7.</w:t>
      </w:r>
      <w:r>
        <w:rPr>
          <w:rFonts w:hint="eastAsia" w:ascii="宋体" w:hAnsi="宋体"/>
          <w:bCs/>
          <w:color w:val="auto"/>
          <w:sz w:val="24"/>
          <w:highlight w:val="none"/>
        </w:rPr>
        <w:t xml:space="preserve">安全事件的处理程序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（1）说明：指在所管辖区域突然发生的刑事案件、火灾、水灾、煤气泄漏、交通事故、游客疾病、电力故障等；它具有隐蔽性强、破坏性大，影响面广等特点。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（2）突发事件处理的基本原则</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牢记对人民、生命、财产高度负责的精神，以忘我的态度投入</w:t>
      </w:r>
      <w:r>
        <w:rPr>
          <w:rFonts w:hint="eastAsia" w:ascii="宋体" w:hAnsi="宋体"/>
          <w:bCs/>
          <w:color w:val="auto"/>
          <w:sz w:val="24"/>
          <w:highlight w:val="none"/>
          <w:lang w:eastAsia="zh-CN"/>
        </w:rPr>
        <w:t xml:space="preserve">到</w:t>
      </w:r>
      <w:r>
        <w:rPr>
          <w:rFonts w:hint="eastAsia" w:ascii="宋体" w:hAnsi="宋体"/>
          <w:bCs/>
          <w:color w:val="auto"/>
          <w:sz w:val="24"/>
          <w:highlight w:val="none"/>
        </w:rPr>
        <w:t xml:space="preserve">事件处理、抢救中。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在突发事件发生时</w:t>
      </w:r>
      <w:r>
        <w:rPr>
          <w:rFonts w:hint="eastAsia" w:ascii="宋体" w:hAnsi="宋体"/>
          <w:bCs/>
          <w:color w:val="auto"/>
          <w:sz w:val="24"/>
          <w:highlight w:val="none"/>
          <w:lang w:eastAsia="zh-CN"/>
        </w:rPr>
        <w:t xml:space="preserve">切忌惊慌失措</w:t>
      </w:r>
      <w:r>
        <w:rPr>
          <w:rFonts w:hint="eastAsia" w:ascii="宋体" w:hAnsi="宋体"/>
          <w:bCs/>
          <w:color w:val="auto"/>
          <w:sz w:val="24"/>
          <w:highlight w:val="none"/>
        </w:rPr>
        <w:t xml:space="preserve">，保持高度清醒的头脑，以保证对事件正确</w:t>
      </w:r>
      <w:r>
        <w:rPr>
          <w:rFonts w:hint="eastAsia" w:ascii="宋体" w:hAnsi="宋体" w:eastAsia="宋体"/>
          <w:bCs/>
          <w:color w:val="auto"/>
          <w:sz w:val="24"/>
          <w:highlight w:val="none"/>
          <w:lang w:eastAsia="zh-CN"/>
        </w:rPr>
        <w:t xml:space="preserve">的</w:t>
      </w:r>
      <w:r>
        <w:rPr>
          <w:rFonts w:hint="eastAsia" w:ascii="宋体" w:hAnsi="宋体"/>
          <w:bCs/>
          <w:color w:val="auto"/>
          <w:sz w:val="24"/>
          <w:highlight w:val="none"/>
        </w:rPr>
        <w:t xml:space="preserve">判断和处理。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熟悉所管辖区域各种设施的正确位置，以保证在事故处理中动作的准确性，以便赢得宝贵的时间。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在事件发现、发生、处理过程中，遵循保证生命、财产安全第一的原则，把损失降低到最小的程度。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（3）治安案件的处理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区内一旦发生治安案件，管理人员（或护卫人员）应迅速拨打110报警电话，打报警电话应沉着、准确地报告发案地址，门牌号、发生什么案件、报警人姓名及电话号码。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如有人员需救治，在报警的同时，派人送伤者到最近的医院进行抢救。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管理人员（或护卫人员）迅速组织护卫人员封闭出入口及通道，疏散群众防止围观，在公安人员到场前管理人员与护卫人员须保护好现场，保护现场人员不得擅自离开。</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若治安案件发生在晚上，护卫人员报警后立即通知经理，告知案情；经理应迅速到发案地区，组织工作。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积极协助保护现场。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（4）交通事故的处理</w:t>
      </w:r>
      <w:r/>
    </w:p>
    <w:p>
      <w:pPr>
        <w:ind w:firstLine="480"/>
        <w:spacing w:line="360" w:lineRule="auto"/>
        <w:rPr>
          <w:rFonts w:ascii="宋体" w:hAnsi="宋体"/>
          <w:bCs/>
          <w:color w:val="auto"/>
          <w:sz w:val="24"/>
          <w:highlight w:val="none"/>
        </w:rPr>
      </w:pP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内发生交通事故时，应迅速将伤者送就近医院就医，并拨打交通事故报警电话“122”。</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交警到来之前保护好现场，当事人与车辆不能擅自离开。</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疏导车辆，疏散围观群众，协助调查。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）急病救护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一旦接到疾病求救信息，接待人员应迅速拨打120急救电话，打急救电话应沉着、准确地报告急救地址</w:t>
      </w:r>
      <w:r>
        <w:rPr>
          <w:rFonts w:hint="eastAsia" w:ascii="宋体" w:hAnsi="宋体" w:eastAsia="宋体"/>
          <w:bCs/>
          <w:color w:val="auto"/>
          <w:sz w:val="24"/>
          <w:highlight w:val="none"/>
          <w:lang w:eastAsia="zh-CN"/>
        </w:rPr>
        <w:t xml:space="preserve">及病</w:t>
      </w:r>
      <w:r>
        <w:rPr>
          <w:rFonts w:hint="eastAsia" w:ascii="宋体" w:hAnsi="宋体"/>
          <w:bCs/>
          <w:color w:val="auto"/>
          <w:sz w:val="24"/>
          <w:highlight w:val="none"/>
        </w:rPr>
        <w:t xml:space="preserve">人现状及业主姓名、电话号码。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与急救中心联系完毕后，择时安排人员到附近路口引导急救车到达现场，以免延误急救时间。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如有需要，派员协助患者家属随急救送患者至医院；到达急救现场时切勿随意乱动病人。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）水灾（主要指漏水问题）</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关闭总水闸</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检查漏水的正确位置及所属水源例如生活用水、消防用水、排水等；并在许可能力下，立即设法制止漏水，如关闭</w:t>
      </w:r>
      <w:r>
        <w:rPr>
          <w:rFonts w:hint="eastAsia" w:ascii="宋体" w:hAnsi="宋体"/>
          <w:bCs/>
          <w:color w:val="auto"/>
          <w:sz w:val="24"/>
          <w:highlight w:val="none"/>
          <w:lang w:eastAsia="zh-CN"/>
        </w:rPr>
        <w:t xml:space="preserve">水泵</w:t>
      </w:r>
      <w:r>
        <w:rPr>
          <w:rFonts w:hint="eastAsia" w:ascii="宋体" w:hAnsi="宋体"/>
          <w:bCs/>
          <w:color w:val="auto"/>
          <w:sz w:val="24"/>
          <w:highlight w:val="none"/>
        </w:rPr>
        <w:t xml:space="preserve">；若无法制止，则立即用对讲机报办公室、通知工程部前来支援；在支援人员到达前须尽量控制现场，防止事态扩大。</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观察四周环境，漏水是否影响各项设备，如配电房/厢变、电梯、母线槽等。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利用沙包及可用之物件堆筑，防止漏水渗入电梯等设备，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利用现有设备及工具，设法清理现场。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用对讲机报办公室、安排保洁人员协助清理现场积水，检查受影响范围、通知受影响住户。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日常巡逻时，应留意渠道是否有淤泥、杂物或塑料袋，随时加以清理干净，以免堵塞。</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）保洁管理要求</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保洁管理服务包括但不限于以下几个方面：</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1.共用楼道保洁，每周打扫1次各楼层通道和楼梯台阶、清洁1次楼梯扶手；楼梯间墙面、顶面每季度除尘1次。</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2.共用卫生间保洁，每日清扫2次，每周消杀1次。</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3.停车场、共用车库或车棚保洁，每半月清扫1次车库，每半年进行1次地下室消杀工作。</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4.绿化带、道路保洁，每日清扫1次。</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5.标识、宣传牌、信报箱保洁，标识，宣传牌每周擦拭1次，雕塑、意见箱每季度擦拭1次。</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6.休闲、娱乐、健康设施，每周清洁1次。</w:t>
      </w:r>
      <w:r/>
    </w:p>
    <w:p>
      <w:pPr>
        <w:ind w:firstLine="480"/>
        <w:spacing w:line="360" w:lineRule="auto"/>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7.垃圾桶、果皮箱，垃圾每日清运1次，垃圾桶、果皮箱每月擦拭</w:t>
      </w:r>
      <w:r>
        <w:rPr>
          <w:rFonts w:hint="eastAsia" w:ascii="宋体" w:hAnsi="宋体"/>
          <w:bCs/>
          <w:color w:val="auto"/>
          <w:sz w:val="24"/>
          <w:highlight w:val="none"/>
        </w:rPr>
        <w:t xml:space="preserve">2次。</w:t>
      </w:r>
      <w:r/>
    </w:p>
    <w:p>
      <w:pPr>
        <w:pStyle w:val="980"/>
        <w:ind w:firstLine="480"/>
        <w:spacing w:line="360" w:lineRule="auto"/>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8.垃圾收集与处理，</w:t>
      </w:r>
      <w:r>
        <w:rPr>
          <w:rFonts w:hint="eastAsia"/>
          <w:color w:val="auto"/>
          <w:sz w:val="24"/>
          <w:szCs w:val="24"/>
          <w:highlight w:val="none"/>
          <w:lang w:val="zh-CN"/>
        </w:rPr>
        <w:t xml:space="preserve">卫生服务中心</w:t>
      </w:r>
      <w:r>
        <w:rPr>
          <w:rFonts w:hint="eastAsia" w:ascii="宋体" w:hAnsi="宋体" w:eastAsia="宋体" w:cs="Times New Roman"/>
          <w:bCs/>
          <w:color w:val="auto"/>
          <w:sz w:val="24"/>
          <w:highlight w:val="none"/>
          <w:lang w:val="en-US" w:eastAsia="zh-CN" w:bidi="ar-SA"/>
        </w:rPr>
        <w:t xml:space="preserve">内定点设置有害垃圾、可回收物、易腐和其他垃圾收集容器，每日定时清理1次，将分类后的生活垃圾移交符合要求的收集、运输单位。垃圾收集容器或点周围地面无散落垃圾、无异味，每月清洗1次。垃圾收集容器的类别、规格、标识、颜色等应当统一规范、清晰醒目、易于辨识。</w:t>
      </w:r>
      <w:r/>
    </w:p>
    <w:p>
      <w:pPr>
        <w:pStyle w:val="980"/>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9.</w:t>
      </w:r>
      <w:r>
        <w:rPr>
          <w:rFonts w:hint="eastAsia" w:ascii="宋体" w:hAnsi="宋体"/>
          <w:bCs/>
          <w:color w:val="auto"/>
          <w:sz w:val="24"/>
          <w:highlight w:val="none"/>
        </w:rPr>
        <w:t xml:space="preserve">化粪池清理，一年进行两次管道疏通、化粪池清掏。</w:t>
      </w:r>
      <w:r/>
    </w:p>
    <w:p>
      <w:pPr>
        <w:pStyle w:val="980"/>
        <w:ind w:firstLine="480"/>
        <w:spacing w:line="360" w:lineRule="auto"/>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10.</w:t>
      </w:r>
      <w:r>
        <w:rPr>
          <w:rFonts w:hint="eastAsia" w:ascii="宋体" w:hAnsi="宋体"/>
          <w:bCs/>
          <w:color w:val="auto"/>
          <w:sz w:val="24"/>
          <w:highlight w:val="none"/>
        </w:rPr>
        <w:t xml:space="preserve">卫生消杀，灭鼠，灭蚊等每年至少进行2次。</w:t>
      </w:r>
      <w:r/>
    </w:p>
    <w:p>
      <w:pPr>
        <w:pStyle w:val="980"/>
        <w:ind w:firstLine="480"/>
        <w:spacing w:line="360" w:lineRule="auto"/>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11.</w:t>
      </w:r>
      <w:r>
        <w:rPr>
          <w:rFonts w:hint="eastAsia" w:ascii="宋体" w:hAnsi="宋体"/>
          <w:bCs/>
          <w:color w:val="auto"/>
          <w:sz w:val="24"/>
          <w:highlight w:val="none"/>
        </w:rPr>
        <w:t xml:space="preserve">公共天台、屋顶，每季清洁1次，保持清洁，无垃圾。</w:t>
      </w:r>
      <w:r/>
    </w:p>
    <w:p>
      <w:pPr>
        <w:pStyle w:val="980"/>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12.按照</w:t>
      </w:r>
      <w:r>
        <w:rPr>
          <w:rFonts w:hint="eastAsia" w:ascii="宋体" w:hAnsi="宋体" w:cs="宋体"/>
          <w:color w:val="auto"/>
          <w:sz w:val="24"/>
          <w:highlight w:val="none"/>
          <w:lang w:bidi="zh-CN"/>
        </w:rPr>
        <w:t xml:space="preserve">社区卫生服务中心</w:t>
      </w:r>
      <w:r>
        <w:rPr>
          <w:rFonts w:hint="eastAsia" w:ascii="宋体" w:hAnsi="宋体" w:cs="宋体"/>
          <w:color w:val="auto"/>
          <w:sz w:val="24"/>
          <w:highlight w:val="none"/>
          <w:lang w:val="en-US" w:bidi="zh-CN"/>
        </w:rPr>
        <w:t xml:space="preserve">的要求出勤，做好日常保洁与专项清洁工作，确保服务区域内环境卫生整洁、有序。所有清洁作业需建立详细台账，记录清洁时间、部位、责任人及检查结果，做到有据可查。同时，应积极配合中心开展的卫生检查与考核，对发现的问题立即整改并反馈，确保持续提升环境卫生质量，为医患提供舒适、安全的就医环境。</w:t>
      </w:r>
      <w:r/>
    </w:p>
    <w:p>
      <w:pPr>
        <w:pStyle w:val="980"/>
        <w:ind w:firstLine="480"/>
        <w:spacing w:line="360" w:lineRule="auto"/>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中标供应商应配备先进且适用的保洁工具：</w:t>
      </w:r>
      <w:r>
        <w:rPr>
          <w:rFonts w:hint="eastAsia" w:ascii="宋体" w:hAnsi="宋体"/>
          <w:bCs/>
          <w:color w:val="auto"/>
          <w:sz w:val="24"/>
          <w:highlight w:val="none"/>
          <w:lang w:val="en-US" w:eastAsia="zh-CN"/>
        </w:rPr>
        <w:t xml:space="preserve">提供高压清洗车1—2辆；扫地</w:t>
      </w:r>
      <w:r>
        <w:rPr>
          <w:rFonts w:hint="eastAsia" w:ascii="宋体" w:hAnsi="宋体"/>
          <w:bCs/>
          <w:color w:val="auto"/>
          <w:sz w:val="24"/>
          <w:highlight w:val="none"/>
        </w:rPr>
        <w:t xml:space="preserve">车1</w:t>
      </w:r>
      <w:r>
        <w:rPr>
          <w:rFonts w:hint="eastAsia" w:ascii="宋体" w:hAnsi="宋体"/>
          <w:bCs/>
          <w:color w:val="auto"/>
          <w:sz w:val="24"/>
          <w:highlight w:val="none"/>
          <w:lang w:val="en-US" w:eastAsia="zh-CN"/>
        </w:rPr>
        <w:t xml:space="preserve">辆—2辆</w:t>
      </w:r>
      <w:r>
        <w:rPr>
          <w:rFonts w:hint="eastAsia" w:ascii="宋体" w:hAnsi="宋体"/>
          <w:bCs/>
          <w:color w:val="auto"/>
          <w:sz w:val="24"/>
          <w:highlight w:val="none"/>
        </w:rPr>
        <w:t xml:space="preserve">，用于保洁路面</w:t>
      </w:r>
      <w:r>
        <w:rPr>
          <w:rFonts w:hint="eastAsia" w:ascii="宋体" w:hAnsi="宋体"/>
          <w:bCs/>
          <w:color w:val="auto"/>
          <w:sz w:val="24"/>
          <w:highlight w:val="none"/>
          <w:lang w:eastAsia="zh-CN"/>
        </w:rPr>
        <w:t xml:space="preserve">。</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三</w:t>
      </w:r>
      <w:r>
        <w:rPr>
          <w:rFonts w:hint="eastAsia" w:ascii="宋体" w:hAnsi="宋体"/>
          <w:b/>
          <w:color w:val="auto"/>
          <w:sz w:val="24"/>
          <w:highlight w:val="none"/>
        </w:rPr>
        <w:t xml:space="preserve">）</w:t>
      </w:r>
      <w:r>
        <w:rPr>
          <w:rFonts w:hint="eastAsia" w:ascii="宋体" w:hAnsi="宋体" w:eastAsia="宋体"/>
          <w:b/>
          <w:color w:val="auto"/>
          <w:sz w:val="24"/>
          <w:highlight w:val="none"/>
          <w:lang w:val="en-US" w:eastAsia="zh-CN"/>
        </w:rPr>
        <w:t xml:space="preserve">医废</w:t>
      </w:r>
      <w:r>
        <w:rPr>
          <w:rFonts w:hint="eastAsia" w:ascii="宋体" w:hAnsi="宋体"/>
          <w:b/>
          <w:color w:val="auto"/>
          <w:sz w:val="24"/>
          <w:highlight w:val="none"/>
        </w:rPr>
        <w:t xml:space="preserve">管理要求</w:t>
      </w:r>
      <w:r/>
    </w:p>
    <w:p>
      <w:pPr>
        <w:pStyle w:val="980"/>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val="en-US" w:eastAsia="zh-CN"/>
        </w:rPr>
        <w:t xml:space="preserve">1.</w:t>
      </w:r>
      <w:r>
        <w:rPr>
          <w:rFonts w:hint="eastAsia" w:ascii="宋体" w:hAnsi="宋体" w:eastAsia="宋体" w:cs="Times New Roman"/>
          <w:b w:val="0"/>
          <w:bCs/>
          <w:color w:val="auto"/>
          <w:sz w:val="24"/>
          <w:highlight w:val="none"/>
          <w:lang w:eastAsia="zh-CN"/>
        </w:rPr>
        <w:t xml:space="preserve">分类收集要求</w:t>
      </w:r>
      <w:r/>
    </w:p>
    <w:p>
      <w:pPr>
        <w:pStyle w:val="9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分类标准：严格按照《医疗废物分类目录》将医废分为感染性废物（如使用后的注射器、敷料）、病理性废物（如废弃组织）、损伤性废物（如针头、刀片）、药物性废物（如过期药品）及化学性废物（如废弃消毒剂），确保分类准确无混放。</w:t>
      </w:r>
      <w:r/>
    </w:p>
    <w:p>
      <w:pPr>
        <w:pStyle w:val="980"/>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容器要求：使用防渗漏、防锐器穿透的专用黄色医疗废物包装袋/容器，外贴中文标签（注明产生单位、日期、类别、重量），破损容器立即更换。</w:t>
      </w:r>
      <w:r/>
    </w:p>
    <w:p>
      <w:pPr>
        <w:pStyle w:val="980"/>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val="en-US" w:eastAsia="zh-CN"/>
        </w:rPr>
        <w:t xml:space="preserve">2.</w:t>
      </w:r>
      <w:r>
        <w:rPr>
          <w:rFonts w:hint="eastAsia" w:ascii="宋体" w:hAnsi="宋体" w:eastAsia="宋体" w:cs="Times New Roman"/>
          <w:b w:val="0"/>
          <w:bCs/>
          <w:color w:val="auto"/>
          <w:sz w:val="24"/>
          <w:highlight w:val="none"/>
          <w:lang w:eastAsia="zh-CN"/>
        </w:rPr>
        <w:t xml:space="preserve">暂存管理</w:t>
      </w:r>
      <w:r/>
    </w:p>
    <w:p>
      <w:pPr>
        <w:pStyle w:val="9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暂存点设置：独立设置医废暂存间，具备防渗漏、防鼠、防蚊蝇、防盗设施，保持通风良好，张贴明显警示标识（如“医疗废物”“禁止吸烟”）。</w:t>
      </w:r>
      <w:r/>
    </w:p>
    <w:p>
      <w:pPr>
        <w:pStyle w:val="980"/>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存放时限：医废在暂存间存放不超过48小时，低温暂存（≤4℃）可延长至72小时，每日登记出入库台账（含产生量、转运量、接收单位信息）。</w:t>
      </w:r>
      <w:r/>
    </w:p>
    <w:p>
      <w:pPr>
        <w:pStyle w:val="980"/>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val="en-US" w:eastAsia="zh-CN"/>
        </w:rPr>
        <w:t xml:space="preserve">3.</w:t>
      </w:r>
      <w:r>
        <w:rPr>
          <w:rFonts w:hint="eastAsia" w:ascii="宋体" w:hAnsi="宋体" w:eastAsia="宋体" w:cs="Times New Roman"/>
          <w:b w:val="0"/>
          <w:bCs/>
          <w:color w:val="auto"/>
          <w:sz w:val="24"/>
          <w:highlight w:val="none"/>
          <w:lang w:eastAsia="zh-CN"/>
        </w:rPr>
        <w:t xml:space="preserve">转运流程</w:t>
      </w:r>
      <w:r/>
    </w:p>
    <w:p>
      <w:pPr>
        <w:pStyle w:val="980"/>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内部转运：由专人（佩戴防护用品）使用专用密闭转运车，按固定路线（避开医疗区、人员密集区）每日定时收集各科室医废，转运后对车辆及收集点进行消毒。</w:t>
      </w:r>
      <w:r/>
    </w:p>
    <w:p>
      <w:pPr>
        <w:pStyle w:val="980"/>
        <w:numPr>
          <w:ilvl w:val="0"/>
          <w:numId w:val="6"/>
        </w:numPr>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人员防护：医废处理人员须佩戴一次性帽子、口罩、防护服、手套、护目镜，操作后按“七步洗手法”清洁手部，防护用品按感染性废物处理。</w:t>
      </w:r>
      <w:r/>
    </w:p>
    <w:p>
      <w:pPr>
        <w:pStyle w:val="980"/>
        <w:numPr>
          <w:ilvl w:val="0"/>
          <w:numId w:val="6"/>
        </w:numPr>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val="en-US" w:eastAsia="zh-CN"/>
        </w:rPr>
        <w:t xml:space="preserve">其他以卫生中心院感科要求为准。</w:t>
      </w:r>
      <w:r/>
    </w:p>
    <w:p>
      <w:pPr>
        <w:ind w:firstLine="482"/>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rPr>
        <w:t xml:space="preserve">（</w:t>
      </w:r>
      <w:r>
        <w:rPr>
          <w:rFonts w:hint="eastAsia" w:ascii="宋体" w:hAnsi="宋体" w:eastAsia="宋体"/>
          <w:b/>
          <w:bCs w:val="0"/>
          <w:color w:val="auto"/>
          <w:sz w:val="24"/>
          <w:highlight w:val="none"/>
          <w:lang w:eastAsia="zh-CN"/>
        </w:rPr>
        <w:t xml:space="preserve">四</w:t>
      </w:r>
      <w:r>
        <w:rPr>
          <w:rFonts w:hint="eastAsia" w:ascii="宋体" w:hAnsi="宋体"/>
          <w:b/>
          <w:bCs w:val="0"/>
          <w:color w:val="auto"/>
          <w:sz w:val="24"/>
          <w:highlight w:val="none"/>
        </w:rPr>
        <w:t xml:space="preserve">）</w:t>
      </w:r>
      <w:r>
        <w:rPr>
          <w:rFonts w:hint="eastAsia" w:ascii="宋体" w:hAnsi="宋体"/>
          <w:b/>
          <w:bCs w:val="0"/>
          <w:color w:val="auto"/>
          <w:sz w:val="24"/>
          <w:highlight w:val="none"/>
          <w:lang w:val="en-US" w:eastAsia="zh-CN"/>
        </w:rPr>
        <w:t xml:space="preserve">导诊服务要求</w:t>
      </w:r>
      <w:r/>
    </w:p>
    <w:p>
      <w:pPr>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w:t>
      </w:r>
      <w:r>
        <w:rPr>
          <w:rFonts w:hint="default" w:ascii="宋体" w:hAnsi="宋体"/>
          <w:bCs/>
          <w:color w:val="auto"/>
          <w:sz w:val="24"/>
          <w:highlight w:val="none"/>
          <w:lang w:val="en-US" w:eastAsia="zh-CN"/>
        </w:rPr>
        <w:t xml:space="preserve">咨询引导</w:t>
      </w:r>
      <w:r>
        <w:rPr>
          <w:rFonts w:hint="eastAsia" w:ascii="宋体" w:hAnsi="宋体"/>
          <w:bCs/>
          <w:color w:val="auto"/>
          <w:sz w:val="24"/>
          <w:highlight w:val="none"/>
          <w:lang w:val="en-US" w:eastAsia="zh-CN"/>
        </w:rPr>
        <w:t xml:space="preserve">：</w:t>
      </w:r>
      <w:r>
        <w:rPr>
          <w:rFonts w:hint="default" w:ascii="宋体" w:hAnsi="宋体"/>
          <w:bCs/>
          <w:color w:val="auto"/>
          <w:sz w:val="24"/>
          <w:highlight w:val="none"/>
          <w:lang w:val="en-US" w:eastAsia="zh-CN"/>
        </w:rPr>
        <w:t xml:space="preserve">解答患者基础问题（如科室位置、挂号窗口、卫生间位置）。指引检查科室、药房、缴费处等关键区域。</w:t>
      </w:r>
      <w:r/>
    </w:p>
    <w:p>
      <w:pPr>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w:t>
      </w:r>
      <w:r>
        <w:rPr>
          <w:rFonts w:hint="default" w:ascii="宋体" w:hAnsi="宋体"/>
          <w:bCs/>
          <w:color w:val="auto"/>
          <w:sz w:val="24"/>
          <w:highlight w:val="none"/>
          <w:lang w:val="en-US" w:eastAsia="zh-CN"/>
        </w:rPr>
        <w:t xml:space="preserve">秩序维护</w:t>
      </w:r>
      <w:r>
        <w:rPr>
          <w:rFonts w:hint="eastAsia" w:ascii="宋体" w:hAnsi="宋体"/>
          <w:bCs/>
          <w:color w:val="auto"/>
          <w:sz w:val="24"/>
          <w:highlight w:val="none"/>
          <w:lang w:val="en-US" w:eastAsia="zh-CN"/>
        </w:rPr>
        <w:t xml:space="preserve">：</w:t>
      </w:r>
      <w:r>
        <w:rPr>
          <w:rFonts w:hint="default" w:ascii="宋体" w:hAnsi="宋体"/>
          <w:bCs/>
          <w:color w:val="auto"/>
          <w:sz w:val="24"/>
          <w:highlight w:val="none"/>
          <w:lang w:val="en-US" w:eastAsia="zh-CN"/>
        </w:rPr>
        <w:t xml:space="preserve">协助维持挂号、候诊区域秩序，避免拥挤。简单指导患者使用自助机（如挂号、打印报告）。</w:t>
      </w:r>
      <w:r/>
    </w:p>
    <w:p>
      <w:pPr>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hint="default" w:ascii="宋体" w:hAnsi="宋体"/>
          <w:bCs/>
          <w:color w:val="auto"/>
          <w:sz w:val="24"/>
          <w:highlight w:val="none"/>
          <w:lang w:val="en-US" w:eastAsia="zh-CN"/>
        </w:rPr>
        <w:t xml:space="preserve">特殊协助</w:t>
      </w:r>
      <w:r>
        <w:rPr>
          <w:rFonts w:hint="eastAsia" w:ascii="宋体" w:hAnsi="宋体"/>
          <w:bCs/>
          <w:color w:val="auto"/>
          <w:sz w:val="24"/>
          <w:highlight w:val="none"/>
          <w:lang w:val="en-US" w:eastAsia="zh-CN"/>
        </w:rPr>
        <w:t xml:space="preserve">：</w:t>
      </w:r>
      <w:r>
        <w:rPr>
          <w:rFonts w:hint="default" w:ascii="宋体" w:hAnsi="宋体"/>
          <w:bCs/>
          <w:color w:val="auto"/>
          <w:sz w:val="24"/>
          <w:highlight w:val="none"/>
          <w:lang w:val="en-US" w:eastAsia="zh-CN"/>
        </w:rPr>
        <w:t xml:space="preserve">为老年人、行动不便者提供搀扶或轮椅推送服务。</w:t>
      </w:r>
      <w:r/>
    </w:p>
    <w:p>
      <w:pPr>
        <w:ind w:firstLine="482"/>
        <w:spacing w:line="360" w:lineRule="auto"/>
        <w:rPr>
          <w:rFonts w:ascii="宋体" w:hAnsi="宋体"/>
          <w:b/>
          <w:color w:val="auto"/>
          <w:sz w:val="24"/>
          <w:highlight w:val="none"/>
        </w:rPr>
      </w:pPr>
      <w:r>
        <w:rPr>
          <w:rFonts w:hint="eastAsia" w:ascii="宋体" w:hAnsi="宋体" w:eastAsia="宋体"/>
          <w:b/>
          <w:color w:val="auto"/>
          <w:sz w:val="24"/>
          <w:highlight w:val="none"/>
          <w:lang w:eastAsia="zh-CN"/>
        </w:rPr>
        <w:t xml:space="preserve">（五）</w:t>
      </w:r>
      <w:r>
        <w:rPr>
          <w:rFonts w:hint="eastAsia" w:ascii="宋体" w:hAnsi="宋体"/>
          <w:b/>
          <w:color w:val="auto"/>
          <w:sz w:val="24"/>
          <w:highlight w:val="none"/>
        </w:rPr>
        <w:t xml:space="preserve">设施、设备运行维护管理标准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本设施设备是指保障</w:t>
      </w:r>
      <w:r>
        <w:rPr>
          <w:rFonts w:hint="eastAsia" w:ascii="宋体" w:hAnsi="宋体" w:eastAsia="宋体"/>
          <w:bCs/>
          <w:color w:val="auto"/>
          <w:sz w:val="24"/>
          <w:highlight w:val="none"/>
          <w:lang w:eastAsia="zh-CN"/>
        </w:rPr>
        <w:t xml:space="preserve">采购人</w:t>
      </w:r>
      <w:r>
        <w:rPr>
          <w:rFonts w:hint="eastAsia" w:ascii="宋体" w:hAnsi="宋体"/>
          <w:bCs/>
          <w:color w:val="auto"/>
          <w:sz w:val="24"/>
          <w:highlight w:val="none"/>
        </w:rPr>
        <w:t xml:space="preserve">开展正常工作运行的设施设备（包括但不仅限于供电线路等、照明、电视电路、供水泵间管道、空调设备、卫生设施等）设施设备运行、维护应严格按照专业技术标准要求进行，确保安全、节能、正常运行。</w:t>
      </w:r>
      <w:r>
        <w:rPr>
          <w:rFonts w:hint="eastAsia" w:ascii="宋体" w:hAnsi="宋体"/>
          <w:bCs/>
          <w:color w:val="auto"/>
          <w:sz w:val="24"/>
          <w:highlight w:val="none"/>
          <w:lang w:eastAsia="zh-CN"/>
        </w:rPr>
        <w:t xml:space="preserve">在设备维护管理过程中，应积极协调并配合维保单位，</w:t>
      </w:r>
      <w:r>
        <w:rPr>
          <w:rFonts w:hint="eastAsia" w:ascii="宋体" w:hAnsi="宋体"/>
          <w:bCs/>
          <w:color w:val="auto"/>
          <w:sz w:val="24"/>
          <w:highlight w:val="none"/>
        </w:rPr>
        <w:t xml:space="preserve">如有故障，立即通知供应商或维保单位维修，确保各项设施、设备运行正常。</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对设备、设施管理人员要求：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（1）人员统一着装，规范管理。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（2）设备、设施运行维护要配备工作责任心强</w:t>
      </w:r>
      <w:r>
        <w:rPr>
          <w:rFonts w:hint="eastAsia" w:ascii="宋体" w:hAnsi="宋体" w:eastAsia="宋体"/>
          <w:bCs/>
          <w:color w:val="auto"/>
          <w:sz w:val="24"/>
          <w:highlight w:val="none"/>
          <w:lang w:eastAsia="zh-CN"/>
        </w:rPr>
        <w:t xml:space="preserve">、具</w:t>
      </w:r>
      <w:r>
        <w:rPr>
          <w:rFonts w:hint="eastAsia" w:ascii="宋体" w:hAnsi="宋体"/>
          <w:bCs/>
          <w:color w:val="auto"/>
          <w:sz w:val="24"/>
          <w:highlight w:val="none"/>
        </w:rPr>
        <w:t xml:space="preserve">有专业知识的工作人员，特殊岗位要求具有专业人员负责。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（3）根据不同设备、设施和场所的要求建立相应的规章制度和操作规程，严格落实、定岗定位、责任到人。倡导业务学习、技术钻研、岗位练兵、一专多能。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（4）在设备、设施运行中能够及时发现、并能有效处理一般故障和事故隐患，对所操作的设备、设施要熟悉性能、使用时机，熟练掌握操作方法，努力提高排除一般故障的能力。</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（5）了解设备、设施生产厂家、产品供应商的报修电话、联系方式，督促并配合设备、设施特约维修人员和供应商对设备、设施进行定期保养、检测和维修。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（6）严格按技术规范使用。科学操作，保证设备、设施正常运行，努力延长使用寿命。</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电气运行、维护、管理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（1）保持配电箱柜和电气连接点接触良好安全正常工作，按需要给各类用电设备和用电器供电，保持设备清洁，定期清扫。</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（2）定期和不定期进行检查，发现隐患及时与供应商联系，督促，配合维修；处理小故障，事故的紧急处理。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室内外照明和泛光照明</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（1）室内外照明的运行、维护和管理；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（2）按采购人要求开、闭灯光，保持设备良好；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（3）灯具、灯泡自然损坏应及时修复，费用由中标单位承担；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（4）有节能管理措施；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（5）保持设备清洁。</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供排水和卫生设备系统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（1）从自来水公司水表开始到各出水口和卫生设备，排水系统从排水口到雨水出口和城市雨污水管网的接入口的正常运行、维护、管理；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（2）要保持给排水管路畅通，如有不畅要及时疏通排堵，如漏水要及时修复，保持阀门和水泵的良好，阀门和水泵有故障时要及时与供应商联系、配合修复；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（3）对长期不用的水泵、阀门要定期检查、测试运行，保持设备清洁；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（4）发生紧急情况时及时采取应急措施，卫生设备的阀门、排水口、感应器、水箱等要保持完好。</w:t>
      </w:r>
      <w:r/>
    </w:p>
    <w:p>
      <w:pPr>
        <w:ind w:firstLine="480"/>
        <w:spacing w:line="360" w:lineRule="auto"/>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供电系统</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24小时变电所内各种设备的运行情况，定期巡视检查，按照规定抄报各种运行数据，记录运行值班记录具体内容，发现设备异常及时进行应急处理并上报领导，根据甲方要求对发电机组进行发电操作等。</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电梯维保：每月两次定期对电梯进行保养（</w:t>
      </w:r>
      <w:r>
        <w:rPr>
          <w:rFonts w:hint="eastAsia" w:hAnsi="宋体" w:cs="宋体"/>
          <w:color w:val="auto"/>
          <w:sz w:val="24"/>
          <w:highlight w:val="none"/>
          <w:lang w:val="en-US" w:eastAsia="zh-CN"/>
        </w:rPr>
        <w:t xml:space="preserve">共5台电梯，</w:t>
      </w:r>
      <w:r>
        <w:rPr>
          <w:rFonts w:hint="eastAsia" w:hAnsi="宋体" w:cs="宋体"/>
          <w:color w:val="auto"/>
          <w:sz w:val="24"/>
          <w:highlight w:val="none"/>
        </w:rPr>
        <w:t xml:space="preserve">定期保养时间间隔应不大于十五日），并做好逐台电梯保养台账记录。电梯维修保养时，应设置维修标示牌。供应商在接到采购人通知电梯出现故障时，必须在1小时内到达现场处理。遇紧急情况，供应商必须派人在30分钟内到达现场处理，并在第二天向甲方提供事故原因及相关记录。</w:t>
      </w:r>
      <w:r/>
    </w:p>
    <w:p>
      <w:pPr>
        <w:ind w:firstLine="480"/>
        <w:spacing w:line="360" w:lineRule="auto"/>
        <w:rPr>
          <w:rFonts w:hint="eastAsia" w:ascii="宋体" w:hAnsi="宋体"/>
          <w:bCs/>
          <w:color w:val="auto"/>
          <w:sz w:val="24"/>
          <w:highlight w:val="none"/>
        </w:rPr>
      </w:pPr>
      <w:r>
        <w:rPr>
          <w:rFonts w:hint="eastAsia" w:hAnsi="宋体" w:cs="宋体"/>
          <w:color w:val="auto"/>
          <w:sz w:val="24"/>
          <w:highlight w:val="none"/>
          <w:lang w:val="en-US" w:eastAsia="zh-CN"/>
        </w:rPr>
        <w:t xml:space="preserve">7.</w:t>
      </w:r>
      <w:r>
        <w:rPr>
          <w:rFonts w:hint="eastAsia" w:hAnsi="宋体" w:cs="宋体"/>
          <w:color w:val="auto"/>
          <w:sz w:val="24"/>
          <w:highlight w:val="none"/>
        </w:rPr>
        <w:t xml:space="preserve">智能化维保：检查并排除主控、末端设备等主要部件存在隐患；检查并排除室外设备磨损情况及存在隐患；检查并排除室外设备防水隐患。日常系统维护、系统升级。</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对变值人员要求：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（1）人员统一着装，规范管理。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（2）具备电力系统专业知识，了解变电设备结构与性能；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（3）熟悉安全工作规程，熟知《电网调度规程</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现场运行规程》、事故预案、两票三制、倒闸操作。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（4）掌握设备运行情况、运行方式，及时发现设备缺陷、异常根据上级下达的电压、无功指标，监视设备运行，不发生错漏情况。  </w:t>
      </w:r>
      <w:r/>
    </w:p>
    <w:p>
      <w:pPr>
        <w:pStyle w:val="980"/>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（5）熟练进行日常的运行维护工作，能进行一般设备的缺陷处理。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具体运行维护包含但不限于以下内容：</w:t>
      </w:r>
      <w:r/>
    </w:p>
    <w:p>
      <w:pPr>
        <w:ind w:firstLine="480"/>
        <w:jc w:val="left"/>
        <w:spacing w:line="360" w:lineRule="auto"/>
        <w:tabs>
          <w:tab w:val="left" w:pos="1050" w:leader="none"/>
          <w:tab w:val="left" w:pos="1080" w:leader="none"/>
        </w:tabs>
        <w:rPr>
          <w:rFonts w:hint="eastAsia" w:ascii="宋体" w:hAnsi="宋体"/>
          <w:bCs/>
          <w:color w:val="auto"/>
          <w:sz w:val="24"/>
          <w:highlight w:val="none"/>
        </w:rPr>
      </w:pPr>
      <w:r>
        <w:rPr>
          <w:rFonts w:hint="eastAsia" w:ascii="宋体" w:hAnsi="宋体"/>
          <w:bCs/>
          <w:color w:val="auto"/>
          <w:sz w:val="24"/>
          <w:highlight w:val="none"/>
        </w:rPr>
        <w:t xml:space="preserve">（1）道路、场地等，每季一次巡查道路，路面，侧石、井盖等，发现损坏立即修复，保持路面平整，无破损。</w:t>
      </w:r>
      <w:r/>
    </w:p>
    <w:p>
      <w:pPr>
        <w:ind w:firstLine="480"/>
        <w:jc w:val="left"/>
        <w:spacing w:line="360" w:lineRule="auto"/>
        <w:tabs>
          <w:tab w:val="left" w:pos="1050" w:leader="none"/>
          <w:tab w:val="left" w:pos="1080" w:leader="none"/>
        </w:tabs>
        <w:rPr>
          <w:rFonts w:hint="eastAsia" w:ascii="宋体" w:hAnsi="宋体"/>
          <w:bCs/>
          <w:color w:val="auto"/>
          <w:sz w:val="24"/>
          <w:highlight w:val="none"/>
        </w:rPr>
      </w:pPr>
      <w:r>
        <w:rPr>
          <w:rFonts w:hint="eastAsia" w:ascii="宋体" w:hAnsi="宋体"/>
          <w:bCs/>
          <w:color w:val="auto"/>
          <w:sz w:val="24"/>
          <w:highlight w:val="none"/>
        </w:rPr>
        <w:t xml:space="preserve">（2）排水设施，每月清扫1次排水明沟，每半年对地下管井彻底疏通1次，每年对地下管井彻底疏通1次，每</w:t>
      </w:r>
      <w:r>
        <w:rPr>
          <w:rFonts w:hint="eastAsia" w:ascii="宋体" w:hAnsi="宋体" w:eastAsia="宋体"/>
          <w:bCs/>
          <w:color w:val="auto"/>
          <w:sz w:val="24"/>
          <w:highlight w:val="none"/>
          <w:lang w:eastAsia="zh-CN"/>
        </w:rPr>
        <w:t xml:space="preserve">季度</w:t>
      </w:r>
      <w:r>
        <w:rPr>
          <w:rFonts w:hint="eastAsia" w:ascii="宋体" w:hAnsi="宋体"/>
          <w:bCs/>
          <w:color w:val="auto"/>
          <w:sz w:val="24"/>
          <w:highlight w:val="none"/>
        </w:rPr>
        <w:t xml:space="preserve">对地下管井清理1次。</w:t>
      </w:r>
      <w:r/>
    </w:p>
    <w:p>
      <w:pPr>
        <w:pStyle w:val="980"/>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（3）给水设施，饮用水水箱（池）每年清洗消毒1次、水质化验达标，每</w:t>
      </w:r>
      <w:r>
        <w:rPr>
          <w:rFonts w:hint="eastAsia" w:ascii="宋体" w:hAnsi="宋体" w:eastAsia="宋体"/>
          <w:bCs/>
          <w:color w:val="auto"/>
          <w:sz w:val="24"/>
          <w:highlight w:val="none"/>
          <w:lang w:eastAsia="zh-CN"/>
        </w:rPr>
        <w:t xml:space="preserve">季度</w:t>
      </w:r>
      <w:r>
        <w:rPr>
          <w:rFonts w:hint="eastAsia" w:ascii="宋体" w:hAnsi="宋体"/>
          <w:bCs/>
          <w:color w:val="auto"/>
          <w:sz w:val="24"/>
          <w:highlight w:val="none"/>
        </w:rPr>
        <w:t xml:space="preserve">清扫一次水泵。</w:t>
      </w:r>
      <w:r/>
    </w:p>
    <w:p>
      <w:pPr>
        <w:pStyle w:val="980"/>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（4）公共部位照明灯、景观灯、节日彩灯等，保持灯具完好。</w:t>
      </w:r>
      <w:r/>
    </w:p>
    <w:p>
      <w:pPr>
        <w:pStyle w:val="980"/>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）其他设施，每月巡查一次</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房屋、楼道、管线井道、机房以及其他公用设施设备，并及时</w:t>
      </w:r>
      <w:r>
        <w:rPr>
          <w:rFonts w:hint="eastAsia" w:ascii="宋体" w:hAnsi="宋体" w:eastAsia="宋体"/>
          <w:bCs/>
          <w:color w:val="auto"/>
          <w:sz w:val="24"/>
          <w:highlight w:val="none"/>
          <w:lang w:val="en-US" w:eastAsia="zh-CN"/>
        </w:rPr>
        <w:t xml:space="preserve">通知</w:t>
      </w:r>
      <w:r>
        <w:rPr>
          <w:rFonts w:hint="eastAsia" w:ascii="宋体" w:hAnsi="宋体"/>
          <w:bCs/>
          <w:color w:val="auto"/>
          <w:sz w:val="24"/>
          <w:highlight w:val="none"/>
        </w:rPr>
        <w:t xml:space="preserve">维护</w:t>
      </w:r>
      <w:r>
        <w:rPr>
          <w:rFonts w:hint="eastAsia" w:ascii="宋体" w:hAnsi="宋体" w:eastAsia="宋体"/>
          <w:bCs/>
          <w:color w:val="auto"/>
          <w:sz w:val="24"/>
          <w:highlight w:val="none"/>
          <w:lang w:val="en-US" w:eastAsia="zh-CN"/>
        </w:rPr>
        <w:t xml:space="preserve">单位</w:t>
      </w:r>
      <w:r>
        <w:rPr>
          <w:rFonts w:hint="eastAsia" w:ascii="宋体" w:hAnsi="宋体"/>
          <w:bCs/>
          <w:color w:val="auto"/>
          <w:sz w:val="24"/>
          <w:highlight w:val="none"/>
        </w:rPr>
        <w:t xml:space="preserve">，保证正常运行；</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主要道路及停车场交通</w:t>
      </w:r>
      <w:r>
        <w:rPr>
          <w:rFonts w:hint="eastAsia" w:ascii="宋体" w:hAnsi="宋体"/>
          <w:bCs/>
          <w:color w:val="auto"/>
          <w:sz w:val="24"/>
          <w:highlight w:val="none"/>
          <w:lang w:eastAsia="zh-CN"/>
        </w:rPr>
        <w:t xml:space="preserve">标识</w:t>
      </w:r>
      <w:r>
        <w:rPr>
          <w:rFonts w:hint="eastAsia" w:ascii="宋体" w:hAnsi="宋体"/>
          <w:bCs/>
          <w:color w:val="auto"/>
          <w:sz w:val="24"/>
          <w:highlight w:val="none"/>
        </w:rPr>
        <w:t xml:space="preserve">齐全。</w:t>
      </w:r>
      <w:r/>
    </w:p>
    <w:p>
      <w:pPr>
        <w:pStyle w:val="980"/>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）其他，①不得出现私拉线，公共场合被服不能外挂；②不得出现飞线、乱拉充电线、电线不能外露造成安全隐患；③一层门厅宣传栏半年出新一次。</w:t>
      </w:r>
      <w:r/>
    </w:p>
    <w:p>
      <w:pPr>
        <w:ind w:left="420"/>
        <w:jc w:val="left"/>
        <w:spacing w:line="360" w:lineRule="auto"/>
        <w:tabs>
          <w:tab w:val="left" w:pos="1050" w:leader="none"/>
          <w:tab w:val="left" w:pos="1080" w:leader="none"/>
        </w:tabs>
        <w:rPr>
          <w:rFonts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eastAsia="宋体"/>
          <w:b/>
          <w:color w:val="auto"/>
          <w:sz w:val="24"/>
          <w:szCs w:val="24"/>
          <w:highlight w:val="none"/>
          <w:lang w:eastAsia="zh-CN"/>
        </w:rPr>
        <w:t xml:space="preserve">六</w:t>
      </w:r>
      <w:r>
        <w:rPr>
          <w:rFonts w:hint="eastAsia" w:ascii="宋体" w:hAnsi="宋体"/>
          <w:b/>
          <w:color w:val="auto"/>
          <w:sz w:val="24"/>
          <w:szCs w:val="24"/>
          <w:highlight w:val="none"/>
        </w:rPr>
        <w:t xml:space="preserve">）协助执法服务</w:t>
      </w:r>
      <w:r/>
    </w:p>
    <w:p>
      <w:pPr>
        <w:pStyle w:val="980"/>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协助城管局城市管理及行政执法等方面的工作。</w:t>
      </w:r>
      <w:r/>
    </w:p>
    <w:p>
      <w:pPr>
        <w:pStyle w:val="980"/>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协助公安局的执法工作。</w:t>
      </w:r>
      <w:r/>
    </w:p>
    <w:p>
      <w:pPr>
        <w:pStyle w:val="980"/>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协助应急局的执法工作。</w:t>
      </w:r>
      <w:r/>
    </w:p>
    <w:p>
      <w:pPr>
        <w:pStyle w:val="980"/>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协助消防部门的执法工作</w:t>
      </w:r>
      <w:r/>
    </w:p>
    <w:p>
      <w:pPr>
        <w:pStyle w:val="980"/>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协助生态环境局的执法工作。</w:t>
      </w:r>
      <w:r/>
    </w:p>
    <w:p>
      <w:pPr>
        <w:pStyle w:val="688"/>
        <w:ind w:left="0" w:firstLine="480"/>
        <w:spacing w:line="360" w:lineRule="auto"/>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6.</w:t>
      </w:r>
      <w:r>
        <w:rPr>
          <w:rFonts w:hint="eastAsia" w:ascii="宋体" w:hAnsi="宋体"/>
          <w:bCs/>
          <w:color w:val="auto"/>
          <w:sz w:val="24"/>
          <w:highlight w:val="none"/>
        </w:rPr>
        <w:t xml:space="preserve">协助税务局的执法工作。</w:t>
      </w:r>
      <w:r/>
    </w:p>
    <w:p>
      <w:pPr>
        <w:ind w:firstLine="482"/>
        <w:spacing w:line="360" w:lineRule="auto"/>
        <w:rPr>
          <w:rFonts w:hint="eastAsia" w:hAnsi="宋体" w:eastAsia="宋体" w:cs="宋体"/>
          <w:b/>
          <w:color w:val="auto"/>
          <w:sz w:val="24"/>
          <w:highlight w:val="none"/>
          <w:lang w:eastAsia="zh-CN"/>
        </w:rPr>
      </w:pPr>
      <w:r>
        <w:rPr>
          <w:rFonts w:hint="eastAsia" w:hAnsi="宋体" w:cs="宋体"/>
          <w:b/>
          <w:color w:val="auto"/>
          <w:sz w:val="24"/>
          <w:highlight w:val="none"/>
          <w:lang w:eastAsia="zh-CN"/>
        </w:rPr>
        <w:t xml:space="preserve">（七）</w:t>
      </w:r>
      <w:r>
        <w:rPr>
          <w:rFonts w:hint="eastAsia" w:hAnsi="宋体" w:cs="宋体"/>
          <w:b/>
          <w:color w:val="auto"/>
          <w:sz w:val="24"/>
          <w:highlight w:val="none"/>
        </w:rPr>
        <w:t xml:space="preserve">监控及消控室服务要求</w:t>
      </w:r>
      <w:r>
        <w:rPr>
          <w:rFonts w:hint="eastAsia" w:hAnsi="宋体" w:cs="宋体"/>
          <w:b/>
          <w:color w:val="auto"/>
          <w:sz w:val="24"/>
          <w:highlight w:val="none"/>
          <w:lang w:eastAsia="zh-CN"/>
        </w:rPr>
        <w:t xml:space="preserve">：</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1.</w:t>
      </w:r>
      <w:r>
        <w:rPr>
          <w:rFonts w:hint="eastAsia" w:hAnsi="宋体" w:cs="宋体"/>
          <w:color w:val="auto"/>
          <w:sz w:val="24"/>
          <w:highlight w:val="none"/>
        </w:rPr>
        <w:t xml:space="preserve">监控系统、消控设备的正常运行，发现可疑情况，做好记录，及时向上级汇报；</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熟练掌握监控系统和消控系统的操作规程，严格按照规程操作，发现监视、消控设备异常、故障，及时处理，无法处理立即上报；</w:t>
      </w:r>
      <w:r/>
    </w:p>
    <w:p>
      <w:pPr>
        <w:ind w:firstLine="480"/>
        <w:jc w:val="left"/>
        <w:spacing w:line="360" w:lineRule="auto"/>
        <w:tabs>
          <w:tab w:val="left" w:pos="1050" w:leader="none"/>
          <w:tab w:val="left" w:pos="1080" w:leader="none"/>
        </w:tabs>
        <w:rPr>
          <w:rFonts w:hint="eastAsia" w:hAnsi="宋体" w:cs="宋体"/>
          <w:color w:val="auto"/>
          <w:sz w:val="24"/>
          <w:highlight w:val="none"/>
        </w:rPr>
      </w:pP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人员岗位要求：消控室执行24小时值班制度、确保</w:t>
      </w:r>
      <w:r>
        <w:rPr>
          <w:rFonts w:hint="eastAsia" w:hAnsi="宋体" w:eastAsia="宋体" w:cs="宋体"/>
          <w:color w:val="auto"/>
          <w:sz w:val="24"/>
          <w:highlight w:val="none"/>
          <w:lang w:eastAsia="zh-CN"/>
        </w:rPr>
        <w:t xml:space="preserve">通信畅通</w:t>
      </w:r>
      <w:r>
        <w:rPr>
          <w:rFonts w:hint="eastAsia" w:hAnsi="宋体" w:cs="宋体"/>
          <w:color w:val="auto"/>
          <w:sz w:val="24"/>
          <w:highlight w:val="none"/>
        </w:rPr>
        <w:t xml:space="preserve">；值班人员需熟悉并会操作消防相关设备；有较强的责任心；有突发与应急事件的处理经验及能力；能独立解决消防问题；有较强的服从意识。</w:t>
      </w:r>
      <w:r/>
    </w:p>
    <w:p>
      <w:pPr>
        <w:ind w:firstLine="482"/>
        <w:jc w:val="left"/>
        <w:spacing w:line="360" w:lineRule="auto"/>
        <w:tabs>
          <w:tab w:val="left" w:pos="1050" w:leader="none"/>
          <w:tab w:val="left" w:pos="108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eastAsia="宋体"/>
          <w:b/>
          <w:color w:val="auto"/>
          <w:sz w:val="24"/>
          <w:szCs w:val="24"/>
          <w:highlight w:val="none"/>
          <w:lang w:eastAsia="zh-CN"/>
        </w:rPr>
        <w:t xml:space="preserve">八</w:t>
      </w:r>
      <w:r>
        <w:rPr>
          <w:rFonts w:hint="eastAsia" w:ascii="宋体" w:hAnsi="宋体"/>
          <w:b/>
          <w:color w:val="auto"/>
          <w:sz w:val="24"/>
          <w:szCs w:val="24"/>
          <w:highlight w:val="none"/>
        </w:rPr>
        <w:t xml:space="preserve">）其他</w:t>
      </w:r>
      <w:r/>
    </w:p>
    <w:p>
      <w:pPr>
        <w:pStyle w:val="980"/>
        <w:ind w:firstLine="480"/>
        <w:spacing w:line="360" w:lineRule="auto"/>
        <w:rPr>
          <w:color w:val="auto"/>
          <w:highlight w:val="none"/>
        </w:rPr>
      </w:pPr>
      <w:r>
        <w:rPr>
          <w:rFonts w:hint="eastAsia" w:eastAsia="宋体"/>
          <w:color w:val="auto"/>
          <w:sz w:val="24"/>
          <w:szCs w:val="24"/>
          <w:highlight w:val="none"/>
          <w:lang w:eastAsia="zh-CN"/>
        </w:rPr>
        <w:t xml:space="preserve">法律法规</w:t>
      </w:r>
      <w:r>
        <w:rPr>
          <w:rFonts w:hint="eastAsia"/>
          <w:color w:val="auto"/>
          <w:sz w:val="24"/>
          <w:szCs w:val="24"/>
          <w:highlight w:val="none"/>
        </w:rPr>
        <w:t xml:space="preserve">、政策及合同规定的其他事项，以及采购人要求协助配合的工作。</w:t>
      </w:r>
      <w:r/>
    </w:p>
    <w:p>
      <w:pPr>
        <w:ind w:firstLine="480"/>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第二部分  有关说明</w:t>
      </w:r>
      <w:r/>
    </w:p>
    <w:p>
      <w:pPr>
        <w:numPr>
          <w:ilvl w:val="1"/>
          <w:numId w:val="7"/>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w:t>
      </w:r>
      <w:r>
        <w:rPr>
          <w:rFonts w:hint="eastAsia" w:ascii="宋体" w:hAnsi="宋体"/>
          <w:color w:val="000000" w:themeColor="text1"/>
          <w:sz w:val="24"/>
          <w:szCs w:val="24"/>
          <w:highlight w:val="none"/>
          <w:lang w:eastAsia="zh-CN"/>
        </w:rPr>
        <w:t xml:space="preserve">影响</w:t>
      </w:r>
      <w:r>
        <w:rPr>
          <w:rFonts w:hint="eastAsia" w:ascii="宋体" w:hAnsi="宋体"/>
          <w:color w:val="000000" w:themeColor="text1"/>
          <w:sz w:val="24"/>
          <w:szCs w:val="24"/>
          <w:highlight w:val="none"/>
        </w:rPr>
        <w:t xml:space="preserve">报价的因素，包括最低工资标准及社保基数的政策性调整、一旦投标结束最终中标，总价固定，不予调整。</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auto"/>
          <w:sz w:val="24"/>
          <w:highlight w:val="none"/>
        </w:rPr>
        <w:t xml:space="preserve">中标方应按照相关规定，与所有聘用人员依法签订劳动合同</w:t>
      </w:r>
      <w:r>
        <w:rPr>
          <w:rFonts w:hint="eastAsia" w:ascii="宋体" w:hAnsi="宋体" w:cs="仿宋_GB2312"/>
          <w:color w:val="auto"/>
          <w:sz w:val="24"/>
          <w:highlight w:val="none"/>
          <w:lang w:eastAsia="zh-CN"/>
        </w:rPr>
        <w:t xml:space="preserve">。</w:t>
      </w:r>
      <w:r>
        <w:rPr>
          <w:rFonts w:hint="eastAsia" w:ascii="宋体" w:hAnsi="宋体" w:cs="宋体"/>
          <w:color w:val="auto"/>
          <w:sz w:val="24"/>
          <w:highlight w:val="none"/>
        </w:rPr>
        <w:t xml:space="preserve">中标单位必须依法参加工伤社会保险，为</w:t>
      </w:r>
      <w:r>
        <w:rPr>
          <w:rFonts w:hint="eastAsia" w:ascii="宋体" w:hAnsi="宋体" w:cs="宋体"/>
          <w:color w:val="auto"/>
          <w:sz w:val="24"/>
          <w:highlight w:val="none"/>
          <w:lang w:val="en-US" w:eastAsia="zh-CN"/>
        </w:rPr>
        <w:t xml:space="preserve">所有</w:t>
      </w:r>
      <w:r>
        <w:rPr>
          <w:rFonts w:hint="eastAsia" w:ascii="宋体" w:hAnsi="宋体" w:cs="宋体"/>
          <w:color w:val="auto"/>
          <w:sz w:val="24"/>
          <w:highlight w:val="none"/>
        </w:rPr>
        <w:t xml:space="preserve">聘用人员缴纳保险费。</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
          <w:bCs w:val="0"/>
          <w:color w:val="000000" w:themeColor="text1"/>
          <w:sz w:val="24"/>
          <w:szCs w:val="24"/>
          <w:highlight w:val="none"/>
        </w:rPr>
      </w:pPr>
      <w:r>
        <w:rPr>
          <w:rFonts w:hint="eastAsia" w:ascii="宋体" w:hAnsi="宋体"/>
          <w:bCs/>
          <w:color w:val="000000" w:themeColor="text1"/>
          <w:sz w:val="24"/>
          <w:szCs w:val="24"/>
          <w:highlight w:val="none"/>
        </w:rPr>
        <w:t xml:space="preserve">服务期限：</w:t>
      </w:r>
      <w:r>
        <w:rPr>
          <w:rFonts w:hint="eastAsia" w:ascii="宋体" w:hAnsi="宋体"/>
          <w:bCs/>
          <w:color w:val="000000" w:themeColor="text1"/>
          <w:sz w:val="24"/>
          <w:szCs w:val="24"/>
          <w:highlight w:val="none"/>
          <w:lang w:val="en-US" w:eastAsia="zh-CN"/>
        </w:rPr>
        <w:t xml:space="preserve">一年。</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
          <w:bCs w:val="0"/>
          <w:color w:val="000000" w:themeColor="text1"/>
          <w:sz w:val="24"/>
          <w:szCs w:val="24"/>
          <w:highlight w:val="none"/>
        </w:rPr>
        <w:t xml:space="preserve">付款方式：</w:t>
      </w:r>
      <w:r>
        <w:rPr>
          <w:rFonts w:hint="eastAsia" w:ascii="宋体" w:hAnsi="宋体" w:eastAsia="宋体" w:cs="Times New Roman"/>
          <w:b/>
          <w:bCs w:val="0"/>
          <w:color w:val="000000" w:themeColor="text1"/>
          <w:sz w:val="24"/>
          <w:szCs w:val="21"/>
          <w:highlight w:val="none"/>
          <w:lang w:val="en-US" w:eastAsia="zh-CN" w:bidi="ar-SA"/>
        </w:rPr>
        <w:t xml:space="preserve">先服务后支付，物业服务费按月支付。</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物业管理执行国务院《物业管理条例</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物业管理条例》等，中标方要严格履行投标文件的承诺和与采购方签订的物业管理服务合同的约定，如发现管理服务达不到规定要求，中标方管理服务水平下降，投诉多等现象或管理服务中发生重大失误的，采购方</w:t>
      </w:r>
      <w:r>
        <w:rPr>
          <w:rFonts w:hint="eastAsia" w:ascii="宋体" w:hAnsi="宋体"/>
          <w:bCs/>
          <w:color w:val="auto"/>
          <w:sz w:val="24"/>
          <w:highlight w:val="none"/>
        </w:rPr>
        <w:t xml:space="preserve">有权依照法律程序解除合同</w:t>
      </w:r>
      <w:r>
        <w:rPr>
          <w:rFonts w:hint="eastAsia" w:ascii="宋体" w:hAnsi="宋体"/>
          <w:color w:val="auto"/>
          <w:sz w:val="24"/>
          <w:highlight w:val="none"/>
        </w:rPr>
        <w:t xml:space="preserve">，并要求进行财务审计，责任由中标方承担</w:t>
      </w:r>
      <w:r/>
    </w:p>
    <w:p>
      <w:pPr>
        <w:pStyle w:val="686"/>
        <w:rPr>
          <w:rFonts w:hint="eastAsia" w:ascii="宋体"/>
          <w:bCs/>
          <w:color w:val="000000" w:themeColor="text1"/>
          <w:sz w:val="24"/>
          <w:szCs w:val="24"/>
          <w:highlight w:val="none"/>
        </w:rPr>
      </w:pPr>
      <w:r>
        <w:rPr>
          <w:rFonts w:hint="eastAsia"/>
          <w:lang w:val="en-US" w:eastAsia="zh-CN"/>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2"/>
      <w:r/>
      <w:bookmarkStart w:id="194" w:name="OLE_LINK1"/>
      <w:r>
        <w:rPr>
          <w:rFonts w:hint="eastAsia" w:ascii="宋体"/>
          <w:bCs/>
          <w:color w:val="000000" w:themeColor="text1"/>
          <w:sz w:val="24"/>
          <w:szCs w:val="24"/>
          <w:highlight w:val="none"/>
        </w:rPr>
        <w:t xml:space="preserve">《保障中小企业款项支付条例》（中华人民共和国国务院令第802号）</w:t>
      </w:r>
      <w:bookmarkEnd w:id="193"/>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0"/>
          <w:numId w:val="0"/>
        </w:numPr>
        <w:ind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right="51" w:firstLine="505"/>
        <w:jc w:val="both"/>
        <w:keepLines w:val="0"/>
        <w:keepNext w:val="0"/>
        <w:pageBreakBefore w:val="0"/>
        <w:spacing w:before="135" w:line="333" w:lineRule="auto"/>
        <w:widowControl/>
        <w:rPr>
          <w:rFonts w:ascii="宋体" w:hAnsi="宋体" w:eastAsia="宋体" w:cs="宋体"/>
          <w:color w:val="000000" w:themeColor="text1"/>
          <w:spacing w:val="17"/>
          <w:sz w:val="24"/>
          <w:szCs w:val="24"/>
          <w:highlight w:val="white"/>
        </w:rPr>
      </w:pPr>
      <w:r>
        <w:rPr>
          <w:rFonts w:hint="eastAsia" w:ascii="宋体" w:hAnsi="宋体" w:eastAsia="宋体" w:cs="宋体"/>
          <w:color w:val="000000" w:themeColor="text1"/>
          <w:spacing w:val="17"/>
          <w:sz w:val="24"/>
          <w:szCs w:val="24"/>
          <w:highlight w:val="white"/>
          <w:lang w:val="en-US" w:eastAsia="zh-CN"/>
        </w:rPr>
        <w:t xml:space="preserve">13.根据财库〔2026〕10号相关要求，在政府采购活动中不得采购该文中规定的相关企业生成的产品。</w:t>
      </w:r>
      <w:r>
        <w:rPr>
          <w:sz w:val="24"/>
          <w:szCs w:val="24"/>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p>
    <w:p>
      <w:pPr>
        <w:pStyle w:val="946"/>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p>
    <w:p>
      <w:pPr>
        <w:pStyle w:val="946"/>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p>
    <w:p>
      <w:pPr>
        <w:pStyle w:val="946"/>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p>
    <w:p>
      <w:pPr>
        <w:pStyle w:val="946"/>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6"/>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6"/>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p>
    <w:p>
      <w:pPr>
        <w:pStyle w:val="946"/>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p>
    <w:p>
      <w:pPr>
        <w:pStyle w:val="946"/>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pStyle w:val="946"/>
        <w:numPr>
          <w:ilvl w:val="0"/>
          <w:numId w:val="9"/>
        </w:numPr>
        <w:ind w:left="0" w:firstLine="0"/>
        <w:spacing w:before="0" w:after="0" w:line="500" w:lineRule="exact"/>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评分标准</w:t>
      </w:r>
      <w:r/>
    </w:p>
    <w:p>
      <w:pPr>
        <w:ind w:firstLine="120"/>
        <w:spacing w:line="360" w:lineRule="auto"/>
        <w:rPr>
          <w:rFonts w:cs="宋体" w:asciiTheme="minorEastAsia" w:hAnsiTheme="minorEastAsia"/>
          <w:sz w:val="24"/>
        </w:rPr>
      </w:pPr>
      <w:r/>
      <w:bookmarkStart w:id="196"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197"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 xml:space="preserve">30</w:t>
      </w:r>
      <w:r>
        <w:rPr>
          <w:rFonts w:hint="eastAsia" w:cs="宋体" w:asciiTheme="minorEastAsia" w:hAnsiTheme="minorEastAsia"/>
          <w:b/>
          <w:sz w:val="24"/>
        </w:rPr>
        <w:t xml:space="preserve">分</w:t>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w:t>
      </w:r>
      <w:r>
        <w:rPr>
          <w:rFonts w:hint="eastAsia" w:cs="宋体" w:asciiTheme="minorEastAsia" w:hAnsiTheme="minorEastAsia"/>
          <w:b/>
          <w:sz w:val="24"/>
          <w:lang w:val="en-US" w:eastAsia="zh-CN"/>
        </w:rPr>
        <w:t xml:space="preserve">商务部分</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 16</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rPr>
        <w:t xml:space="preserve">3、</w:t>
      </w:r>
      <w:r>
        <w:rPr>
          <w:rFonts w:hint="eastAsia" w:cs="宋体" w:asciiTheme="minorEastAsia" w:hAnsiTheme="minorEastAsia"/>
          <w:b/>
          <w:sz w:val="24"/>
          <w:lang w:val="en-US" w:eastAsia="zh-CN"/>
        </w:rPr>
        <w:t xml:space="preserve">技术部分</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 xml:space="preserve">             54</w:t>
      </w:r>
      <w:r>
        <w:rPr>
          <w:rFonts w:hint="eastAsia" w:cs="宋体" w:asciiTheme="minorEastAsia" w:hAnsiTheme="minorEastAsia"/>
          <w:b/>
          <w:bCs/>
          <w:sz w:val="24"/>
        </w:rPr>
        <w:t xml:space="preserve">分</w:t>
      </w:r>
      <w:bookmarkEnd w:id="197"/>
      <w:r>
        <w:rPr>
          <w:rFonts w:cs="宋体" w:asciiTheme="minorEastAsia" w:hAnsiTheme="minorEastAsia"/>
          <w:b/>
          <w:sz w:val="24"/>
        </w:rPr>
      </w:r>
      <w:r/>
    </w:p>
    <w:p>
      <w:pPr>
        <w:ind w:firstLine="240"/>
        <w:spacing w:line="360" w:lineRule="auto"/>
        <w:rPr>
          <w:rFonts w:hint="eastAsia" w:ascii="宋体" w:hAnsi="宋体"/>
          <w:b/>
          <w:color w:val="000000" w:themeColor="text1"/>
          <w:sz w:val="28"/>
          <w:szCs w:val="28"/>
          <w:highlight w:val="none"/>
        </w:rPr>
      </w:pPr>
      <w:r>
        <w:rPr>
          <w:rFonts w:hint="eastAsia" w:cs="宋体" w:asciiTheme="minorEastAsia" w:hAnsiTheme="minorEastAsia"/>
          <w:sz w:val="24"/>
        </w:rPr>
        <w:t xml:space="preserve">（二）各项目评分标准</w:t>
      </w:r>
      <w:bookmarkEnd w:id="196"/>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eastAsia="宋体" w:cs="Times New Roman"/>
          <w:b/>
          <w:bCs/>
          <w:color w:val="000000" w:themeColor="text1"/>
          <w:sz w:val="24"/>
          <w:szCs w:val="24"/>
          <w:lang w:val="en-US" w:eastAsia="zh-CN" w:bidi="ar-SA"/>
        </w:rPr>
        <w:t xml:space="preserve">1.</w:t>
      </w: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30</w:t>
      </w:r>
      <w:r>
        <w:rPr>
          <w:rFonts w:hint="eastAsia" w:ascii="宋体" w:hAnsi="宋体"/>
          <w:b/>
          <w:bCs/>
          <w:color w:val="000000" w:themeColor="text1"/>
          <w:sz w:val="24"/>
          <w:szCs w:val="24"/>
          <w:highlight w:val="none"/>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评标基准价／投标报价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2.商务部分（</w:t>
      </w:r>
      <w:r>
        <w:rPr>
          <w:rFonts w:hint="eastAsia" w:ascii="宋体" w:hAnsi="宋体" w:eastAsia="宋体" w:cs="Times New Roman"/>
          <w:b/>
          <w:color w:val="000000"/>
          <w:sz w:val="24"/>
          <w:szCs w:val="24"/>
          <w:lang w:val="en-US" w:eastAsia="zh-CN"/>
        </w:rPr>
        <w:t xml:space="preserve">16</w:t>
      </w:r>
      <w:r>
        <w:rPr>
          <w:rFonts w:hint="eastAsia" w:ascii="宋体" w:hAnsi="宋体" w:eastAsia="宋体" w:cs="Times New Roman"/>
          <w:b/>
          <w:color w:val="000000"/>
          <w:sz w:val="24"/>
          <w:szCs w:val="24"/>
        </w:rPr>
        <w:t xml:space="preserve">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lang w:val="en-US" w:eastAsia="zh-CN"/>
        </w:rPr>
        <w:t xml:space="preserve">2.1</w:t>
      </w:r>
      <w:r>
        <w:rPr>
          <w:rFonts w:hint="eastAsia" w:ascii="宋体" w:hAnsi="宋体" w:eastAsia="宋体"/>
          <w:b/>
          <w:bCs w:val="0"/>
          <w:color w:val="000000"/>
          <w:sz w:val="24"/>
          <w:szCs w:val="24"/>
        </w:rPr>
        <w:t xml:space="preserve">人员配置情况（4分）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rPr>
        <w:t xml:space="preserve">（1）项目负责人（4 分）：</w:t>
      </w:r>
      <w:r/>
    </w:p>
    <w:p>
      <w:pPr>
        <w:ind w:firstLine="480"/>
        <w:jc w:val="left"/>
        <w:spacing w:line="360" w:lineRule="auto"/>
        <w:tabs>
          <w:tab w:val="left" w:pos="1440" w:leader="none"/>
        </w:tabs>
        <w:rPr>
          <w:rFonts w:hint="eastAsia" w:ascii="宋体" w:hAnsi="宋体" w:eastAsia="宋体"/>
          <w:b w:val="0"/>
          <w:bCs/>
          <w:color w:val="000000"/>
          <w:sz w:val="24"/>
          <w:szCs w:val="24"/>
        </w:rPr>
        <w:outlineLvl w:val="0"/>
      </w:pPr>
      <w:r>
        <w:rPr>
          <w:rFonts w:hint="eastAsia" w:ascii="宋体" w:hAnsi="宋体" w:eastAsia="宋体"/>
          <w:b w:val="0"/>
          <w:bCs/>
          <w:color w:val="000000"/>
          <w:sz w:val="24"/>
          <w:szCs w:val="24"/>
        </w:rPr>
        <w:t xml:space="preserve">①项目负责人45周岁（含）以下得1分，具有大专（含）以上学历得1分，本项共2分。</w:t>
      </w:r>
      <w:r/>
    </w:p>
    <w:p>
      <w:pPr>
        <w:ind w:firstLine="480"/>
        <w:jc w:val="left"/>
        <w:spacing w:line="360" w:lineRule="auto"/>
        <w:tabs>
          <w:tab w:val="left" w:pos="1440" w:leader="none"/>
        </w:tabs>
        <w:rPr>
          <w:rFonts w:hint="eastAsia" w:ascii="宋体" w:hAnsi="宋体" w:eastAsia="宋体"/>
          <w:b w:val="0"/>
          <w:bCs/>
          <w:color w:val="000000"/>
          <w:sz w:val="24"/>
          <w:szCs w:val="24"/>
        </w:rPr>
        <w:outlineLvl w:val="0"/>
      </w:pPr>
      <w:r>
        <w:rPr>
          <w:rFonts w:hint="eastAsia" w:ascii="宋体" w:hAnsi="宋体" w:eastAsia="宋体"/>
          <w:b w:val="0"/>
          <w:bCs/>
          <w:color w:val="000000"/>
          <w:sz w:val="24"/>
          <w:szCs w:val="24"/>
        </w:rPr>
        <w:t xml:space="preserve">②项目负责人具备全国物业管理企业经理证书的，得2分。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rPr>
        <w:t xml:space="preserve">【</w:t>
      </w:r>
      <w:r>
        <w:rPr>
          <w:rFonts w:hint="eastAsia" w:ascii="宋体" w:hAnsi="宋体"/>
          <w:b/>
          <w:bCs w:val="0"/>
          <w:color w:val="000000"/>
          <w:sz w:val="24"/>
          <w:szCs w:val="24"/>
          <w:lang w:val="en-US" w:eastAsia="zh-CN"/>
        </w:rPr>
        <w:t xml:space="preserve">须</w:t>
      </w:r>
      <w:r>
        <w:rPr>
          <w:rFonts w:hint="eastAsia" w:ascii="宋体" w:hAnsi="宋体" w:eastAsia="宋体"/>
          <w:b/>
          <w:bCs w:val="0"/>
          <w:color w:val="000000"/>
          <w:sz w:val="24"/>
          <w:szCs w:val="24"/>
        </w:rPr>
        <w:t xml:space="preserve">提供以上人员的身份证、学历证书、相关证书以及投标人为其缴纳的近三个月（不含开标当月）社保证明材料复印件加盖公章放入投标文件中，不提供不得分。】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lang w:val="en-US" w:eastAsia="zh-CN"/>
        </w:rPr>
        <w:t xml:space="preserve">2.2</w:t>
      </w:r>
      <w:r>
        <w:rPr>
          <w:rFonts w:hint="eastAsia" w:ascii="宋体" w:hAnsi="宋体" w:eastAsia="宋体"/>
          <w:b/>
          <w:bCs w:val="0"/>
          <w:color w:val="000000"/>
          <w:sz w:val="24"/>
          <w:szCs w:val="24"/>
        </w:rPr>
        <w:t xml:space="preserve">投标人综合评价（12分）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rPr>
        <w:t xml:space="preserve">（1）体系认证（6分）：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val="0"/>
          <w:bCs/>
          <w:color w:val="000000"/>
          <w:sz w:val="24"/>
          <w:szCs w:val="24"/>
        </w:rPr>
        <w:t xml:space="preserve">投标人具有在有效期内的质量管理体系认证证书、环境管理体系认证证书、职业安全健康管理体系认证证书的，有1个得2分，最高得6分。</w:t>
      </w:r>
      <w:r>
        <w:rPr>
          <w:rFonts w:hint="eastAsia" w:ascii="宋体" w:hAnsi="宋体"/>
          <w:b/>
          <w:bCs w:val="0"/>
          <w:color w:val="000000"/>
          <w:sz w:val="24"/>
          <w:szCs w:val="24"/>
          <w:lang w:val="en-US" w:eastAsia="zh-CN"/>
        </w:rPr>
        <w:t xml:space="preserve">须</w:t>
      </w:r>
      <w:r>
        <w:rPr>
          <w:rFonts w:hint="eastAsia" w:ascii="宋体" w:hAnsi="宋体" w:eastAsia="宋体"/>
          <w:b/>
          <w:bCs w:val="0"/>
          <w:color w:val="000000"/>
          <w:sz w:val="24"/>
          <w:szCs w:val="24"/>
        </w:rPr>
        <w:t xml:space="preserve">提供有效认证证书复印件及该证书在“国家市场监督管理总局-全国认证认可信息公共服务平台”网站查询到的有效认证截图加盖公章放入投标文件中，不提供不得分。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rPr>
        <w:t xml:space="preserve">（2）业绩（4分）：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val="0"/>
          <w:bCs/>
          <w:color w:val="000000"/>
          <w:sz w:val="24"/>
          <w:szCs w:val="24"/>
        </w:rPr>
        <w:t xml:space="preserve">投标人自2022年1月1日以来（以合同签订时间为准）有</w:t>
      </w:r>
      <w:r>
        <w:rPr>
          <w:rFonts w:hint="eastAsia" w:ascii="宋体" w:hAnsi="宋体"/>
          <w:b w:val="0"/>
          <w:bCs/>
          <w:color w:val="000000"/>
          <w:sz w:val="24"/>
          <w:szCs w:val="24"/>
          <w:lang w:val="en-US" w:eastAsia="zh-CN"/>
        </w:rPr>
        <w:t xml:space="preserve">同类</w:t>
      </w:r>
      <w:r>
        <w:rPr>
          <w:rFonts w:hint="eastAsia" w:ascii="宋体" w:hAnsi="宋体" w:eastAsia="宋体"/>
          <w:b w:val="0"/>
          <w:bCs/>
          <w:color w:val="000000"/>
          <w:sz w:val="24"/>
          <w:szCs w:val="24"/>
        </w:rPr>
        <w:t xml:space="preserve">物业管理项目业绩的，每个得2分，最多得4分。</w:t>
      </w:r>
      <w:r>
        <w:rPr>
          <w:rFonts w:hint="eastAsia" w:ascii="宋体" w:hAnsi="宋体" w:eastAsia="宋体"/>
          <w:b/>
          <w:bCs w:val="0"/>
          <w:color w:val="000000"/>
          <w:sz w:val="24"/>
          <w:szCs w:val="24"/>
        </w:rPr>
        <w:t xml:space="preserve">【</w:t>
      </w:r>
      <w:r>
        <w:rPr>
          <w:rFonts w:hint="eastAsia" w:ascii="宋体" w:hAnsi="宋体"/>
          <w:b/>
          <w:bCs w:val="0"/>
          <w:color w:val="000000"/>
          <w:sz w:val="24"/>
          <w:szCs w:val="24"/>
          <w:lang w:val="en-US" w:eastAsia="zh-CN"/>
        </w:rPr>
        <w:t xml:space="preserve">须提供</w:t>
      </w:r>
      <w:r>
        <w:rPr>
          <w:rFonts w:hint="eastAsia" w:ascii="宋体" w:hAnsi="宋体" w:eastAsia="宋体"/>
          <w:b/>
          <w:bCs w:val="0"/>
          <w:color w:val="000000"/>
          <w:sz w:val="24"/>
          <w:szCs w:val="24"/>
        </w:rPr>
        <w:t xml:space="preserve">完整有效的合同复印件加盖公章放入投标文件中，不提供或提供不全不得分。】</w:t>
      </w:r>
      <w:r/>
    </w:p>
    <w:p>
      <w:pPr>
        <w:ind w:firstLine="494"/>
        <w:keepLines w:val="0"/>
        <w:keepNext w:val="0"/>
        <w:pageBreakBefore w:val="0"/>
        <w:spacing w:line="360" w:lineRule="auto"/>
        <w:shd w:val="clear" w:color="auto" w:fill="auto"/>
        <w:widowControl/>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 xml:space="preserve">（3）荣誉（</w:t>
      </w:r>
      <w:r>
        <w:rPr>
          <w:rFonts w:hint="eastAsia" w:ascii="宋体" w:hAnsi="宋体" w:cs="宋体"/>
          <w:b/>
          <w:bCs/>
          <w:spacing w:val="3"/>
          <w:sz w:val="24"/>
          <w:szCs w:val="24"/>
          <w:highlight w:val="none"/>
          <w:lang w:val="en-US" w:eastAsia="zh-CN"/>
        </w:rPr>
        <w:t xml:space="preserve">2</w:t>
      </w:r>
      <w:r>
        <w:rPr>
          <w:rFonts w:hint="eastAsia" w:ascii="宋体" w:hAnsi="宋体" w:eastAsia="宋体" w:cs="宋体"/>
          <w:b/>
          <w:bCs/>
          <w:spacing w:val="3"/>
          <w:sz w:val="24"/>
          <w:szCs w:val="24"/>
          <w:highlight w:val="none"/>
          <w:lang w:val="en-US" w:eastAsia="zh-CN"/>
        </w:rPr>
        <w:t xml:space="preserve">分）：</w:t>
      </w:r>
      <w:r/>
    </w:p>
    <w:p>
      <w:pPr>
        <w:ind w:firstLine="480"/>
        <w:jc w:val="left"/>
        <w:spacing w:line="360" w:lineRule="auto"/>
        <w:tabs>
          <w:tab w:val="left" w:pos="1440" w:leader="none"/>
        </w:tabs>
        <w:rPr>
          <w:rFonts w:hint="eastAsia" w:ascii="宋体" w:hAnsi="宋体" w:eastAsia="宋体"/>
          <w:b w:val="0"/>
          <w:bCs/>
          <w:color w:val="000000"/>
          <w:sz w:val="24"/>
          <w:szCs w:val="24"/>
        </w:rPr>
        <w:outlineLvl w:val="0"/>
      </w:pPr>
      <w:r>
        <w:rPr>
          <w:rFonts w:hint="eastAsia" w:ascii="宋体" w:hAnsi="宋体" w:eastAsia="宋体" w:cs="宋体"/>
          <w:color w:val="000000"/>
          <w:sz w:val="24"/>
          <w:szCs w:val="24"/>
          <w:highlight w:val="none"/>
        </w:rPr>
        <w:t xml:space="preserve">投标人以往承接</w:t>
      </w:r>
      <w:r>
        <w:rPr>
          <w:rFonts w:hint="eastAsia" w:ascii="宋体" w:hAnsi="宋体" w:cs="宋体"/>
          <w:color w:val="000000"/>
          <w:sz w:val="24"/>
          <w:szCs w:val="24"/>
          <w:highlight w:val="none"/>
          <w:lang w:val="en-US" w:eastAsia="zh-CN"/>
        </w:rPr>
        <w:t xml:space="preserve">过的</w:t>
      </w:r>
      <w:r>
        <w:rPr>
          <w:rFonts w:hint="eastAsia" w:ascii="宋体" w:hAnsi="宋体" w:cs="宋体"/>
          <w:color w:val="000000"/>
          <w:sz w:val="24"/>
          <w:szCs w:val="24"/>
          <w:highlight w:val="none"/>
          <w:lang w:val="en-US" w:eastAsia="zh-CN"/>
        </w:rPr>
        <w:t xml:space="preserve">类似</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获得</w:t>
      </w:r>
      <w:r>
        <w:rPr>
          <w:rFonts w:hint="eastAsia" w:ascii="宋体" w:hAnsi="宋体" w:eastAsia="宋体" w:cs="宋体"/>
          <w:color w:val="000000"/>
          <w:sz w:val="24"/>
          <w:szCs w:val="24"/>
          <w:highlight w:val="none"/>
          <w:lang w:val="en-US" w:eastAsia="zh-CN"/>
        </w:rPr>
        <w:t xml:space="preserve">政府</w:t>
      </w:r>
      <w:r>
        <w:rPr>
          <w:rFonts w:hint="eastAsia" w:ascii="宋体" w:hAnsi="宋体" w:eastAsia="宋体" w:cs="宋体"/>
          <w:color w:val="000000"/>
          <w:sz w:val="24"/>
          <w:szCs w:val="24"/>
          <w:highlight w:val="none"/>
        </w:rPr>
        <w:t xml:space="preserve">主管部门颁发的相关荣誉表彰的得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须</w:t>
      </w:r>
      <w:r>
        <w:rPr>
          <w:rFonts w:hint="eastAsia" w:ascii="宋体" w:hAnsi="宋体" w:eastAsia="宋体" w:cs="宋体"/>
          <w:b/>
          <w:bCs/>
          <w:color w:val="000000"/>
          <w:sz w:val="24"/>
          <w:szCs w:val="24"/>
          <w:highlight w:val="none"/>
        </w:rPr>
        <w:t xml:space="preserve">提供相关证明材料扫描件并加盖公章，否则不得分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3.</w:t>
      </w:r>
      <w:r>
        <w:rPr>
          <w:rFonts w:hint="eastAsia" w:ascii="宋体" w:hAnsi="宋体" w:eastAsia="宋体" w:cs="Times New Roman"/>
          <w:b/>
          <w:color w:val="000000"/>
          <w:sz w:val="24"/>
          <w:szCs w:val="24"/>
        </w:rPr>
        <w:t xml:space="preserve">技术部分（5</w:t>
      </w:r>
      <w:r>
        <w:rPr>
          <w:rFonts w:hint="eastAsia" w:ascii="宋体" w:hAnsi="宋体" w:eastAsia="宋体" w:cs="Times New Roman"/>
          <w:b/>
          <w:color w:val="000000"/>
          <w:sz w:val="24"/>
          <w:szCs w:val="24"/>
          <w:lang w:val="en-US" w:eastAsia="zh-CN"/>
        </w:rPr>
        <w:t xml:space="preserve">4</w:t>
      </w:r>
      <w:r>
        <w:rPr>
          <w:rFonts w:hint="eastAsia" w:ascii="宋体" w:hAnsi="宋体" w:eastAsia="宋体" w:cs="Times New Roman"/>
          <w:b/>
          <w:color w:val="000000"/>
          <w:sz w:val="24"/>
          <w:szCs w:val="24"/>
        </w:rPr>
        <w:t xml:space="preserve">分）</w:t>
      </w:r>
      <w:r/>
    </w:p>
    <w:p>
      <w:pPr>
        <w:numPr>
          <w:ilvl w:val="0"/>
          <w:numId w:val="0"/>
        </w:numPr>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eastAsia="宋体"/>
          <w:b/>
          <w:bCs w:val="0"/>
          <w:sz w:val="24"/>
          <w:szCs w:val="24"/>
          <w:lang w:eastAsia="zh-CN"/>
        </w:rPr>
        <w:t xml:space="preserve">（</w:t>
      </w:r>
      <w:r>
        <w:rPr>
          <w:rFonts w:hint="eastAsia" w:ascii="宋体" w:hAnsi="宋体" w:eastAsia="宋体"/>
          <w:b/>
          <w:bCs w:val="0"/>
          <w:sz w:val="24"/>
          <w:szCs w:val="24"/>
          <w:lang w:val="en-US" w:eastAsia="zh-CN"/>
        </w:rPr>
        <w:t xml:space="preserve">1</w:t>
      </w:r>
      <w:r>
        <w:rPr>
          <w:rFonts w:hint="eastAsia" w:ascii="宋体" w:hAnsi="宋体" w:eastAsia="宋体"/>
          <w:b/>
          <w:bCs w:val="0"/>
          <w:sz w:val="24"/>
          <w:szCs w:val="24"/>
          <w:lang w:eastAsia="zh-CN"/>
        </w:rPr>
        <w:t xml:space="preserve">）</w:t>
      </w:r>
      <w:r>
        <w:rPr>
          <w:rFonts w:hint="eastAsia" w:ascii="宋体" w:hAnsi="宋体" w:eastAsia="宋体"/>
          <w:b/>
          <w:bCs w:val="0"/>
          <w:sz w:val="24"/>
          <w:szCs w:val="24"/>
          <w:lang w:val="en-US" w:eastAsia="zh-CN"/>
        </w:rPr>
        <w:t xml:space="preserve">项目保洁工作方案，包括保洁作业方式、作业流程、作业段划分及作业人员交接等内容（6分）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eastAsia="宋体"/>
          <w:b/>
          <w:bCs w:val="0"/>
          <w:sz w:val="24"/>
          <w:szCs w:val="24"/>
          <w:lang w:val="en-US" w:eastAsia="zh-CN"/>
        </w:rPr>
        <w:t xml:space="preserve">（2）日常管理标准、制度及措施（6分）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eastAsia="宋体"/>
          <w:b/>
          <w:bCs w:val="0"/>
          <w:sz w:val="24"/>
          <w:szCs w:val="24"/>
          <w:lang w:val="en-US" w:eastAsia="zh-CN"/>
        </w:rPr>
        <w:t xml:space="preserve">（3）保洁质量保证措施（6 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val="en-US" w:eastAsia="zh-CN"/>
        </w:rPr>
        <w:t xml:space="preserve">（4）</w:t>
      </w:r>
      <w:r>
        <w:rPr>
          <w:rFonts w:hint="eastAsia" w:ascii="宋体" w:hAnsi="宋体" w:eastAsia="宋体"/>
          <w:b/>
          <w:bCs w:val="0"/>
          <w:sz w:val="24"/>
          <w:szCs w:val="24"/>
          <w:lang w:val="en-US" w:eastAsia="zh-CN"/>
        </w:rPr>
        <w:t xml:space="preserve">安全文明作业的保障措施（6 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val="en-US" w:eastAsia="zh-CN"/>
        </w:rPr>
        <w:t xml:space="preserve">（5）</w:t>
      </w:r>
      <w:r>
        <w:rPr>
          <w:rFonts w:hint="eastAsia" w:ascii="宋体" w:hAnsi="宋体" w:eastAsia="宋体"/>
          <w:b/>
          <w:bCs w:val="0"/>
          <w:sz w:val="24"/>
          <w:szCs w:val="24"/>
          <w:lang w:val="en-US" w:eastAsia="zh-CN"/>
        </w:rPr>
        <w:t xml:space="preserve">管理重点难点和措施（6分）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val="en-US" w:eastAsia="zh-CN"/>
        </w:rPr>
        <w:t xml:space="preserve">（6）</w:t>
      </w:r>
      <w:r>
        <w:rPr>
          <w:rFonts w:hint="eastAsia" w:ascii="宋体" w:hAnsi="宋体" w:eastAsia="宋体"/>
          <w:b/>
          <w:bCs w:val="0"/>
          <w:sz w:val="24"/>
          <w:szCs w:val="24"/>
          <w:lang w:val="en-US" w:eastAsia="zh-CN"/>
        </w:rPr>
        <w:t xml:space="preserve">紧急情况（</w:t>
      </w:r>
      <w:r>
        <w:rPr>
          <w:rFonts w:hint="eastAsia" w:ascii="宋体" w:hAnsi="宋体"/>
          <w:b/>
          <w:bCs w:val="0"/>
          <w:sz w:val="24"/>
          <w:szCs w:val="24"/>
          <w:lang w:val="en-US" w:eastAsia="zh-CN"/>
        </w:rPr>
        <w:t xml:space="preserve">患者人流</w:t>
      </w:r>
      <w:r>
        <w:rPr>
          <w:rFonts w:hint="eastAsia" w:ascii="宋体" w:hAnsi="宋体" w:eastAsia="宋体"/>
          <w:b/>
          <w:bCs w:val="0"/>
          <w:sz w:val="24"/>
          <w:szCs w:val="24"/>
          <w:lang w:val="en-US" w:eastAsia="zh-CN"/>
        </w:rPr>
        <w:t xml:space="preserve">高峰、恶劣天气等）处理预案（6分）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val="en-US" w:eastAsia="zh-CN"/>
        </w:rPr>
        <w:t xml:space="preserve">（7）</w:t>
      </w:r>
      <w:r>
        <w:rPr>
          <w:rFonts w:hint="eastAsia" w:ascii="宋体" w:hAnsi="宋体" w:eastAsia="宋体"/>
          <w:b/>
          <w:bCs w:val="0"/>
          <w:sz w:val="24"/>
          <w:szCs w:val="24"/>
          <w:lang w:val="en-US" w:eastAsia="zh-CN"/>
        </w:rPr>
        <w:t xml:space="preserve">与采购人以及其他单位、部门的综合协调方案（6 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eastAsia="zh-CN"/>
        </w:rPr>
        <w:t xml:space="preserve">（</w:t>
      </w:r>
      <w:r>
        <w:rPr>
          <w:rFonts w:hint="eastAsia" w:ascii="宋体" w:hAnsi="宋体"/>
          <w:b/>
          <w:bCs w:val="0"/>
          <w:sz w:val="24"/>
          <w:szCs w:val="24"/>
          <w:lang w:val="en-US" w:eastAsia="zh-CN"/>
        </w:rPr>
        <w:t xml:space="preserve">8</w:t>
      </w:r>
      <w:r>
        <w:rPr>
          <w:rFonts w:hint="eastAsia" w:ascii="宋体" w:hAnsi="宋体"/>
          <w:b/>
          <w:bCs w:val="0"/>
          <w:sz w:val="24"/>
          <w:szCs w:val="24"/>
          <w:lang w:eastAsia="zh-CN"/>
        </w:rPr>
        <w:t xml:space="preserve">）</w:t>
      </w:r>
      <w:r>
        <w:rPr>
          <w:rFonts w:hint="eastAsia" w:ascii="宋体" w:hAnsi="宋体" w:eastAsia="宋体"/>
          <w:b/>
          <w:bCs w:val="0"/>
          <w:sz w:val="24"/>
          <w:szCs w:val="24"/>
        </w:rPr>
        <w:t xml:space="preserve">特色与创新</w:t>
      </w:r>
      <w:r>
        <w:rPr>
          <w:rFonts w:hint="eastAsia" w:ascii="宋体" w:hAnsi="宋体" w:eastAsia="宋体"/>
          <w:b/>
          <w:bCs w:val="0"/>
          <w:sz w:val="24"/>
          <w:szCs w:val="24"/>
          <w:lang w:eastAsia="zh-CN"/>
        </w:rPr>
        <w:t xml:space="preserve">（</w:t>
      </w:r>
      <w:r>
        <w:rPr>
          <w:rFonts w:hint="eastAsia" w:ascii="宋体" w:hAnsi="宋体" w:eastAsia="宋体"/>
          <w:b/>
          <w:bCs w:val="0"/>
          <w:sz w:val="24"/>
          <w:szCs w:val="24"/>
          <w:lang w:val="en-US" w:eastAsia="zh-CN"/>
        </w:rPr>
        <w:t xml:space="preserve">6分</w:t>
      </w:r>
      <w:r>
        <w:rPr>
          <w:rFonts w:hint="eastAsia" w:ascii="宋体" w:hAnsi="宋体" w:eastAsia="宋体"/>
          <w:b/>
          <w:bCs w:val="0"/>
          <w:sz w:val="24"/>
          <w:szCs w:val="24"/>
          <w:lang w:eastAsia="zh-CN"/>
        </w:rPr>
        <w:t xml:space="preserve">）</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eastAsia="zh-CN"/>
        </w:rPr>
        <w:t xml:space="preserve">（</w:t>
      </w:r>
      <w:r>
        <w:rPr>
          <w:rFonts w:hint="eastAsia" w:ascii="宋体" w:hAnsi="宋体"/>
          <w:b/>
          <w:bCs w:val="0"/>
          <w:sz w:val="24"/>
          <w:szCs w:val="24"/>
          <w:lang w:val="en-US" w:eastAsia="zh-CN"/>
        </w:rPr>
        <w:t xml:space="preserve">9</w:t>
      </w:r>
      <w:r>
        <w:rPr>
          <w:rFonts w:hint="eastAsia" w:ascii="宋体" w:hAnsi="宋体"/>
          <w:b/>
          <w:bCs w:val="0"/>
          <w:sz w:val="24"/>
          <w:szCs w:val="24"/>
          <w:lang w:eastAsia="zh-CN"/>
        </w:rPr>
        <w:t xml:space="preserve">）</w:t>
      </w:r>
      <w:r>
        <w:rPr>
          <w:rFonts w:hint="eastAsia" w:ascii="宋体" w:hAnsi="宋体" w:eastAsia="宋体"/>
          <w:b/>
          <w:bCs w:val="0"/>
          <w:sz w:val="24"/>
          <w:szCs w:val="24"/>
        </w:rPr>
        <w:t xml:space="preserve">档案台账管理（</w:t>
      </w:r>
      <w:r>
        <w:rPr>
          <w:rFonts w:hint="eastAsia" w:ascii="宋体" w:hAnsi="宋体" w:eastAsia="宋体"/>
          <w:b/>
          <w:bCs w:val="0"/>
          <w:sz w:val="24"/>
          <w:szCs w:val="24"/>
          <w:lang w:val="en-US" w:eastAsia="zh-CN"/>
        </w:rPr>
        <w:t xml:space="preserve">6</w:t>
      </w:r>
      <w:r>
        <w:rPr>
          <w:rFonts w:hint="eastAsia" w:ascii="宋体" w:hAnsi="宋体" w:eastAsia="宋体"/>
          <w:b/>
          <w:bCs w:val="0"/>
          <w:sz w:val="24"/>
          <w:szCs w:val="24"/>
        </w:rPr>
        <w:t xml:space="preserve">分）</w:t>
      </w:r>
      <w:r/>
    </w:p>
    <w:p>
      <w:pPr>
        <w:ind w:firstLine="480"/>
        <w:jc w:val="left"/>
        <w:spacing w:line="360" w:lineRule="auto"/>
        <w:tabs>
          <w:tab w:val="left" w:pos="1440" w:leader="none"/>
        </w:tabs>
        <w:rPr>
          <w:rFonts w:hint="eastAsia" w:ascii="宋体" w:hAnsi="宋体" w:eastAsia="宋体"/>
          <w:b w:val="0"/>
          <w:bCs/>
          <w:color w:val="000000"/>
          <w:sz w:val="24"/>
          <w:szCs w:val="24"/>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89"/>
      <w:r/>
      <w:bookmarkEnd w:id="190"/>
      <w:r/>
      <w:bookmarkEnd w:id="195"/>
      <w:r>
        <w:rPr>
          <w:rFonts w:hint="eastAsia" w:ascii="黑体" w:hAnsi="黑体" w:eastAsia="黑体"/>
          <w:color w:val="000000" w:themeColor="text1"/>
          <w:sz w:val="36"/>
          <w:szCs w:val="36"/>
          <w:highlight w:val="none"/>
        </w:rPr>
        <w:t xml:space="preserve">投标文件内容与格式</w:t>
      </w:r>
      <w:r/>
    </w:p>
    <w:p>
      <w:pPr>
        <w:pStyle w:val="946"/>
        <w:ind w:firstLine="602"/>
        <w:spacing w:before="0" w:after="0" w:line="500" w:lineRule="exact"/>
        <w:rPr>
          <w:rFonts w:hint="eastAsia" w:cs="Arial"/>
          <w:b/>
          <w:color w:val="000000" w:themeColor="text1"/>
          <w:sz w:val="30"/>
          <w:szCs w:val="30"/>
          <w:highlight w:val="none"/>
        </w:rPr>
      </w:pPr>
      <w:r/>
      <w:bookmarkStart w:id="198" w:name="_Hlt26955039"/>
      <w:r/>
      <w:bookmarkEnd w:id="198"/>
      <w:r/>
      <w:bookmarkStart w:id="199" w:name="_Hlt26671244"/>
      <w:r/>
      <w:bookmarkEnd w:id="199"/>
      <w:r/>
      <w:bookmarkStart w:id="200" w:name="_Toc26554094"/>
      <w:r/>
      <w:bookmarkStart w:id="201" w:name="_Toc120614282"/>
      <w:r/>
      <w:bookmarkStart w:id="202" w:name="_Toc49090576"/>
      <w:r>
        <w:rPr>
          <w:rFonts w:hint="eastAsia" w:cs="Arial"/>
          <w:b/>
          <w:color w:val="000000" w:themeColor="text1"/>
          <w:sz w:val="30"/>
          <w:szCs w:val="30"/>
          <w:highlight w:val="none"/>
        </w:rPr>
        <w:t xml:space="preserve">第一部分  投标文件内容</w:t>
      </w:r>
      <w:r/>
    </w:p>
    <w:p>
      <w:pPr>
        <w:pStyle w:val="946"/>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p>
    <w:tbl>
      <w:tblPr>
        <w:tblStyle w:val="68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6"/>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p>
        </w:tc>
        <w:tc>
          <w:tcPr>
            <w:tcW w:w="6104" w:type="dxa"/>
            <w:vAlign w:val="center"/>
            <w:textDirection w:val="lrTb"/>
            <w:noWrap w:val="false"/>
          </w:tcPr>
          <w:p>
            <w:pPr>
              <w:pStyle w:val="946"/>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p>
        </w:tc>
        <w:tc>
          <w:tcPr>
            <w:tcW w:w="2449" w:type="dxa"/>
            <w:vAlign w:val="center"/>
            <w:textDirection w:val="lrTb"/>
            <w:noWrap w:val="false"/>
          </w:tcPr>
          <w:p>
            <w:pPr>
              <w:pStyle w:val="946"/>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p>
        </w:tc>
      </w:tr>
      <w:tr>
        <w:trPr>
          <w:jc w:val="center"/>
          <w:trHeight w:val="1335"/>
        </w:trPr>
        <w:tc>
          <w:tcPr>
            <w:tcW w:w="719" w:type="dxa"/>
            <w:vAlign w:val="center"/>
            <w:textDirection w:val="lrTb"/>
            <w:noWrap w:val="false"/>
          </w:tcPr>
          <w:p>
            <w:pPr>
              <w:pStyle w:val="946"/>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6"/>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46"/>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6"/>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5"/>
                <w:rFonts w:hint="eastAsia" w:ascii="宋体" w:hAnsi="宋体" w:cs="宋体"/>
                <w:color w:val="000000" w:themeColor="text1"/>
                <w:sz w:val="24"/>
                <w:szCs w:val="24"/>
                <w:highlight w:val="none"/>
              </w:rPr>
              <w:t xml:space="preserve">。</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6"/>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6"/>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46"/>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6"/>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p>
        </w:tc>
        <w:tc>
          <w:tcPr>
            <w:tcW w:w="6104" w:type="dxa"/>
            <w:vAlign w:val="center"/>
            <w:textDirection w:val="lrTb"/>
            <w:noWrap w:val="false"/>
          </w:tcPr>
          <w:p>
            <w:pPr>
              <w:pStyle w:val="946"/>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p>
        </w:tc>
        <w:tc>
          <w:tcPr>
            <w:tcW w:w="2449" w:type="dxa"/>
            <w:vAlign w:val="center"/>
            <w:textDirection w:val="lrTb"/>
            <w:noWrap w:val="false"/>
          </w:tcPr>
          <w:p>
            <w:pPr>
              <w:pStyle w:val="946"/>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6"/>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p>
        </w:tc>
        <w:tc>
          <w:tcPr>
            <w:tcW w:w="2449" w:type="dxa"/>
            <w:vAlign w:val="center"/>
            <w:textDirection w:val="lrTb"/>
            <w:noWrap w:val="false"/>
          </w:tcPr>
          <w:p>
            <w:pPr>
              <w:pStyle w:val="946"/>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p>
        </w:tc>
      </w:tr>
      <w:tr>
        <w:trPr>
          <w:jc w:val="center"/>
          <w:trHeight w:val="632"/>
        </w:trPr>
        <w:tc>
          <w:tcPr>
            <w:tcW w:w="719" w:type="dxa"/>
            <w:vAlign w:val="center"/>
            <w:textDirection w:val="lrTb"/>
            <w:noWrap w:val="false"/>
          </w:tcPr>
          <w:p>
            <w:pPr>
              <w:pStyle w:val="946"/>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p>
        </w:tc>
        <w:tc>
          <w:tcPr>
            <w:gridSpan w:val="2"/>
            <w:tcW w:w="8553" w:type="dxa"/>
            <w:vAlign w:val="center"/>
            <w:textDirection w:val="lrTb"/>
            <w:noWrap w:val="false"/>
          </w:tcPr>
          <w:p>
            <w:pPr>
              <w:pStyle w:val="946"/>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46"/>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46"/>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46"/>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4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46"/>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46"/>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4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46"/>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4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46"/>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4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46"/>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4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46"/>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4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46"/>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4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1"/>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p>
    <w:p>
      <w:pPr>
        <w:pStyle w:val="946"/>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p>
    <w:p>
      <w:pPr>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p>
    <w:p>
      <w:pPr>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p>
    <w:p>
      <w:pPr>
        <w:jc w:val="center"/>
        <w:spacing w:line="360" w:lineRule="auto"/>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p>
    <w:p>
      <w:pPr>
        <w:pStyle w:val="94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项目，兹授权：</w:t>
      </w:r>
      <w:r/>
    </w:p>
    <w:p>
      <w:pPr>
        <w:pStyle w:val="94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4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4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p>
    <w:p>
      <w:pPr>
        <w:pStyle w:val="944"/>
        <w:ind w:firstLine="480"/>
        <w:spacing w:line="360" w:lineRule="auto"/>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p>
    <w:p>
      <w:pPr>
        <w:pStyle w:val="94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特此授权委托。</w:t>
      </w:r>
      <w:r/>
    </w:p>
    <w:p>
      <w:pPr>
        <w:pStyle w:val="944"/>
        <w:ind w:firstLine="0"/>
        <w:spacing w:line="360" w:lineRule="auto"/>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p>
    <w:p>
      <w:pPr>
        <w:pStyle w:val="944"/>
        <w:ind w:firstLine="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p>
    <w:p>
      <w:pPr>
        <w:pStyle w:val="944"/>
        <w:ind w:firstLine="0"/>
        <w:spacing w:line="360" w:lineRule="auto"/>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4"/>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r>
      <w:r/>
    </w:p>
    <w:p>
      <w:pPr>
        <w:pStyle w:val="944"/>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p>
    <w:p>
      <w:pPr>
        <w:pStyle w:val="944"/>
        <w:numPr>
          <w:ilvl w:val="0"/>
          <w:numId w:val="12"/>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p>
    <w:p>
      <w:pPr>
        <w:pStyle w:val="944"/>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44"/>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p>
    <w:p>
      <w:pPr>
        <w:pStyle w:val="944"/>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44"/>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p>
    <w:p>
      <w:pPr>
        <w:jc w:val="center"/>
        <w:rPr>
          <w:rFonts w:ascii="黑体" w:eastAsia="黑体"/>
          <w:bCs/>
          <w:color w:val="000000" w:themeColor="text1"/>
          <w:sz w:val="28"/>
          <w:szCs w:val="28"/>
          <w:highlight w:val="none"/>
        </w:rPr>
        <w:outlineLvl w:val="0"/>
      </w:pPr>
      <w:r/>
      <w:bookmarkStart w:id="203" w:name="报价方关于资格的声明函（格式）"/>
      <w:r/>
      <w:bookmarkEnd w:id="203"/>
      <w:r>
        <w:rPr>
          <w:rFonts w:hint="eastAsia" w:ascii="黑体" w:eastAsia="黑体"/>
          <w:bCs/>
          <w:color w:val="000000" w:themeColor="text1"/>
          <w:sz w:val="28"/>
          <w:szCs w:val="28"/>
          <w:highlight w:val="none"/>
        </w:rPr>
        <w:t xml:space="preserve">资格声明函</w:t>
      </w:r>
      <w:r/>
    </w:p>
    <w:p>
      <w:pPr>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进行投标，并作如下声明</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www.ccgp.gov.cn</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ind w:firstLine="420"/>
        <w:spacing w:line="360" w:lineRule="auto"/>
        <w:rPr>
          <w:rFonts w:hint="eastAsia"/>
          <w:color w:val="000000" w:themeColor="text1"/>
          <w:highlight w:val="none"/>
        </w:rPr>
      </w:pPr>
      <w:r>
        <w:rPr>
          <w:rFonts w:hint="eastAsia"/>
          <w:color w:val="000000" w:themeColor="text1"/>
          <w:highlight w:val="none"/>
        </w:rPr>
      </w:r>
      <w:r/>
    </w:p>
    <w:p>
      <w:pPr>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themeColor="text1"/>
          <w:highlight w:val="none"/>
        </w:rPr>
      </w:pPr>
      <w:r>
        <w:rPr>
          <w:color w:val="000000" w:themeColor="text1"/>
          <w:highlight w:val="none"/>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spacing w:line="360" w:lineRule="auto"/>
        <w:rPr>
          <w:rFonts w:hint="eastAsia" w:ascii="宋体" w:hAnsi="宋体" w:cs="宋体"/>
          <w:b/>
          <w:color w:val="000000" w:themeColor="text1"/>
          <w:sz w:val="28"/>
          <w:szCs w:val="28"/>
          <w:highlight w:val="none"/>
        </w:rPr>
      </w:pP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p>
    <w:p>
      <w:pPr>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p>
    <w:p>
      <w:pPr>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p>
    <w:p>
      <w:pPr>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3"/>
          <w:bCs/>
          <w:color w:val="000000" w:themeColor="text1"/>
          <w:highlight w:val="none"/>
        </w:rPr>
      </w:pPr>
      <w:r>
        <w:rPr>
          <w:rFonts w:hint="eastAsia" w:ascii="宋体" w:hAnsi="宋体"/>
          <w:bCs/>
          <w:color w:val="000000" w:themeColor="text1"/>
          <w:sz w:val="24"/>
          <w:szCs w:val="24"/>
          <w:highlight w:val="none"/>
        </w:rPr>
        <w:t xml:space="preserve">我方愿意提供</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p>
    <w:p>
      <w:pPr>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p>
    <w:p>
      <w:pPr>
        <w:jc w:val="center"/>
        <w:spacing w:line="4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p>
    <w:p>
      <w:pPr>
        <w:ind w:firstLine="602"/>
        <w:rPr>
          <w:rFonts w:hint="eastAsia"/>
          <w:b/>
          <w:color w:val="000000" w:themeColor="text1"/>
          <w:sz w:val="30"/>
          <w:szCs w:val="30"/>
          <w:highlight w:val="none"/>
        </w:rPr>
        <w:outlineLvl w:val="0"/>
      </w:pPr>
      <w:r>
        <w:rPr>
          <w:rFonts w:hint="eastAsia"/>
          <w:b/>
          <w:color w:val="000000" w:themeColor="text1"/>
          <w:sz w:val="30"/>
          <w:szCs w:val="30"/>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rPr>
        <w:t xml:space="preserve">在此对服务保障做如下承诺：</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p>
    <w:p>
      <w:pPr>
        <w:ind w:left="6" w:firstLine="482"/>
        <w:keepLines w:val="0"/>
        <w:keepNext w:val="0"/>
        <w:pageBreakBefore w:val="0"/>
        <w:spacing w:before="1" w:line="332"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eastAsia="宋体" w:cs="宋体"/>
          <w:color w:val="000000" w:themeColor="text1"/>
          <w:spacing w:val="20"/>
          <w:sz w:val="21"/>
          <w:szCs w:val="21"/>
          <w:highlight w:val="white"/>
        </w:rPr>
        <w:t xml:space="preserve">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white"/>
        </w:rPr>
        <w:t xml:space="preserve">参数、检验检测报告、人员证书等。</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p>
    <w:p>
      <w:pPr>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p>
    <w:p>
      <w:pPr>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420"/>
        <w:spacing w:line="48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p>
    <w:p>
      <w:pPr>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p>
    <w:p>
      <w:pPr>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p>
    <w:p>
      <w:pPr>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68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37"/>
        <w:gridCol w:w="5148"/>
      </w:tblGrid>
      <w:tr>
        <w:trPr>
          <w:cantSplit/>
          <w:trHeight w:val="567"/>
        </w:trPr>
        <w:tc>
          <w:tcPr>
            <w:tcW w:w="3737"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p>
        </w:tc>
        <w:tc>
          <w:tcPr>
            <w:tcW w:w="5148"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小写</w:t>
            </w:r>
            <w:r>
              <w:rPr>
                <w:rFonts w:hint="eastAsia" w:ascii="宋体" w:hAnsi="宋体"/>
                <w:b/>
                <w:bCs/>
                <w:color w:val="000000" w:themeColor="text1"/>
                <w:sz w:val="24"/>
                <w:szCs w:val="24"/>
                <w:highlight w:val="none"/>
                <w:lang w:eastAsia="zh-CN"/>
              </w:rPr>
              <w:t xml:space="preserve">）</w:t>
            </w:r>
            <w:r/>
          </w:p>
        </w:tc>
      </w:tr>
      <w:tr>
        <w:trPr>
          <w:cantSplit/>
          <w:trHeight w:val="1630"/>
        </w:trPr>
        <w:tc>
          <w:tcPr>
            <w:tcW w:w="3737" w:type="dxa"/>
            <w:vAlign w:val="center"/>
            <w:textDirection w:val="lrTb"/>
            <w:noWrap w:val="false"/>
          </w:tcPr>
          <w:p>
            <w:pPr>
              <w:pStyle w:val="972"/>
              <w:jc w:val="center"/>
              <w:spacing w:line="400" w:lineRule="exact"/>
              <w:rPr>
                <w:rFonts w:hint="eastAsia" w:hAnsi="宋体" w:eastAsia="宋体"/>
                <w:bCs/>
                <w:color w:val="000000" w:themeColor="text1"/>
                <w:szCs w:val="24"/>
                <w:highlight w:val="none"/>
              </w:rPr>
            </w:pPr>
            <w:r>
              <w:rPr>
                <w:rFonts w:hint="eastAsia" w:hAnsi="宋体" w:eastAsia="宋体"/>
                <w:bCs/>
                <w:color w:val="000000" w:themeColor="text1"/>
                <w:szCs w:val="24"/>
                <w:highlight w:val="none"/>
              </w:rPr>
            </w:r>
            <w:r/>
          </w:p>
        </w:tc>
        <w:tc>
          <w:tcPr>
            <w:tcW w:w="5148" w:type="dxa"/>
            <w:vAlign w:val="center"/>
            <w:textDirection w:val="lrTb"/>
            <w:noWrap w:val="false"/>
          </w:tcPr>
          <w:p>
            <w:pPr>
              <w:pStyle w:val="972"/>
              <w:jc w:val="center"/>
              <w:rPr>
                <w:rFonts w:hAnsi="宋体"/>
                <w:b/>
                <w:color w:val="000000" w:themeColor="text1"/>
                <w:szCs w:val="24"/>
                <w:highlight w:val="none"/>
              </w:rPr>
            </w:pPr>
            <w:r>
              <w:rPr>
                <w:rFonts w:hAnsi="宋体"/>
                <w:b/>
                <w:color w:val="000000" w:themeColor="text1"/>
                <w:szCs w:val="24"/>
                <w:highlight w:val="none"/>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4"/>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200"/>
      <w:r/>
      <w:bookmarkEnd w:id="201"/>
      <w:r/>
      <w:bookmarkEnd w:id="202"/>
      <w:r/>
      <w:bookmarkStart w:id="204" w:name="_Toc120614284"/>
      <w:r/>
      <w:r/>
    </w:p>
    <w:p>
      <w:pPr>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683"/>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5</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6</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7</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6</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9</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10</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bl>
    <w:p>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上述报价表由投标单位参照，不限于此，可根据采购需求自行添加条目进行投报。</w:t>
      </w:r>
      <w:r/>
    </w:p>
    <w:p>
      <w:pPr>
        <w:ind w:firstLine="420"/>
        <w:rPr>
          <w:rFonts w:ascii="宋体" w:hAnsi="Calibri"/>
          <w:bCs/>
          <w:color w:val="000000" w:themeColor="text1"/>
          <w:highlight w:val="none"/>
        </w:rPr>
        <w:outlineLvl w:val="0"/>
      </w:pPr>
      <w:r>
        <w:rPr>
          <w:rFonts w:hint="eastAsia" w:ascii="宋体" w:hAnsi="宋体"/>
          <w:bCs/>
          <w:color w:val="000000" w:themeColor="text1"/>
          <w:highlight w:val="none"/>
          <w:lang w:eastAsia="zh-CN"/>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含新疆生产建设兵团</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 xml:space="preserve">无锡市滨湖区公共资源交易中心</w:t>
      </w:r>
      <w:r>
        <w:rPr>
          <w:rFonts w:hint="eastAsia" w:ascii="宋体" w:hAnsi="Calibri"/>
          <w:bCs/>
          <w:color w:val="000000" w:themeColor="text1"/>
          <w:highlight w:val="none"/>
        </w:rPr>
        <w:t xml:space="preserve">有权将相关内容进行公示；</w:t>
      </w:r>
      <w:r/>
    </w:p>
    <w:p>
      <w:pPr>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p>
    <w:tbl>
      <w:tblPr>
        <w:tblStyle w:val="683"/>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p>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color w:val="000000" w:themeColor="text1"/>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以上人员费用须包括工资、社保等内容，须符合国家、省、市相关政策规定；本项目如有允许配置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（详见第四章《采购需求》），上表“法定计提费用”中的人员配置总数可扣除上述人员，但须</w:t>
      </w:r>
      <w:r>
        <w:rPr>
          <w:rFonts w:ascii="宋体" w:hAnsi="宋体"/>
          <w:bCs/>
          <w:color w:val="000000" w:themeColor="text1"/>
          <w:highlight w:val="none"/>
        </w:rPr>
        <w:t xml:space="preserve">提供</w:t>
      </w:r>
      <w:r>
        <w:rPr>
          <w:rFonts w:hint="eastAsia" w:ascii="宋体" w:hAnsi="宋体"/>
          <w:bCs/>
          <w:color w:val="000000" w:themeColor="text1"/>
          <w:highlight w:val="none"/>
        </w:rPr>
        <w:t xml:space="preserve">该人员</w:t>
      </w:r>
      <w:r>
        <w:rPr>
          <w:rFonts w:ascii="宋体" w:hAnsi="宋体"/>
          <w:bCs/>
          <w:color w:val="000000" w:themeColor="text1"/>
          <w:highlight w:val="none"/>
        </w:rPr>
        <w:t xml:space="preserve">相关证明材料复印件</w:t>
      </w:r>
      <w:r>
        <w:rPr>
          <w:rFonts w:hint="eastAsia" w:ascii="宋体" w:hAnsi="宋体"/>
          <w:bCs/>
          <w:color w:val="000000" w:themeColor="text1"/>
          <w:highlight w:val="none"/>
        </w:rPr>
        <w:t xml:space="preserve">，否则投标文件无效。</w:t>
      </w:r>
      <w:r/>
    </w:p>
    <w:p>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 xml:space="preserve">2.</w:t>
      </w:r>
      <w:r>
        <w:rPr>
          <w:rFonts w:hint="eastAsia" w:ascii="宋体" w:hAnsi="宋体"/>
          <w:bCs/>
          <w:color w:val="000000" w:themeColor="text1"/>
          <w:highlight w:val="none"/>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p>
    <w:tbl>
      <w:tblPr>
        <w:tblStyle w:val="683"/>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p>
    <w:tbl>
      <w:tblPr>
        <w:tblStyle w:val="683"/>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p>
    <w:tbl>
      <w:tblPr>
        <w:tblStyle w:val="683"/>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bl>
    <w:p>
      <w:pPr>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p>
    <w:p>
      <w:pPr>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p>
    <w:p>
      <w:pPr>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68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ascii="宋体"/>
          <w:bCs/>
          <w:color w:val="000000" w:themeColor="text1"/>
          <w:sz w:val="30"/>
          <w:highlight w:val="none"/>
        </w:rPr>
      </w:pPr>
      <w:r>
        <w:rPr>
          <w:rFonts w:ascii="宋体"/>
          <w:bCs/>
          <w:color w:val="000000" w:themeColor="text1"/>
          <w:sz w:val="30"/>
          <w:highlight w:val="none"/>
        </w:rPr>
      </w:r>
      <w:bookmarkEnd w:id="187"/>
      <w:bookmarkEnd w:id="188"/>
      <w:bookmarkEnd w:id="204"/>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ind w:left="7"/>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注</w:t>
      </w:r>
      <w:r>
        <w:rPr>
          <w:rFonts w:ascii="宋体" w:hAnsi="宋体" w:eastAsia="宋体" w:cs="宋体"/>
          <w:color w:val="000000" w:themeColor="text1"/>
          <w:spacing w:val="17"/>
          <w:sz w:val="21"/>
          <w:szCs w:val="21"/>
          <w:highlight w:val="white"/>
        </w:rPr>
        <w:t xml:space="preserve">：（</w:t>
      </w:r>
      <w:r>
        <w:rPr>
          <w:rFonts w:ascii="宋体" w:hAnsi="宋体" w:eastAsia="宋体" w:cs="宋体"/>
          <w:color w:val="000000" w:themeColor="text1"/>
          <w:spacing w:val="14"/>
          <w:sz w:val="21"/>
          <w:szCs w:val="21"/>
          <w:highlight w:val="white"/>
        </w:rPr>
        <w:t xml:space="preserve">1）本表不得删除；</w:t>
      </w:r>
      <w:r/>
    </w:p>
    <w:p>
      <w:pPr>
        <w:ind w:left="265"/>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（2）针对“采购需求”的内容不得有负偏离；</w:t>
      </w:r>
      <w:r/>
    </w:p>
    <w:p>
      <w:pPr>
        <w:ind w:left="265"/>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（3）如无任何服务偏离，请于本表  “偏</w:t>
      </w:r>
      <w:r>
        <w:rPr>
          <w:rFonts w:ascii="宋体" w:hAnsi="宋体" w:eastAsia="宋体" w:cs="宋体"/>
          <w:color w:val="000000" w:themeColor="text1"/>
          <w:spacing w:val="14"/>
          <w:sz w:val="21"/>
          <w:szCs w:val="21"/>
          <w:highlight w:val="white"/>
        </w:rPr>
        <w:t xml:space="preserve">离说明”中注明“无偏离”；</w:t>
      </w:r>
      <w:r/>
    </w:p>
    <w:p>
      <w:pPr>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white"/>
        </w:rPr>
        <w:t xml:space="preserve">述。</w:t>
      </w:r>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p>
    <w:p>
      <w:pPr>
        <w:rPr>
          <w:color w:val="000000" w:themeColor="text1"/>
          <w:highlight w:val="none"/>
        </w:rPr>
      </w:pPr>
      <w:r>
        <w:rPr>
          <w:color w:val="000000" w:themeColor="text1"/>
          <w:highlight w:val="none"/>
        </w:rPr>
      </w:r>
      <w:r/>
    </w:p>
    <w:p>
      <w:pPr>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p>
    <w:p>
      <w:pPr>
        <w:ind w:firstLine="420"/>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p>
    <w:p>
      <w:pPr>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p>
        </w:tc>
        <w:tc>
          <w:tcPr>
            <w:tcW w:w="1098"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p>
        </w:tc>
        <w:tc>
          <w:tcPr>
            <w:tcW w:w="74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性别</w:t>
            </w:r>
            <w:r/>
          </w:p>
        </w:tc>
        <w:tc>
          <w:tcPr>
            <w:tcW w:w="709"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p>
        </w:tc>
        <w:tc>
          <w:tcPr>
            <w:tcW w:w="83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学历</w:t>
            </w:r>
            <w:r/>
          </w:p>
        </w:tc>
        <w:tc>
          <w:tcPr>
            <w:tcW w:w="12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岗位职责</w:t>
            </w:r>
            <w:r/>
          </w:p>
        </w:tc>
        <w:tc>
          <w:tcPr>
            <w:tcW w:w="1285"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p>
        </w:tc>
        <w:tc>
          <w:tcPr>
            <w:tcW w:w="1833"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人员经验描述</w:t>
            </w:r>
            <w:r/>
          </w:p>
          <w:p>
            <w:pPr>
              <w:jc w:val="center"/>
              <w:rPr>
                <w:rFonts w:hint="eastAsia"/>
                <w:b/>
                <w:color w:val="000000" w:themeColor="text1"/>
                <w:sz w:val="24"/>
                <w:highlight w:val="none"/>
              </w:rPr>
            </w:pPr>
            <w:r>
              <w:rPr>
                <w:rFonts w:hint="eastAsia"/>
                <w:b/>
                <w:color w:val="000000" w:themeColor="text1"/>
                <w:sz w:val="24"/>
                <w:highlight w:val="none"/>
              </w:rPr>
              <w:t xml:space="preserve">（如有要求）</w:t>
            </w:r>
            <w:r/>
          </w:p>
        </w:tc>
        <w:tc>
          <w:tcPr>
            <w:tcW w:w="992"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ind w:left="7"/>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white"/>
        </w:rPr>
      </w:pPr>
      <w:r>
        <w:rPr>
          <w:rFonts w:hint="eastAsia" w:ascii="宋体" w:hAnsi="宋体" w:eastAsia="宋体" w:cs="宋体"/>
          <w:color w:val="000000" w:themeColor="text1"/>
          <w:spacing w:val="18"/>
          <w:sz w:val="21"/>
          <w:szCs w:val="21"/>
          <w:highlight w:val="white"/>
        </w:rPr>
      </w:r>
      <w:r/>
    </w:p>
    <w:p>
      <w:pPr>
        <w:ind w:left="7"/>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yellow"/>
        </w:rPr>
      </w:pPr>
      <w:r>
        <w:rPr>
          <w:rFonts w:hint="eastAsia" w:ascii="宋体" w:hAnsi="宋体" w:eastAsia="宋体" w:cs="宋体"/>
          <w:color w:val="000000" w:themeColor="text1"/>
          <w:spacing w:val="18"/>
          <w:sz w:val="21"/>
          <w:szCs w:val="21"/>
          <w:highlight w:val="yellow"/>
        </w:rPr>
      </w:r>
      <w:r/>
    </w:p>
    <w:p>
      <w:pPr>
        <w:ind w:left="7"/>
        <w:keepLines w:val="0"/>
        <w:keepNext w:val="0"/>
        <w:pageBreakBefore w:val="0"/>
        <w:spacing w:before="130" w:line="360" w:lineRule="auto"/>
        <w:widowControl/>
        <w:rPr>
          <w:rFonts w:hint="eastAsia" w:ascii="宋体" w:hAnsi="宋体" w:eastAsia="宋体" w:cs="宋体"/>
          <w:color w:val="000000" w:themeColor="text1"/>
          <w:spacing w:val="18"/>
          <w:sz w:val="21"/>
          <w:szCs w:val="21"/>
          <w:highlight w:val="yellow"/>
        </w:rPr>
      </w:pPr>
      <w:r>
        <w:rPr>
          <w:rFonts w:hint="eastAsia" w:ascii="宋体" w:hAnsi="宋体" w:eastAsia="宋体" w:cs="宋体"/>
          <w:color w:val="000000" w:themeColor="text1"/>
          <w:spacing w:val="18"/>
          <w:sz w:val="21"/>
          <w:szCs w:val="21"/>
          <w:highlight w:val="yellow"/>
        </w:rPr>
        <w:t xml:space="preserve">注：1. 本表对应评分标准中的项目人员配置情况，表格不够可自行延长。</w:t>
      </w:r>
      <w:r/>
    </w:p>
    <w:p>
      <w:pPr>
        <w:ind w:firstLine="492"/>
        <w:keepLines w:val="0"/>
        <w:keepNext w:val="0"/>
        <w:pageBreakBefore w:val="0"/>
        <w:spacing w:before="130" w:line="360" w:lineRule="auto"/>
        <w:widowControl/>
        <w:rPr>
          <w:rFonts w:hint="eastAsia" w:ascii="宋体" w:hAnsi="宋体" w:eastAsia="宋体" w:cs="宋体"/>
          <w:color w:val="000000" w:themeColor="text1"/>
          <w:spacing w:val="18"/>
          <w:sz w:val="21"/>
          <w:szCs w:val="21"/>
          <w:highlight w:val="yellow"/>
        </w:rPr>
      </w:pPr>
      <w:r>
        <w:rPr>
          <w:rFonts w:hint="eastAsia" w:ascii="宋体" w:hAnsi="宋体" w:eastAsia="宋体" w:cs="宋体"/>
          <w:color w:val="000000" w:themeColor="text1"/>
          <w:spacing w:val="18"/>
          <w:sz w:val="21"/>
          <w:szCs w:val="21"/>
          <w:highlight w:val="yellow"/>
        </w:rPr>
        <w:t xml:space="preserve">2.上表内容须按评分标准中的相关要求提供相应证明材料。</w:t>
      </w:r>
      <w:r/>
    </w:p>
    <w:p>
      <w:pPr>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yellow"/>
        </w:rPr>
      </w:pPr>
      <w:r>
        <w:rPr>
          <w:rFonts w:hint="eastAsia" w:ascii="宋体" w:hAnsi="宋体" w:eastAsia="宋体" w:cs="宋体"/>
          <w:color w:val="000000" w:themeColor="text1"/>
          <w:spacing w:val="18"/>
          <w:sz w:val="21"/>
          <w:szCs w:val="21"/>
          <w:highlight w:val="yellow"/>
        </w:rPr>
      </w:r>
      <w:r/>
    </w:p>
    <w:p>
      <w:pPr>
        <w:rPr>
          <w:rFonts w:hint="eastAsia" w:ascii="宋体" w:hAnsi="宋体"/>
          <w:bCs/>
          <w:color w:val="000000" w:themeColor="text1"/>
          <w:highlight w:val="yellow"/>
        </w:rPr>
      </w:pPr>
      <w:r>
        <w:rPr>
          <w:rFonts w:hint="eastAsia" w:ascii="宋体" w:hAnsi="宋体"/>
          <w:bCs/>
          <w:color w:val="000000" w:themeColor="text1"/>
          <w:highlight w:val="yellow"/>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30"/>
        <w:rFonts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３４</w:t>
    </w:r>
    <w:r>
      <w:rPr>
        <w:rFonts w:ascii="宋体" w:hAnsi="宋体"/>
      </w:rPr>
      <w:fldChar w:fldCharType="end"/>
    </w:r>
    <w:r/>
  </w:p>
  <w:p>
    <w:pPr>
      <w:pStyle w:val="903"/>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3"/>
      <w:isLgl w:val="false"/>
      <w:suff w:val="nothing"/>
      <w:lvlText w:val=""/>
      <w:lvlJc w:val="left"/>
      <w:pPr>
        <w:ind w:left="0" w:firstLine="0"/>
      </w:pPr>
      <w:rPr>
        <w:rFonts w:hint="eastAsia"/>
      </w:rPr>
    </w:lvl>
    <w:lvl w:ilvl="6">
      <w:start w:val="1"/>
      <w:numFmt w:val="decimal"/>
      <w:pStyle w:val="864"/>
      <w:isLgl w:val="false"/>
      <w:suff w:val="nothing"/>
      <w:lvlText w:val=""/>
      <w:lvlJc w:val="left"/>
      <w:pPr>
        <w:ind w:left="0" w:firstLine="0"/>
      </w:pPr>
      <w:rPr>
        <w:rFonts w:hint="eastAsia"/>
      </w:rPr>
    </w:lvl>
    <w:lvl w:ilvl="7">
      <w:start w:val="1"/>
      <w:numFmt w:val="decimal"/>
      <w:pStyle w:val="865"/>
      <w:isLgl w:val="false"/>
      <w:suff w:val="nothing"/>
      <w:lvlText w:val=""/>
      <w:lvlJc w:val="left"/>
      <w:pPr>
        <w:ind w:left="0" w:firstLine="0"/>
      </w:pPr>
      <w:rPr>
        <w:rFonts w:hint="eastAsia"/>
      </w:rPr>
    </w:lvl>
    <w:lvl w:ilvl="8">
      <w:start w:val="1"/>
      <w:numFmt w:val="decimal"/>
      <w:pStyle w:val="866"/>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0"/>
  </w:num>
  <w:num w:numId="4">
    <w:abstractNumId w:val="2"/>
  </w:num>
  <w:num w:numId="5">
    <w:abstractNumId w:val="12"/>
  </w:num>
  <w:num w:numId="6">
    <w:abstractNumId w:val="8"/>
  </w:num>
  <w:num w:numId="7">
    <w:abstractNumId w:val="6"/>
  </w:num>
  <w:num w:numId="8">
    <w:abstractNumId w:val="13"/>
  </w:num>
  <w:num w:numId="9">
    <w:abstractNumId w:val="1"/>
  </w:num>
  <w:num w:numId="10">
    <w:abstractNumId w:val="0"/>
  </w:num>
  <w:num w:numId="11">
    <w:abstractNumId w:val="7"/>
  </w:num>
  <w:num w:numId="12">
    <w:abstractNumId w:val="1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3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9"/>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1"/>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2"/>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annotation text"/>
    <w:basedOn w:val="672"/>
    <w:uiPriority w:val="99"/>
    <w:semiHidden/>
    <w:unhideWhenUsed/>
    <w:qFormat/>
    <w:pPr>
      <w:jc w:val="left"/>
    </w:pPr>
  </w:style>
  <w:style w:type="paragraph" w:styleId="687">
    <w:name w:val="Body Text"/>
    <w:basedOn w:val="672"/>
    <w:next w:val="672"/>
    <w:uiPriority w:val="0"/>
    <w:semiHidden/>
    <w:qFormat/>
  </w:style>
  <w:style w:type="paragraph" w:styleId="688">
    <w:name w:val="index 4"/>
    <w:basedOn w:val="672"/>
    <w:next w:val="672"/>
    <w:uiPriority w:val="99"/>
    <w:qFormat/>
    <w:pPr>
      <w:ind w:left="600"/>
    </w:pPr>
    <w:rPr>
      <w:szCs w:val="24"/>
    </w:rPr>
  </w:style>
  <w:style w:type="paragraph" w:styleId="689">
    <w:name w:val="toc 5"/>
    <w:basedOn w:val="672"/>
    <w:next w:val="672"/>
    <w:uiPriority w:val="39"/>
    <w:unhideWhenUsed/>
    <w:qFormat/>
    <w:pPr>
      <w:ind w:left="1134" w:right="0" w:firstLine="0"/>
      <w:spacing w:after="57"/>
    </w:pPr>
  </w:style>
  <w:style w:type="paragraph" w:styleId="690">
    <w:name w:val="toc 3"/>
    <w:basedOn w:val="672"/>
    <w:next w:val="672"/>
    <w:uiPriority w:val="39"/>
    <w:unhideWhenUsed/>
    <w:qFormat/>
    <w:pPr>
      <w:ind w:left="567" w:right="0" w:firstLine="0"/>
      <w:spacing w:after="57"/>
    </w:pPr>
  </w:style>
  <w:style w:type="paragraph" w:styleId="691">
    <w:name w:val="toc 8"/>
    <w:basedOn w:val="672"/>
    <w:next w:val="672"/>
    <w:uiPriority w:val="39"/>
    <w:unhideWhenUsed/>
    <w:qFormat/>
    <w:pPr>
      <w:ind w:left="1984" w:right="0" w:firstLine="0"/>
      <w:spacing w:after="57"/>
    </w:pPr>
  </w:style>
  <w:style w:type="paragraph" w:styleId="692">
    <w:name w:val="endnote text"/>
    <w:basedOn w:val="672"/>
    <w:link w:val="855"/>
    <w:uiPriority w:val="99"/>
    <w:semiHidden/>
    <w:unhideWhenUsed/>
    <w:qFormat/>
    <w:pPr>
      <w:spacing w:after="0" w:line="240" w:lineRule="auto"/>
    </w:pPr>
    <w:rPr>
      <w:sz w:val="20"/>
    </w:rPr>
  </w:style>
  <w:style w:type="paragraph" w:styleId="693">
    <w:name w:val="Footer"/>
    <w:basedOn w:val="672"/>
    <w:link w:val="728"/>
    <w:uiPriority w:val="99"/>
    <w:unhideWhenUsed/>
    <w:qFormat/>
    <w:pPr>
      <w:spacing w:after="0" w:line="240" w:lineRule="auto"/>
      <w:tabs>
        <w:tab w:val="center" w:pos="7143" w:leader="none"/>
        <w:tab w:val="right" w:pos="14287" w:leader="none"/>
      </w:tabs>
    </w:pPr>
  </w:style>
  <w:style w:type="paragraph" w:styleId="694">
    <w:name w:val="Header"/>
    <w:basedOn w:val="672"/>
    <w:link w:val="726"/>
    <w:uiPriority w:val="99"/>
    <w:unhideWhenUsed/>
    <w:qFormat/>
    <w:pPr>
      <w:spacing w:after="0" w:line="240" w:lineRule="auto"/>
      <w:tabs>
        <w:tab w:val="center" w:pos="7143" w:leader="none"/>
        <w:tab w:val="right" w:pos="14287" w:leader="none"/>
      </w:tabs>
    </w:pPr>
  </w:style>
  <w:style w:type="paragraph" w:styleId="695">
    <w:name w:val="toc 1"/>
    <w:basedOn w:val="672"/>
    <w:next w:val="672"/>
    <w:uiPriority w:val="39"/>
    <w:unhideWhenUsed/>
    <w:qFormat/>
    <w:pPr>
      <w:ind w:left="0" w:right="0" w:firstLine="0"/>
      <w:spacing w:after="57"/>
    </w:pPr>
  </w:style>
  <w:style w:type="paragraph" w:styleId="696">
    <w:name w:val="toc 4"/>
    <w:basedOn w:val="672"/>
    <w:next w:val="672"/>
    <w:uiPriority w:val="39"/>
    <w:unhideWhenUsed/>
    <w:qFormat/>
    <w:pPr>
      <w:ind w:left="850" w:right="0" w:firstLine="0"/>
      <w:spacing w:after="57"/>
    </w:pPr>
  </w:style>
  <w:style w:type="paragraph" w:styleId="697">
    <w:name w:val="Subtitle"/>
    <w:basedOn w:val="672"/>
    <w:next w:val="672"/>
    <w:link w:val="721"/>
    <w:uiPriority w:val="11"/>
    <w:qFormat/>
    <w:pPr>
      <w:spacing w:before="200" w:after="200"/>
    </w:pPr>
    <w:rPr>
      <w:sz w:val="24"/>
      <w:szCs w:val="24"/>
    </w:rPr>
  </w:style>
  <w:style w:type="paragraph" w:styleId="698">
    <w:name w:val="footnote text"/>
    <w:basedOn w:val="672"/>
    <w:link w:val="854"/>
    <w:uiPriority w:val="99"/>
    <w:semiHidden/>
    <w:unhideWhenUsed/>
    <w:qFormat/>
    <w:pPr>
      <w:spacing w:after="40" w:line="240" w:lineRule="auto"/>
    </w:pPr>
    <w:rPr>
      <w:sz w:val="18"/>
    </w:rPr>
  </w:style>
  <w:style w:type="paragraph" w:styleId="699">
    <w:name w:val="toc 6"/>
    <w:basedOn w:val="672"/>
    <w:next w:val="672"/>
    <w:uiPriority w:val="39"/>
    <w:unhideWhenUsed/>
    <w:qFormat/>
    <w:pPr>
      <w:ind w:left="1417" w:right="0" w:firstLine="0"/>
      <w:spacing w:after="57"/>
    </w:pPr>
  </w:style>
  <w:style w:type="paragraph" w:styleId="700">
    <w:name w:val="table of figures"/>
    <w:basedOn w:val="672"/>
    <w:next w:val="672"/>
    <w:uiPriority w:val="99"/>
    <w:unhideWhenUsed/>
    <w:qFormat/>
    <w:pPr>
      <w:spacing w:after="0" w:afterAutospacing="0"/>
    </w:pPr>
  </w:style>
  <w:style w:type="paragraph" w:styleId="701">
    <w:name w:val="toc 2"/>
    <w:basedOn w:val="672"/>
    <w:next w:val="672"/>
    <w:uiPriority w:val="39"/>
    <w:unhideWhenUsed/>
    <w:qFormat/>
    <w:pPr>
      <w:ind w:left="283" w:right="0" w:firstLine="0"/>
      <w:spacing w:after="57"/>
    </w:pPr>
  </w:style>
  <w:style w:type="paragraph" w:styleId="702">
    <w:name w:val="toc 9"/>
    <w:basedOn w:val="672"/>
    <w:next w:val="672"/>
    <w:uiPriority w:val="39"/>
    <w:unhideWhenUsed/>
    <w:qFormat/>
    <w:pPr>
      <w:ind w:left="2268" w:right="0" w:firstLine="0"/>
      <w:spacing w:after="57"/>
    </w:pPr>
  </w:style>
  <w:style w:type="paragraph" w:styleId="703">
    <w:name w:val="Title"/>
    <w:basedOn w:val="672"/>
    <w:next w:val="672"/>
    <w:link w:val="720"/>
    <w:uiPriority w:val="10"/>
    <w:qFormat/>
    <w:pPr>
      <w:contextualSpacing/>
      <w:spacing w:before="300" w:after="200"/>
    </w:pPr>
    <w:rPr>
      <w:sz w:val="48"/>
      <w:szCs w:val="48"/>
    </w:rPr>
  </w:style>
  <w:style w:type="paragraph" w:styleId="704">
    <w:name w:val="Body Text First Indent"/>
    <w:basedOn w:val="687"/>
    <w:uiPriority w:val="99"/>
    <w:unhideWhenUsed/>
    <w:qFormat/>
    <w:pPr>
      <w:ind w:firstLine="420"/>
      <w:spacing w:after="120"/>
    </w:pPr>
    <w:rPr>
      <w:sz w:val="21"/>
      <w:szCs w:val="24"/>
    </w:rPr>
  </w:style>
  <w:style w:type="table" w:styleId="7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rPr>
  </w:style>
  <w:style w:type="character" w:styleId="708">
    <w:name w:val="footnote reference"/>
    <w:uiPriority w:val="99"/>
    <w:unhideWhenUsed/>
    <w:qFormat/>
    <w:rPr>
      <w:vertAlign w:val="superscript"/>
    </w:rPr>
  </w:style>
  <w:style w:type="character" w:styleId="709" w:customStyle="1">
    <w:name w:val="Heading 1 Char"/>
    <w:link w:val="673"/>
    <w:uiPriority w:val="9"/>
    <w:qFormat/>
    <w:rPr>
      <w:rFonts w:ascii="Arial" w:hAnsi="Arial" w:eastAsia="Arial" w:cs="Arial"/>
      <w:sz w:val="40"/>
      <w:szCs w:val="40"/>
    </w:rPr>
  </w:style>
  <w:style w:type="character" w:styleId="710" w:customStyle="1">
    <w:name w:val="Heading 2 Char"/>
    <w:link w:val="674"/>
    <w:uiPriority w:val="9"/>
    <w:qFormat/>
    <w:rPr>
      <w:rFonts w:ascii="Arial" w:hAnsi="Arial" w:eastAsia="Arial" w:cs="Arial"/>
      <w:sz w:val="34"/>
    </w:rPr>
  </w:style>
  <w:style w:type="character" w:styleId="711" w:customStyle="1">
    <w:name w:val="Heading 3 Char"/>
    <w:link w:val="675"/>
    <w:uiPriority w:val="9"/>
    <w:qFormat/>
    <w:rPr>
      <w:rFonts w:ascii="Arial" w:hAnsi="Arial" w:eastAsia="Arial" w:cs="Arial"/>
      <w:sz w:val="30"/>
      <w:szCs w:val="30"/>
    </w:rPr>
  </w:style>
  <w:style w:type="character" w:styleId="712" w:customStyle="1">
    <w:name w:val="Heading 4 Char"/>
    <w:link w:val="676"/>
    <w:uiPriority w:val="9"/>
    <w:qFormat/>
    <w:rPr>
      <w:rFonts w:ascii="Arial" w:hAnsi="Arial" w:eastAsia="Arial" w:cs="Arial"/>
      <w:b/>
      <w:bCs/>
      <w:sz w:val="26"/>
      <w:szCs w:val="26"/>
    </w:rPr>
  </w:style>
  <w:style w:type="character" w:styleId="713" w:customStyle="1">
    <w:name w:val="Heading 5 Char"/>
    <w:link w:val="677"/>
    <w:uiPriority w:val="9"/>
    <w:qFormat/>
    <w:rPr>
      <w:rFonts w:ascii="Arial" w:hAnsi="Arial" w:eastAsia="Arial" w:cs="Arial"/>
      <w:b/>
      <w:bCs/>
      <w:sz w:val="24"/>
      <w:szCs w:val="24"/>
    </w:rPr>
  </w:style>
  <w:style w:type="character" w:styleId="714" w:customStyle="1">
    <w:name w:val="Heading 6 Char"/>
    <w:link w:val="678"/>
    <w:uiPriority w:val="9"/>
    <w:qFormat/>
    <w:rPr>
      <w:rFonts w:ascii="Arial" w:hAnsi="Arial" w:eastAsia="Arial" w:cs="Arial"/>
      <w:b/>
      <w:bCs/>
      <w:sz w:val="22"/>
      <w:szCs w:val="22"/>
    </w:rPr>
  </w:style>
  <w:style w:type="character" w:styleId="715" w:customStyle="1">
    <w:name w:val="Heading 7 Char"/>
    <w:link w:val="679"/>
    <w:uiPriority w:val="9"/>
    <w:qFormat/>
    <w:rPr>
      <w:rFonts w:ascii="Arial" w:hAnsi="Arial" w:eastAsia="Arial" w:cs="Arial"/>
      <w:b/>
      <w:bCs/>
      <w:i/>
      <w:iCs/>
      <w:sz w:val="22"/>
      <w:szCs w:val="22"/>
    </w:rPr>
  </w:style>
  <w:style w:type="character" w:styleId="716" w:customStyle="1">
    <w:name w:val="Heading 8 Char"/>
    <w:link w:val="680"/>
    <w:uiPriority w:val="9"/>
    <w:qFormat/>
    <w:rPr>
      <w:rFonts w:ascii="Arial" w:hAnsi="Arial" w:eastAsia="Arial" w:cs="Arial"/>
      <w:i/>
      <w:iCs/>
      <w:sz w:val="22"/>
      <w:szCs w:val="22"/>
    </w:rPr>
  </w:style>
  <w:style w:type="character" w:styleId="717" w:customStyle="1">
    <w:name w:val="Heading 9 Char"/>
    <w:link w:val="681"/>
    <w:uiPriority w:val="9"/>
    <w:qFormat/>
    <w:rPr>
      <w:rFonts w:ascii="Arial" w:hAnsi="Arial" w:eastAsia="Arial" w:cs="Arial"/>
      <w:i/>
      <w:iCs/>
      <w:sz w:val="21"/>
      <w:szCs w:val="21"/>
    </w:rPr>
  </w:style>
  <w:style w:type="paragraph" w:styleId="718">
    <w:name w:val="List Paragraph"/>
    <w:basedOn w:val="672"/>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3"/>
    <w:uiPriority w:val="10"/>
    <w:qFormat/>
    <w:rPr>
      <w:sz w:val="48"/>
      <w:szCs w:val="48"/>
    </w:rPr>
  </w:style>
  <w:style w:type="character" w:styleId="721" w:customStyle="1">
    <w:name w:val="Subtitle Char"/>
    <w:link w:val="697"/>
    <w:uiPriority w:val="11"/>
    <w:qFormat/>
    <w:rPr>
      <w:sz w:val="24"/>
      <w:szCs w:val="24"/>
    </w:rPr>
  </w:style>
  <w:style w:type="paragraph" w:styleId="722">
    <w:name w:val="Quote"/>
    <w:basedOn w:val="672"/>
    <w:next w:val="672"/>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72"/>
    <w:next w:val="672"/>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4"/>
    <w:uiPriority w:val="99"/>
    <w:qFormat/>
  </w:style>
  <w:style w:type="character" w:styleId="727" w:customStyle="1">
    <w:name w:val="Footer Char"/>
    <w:link w:val="693"/>
    <w:uiPriority w:val="99"/>
    <w:qFormat/>
  </w:style>
  <w:style w:type="character" w:styleId="728" w:customStyle="1">
    <w:name w:val="Caption Char"/>
    <w:link w:val="693"/>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8"/>
    <w:uiPriority w:val="99"/>
    <w:qFormat/>
    <w:rPr>
      <w:sz w:val="18"/>
    </w:rPr>
  </w:style>
  <w:style w:type="character" w:styleId="855" w:customStyle="1">
    <w:name w:val="Endnote Text Char"/>
    <w:link w:val="692"/>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1"/>
    <w:basedOn w:val="672"/>
    <w:next w:val="672"/>
    <w:link w:val="869"/>
    <w:uiPriority w:val="0"/>
    <w:qFormat/>
    <w:pPr>
      <w:jc w:val="center"/>
      <w:keepNext/>
      <w:outlineLvl w:val="0"/>
    </w:pPr>
    <w:rPr>
      <w:rFonts w:ascii="楷体_GB2312" w:eastAsia="楷体_GB2312"/>
      <w:sz w:val="28"/>
      <w:szCs w:val="28"/>
    </w:rPr>
  </w:style>
  <w:style w:type="paragraph" w:styleId="858" w:customStyle="1">
    <w:name w:val="标题 21"/>
    <w:basedOn w:val="672"/>
    <w:next w:val="859"/>
    <w:link w:val="870"/>
    <w:uiPriority w:val="0"/>
    <w:qFormat/>
    <w:pPr>
      <w:jc w:val="center"/>
      <w:keepLines/>
      <w:keepNext/>
      <w:spacing w:before="260" w:after="260" w:line="416" w:lineRule="auto"/>
      <w:outlineLvl w:val="1"/>
    </w:pPr>
    <w:rPr>
      <w:rFonts w:ascii="Arial" w:hAnsi="Arial" w:eastAsia="幼圆"/>
      <w:b/>
      <w:bCs/>
      <w:sz w:val="44"/>
      <w:szCs w:val="44"/>
    </w:rPr>
  </w:style>
  <w:style w:type="paragraph" w:styleId="859" w:customStyle="1">
    <w:name w:val="正文缩进1"/>
    <w:basedOn w:val="672"/>
    <w:link w:val="871"/>
    <w:uiPriority w:val="0"/>
    <w:qFormat/>
    <w:pPr>
      <w:ind w:firstLine="420"/>
    </w:pPr>
    <w:rPr>
      <w:sz w:val="20"/>
    </w:rPr>
  </w:style>
  <w:style w:type="paragraph" w:styleId="860" w:customStyle="1">
    <w:name w:val="标题 31"/>
    <w:basedOn w:val="672"/>
    <w:next w:val="859"/>
    <w:link w:val="872"/>
    <w:uiPriority w:val="0"/>
    <w:qFormat/>
    <w:pPr>
      <w:keepLines/>
      <w:keepNext/>
      <w:spacing w:before="260" w:after="260" w:line="416" w:lineRule="auto"/>
      <w:outlineLvl w:val="2"/>
    </w:pPr>
    <w:rPr>
      <w:b/>
      <w:bCs/>
      <w:sz w:val="32"/>
      <w:szCs w:val="32"/>
    </w:rPr>
  </w:style>
  <w:style w:type="paragraph" w:styleId="861" w:customStyle="1">
    <w:name w:val="标题 41"/>
    <w:basedOn w:val="672"/>
    <w:next w:val="859"/>
    <w:link w:val="873"/>
    <w:uiPriority w:val="0"/>
    <w:qFormat/>
    <w:pPr>
      <w:keepLines/>
      <w:keepNext/>
      <w:spacing w:before="280" w:after="290" w:line="376" w:lineRule="auto"/>
      <w:outlineLvl w:val="3"/>
    </w:pPr>
    <w:rPr>
      <w:rFonts w:ascii="Arial" w:hAnsi="Arial" w:eastAsia="黑体"/>
      <w:b/>
      <w:bCs/>
      <w:sz w:val="28"/>
      <w:szCs w:val="28"/>
    </w:rPr>
  </w:style>
  <w:style w:type="paragraph" w:styleId="862" w:customStyle="1">
    <w:name w:val="标题 51"/>
    <w:basedOn w:val="672"/>
    <w:next w:val="859"/>
    <w:link w:val="874"/>
    <w:uiPriority w:val="0"/>
    <w:qFormat/>
    <w:pPr>
      <w:keepNext/>
      <w:outlineLvl w:val="4"/>
    </w:pPr>
    <w:rPr>
      <w:rFonts w:ascii="宋体"/>
      <w:color w:val="000000"/>
      <w:sz w:val="28"/>
      <w:szCs w:val="28"/>
    </w:rPr>
  </w:style>
  <w:style w:type="paragraph" w:styleId="863" w:customStyle="1">
    <w:name w:val="标题 61"/>
    <w:basedOn w:val="672"/>
    <w:next w:val="672"/>
    <w:link w:val="87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4" w:customStyle="1">
    <w:name w:val="标题 71"/>
    <w:basedOn w:val="672"/>
    <w:next w:val="672"/>
    <w:link w:val="876"/>
    <w:uiPriority w:val="0"/>
    <w:qFormat/>
    <w:pPr>
      <w:numPr>
        <w:ilvl w:val="6"/>
        <w:numId w:val="1"/>
      </w:numPr>
      <w:keepLines/>
      <w:keepNext/>
      <w:spacing w:before="240" w:after="64" w:line="320" w:lineRule="auto"/>
      <w:outlineLvl w:val="6"/>
    </w:pPr>
    <w:rPr>
      <w:b/>
      <w:bCs/>
      <w:sz w:val="24"/>
      <w:szCs w:val="24"/>
    </w:rPr>
  </w:style>
  <w:style w:type="paragraph" w:styleId="865" w:customStyle="1">
    <w:name w:val="标题 81"/>
    <w:basedOn w:val="672"/>
    <w:next w:val="672"/>
    <w:link w:val="87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6" w:customStyle="1">
    <w:name w:val="标题 91"/>
    <w:basedOn w:val="672"/>
    <w:next w:val="672"/>
    <w:link w:val="878"/>
    <w:uiPriority w:val="0"/>
    <w:qFormat/>
    <w:pPr>
      <w:numPr>
        <w:ilvl w:val="8"/>
        <w:numId w:val="1"/>
      </w:numPr>
      <w:keepLines/>
      <w:keepNext/>
      <w:spacing w:before="240" w:after="64" w:line="320" w:lineRule="auto"/>
      <w:outlineLvl w:val="8"/>
    </w:pPr>
    <w:rPr>
      <w:rFonts w:ascii="Arial" w:hAnsi="Arial" w:eastAsia="黑体"/>
      <w:sz w:val="20"/>
    </w:rPr>
  </w:style>
  <w:style w:type="character" w:styleId="867" w:customStyle="1">
    <w:name w:val="默认段落字体1"/>
    <w:link w:val="672"/>
    <w:uiPriority w:val="1"/>
    <w:unhideWhenUsed/>
    <w:qFormat/>
  </w:style>
  <w:style w:type="table" w:styleId="868" w:customStyle="1">
    <w:name w:val="普通表格11"/>
    <w:uiPriority w:val="99"/>
    <w:unhideWhenUsed/>
    <w:qFormat/>
    <w:tblPr/>
  </w:style>
  <w:style w:type="character" w:styleId="869" w:customStyle="1">
    <w:name w:val="标题 1 Char"/>
    <w:link w:val="857"/>
    <w:uiPriority w:val="0"/>
    <w:qFormat/>
    <w:rPr>
      <w:rFonts w:ascii="楷体_GB2312" w:hAnsi="Times New Roman" w:eastAsia="楷体_GB2312" w:cs="Times New Roman"/>
      <w:sz w:val="28"/>
      <w:szCs w:val="28"/>
    </w:rPr>
  </w:style>
  <w:style w:type="character" w:styleId="870" w:customStyle="1">
    <w:name w:val="标题 2 Char"/>
    <w:link w:val="858"/>
    <w:uiPriority w:val="0"/>
    <w:qFormat/>
    <w:rPr>
      <w:rFonts w:ascii="Arial" w:hAnsi="Arial" w:eastAsia="幼圆" w:cs="Arial"/>
      <w:b/>
      <w:bCs/>
      <w:sz w:val="44"/>
      <w:szCs w:val="44"/>
    </w:rPr>
  </w:style>
  <w:style w:type="character" w:styleId="871" w:customStyle="1">
    <w:name w:val="正文缩进 Char"/>
    <w:link w:val="859"/>
    <w:uiPriority w:val="0"/>
    <w:qFormat/>
    <w:rPr>
      <w:rFonts w:ascii="Times New Roman" w:hAnsi="Times New Roman" w:eastAsia="宋体" w:cs="Times New Roman"/>
      <w:szCs w:val="21"/>
    </w:rPr>
  </w:style>
  <w:style w:type="character" w:styleId="872" w:customStyle="1">
    <w:name w:val="标题 3 Char"/>
    <w:link w:val="860"/>
    <w:uiPriority w:val="0"/>
    <w:qFormat/>
    <w:rPr>
      <w:rFonts w:ascii="Times New Roman" w:hAnsi="Times New Roman" w:eastAsia="宋体" w:cs="Times New Roman"/>
      <w:b/>
      <w:bCs/>
      <w:sz w:val="32"/>
      <w:szCs w:val="32"/>
    </w:rPr>
  </w:style>
  <w:style w:type="character" w:styleId="873" w:customStyle="1">
    <w:name w:val="标题 4 Char"/>
    <w:link w:val="861"/>
    <w:uiPriority w:val="0"/>
    <w:qFormat/>
    <w:rPr>
      <w:rFonts w:ascii="Arial" w:hAnsi="Arial" w:eastAsia="黑体" w:cs="Arial"/>
      <w:b/>
      <w:bCs/>
      <w:sz w:val="28"/>
      <w:szCs w:val="28"/>
    </w:rPr>
  </w:style>
  <w:style w:type="character" w:styleId="874" w:customStyle="1">
    <w:name w:val="标题 5 Char"/>
    <w:link w:val="862"/>
    <w:uiPriority w:val="0"/>
    <w:qFormat/>
    <w:rPr>
      <w:rFonts w:ascii="宋体" w:hAnsi="Times New Roman" w:eastAsia="宋体" w:cs="Times New Roman"/>
      <w:color w:val="000000"/>
      <w:sz w:val="28"/>
      <w:szCs w:val="28"/>
    </w:rPr>
  </w:style>
  <w:style w:type="character" w:styleId="875" w:customStyle="1">
    <w:name w:val="标题 6 Char"/>
    <w:link w:val="863"/>
    <w:uiPriority w:val="0"/>
    <w:qFormat/>
    <w:rPr>
      <w:rFonts w:ascii="Arial" w:hAnsi="Arial" w:eastAsia="黑体" w:cs="Times New Roman"/>
      <w:b/>
      <w:bCs/>
      <w:sz w:val="24"/>
      <w:szCs w:val="24"/>
    </w:rPr>
  </w:style>
  <w:style w:type="character" w:styleId="876" w:customStyle="1">
    <w:name w:val="标题 7 Char"/>
    <w:link w:val="864"/>
    <w:uiPriority w:val="0"/>
    <w:qFormat/>
    <w:rPr>
      <w:rFonts w:ascii="Times New Roman" w:hAnsi="Times New Roman" w:eastAsia="宋体" w:cs="Times New Roman"/>
      <w:b/>
      <w:bCs/>
      <w:sz w:val="24"/>
      <w:szCs w:val="24"/>
    </w:rPr>
  </w:style>
  <w:style w:type="character" w:styleId="877" w:customStyle="1">
    <w:name w:val="标题 8 Char"/>
    <w:link w:val="865"/>
    <w:uiPriority w:val="0"/>
    <w:qFormat/>
    <w:rPr>
      <w:rFonts w:ascii="Arial" w:hAnsi="Arial" w:eastAsia="黑体" w:cs="Times New Roman"/>
      <w:sz w:val="24"/>
      <w:szCs w:val="24"/>
    </w:rPr>
  </w:style>
  <w:style w:type="character" w:styleId="878" w:customStyle="1">
    <w:name w:val="标题 9 Char"/>
    <w:link w:val="866"/>
    <w:uiPriority w:val="0"/>
    <w:qFormat/>
    <w:rPr>
      <w:rFonts w:ascii="Arial" w:hAnsi="Arial" w:eastAsia="黑体" w:cs="Times New Roman"/>
      <w:szCs w:val="21"/>
    </w:rPr>
  </w:style>
  <w:style w:type="paragraph" w:styleId="879" w:customStyle="1">
    <w:name w:val="列表 31"/>
    <w:basedOn w:val="672"/>
    <w:uiPriority w:val="0"/>
    <w:qFormat/>
    <w:pPr>
      <w:ind w:left="100" w:hanging="200"/>
    </w:pPr>
  </w:style>
  <w:style w:type="paragraph" w:styleId="880" w:customStyle="1">
    <w:name w:val="目录 71"/>
    <w:basedOn w:val="672"/>
    <w:next w:val="672"/>
    <w:uiPriority w:val="0"/>
    <w:semiHidden/>
    <w:qFormat/>
    <w:pPr>
      <w:ind w:left="1260"/>
      <w:jc w:val="left"/>
    </w:pPr>
  </w:style>
  <w:style w:type="paragraph" w:styleId="881" w:customStyle="1">
    <w:name w:val="文档结构图1"/>
    <w:basedOn w:val="672"/>
    <w:link w:val="882"/>
    <w:uiPriority w:val="0"/>
    <w:semiHidden/>
    <w:qFormat/>
    <w:pPr>
      <w:shd w:val="clear" w:color="auto" w:fill="000080"/>
    </w:pPr>
    <w:rPr>
      <w:sz w:val="20"/>
    </w:rPr>
  </w:style>
  <w:style w:type="character" w:styleId="882" w:customStyle="1">
    <w:name w:val="文档结构图 Char"/>
    <w:link w:val="881"/>
    <w:uiPriority w:val="0"/>
    <w:semiHidden/>
    <w:qFormat/>
    <w:rPr>
      <w:rFonts w:ascii="Times New Roman" w:hAnsi="Times New Roman" w:eastAsia="宋体" w:cs="Times New Roman"/>
      <w:szCs w:val="21"/>
      <w:shd w:val="clear" w:color="auto" w:fill="000080"/>
    </w:rPr>
  </w:style>
  <w:style w:type="paragraph" w:styleId="883" w:customStyle="1">
    <w:name w:val="批注文字1"/>
    <w:basedOn w:val="672"/>
    <w:link w:val="884"/>
    <w:uiPriority w:val="0"/>
    <w:semiHidden/>
    <w:qFormat/>
    <w:pPr>
      <w:jc w:val="left"/>
    </w:pPr>
    <w:rPr>
      <w:sz w:val="20"/>
    </w:rPr>
  </w:style>
  <w:style w:type="character" w:styleId="884" w:customStyle="1">
    <w:name w:val="批注文字 Char"/>
    <w:link w:val="883"/>
    <w:uiPriority w:val="0"/>
    <w:semiHidden/>
    <w:qFormat/>
    <w:rPr>
      <w:rFonts w:ascii="Times New Roman" w:hAnsi="Times New Roman" w:eastAsia="宋体" w:cs="Times New Roman"/>
      <w:szCs w:val="21"/>
    </w:rPr>
  </w:style>
  <w:style w:type="paragraph" w:styleId="885" w:customStyle="1">
    <w:name w:val="正文文本 31"/>
    <w:basedOn w:val="672"/>
    <w:link w:val="886"/>
    <w:uiPriority w:val="0"/>
    <w:qFormat/>
    <w:rPr>
      <w:rFonts w:ascii="仿宋_GB2312" w:hAnsi="Arial" w:eastAsia="仿宋_GB2312"/>
      <w:sz w:val="32"/>
      <w:szCs w:val="32"/>
    </w:rPr>
  </w:style>
  <w:style w:type="character" w:styleId="886" w:customStyle="1">
    <w:name w:val="正文文本 3 Char"/>
    <w:link w:val="885"/>
    <w:uiPriority w:val="0"/>
    <w:qFormat/>
    <w:rPr>
      <w:rFonts w:ascii="仿宋_GB2312" w:hAnsi="Arial" w:eastAsia="仿宋_GB2312" w:cs="Times New Roman"/>
      <w:sz w:val="32"/>
      <w:szCs w:val="32"/>
    </w:rPr>
  </w:style>
  <w:style w:type="paragraph" w:styleId="887" w:customStyle="1">
    <w:name w:val="正文文本1"/>
    <w:basedOn w:val="672"/>
    <w:link w:val="888"/>
    <w:uiPriority w:val="0"/>
    <w:qFormat/>
    <w:rPr>
      <w:rFonts w:ascii="楷体_GB2312" w:hAnsi="Arial" w:eastAsia="楷体_GB2312"/>
      <w:sz w:val="28"/>
      <w:szCs w:val="28"/>
    </w:rPr>
  </w:style>
  <w:style w:type="character" w:styleId="888" w:customStyle="1">
    <w:name w:val="正文文本 Char"/>
    <w:link w:val="887"/>
    <w:uiPriority w:val="0"/>
    <w:qFormat/>
    <w:rPr>
      <w:rFonts w:ascii="楷体_GB2312" w:hAnsi="Arial" w:eastAsia="楷体_GB2312" w:cs="Times New Roman"/>
      <w:sz w:val="28"/>
      <w:szCs w:val="28"/>
    </w:rPr>
  </w:style>
  <w:style w:type="paragraph" w:styleId="889" w:customStyle="1">
    <w:name w:val="正文文本缩进1"/>
    <w:basedOn w:val="672"/>
    <w:link w:val="890"/>
    <w:uiPriority w:val="0"/>
    <w:qFormat/>
    <w:pPr>
      <w:ind w:firstLine="645"/>
    </w:pPr>
    <w:rPr>
      <w:rFonts w:ascii="楷体_GB2312" w:eastAsia="楷体_GB2312"/>
      <w:sz w:val="32"/>
      <w:szCs w:val="32"/>
    </w:rPr>
  </w:style>
  <w:style w:type="character" w:styleId="890" w:customStyle="1">
    <w:name w:val="正文文本缩进 Char"/>
    <w:link w:val="889"/>
    <w:uiPriority w:val="0"/>
    <w:qFormat/>
    <w:rPr>
      <w:rFonts w:ascii="楷体_GB2312" w:hAnsi="Times New Roman" w:eastAsia="楷体_GB2312" w:cs="Times New Roman"/>
      <w:sz w:val="32"/>
      <w:szCs w:val="32"/>
    </w:rPr>
  </w:style>
  <w:style w:type="paragraph" w:styleId="891" w:customStyle="1">
    <w:name w:val="列表 21"/>
    <w:basedOn w:val="672"/>
    <w:uiPriority w:val="0"/>
    <w:qFormat/>
    <w:pPr>
      <w:ind w:left="100" w:hanging="200"/>
    </w:pPr>
  </w:style>
  <w:style w:type="paragraph" w:styleId="892" w:customStyle="1">
    <w:name w:val="目录 51"/>
    <w:basedOn w:val="672"/>
    <w:next w:val="672"/>
    <w:uiPriority w:val="0"/>
    <w:semiHidden/>
    <w:qFormat/>
    <w:pPr>
      <w:ind w:left="840"/>
      <w:jc w:val="left"/>
    </w:pPr>
  </w:style>
  <w:style w:type="paragraph" w:styleId="893" w:customStyle="1">
    <w:name w:val="目录 31"/>
    <w:basedOn w:val="672"/>
    <w:next w:val="672"/>
    <w:uiPriority w:val="0"/>
    <w:semiHidden/>
    <w:qFormat/>
    <w:pPr>
      <w:ind w:left="420"/>
      <w:jc w:val="left"/>
    </w:pPr>
    <w:rPr>
      <w:i/>
      <w:iCs/>
      <w:szCs w:val="24"/>
    </w:rPr>
  </w:style>
  <w:style w:type="paragraph" w:styleId="894" w:customStyle="1">
    <w:name w:val="纯文本1"/>
    <w:basedOn w:val="672"/>
    <w:link w:val="895"/>
    <w:uiPriority w:val="0"/>
    <w:qFormat/>
    <w:rPr>
      <w:rFonts w:ascii="宋体" w:hAnsi="Courier New"/>
      <w:sz w:val="20"/>
    </w:rPr>
  </w:style>
  <w:style w:type="character" w:styleId="895" w:customStyle="1">
    <w:name w:val="纯文本 Char"/>
    <w:link w:val="894"/>
    <w:uiPriority w:val="0"/>
    <w:qFormat/>
    <w:rPr>
      <w:rFonts w:ascii="宋体" w:hAnsi="Courier New" w:eastAsia="宋体" w:cs="Courier New"/>
      <w:szCs w:val="21"/>
    </w:rPr>
  </w:style>
  <w:style w:type="paragraph" w:styleId="896" w:customStyle="1">
    <w:name w:val="目录 81"/>
    <w:basedOn w:val="672"/>
    <w:next w:val="672"/>
    <w:uiPriority w:val="0"/>
    <w:semiHidden/>
    <w:qFormat/>
    <w:pPr>
      <w:ind w:left="1470"/>
      <w:jc w:val="left"/>
    </w:pPr>
  </w:style>
  <w:style w:type="paragraph" w:styleId="897" w:customStyle="1">
    <w:name w:val="日期1"/>
    <w:basedOn w:val="672"/>
    <w:next w:val="672"/>
    <w:link w:val="898"/>
    <w:uiPriority w:val="0"/>
    <w:qFormat/>
    <w:rPr>
      <w:sz w:val="24"/>
      <w:szCs w:val="24"/>
    </w:rPr>
  </w:style>
  <w:style w:type="character" w:styleId="898" w:customStyle="1">
    <w:name w:val="日期 Char"/>
    <w:link w:val="897"/>
    <w:uiPriority w:val="0"/>
    <w:qFormat/>
    <w:rPr>
      <w:rFonts w:ascii="Times New Roman" w:hAnsi="Times New Roman" w:eastAsia="宋体" w:cs="Times New Roman"/>
      <w:sz w:val="24"/>
      <w:szCs w:val="24"/>
    </w:rPr>
  </w:style>
  <w:style w:type="paragraph" w:styleId="899" w:customStyle="1">
    <w:name w:val="正文文本缩进 21"/>
    <w:basedOn w:val="672"/>
    <w:link w:val="900"/>
    <w:uiPriority w:val="0"/>
    <w:qFormat/>
    <w:pPr>
      <w:ind w:left="630" w:firstLine="645"/>
    </w:pPr>
    <w:rPr>
      <w:rFonts w:ascii="Arial" w:hAnsi="Arial" w:eastAsia="仿宋_GB2312"/>
      <w:sz w:val="32"/>
      <w:szCs w:val="32"/>
    </w:rPr>
  </w:style>
  <w:style w:type="character" w:styleId="900" w:customStyle="1">
    <w:name w:val="正文文本缩进 2 Char"/>
    <w:link w:val="899"/>
    <w:uiPriority w:val="0"/>
    <w:qFormat/>
    <w:rPr>
      <w:rFonts w:ascii="Arial" w:hAnsi="Arial" w:eastAsia="仿宋_GB2312" w:cs="Arial"/>
      <w:sz w:val="32"/>
      <w:szCs w:val="32"/>
    </w:rPr>
  </w:style>
  <w:style w:type="paragraph" w:styleId="901" w:customStyle="1">
    <w:name w:val="批注框文本1"/>
    <w:basedOn w:val="672"/>
    <w:link w:val="902"/>
    <w:uiPriority w:val="0"/>
    <w:semiHidden/>
    <w:qFormat/>
    <w:rPr>
      <w:sz w:val="18"/>
      <w:szCs w:val="18"/>
    </w:rPr>
  </w:style>
  <w:style w:type="character" w:styleId="902" w:customStyle="1">
    <w:name w:val="批注框文本 Char"/>
    <w:link w:val="901"/>
    <w:uiPriority w:val="0"/>
    <w:semiHidden/>
    <w:qFormat/>
    <w:rPr>
      <w:rFonts w:ascii="Times New Roman" w:hAnsi="Times New Roman" w:eastAsia="宋体" w:cs="Times New Roman"/>
      <w:sz w:val="18"/>
      <w:szCs w:val="18"/>
    </w:rPr>
  </w:style>
  <w:style w:type="paragraph" w:styleId="903" w:customStyle="1">
    <w:name w:val="页脚1"/>
    <w:basedOn w:val="672"/>
    <w:link w:val="904"/>
    <w:uiPriority w:val="0"/>
    <w:qFormat/>
    <w:pPr>
      <w:jc w:val="left"/>
      <w:tabs>
        <w:tab w:val="center" w:pos="4153" w:leader="none"/>
        <w:tab w:val="right" w:pos="8306" w:leader="none"/>
      </w:tabs>
    </w:pPr>
    <w:rPr>
      <w:sz w:val="18"/>
      <w:szCs w:val="18"/>
    </w:rPr>
  </w:style>
  <w:style w:type="character" w:styleId="904" w:customStyle="1">
    <w:name w:val="页脚 Char"/>
    <w:link w:val="903"/>
    <w:uiPriority w:val="0"/>
    <w:qFormat/>
    <w:rPr>
      <w:rFonts w:ascii="Times New Roman" w:hAnsi="Times New Roman" w:eastAsia="宋体" w:cs="Times New Roman"/>
      <w:sz w:val="18"/>
      <w:szCs w:val="18"/>
    </w:rPr>
  </w:style>
  <w:style w:type="paragraph" w:styleId="905" w:customStyle="1">
    <w:name w:val="页眉1"/>
    <w:basedOn w:val="672"/>
    <w:link w:val="906"/>
    <w:uiPriority w:val="99"/>
    <w:qFormat/>
    <w:pPr>
      <w:jc w:val="center"/>
      <w:tabs>
        <w:tab w:val="center" w:pos="4153" w:leader="none"/>
        <w:tab w:val="right" w:pos="8306" w:leader="none"/>
      </w:tabs>
      <w:pBdr>
        <w:bottom w:val="single" w:color="000000" w:sz="6" w:space="1"/>
      </w:pBdr>
    </w:pPr>
    <w:rPr>
      <w:sz w:val="18"/>
      <w:szCs w:val="18"/>
    </w:rPr>
  </w:style>
  <w:style w:type="character" w:styleId="906" w:customStyle="1">
    <w:name w:val="页眉 Char"/>
    <w:link w:val="905"/>
    <w:uiPriority w:val="99"/>
    <w:qFormat/>
    <w:rPr>
      <w:rFonts w:ascii="Times New Roman" w:hAnsi="Times New Roman" w:eastAsia="宋体" w:cs="Times New Roman"/>
      <w:sz w:val="18"/>
      <w:szCs w:val="18"/>
    </w:rPr>
  </w:style>
  <w:style w:type="paragraph" w:styleId="907" w:customStyle="1">
    <w:name w:val="目录 1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908" w:customStyle="1">
    <w:name w:val="目录 41"/>
    <w:basedOn w:val="672"/>
    <w:next w:val="672"/>
    <w:uiPriority w:val="0"/>
    <w:semiHidden/>
    <w:qFormat/>
    <w:pPr>
      <w:ind w:left="630"/>
      <w:jc w:val="left"/>
    </w:pPr>
  </w:style>
  <w:style w:type="paragraph" w:styleId="909" w:customStyle="1">
    <w:name w:val="列表1"/>
    <w:basedOn w:val="672"/>
    <w:uiPriority w:val="0"/>
    <w:qFormat/>
    <w:pPr>
      <w:ind w:left="200" w:hanging="200"/>
    </w:pPr>
  </w:style>
  <w:style w:type="paragraph" w:styleId="910" w:customStyle="1">
    <w:name w:val="目录 61"/>
    <w:basedOn w:val="672"/>
    <w:next w:val="672"/>
    <w:uiPriority w:val="0"/>
    <w:semiHidden/>
    <w:qFormat/>
    <w:pPr>
      <w:ind w:left="1050"/>
      <w:jc w:val="left"/>
    </w:pPr>
  </w:style>
  <w:style w:type="paragraph" w:styleId="911" w:customStyle="1">
    <w:name w:val="正文文本缩进 31"/>
    <w:basedOn w:val="672"/>
    <w:link w:val="912"/>
    <w:uiPriority w:val="0"/>
    <w:qFormat/>
    <w:pPr>
      <w:ind w:left="645" w:firstLine="645"/>
    </w:pPr>
    <w:rPr>
      <w:rFonts w:ascii="Arial" w:hAnsi="Arial" w:eastAsia="仿宋_GB2312"/>
      <w:color w:val="ffff00"/>
      <w:sz w:val="32"/>
      <w:szCs w:val="32"/>
    </w:rPr>
  </w:style>
  <w:style w:type="character" w:styleId="912" w:customStyle="1">
    <w:name w:val="正文文本缩进 3 Char"/>
    <w:link w:val="911"/>
    <w:uiPriority w:val="0"/>
    <w:qFormat/>
    <w:rPr>
      <w:rFonts w:ascii="Arial" w:hAnsi="Arial" w:eastAsia="仿宋_GB2312" w:cs="Arial"/>
      <w:color w:val="ffff00"/>
      <w:sz w:val="32"/>
      <w:szCs w:val="32"/>
    </w:rPr>
  </w:style>
  <w:style w:type="paragraph" w:styleId="913" w:customStyle="1">
    <w:name w:val="图表目录1"/>
    <w:basedOn w:val="672"/>
    <w:next w:val="672"/>
    <w:uiPriority w:val="0"/>
    <w:semiHidden/>
    <w:qFormat/>
    <w:pPr>
      <w:ind w:left="840" w:hanging="420"/>
    </w:pPr>
  </w:style>
  <w:style w:type="paragraph" w:styleId="914" w:customStyle="1">
    <w:name w:val="目录 21"/>
    <w:basedOn w:val="672"/>
    <w:next w:val="672"/>
    <w:uiPriority w:val="0"/>
    <w:semiHidden/>
    <w:qFormat/>
    <w:pPr>
      <w:ind w:left="210"/>
      <w:jc w:val="left"/>
    </w:pPr>
    <w:rPr>
      <w:smallCaps/>
      <w:szCs w:val="24"/>
    </w:rPr>
  </w:style>
  <w:style w:type="paragraph" w:styleId="915" w:customStyle="1">
    <w:name w:val="目录 91"/>
    <w:basedOn w:val="672"/>
    <w:next w:val="672"/>
    <w:uiPriority w:val="0"/>
    <w:semiHidden/>
    <w:qFormat/>
    <w:pPr>
      <w:ind w:left="1680"/>
      <w:jc w:val="left"/>
    </w:pPr>
  </w:style>
  <w:style w:type="paragraph" w:styleId="916" w:customStyle="1">
    <w:name w:val="正文文本 21"/>
    <w:basedOn w:val="672"/>
    <w:link w:val="917"/>
    <w:uiPriority w:val="0"/>
    <w:qFormat/>
    <w:pPr>
      <w:jc w:val="center"/>
      <w:widowControl/>
    </w:pPr>
    <w:rPr>
      <w:rFonts w:ascii="楷体_GB2312" w:eastAsia="楷体_GB2312"/>
      <w:sz w:val="28"/>
      <w:szCs w:val="28"/>
    </w:rPr>
  </w:style>
  <w:style w:type="character" w:styleId="917" w:customStyle="1">
    <w:name w:val="正文文本 2 Char"/>
    <w:link w:val="916"/>
    <w:uiPriority w:val="0"/>
    <w:qFormat/>
    <w:rPr>
      <w:rFonts w:ascii="楷体_GB2312" w:hAnsi="Times New Roman" w:eastAsia="楷体_GB2312" w:cs="Times New Roman"/>
      <w:sz w:val="28"/>
      <w:szCs w:val="28"/>
    </w:rPr>
  </w:style>
  <w:style w:type="paragraph" w:styleId="918" w:customStyle="1">
    <w:name w:val="HTML 预设格式1"/>
    <w:basedOn w:val="672"/>
    <w:link w:val="9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19" w:customStyle="1">
    <w:name w:val="HTML 预设格式 Char"/>
    <w:basedOn w:val="867"/>
    <w:link w:val="918"/>
    <w:uiPriority w:val="99"/>
    <w:semiHidden/>
    <w:qFormat/>
    <w:rPr>
      <w:rFonts w:ascii="宋体" w:hAnsi="宋体" w:cs="宋体"/>
      <w:sz w:val="24"/>
      <w:szCs w:val="24"/>
    </w:rPr>
  </w:style>
  <w:style w:type="paragraph" w:styleId="920" w:customStyle="1">
    <w:name w:val="普通(网站)1"/>
    <w:basedOn w:val="672"/>
    <w:uiPriority w:val="99"/>
    <w:qFormat/>
    <w:pPr>
      <w:jc w:val="left"/>
      <w:spacing w:before="100" w:beforeAutospacing="1" w:after="100" w:afterAutospacing="1"/>
      <w:widowControl/>
    </w:pPr>
    <w:rPr>
      <w:rFonts w:ascii="宋体" w:hAnsi="宋体" w:cs="宋体"/>
      <w:sz w:val="24"/>
      <w:szCs w:val="24"/>
    </w:rPr>
  </w:style>
  <w:style w:type="paragraph" w:styleId="921" w:customStyle="1">
    <w:name w:val="索引 11"/>
    <w:basedOn w:val="672"/>
    <w:next w:val="672"/>
    <w:uiPriority w:val="0"/>
    <w:semiHidden/>
    <w:qFormat/>
    <w:pPr>
      <w:spacing w:line="240" w:lineRule="atLeast"/>
    </w:pPr>
    <w:rPr>
      <w:b/>
      <w:bCs/>
    </w:rPr>
  </w:style>
  <w:style w:type="paragraph" w:styleId="922" w:customStyle="1">
    <w:name w:val="批注主题1"/>
    <w:basedOn w:val="883"/>
    <w:next w:val="883"/>
    <w:link w:val="923"/>
    <w:uiPriority w:val="0"/>
    <w:semiHidden/>
    <w:qFormat/>
    <w:rPr>
      <w:b/>
      <w:bCs/>
    </w:rPr>
  </w:style>
  <w:style w:type="character" w:styleId="923" w:customStyle="1">
    <w:name w:val="批注主题 Char"/>
    <w:link w:val="922"/>
    <w:uiPriority w:val="0"/>
    <w:semiHidden/>
    <w:qFormat/>
    <w:rPr>
      <w:rFonts w:ascii="Times New Roman" w:hAnsi="Times New Roman" w:eastAsia="宋体" w:cs="Times New Roman"/>
      <w:b/>
      <w:bCs/>
      <w:szCs w:val="21"/>
    </w:rPr>
  </w:style>
  <w:style w:type="paragraph" w:styleId="924" w:customStyle="1">
    <w:name w:val="正文首行缩进1"/>
    <w:basedOn w:val="672"/>
    <w:link w:val="925"/>
    <w:uiPriority w:val="0"/>
    <w:qFormat/>
    <w:pPr>
      <w:ind w:firstLine="200"/>
      <w:spacing w:line="360" w:lineRule="auto"/>
    </w:pPr>
    <w:rPr>
      <w:rFonts w:ascii="仿宋_GB2312" w:eastAsia="仿宋_GB2312"/>
      <w:sz w:val="30"/>
      <w:szCs w:val="30"/>
    </w:rPr>
  </w:style>
  <w:style w:type="character" w:styleId="925" w:customStyle="1">
    <w:name w:val="正文首行缩进 Char"/>
    <w:link w:val="924"/>
    <w:uiPriority w:val="0"/>
    <w:qFormat/>
    <w:rPr>
      <w:rFonts w:ascii="仿宋_GB2312" w:hAnsi="Times New Roman" w:eastAsia="仿宋_GB2312" w:cs="Times New Roman"/>
      <w:sz w:val="30"/>
      <w:szCs w:val="30"/>
    </w:rPr>
  </w:style>
  <w:style w:type="paragraph" w:styleId="926" w:customStyle="1">
    <w:name w:val="正文首行缩进 21"/>
    <w:basedOn w:val="889"/>
    <w:link w:val="927"/>
    <w:uiPriority w:val="0"/>
    <w:qFormat/>
    <w:pPr>
      <w:ind w:firstLine="420"/>
      <w:spacing w:line="360" w:lineRule="auto"/>
    </w:pPr>
    <w:rPr>
      <w:rFonts w:ascii="宋体" w:hAnsi="宋体" w:eastAsia="宋体"/>
      <w:szCs w:val="20"/>
    </w:rPr>
  </w:style>
  <w:style w:type="character" w:styleId="927" w:customStyle="1">
    <w:name w:val="正文首行缩进 2 Char"/>
    <w:link w:val="926"/>
    <w:uiPriority w:val="0"/>
    <w:qFormat/>
    <w:rPr>
      <w:rFonts w:ascii="宋体" w:hAnsi="宋体" w:eastAsia="宋体" w:cs="Times New Roman"/>
      <w:sz w:val="32"/>
      <w:szCs w:val="20"/>
    </w:rPr>
  </w:style>
  <w:style w:type="table" w:styleId="928" w:customStyle="1">
    <w:name w:val="网格型11"/>
    <w:basedOn w:val="868"/>
    <w:uiPriority w:val="0"/>
    <w:qFormat/>
    <w:pPr>
      <w:jc w:val="both"/>
      <w:widowControl w:val="off"/>
    </w:pPr>
    <w:rPr>
      <w:rFonts w:ascii="Times New Roman" w:hAnsi="Times New Roman" w:eastAsia="宋体" w:cs="Times New Roman"/>
      <w:sz w:val="20"/>
      <w:szCs w:val="20"/>
    </w:rPr>
    <w:tblPr/>
  </w:style>
  <w:style w:type="character" w:styleId="929" w:customStyle="1">
    <w:name w:val="要点1"/>
    <w:link w:val="672"/>
    <w:uiPriority w:val="0"/>
    <w:qFormat/>
    <w:rPr>
      <w:b/>
      <w:bCs/>
    </w:rPr>
  </w:style>
  <w:style w:type="character" w:styleId="930" w:customStyle="1">
    <w:name w:val="页码1"/>
    <w:link w:val="672"/>
    <w:uiPriority w:val="0"/>
    <w:qFormat/>
  </w:style>
  <w:style w:type="character" w:styleId="931" w:customStyle="1">
    <w:name w:val="已访问的超链接1"/>
    <w:link w:val="672"/>
    <w:uiPriority w:val="0"/>
    <w:qFormat/>
    <w:rPr>
      <w:color w:val="800080"/>
      <w:u w:val="single"/>
    </w:rPr>
  </w:style>
  <w:style w:type="character" w:styleId="932" w:customStyle="1">
    <w:name w:val="强调1"/>
    <w:basedOn w:val="867"/>
    <w:link w:val="672"/>
    <w:uiPriority w:val="20"/>
    <w:qFormat/>
    <w:rPr>
      <w:i/>
    </w:rPr>
  </w:style>
  <w:style w:type="character" w:styleId="933" w:customStyle="1">
    <w:name w:val="HTML 打字机1"/>
    <w:link w:val="672"/>
    <w:uiPriority w:val="99"/>
    <w:qFormat/>
    <w:rPr>
      <w:rFonts w:ascii="宋体" w:hAnsi="宋体" w:eastAsia="宋体" w:cs="宋体"/>
      <w:sz w:val="24"/>
      <w:szCs w:val="24"/>
    </w:rPr>
  </w:style>
  <w:style w:type="character" w:styleId="934" w:customStyle="1">
    <w:name w:val="超链接1"/>
    <w:link w:val="672"/>
    <w:uiPriority w:val="0"/>
    <w:qFormat/>
    <w:rPr>
      <w:color w:val="0000ff"/>
      <w:u w:val="single"/>
    </w:rPr>
  </w:style>
  <w:style w:type="character" w:styleId="935" w:customStyle="1">
    <w:name w:val="批注引用1"/>
    <w:link w:val="672"/>
    <w:uiPriority w:val="0"/>
    <w:semiHidden/>
    <w:qFormat/>
    <w:rPr>
      <w:sz w:val="21"/>
      <w:szCs w:val="21"/>
    </w:rPr>
  </w:style>
  <w:style w:type="character" w:styleId="936" w:customStyle="1">
    <w:name w:val="font5 Char"/>
    <w:link w:val="672"/>
    <w:uiPriority w:val="0"/>
    <w:qFormat/>
    <w:rPr>
      <w:rFonts w:ascii="宋体" w:hAnsi="宋体" w:eastAsia="宋体"/>
      <w:sz w:val="28"/>
      <w:szCs w:val="28"/>
      <w:lang w:val="en-US" w:eastAsia="zh-CN" w:bidi="ar-SA"/>
    </w:rPr>
  </w:style>
  <w:style w:type="character" w:styleId="937" w:customStyle="1">
    <w:name w:val="二级目录 Char"/>
    <w:link w:val="938"/>
    <w:uiPriority w:val="0"/>
    <w:qFormat/>
    <w:rPr>
      <w:b/>
      <w:sz w:val="30"/>
      <w:szCs w:val="28"/>
      <w:lang w:val="en-US" w:eastAsia="zh-CN" w:bidi="ar-SA"/>
    </w:rPr>
  </w:style>
  <w:style w:type="paragraph" w:styleId="938" w:customStyle="1">
    <w:name w:val="二级目录"/>
    <w:next w:val="672"/>
    <w:link w:val="93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9" w:customStyle="1">
    <w:name w:val="列出段落 Char"/>
    <w:link w:val="940"/>
    <w:uiPriority w:val="0"/>
    <w:qFormat/>
    <w:rPr>
      <w:rFonts w:ascii="Calibri" w:hAnsi="Calibri"/>
      <w:sz w:val="24"/>
      <w:szCs w:val="24"/>
      <w:lang w:eastAsia="en-US" w:bidi="en-US"/>
    </w:rPr>
  </w:style>
  <w:style w:type="paragraph" w:styleId="940" w:customStyle="1">
    <w:name w:val="列出段落1"/>
    <w:basedOn w:val="672"/>
    <w:link w:val="939"/>
    <w:uiPriority w:val="0"/>
    <w:qFormat/>
    <w:pPr>
      <w:contextualSpacing/>
      <w:ind w:left="720"/>
      <w:jc w:val="left"/>
      <w:widowControl/>
    </w:pPr>
    <w:rPr>
      <w:rFonts w:ascii="Calibri" w:hAnsi="Calibri"/>
      <w:sz w:val="24"/>
      <w:szCs w:val="24"/>
      <w:lang w:eastAsia="en-US" w:bidi="en-US"/>
    </w:rPr>
  </w:style>
  <w:style w:type="paragraph" w:styleId="941" w:customStyle="1">
    <w:name w:val="Body Text(ch)"/>
    <w:basedOn w:val="672"/>
    <w:next w:val="887"/>
    <w:uiPriority w:val="0"/>
    <w:qFormat/>
    <w:pPr>
      <w:spacing w:after="120"/>
    </w:pPr>
    <w:rPr>
      <w:rFonts w:ascii="宋体" w:hAnsi="Arial"/>
      <w:bCs/>
      <w:iCs/>
      <w:szCs w:val="24"/>
    </w:rPr>
  </w:style>
  <w:style w:type="paragraph" w:styleId="942"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3"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4" w:customStyle="1">
    <w:name w:val="Char"/>
    <w:basedOn w:val="672"/>
    <w:uiPriority w:val="0"/>
    <w:qFormat/>
    <w:pPr>
      <w:ind w:firstLine="200"/>
      <w:tabs>
        <w:tab w:val="left" w:pos="360" w:leader="none"/>
      </w:tabs>
    </w:pPr>
    <w:rPr>
      <w:sz w:val="28"/>
      <w:szCs w:val="30"/>
    </w:rPr>
  </w:style>
  <w:style w:type="paragraph" w:styleId="945" w:customStyle="1">
    <w:name w:val=" Char"/>
    <w:basedOn w:val="881"/>
    <w:uiPriority w:val="0"/>
    <w:qFormat/>
    <w:rPr>
      <w:rFonts w:ascii="Tahoma" w:hAnsi="Tahoma"/>
      <w:sz w:val="24"/>
      <w:szCs w:val="24"/>
    </w:rPr>
  </w:style>
  <w:style w:type="paragraph" w:styleId="946"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47" w:customStyle="1">
    <w:name w:val="table_lines"/>
    <w:basedOn w:val="672"/>
    <w:uiPriority w:val="0"/>
    <w:qFormat/>
    <w:pPr>
      <w:jc w:val="left"/>
      <w:widowControl/>
    </w:pPr>
    <w:rPr>
      <w:sz w:val="20"/>
      <w:szCs w:val="20"/>
      <w:lang w:val="de-DE" w:eastAsia="de-DE"/>
    </w:rPr>
  </w:style>
  <w:style w:type="paragraph" w:styleId="94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9"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50" w:customStyle="1">
    <w:name w:val=" Char Char Char Char"/>
    <w:basedOn w:val="881"/>
    <w:uiPriority w:val="0"/>
    <w:qFormat/>
    <w:pPr>
      <w:spacing w:line="360" w:lineRule="auto"/>
    </w:pPr>
    <w:rPr>
      <w:rFonts w:ascii="Tahoma" w:hAnsi="Tahoma"/>
      <w:sz w:val="24"/>
      <w:szCs w:val="24"/>
    </w:rPr>
  </w:style>
  <w:style w:type="paragraph" w:styleId="951" w:customStyle="1">
    <w:name w:val="列出段落"/>
    <w:basedOn w:val="672"/>
    <w:uiPriority w:val="99"/>
    <w:qFormat/>
    <w:pPr>
      <w:contextualSpacing/>
      <w:ind w:left="720"/>
      <w:jc w:val="left"/>
      <w:widowControl/>
    </w:pPr>
    <w:rPr>
      <w:rFonts w:ascii="Calibri" w:hAnsi="Calibri"/>
      <w:sz w:val="24"/>
      <w:szCs w:val="24"/>
      <w:lang w:eastAsia="en-US" w:bidi="en-US"/>
    </w:rPr>
  </w:style>
  <w:style w:type="paragraph" w:styleId="952" w:customStyle="1">
    <w:name w:val="4"/>
    <w:basedOn w:val="672"/>
    <w:next w:val="911"/>
    <w:uiPriority w:val="0"/>
    <w:qFormat/>
    <w:pPr>
      <w:ind w:firstLine="420"/>
      <w:spacing w:line="360" w:lineRule="auto"/>
    </w:pPr>
    <w:rPr>
      <w:color w:val="ff0000"/>
      <w:sz w:val="24"/>
      <w:szCs w:val="24"/>
    </w:rPr>
  </w:style>
  <w:style w:type="paragraph" w:styleId="953"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54" w:customStyle="1">
    <w:name w:val=" Char Char Char Char Char Char Char Char Char Char"/>
    <w:basedOn w:val="672"/>
    <w:uiPriority w:val="0"/>
    <w:qFormat/>
    <w:pPr>
      <w:spacing w:line="360" w:lineRule="auto"/>
    </w:pPr>
    <w:rPr>
      <w:sz w:val="24"/>
      <w:szCs w:val="20"/>
    </w:rPr>
  </w:style>
  <w:style w:type="paragraph" w:styleId="955" w:customStyle="1">
    <w:name w:val="样式1"/>
    <w:basedOn w:val="672"/>
    <w:uiPriority w:val="0"/>
    <w:qFormat/>
    <w:pPr>
      <w:numPr>
        <w:ilvl w:val="0"/>
        <w:numId w:val="3"/>
      </w:numPr>
    </w:pPr>
    <w:rPr>
      <w:rFonts w:ascii="宋体" w:hAnsi="宋体"/>
    </w:rPr>
  </w:style>
  <w:style w:type="paragraph" w:styleId="956"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57"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960"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2"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63"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4"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65"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66" w:customStyle="1">
    <w:name w:val="Char Char Char Char"/>
    <w:basedOn w:val="881"/>
    <w:uiPriority w:val="0"/>
    <w:qFormat/>
    <w:pPr>
      <w:spacing w:line="360" w:lineRule="auto"/>
    </w:pPr>
    <w:rPr>
      <w:rFonts w:ascii="Tahoma" w:hAnsi="Tahoma"/>
      <w:sz w:val="24"/>
      <w:szCs w:val="24"/>
    </w:rPr>
  </w:style>
  <w:style w:type="paragraph" w:styleId="967" w:customStyle="1">
    <w:name w:val="table_1stline"/>
    <w:basedOn w:val="672"/>
    <w:uiPriority w:val="0"/>
    <w:qFormat/>
    <w:pPr>
      <w:jc w:val="left"/>
      <w:spacing w:before="120"/>
      <w:widowControl/>
    </w:pPr>
    <w:rPr>
      <w:bCs/>
      <w:sz w:val="20"/>
      <w:szCs w:val="20"/>
      <w:lang w:val="de-DE" w:eastAsia="de-DE"/>
    </w:rPr>
  </w:style>
  <w:style w:type="paragraph" w:styleId="968"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69"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2" w:customStyle="1">
    <w:name w:val="普通文字"/>
    <w:basedOn w:val="672"/>
    <w:next w:val="672"/>
    <w:uiPriority w:val="99"/>
    <w:qFormat/>
    <w:rPr>
      <w:rFonts w:ascii="宋体" w:hAnsi="Times New Roman" w:eastAsia="宋体" w:cs="Times New Roman"/>
      <w:sz w:val="24"/>
      <w:szCs w:val="20"/>
      <w:u w:val="none"/>
    </w:rPr>
  </w:style>
  <w:style w:type="paragraph" w:styleId="973" w:customStyle="1">
    <w:name w:val="目录 111"/>
    <w:basedOn w:val="672"/>
    <w:next w:val="672"/>
    <w:uiPriority w:val="39"/>
    <w:unhideWhenUsed/>
    <w:qFormat/>
    <w:pPr>
      <w:jc w:val="left"/>
      <w:spacing w:after="100" w:line="259" w:lineRule="auto"/>
      <w:widowControl/>
    </w:pPr>
    <w:rPr>
      <w:rFonts w:ascii="Calibri" w:hAnsi="Calibri" w:eastAsia="宋体"/>
      <w:sz w:val="22"/>
      <w:szCs w:val="22"/>
    </w:rPr>
  </w:style>
  <w:style w:type="table" w:styleId="974" w:customStyle="1">
    <w:name w:val="网格型1"/>
    <w:basedOn w:val="975"/>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975" w:customStyle="1">
    <w:name w:val="普通表格1"/>
    <w:basedOn w:val="868"/>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76" w:customStyle="1">
    <w:name w:val="标题 11"/>
    <w:basedOn w:val="672"/>
    <w:next w:val="672"/>
    <w:uiPriority w:val="0"/>
    <w:qFormat/>
    <w:pPr>
      <w:jc w:val="center"/>
      <w:keepNext/>
      <w:outlineLvl w:val="0"/>
    </w:pPr>
    <w:rPr>
      <w:rFonts w:ascii="楷体_GB2312" w:eastAsia="楷体_GB2312"/>
      <w:sz w:val="28"/>
      <w:szCs w:val="28"/>
    </w:rPr>
  </w:style>
  <w:style w:type="paragraph" w:styleId="9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8" w:customStyle="1">
    <w:name w:val="正文文本11"/>
    <w:basedOn w:val="672"/>
    <w:uiPriority w:val="0"/>
    <w:qFormat/>
    <w:rPr>
      <w:sz w:val="18"/>
      <w:szCs w:val="20"/>
    </w:rPr>
  </w:style>
  <w:style w:type="paragraph" w:styleId="979" w:customStyle="1">
    <w:name w:val="Table Text"/>
    <w:basedOn w:val="672"/>
    <w:uiPriority w:val="0"/>
    <w:semiHidden/>
    <w:qFormat/>
    <w:pPr>
      <w:jc w:val="left"/>
      <w:widowControl/>
    </w:pPr>
    <w:rPr>
      <w:rFonts w:ascii="宋体" w:hAnsi="宋体" w:eastAsia="宋体" w:cs="宋体"/>
      <w:color w:val="000000"/>
      <w:szCs w:val="21"/>
      <w:lang w:eastAsia="en-US"/>
    </w:rPr>
  </w:style>
  <w:style w:type="paragraph" w:styleId="980" w:customStyle="1">
    <w:name w:val="_Style 1"/>
    <w:basedOn w:val="672"/>
    <w:uiPriority w:val="0"/>
    <w:qFormat/>
    <w:pPr>
      <w:ind w:firstLine="420"/>
    </w:pPr>
    <w:rPr>
      <w:sz w:val="20"/>
    </w:rPr>
  </w:style>
  <w:style w:type="numbering" w:styleId="11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68</cp:revision>
  <dcterms:created xsi:type="dcterms:W3CDTF">2023-03-16T02:16:00Z</dcterms:created>
  <dcterms:modified xsi:type="dcterms:W3CDTF">2026-08-26T01:26:52Z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2052-12.1.0.28043</vt:lpwstr>
  </property>
  <property fmtid="{D5CDD505-2E9C-101B-9397-08002B2CF9AE}" pid="4" name="ICV">
    <vt:lpwstr>B9E37683F8C945078FE22B575965EC7F_12</vt:lpwstr>
  </property>
</Properties>
</file>