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CFDA65">
      <w:pPr>
        <w:spacing w:line="360" w:lineRule="auto"/>
        <w:ind w:firstLine="723" w:firstLineChars="200"/>
        <w:jc w:val="center"/>
        <w:rPr>
          <w:rFonts w:hint="eastAsia" w:ascii="宋体" w:hAnsi="宋体" w:cs="宋体"/>
          <w:color w:val="000000"/>
          <w:sz w:val="24"/>
        </w:rPr>
      </w:pPr>
      <w:r>
        <w:rPr>
          <w:rFonts w:hint="eastAsia"/>
          <w:b/>
          <w:color w:val="000000"/>
          <w:sz w:val="36"/>
          <w:szCs w:val="36"/>
        </w:rPr>
        <w:t>南京医科大学食堂大宗食材采购合同</w:t>
      </w:r>
    </w:p>
    <w:p w14:paraId="62DD6182">
      <w:pPr>
        <w:pStyle w:val="2"/>
        <w:rPr>
          <w:rFonts w:hint="eastAsia"/>
          <w:color w:val="000000"/>
        </w:rPr>
      </w:pPr>
    </w:p>
    <w:p w14:paraId="1E022203">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w:t>
      </w:r>
    </w:p>
    <w:p w14:paraId="21A165A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乙方：常州常金农业发展有限公司</w:t>
      </w:r>
    </w:p>
    <w:p w14:paraId="0E06DC00">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为切实保障师生在校用餐安全，规范学校食堂原材料采购及供货服务流程，维护师生权益，本着食品安全至上、平等互利、真诚合作的原则，经甲乙双方充分协商达成如下协议并遵照执行。</w:t>
      </w:r>
    </w:p>
    <w:p w14:paraId="1D753A38">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合同期限</w:t>
      </w:r>
    </w:p>
    <w:p w14:paraId="09FD1A7C">
      <w:pPr>
        <w:spacing w:line="360" w:lineRule="auto"/>
        <w:ind w:left="559" w:leftChars="266" w:firstLine="240" w:firstLineChars="100"/>
        <w:rPr>
          <w:rFonts w:hint="eastAsia" w:ascii="宋体" w:hAnsi="宋体" w:cs="宋体"/>
          <w:color w:val="000000"/>
          <w:sz w:val="24"/>
        </w:rPr>
      </w:pPr>
      <w:r>
        <w:rPr>
          <w:rFonts w:hint="eastAsia" w:ascii="宋体" w:hAnsi="宋体" w:cs="宋体"/>
          <w:color w:val="000000"/>
          <w:sz w:val="24"/>
        </w:rPr>
        <w:t>合同期限：</w:t>
      </w:r>
      <w:r>
        <w:rPr>
          <w:rFonts w:hint="eastAsia" w:ascii="宋体" w:hAnsi="宋体" w:cs="宋体"/>
          <w:color w:val="000000"/>
          <w:sz w:val="24"/>
          <w:u w:val="single"/>
          <w:lang w:val="en-US" w:eastAsia="zh-CN"/>
        </w:rPr>
        <w:t>2025</w:t>
      </w:r>
      <w:r>
        <w:rPr>
          <w:rFonts w:hint="eastAsia" w:ascii="宋体" w:hAnsi="宋体" w:cs="宋体"/>
          <w:color w:val="000000"/>
          <w:sz w:val="24"/>
        </w:rPr>
        <w:t>年</w:t>
      </w:r>
      <w:r>
        <w:rPr>
          <w:rFonts w:hint="eastAsia" w:ascii="宋体" w:hAnsi="宋体" w:cs="宋体"/>
          <w:color w:val="000000"/>
          <w:sz w:val="24"/>
          <w:u w:val="single"/>
          <w:lang w:val="en-US" w:eastAsia="zh-CN"/>
        </w:rPr>
        <w:t>7</w:t>
      </w:r>
      <w:r>
        <w:rPr>
          <w:rFonts w:hint="eastAsia" w:ascii="宋体" w:hAnsi="宋体" w:cs="宋体"/>
          <w:color w:val="000000"/>
          <w:sz w:val="24"/>
        </w:rPr>
        <w:t>月</w:t>
      </w:r>
      <w:r>
        <w:rPr>
          <w:rFonts w:hint="eastAsia" w:ascii="宋体" w:hAnsi="宋体" w:cs="宋体"/>
          <w:color w:val="000000"/>
          <w:sz w:val="24"/>
          <w:u w:val="single"/>
          <w:lang w:val="en-US" w:eastAsia="zh-CN"/>
        </w:rPr>
        <w:t>16</w:t>
      </w:r>
      <w:r>
        <w:rPr>
          <w:rFonts w:hint="eastAsia" w:ascii="宋体" w:hAnsi="宋体" w:cs="宋体"/>
          <w:color w:val="000000"/>
          <w:sz w:val="24"/>
        </w:rPr>
        <w:t>日起至</w:t>
      </w:r>
      <w:r>
        <w:rPr>
          <w:rFonts w:hint="eastAsia" w:ascii="宋体" w:hAnsi="宋体" w:cs="宋体"/>
          <w:color w:val="000000"/>
          <w:sz w:val="24"/>
          <w:lang w:val="en-US" w:eastAsia="zh-CN"/>
        </w:rPr>
        <w:t xml:space="preserve"> </w:t>
      </w:r>
      <w:r>
        <w:rPr>
          <w:rFonts w:hint="eastAsia" w:ascii="宋体" w:hAnsi="宋体" w:cs="宋体"/>
          <w:color w:val="000000"/>
          <w:sz w:val="24"/>
          <w:u w:val="single"/>
          <w:lang w:val="en-US" w:eastAsia="zh-CN"/>
        </w:rPr>
        <w:t>2026</w:t>
      </w:r>
      <w:r>
        <w:rPr>
          <w:rFonts w:hint="eastAsia" w:ascii="宋体" w:hAnsi="宋体" w:cs="宋体"/>
          <w:color w:val="000000"/>
          <w:sz w:val="24"/>
        </w:rPr>
        <w:t>年</w:t>
      </w:r>
      <w:r>
        <w:rPr>
          <w:rFonts w:hint="eastAsia" w:ascii="宋体" w:hAnsi="宋体" w:cs="宋体"/>
          <w:color w:val="000000"/>
          <w:sz w:val="24"/>
          <w:u w:val="single"/>
          <w:lang w:val="en-US" w:eastAsia="zh-CN"/>
        </w:rPr>
        <w:t>7</w:t>
      </w:r>
      <w:r>
        <w:rPr>
          <w:rFonts w:hint="eastAsia" w:ascii="宋体" w:hAnsi="宋体" w:cs="宋体"/>
          <w:color w:val="000000"/>
          <w:sz w:val="24"/>
        </w:rPr>
        <w:t>月</w:t>
      </w:r>
      <w:r>
        <w:rPr>
          <w:rFonts w:hint="eastAsia" w:ascii="宋体" w:hAnsi="宋体" w:cs="宋体"/>
          <w:color w:val="000000"/>
          <w:sz w:val="24"/>
          <w:u w:val="single"/>
          <w:lang w:val="en-US" w:eastAsia="zh-CN"/>
        </w:rPr>
        <w:t>15</w:t>
      </w:r>
      <w:r>
        <w:rPr>
          <w:rFonts w:hint="eastAsia" w:ascii="宋体" w:hAnsi="宋体" w:cs="宋体"/>
          <w:color w:val="000000"/>
          <w:sz w:val="24"/>
        </w:rPr>
        <w:t>日。</w:t>
      </w:r>
    </w:p>
    <w:p w14:paraId="10936840">
      <w:pPr>
        <w:numPr>
          <w:ilvl w:val="0"/>
          <w:numId w:val="1"/>
        </w:numPr>
        <w:spacing w:line="360" w:lineRule="auto"/>
        <w:jc w:val="left"/>
        <w:rPr>
          <w:rFonts w:hint="eastAsia" w:ascii="宋体" w:hAnsi="宋体" w:cs="宋体"/>
          <w:color w:val="000000"/>
          <w:sz w:val="24"/>
        </w:rPr>
      </w:pPr>
      <w:r>
        <w:rPr>
          <w:rFonts w:hint="eastAsia" w:ascii="宋体" w:hAnsi="宋体" w:cs="宋体"/>
          <w:b/>
          <w:bCs/>
          <w:color w:val="000000"/>
          <w:sz w:val="24"/>
        </w:rPr>
        <w:t>供应品类范围</w:t>
      </w:r>
    </w:p>
    <w:p w14:paraId="3A5CADEF">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乙方必须根据甲方的要求为甲方供应</w:t>
      </w:r>
      <w:r>
        <w:rPr>
          <w:rFonts w:hint="eastAsia" w:ascii="宋体" w:hAnsi="宋体" w:cs="宋体"/>
          <w:color w:val="000000"/>
          <w:sz w:val="24"/>
          <w:u w:val="single"/>
        </w:rPr>
        <w:t>大米、面粉、食用油</w:t>
      </w:r>
      <w:r>
        <w:rPr>
          <w:rFonts w:hint="eastAsia" w:ascii="宋体" w:hAnsi="宋体" w:cs="宋体"/>
          <w:color w:val="000000"/>
          <w:sz w:val="24"/>
        </w:rPr>
        <w:t>等物资。（供货品种、价格及规格参照附件）</w:t>
      </w:r>
    </w:p>
    <w:p w14:paraId="5736C554">
      <w:pPr>
        <w:numPr>
          <w:ilvl w:val="0"/>
          <w:numId w:val="1"/>
        </w:numPr>
        <w:spacing w:line="360" w:lineRule="auto"/>
        <w:jc w:val="left"/>
        <w:rPr>
          <w:rFonts w:hint="eastAsia" w:ascii="宋体" w:hAnsi="宋体" w:cs="宋体"/>
          <w:color w:val="000000"/>
          <w:sz w:val="24"/>
        </w:rPr>
      </w:pPr>
      <w:r>
        <w:rPr>
          <w:rFonts w:hint="eastAsia" w:ascii="宋体" w:hAnsi="宋体" w:cs="宋体"/>
          <w:b/>
          <w:color w:val="000000"/>
          <w:sz w:val="24"/>
        </w:rPr>
        <w:t>履约保证金</w:t>
      </w:r>
    </w:p>
    <w:p w14:paraId="605AA000">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双方签订本合同3个工作日内，乙方向甲方缴纳履约保证金人民币</w:t>
      </w:r>
      <w:r>
        <w:rPr>
          <w:rFonts w:hint="eastAsia" w:ascii="宋体" w:hAnsi="宋体" w:cs="宋体"/>
          <w:color w:val="000000"/>
          <w:sz w:val="24"/>
          <w:u w:val="single"/>
          <w:lang w:val="en-US" w:eastAsia="zh-CN"/>
        </w:rPr>
        <w:t>贰</w:t>
      </w:r>
      <w:r>
        <w:rPr>
          <w:rFonts w:hint="eastAsia" w:ascii="宋体" w:hAnsi="宋体" w:cs="宋体"/>
          <w:color w:val="000000"/>
          <w:sz w:val="24"/>
        </w:rPr>
        <w:t>万元整。乙方在合同履行期内有违法违规行为或支付违约金的，甲方有权直接从履约保证金中扣除，如履约保证金不满足违约扣款金额的，甲方有权从待付货款中直接扣除。合同履行完毕后2个月无任何服务质量及其他法律纠纷的，无息返还履约保证金。</w:t>
      </w:r>
    </w:p>
    <w:p w14:paraId="6398B044">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供货质量要求及价格要求</w:t>
      </w:r>
    </w:p>
    <w:p w14:paraId="2F703D89">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乙方所供食品物资均应符合国家关于该食品物资的质量标准和卫生条件的相关要求，并按招标文件要求或相关行业主管部门要求送货时提供相关质检报告。</w:t>
      </w:r>
    </w:p>
    <w:p w14:paraId="40B69C58">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乙方应严格按照甲方的要求生产和供应产品，不得以任何借口不按甲方订单要求供应，或在未经甲方允许的情况下私自改变所定品种规格、数量等，如甲方有新的要求，乙方应按甲方要求供货。</w:t>
      </w:r>
    </w:p>
    <w:p w14:paraId="36C7312B">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供货价格是指产品交付使用涉及的一切费用，包括货物采购、检验、仓储、分装、运输、装卸、管理、税金及所有其它费用，甲方不再支付其他费用。</w:t>
      </w:r>
    </w:p>
    <w:p w14:paraId="0EE03646">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乙方应严格按照甲方招标时要求的调价原则执行供货价格。</w:t>
      </w:r>
    </w:p>
    <w:p w14:paraId="7992345E">
      <w:pPr>
        <w:numPr>
          <w:ilvl w:val="0"/>
          <w:numId w:val="2"/>
        </w:numPr>
        <w:spacing w:line="360" w:lineRule="auto"/>
        <w:rPr>
          <w:rFonts w:hint="eastAsia" w:ascii="宋体" w:hAnsi="宋体" w:cs="宋体"/>
          <w:color w:val="000000"/>
          <w:sz w:val="24"/>
        </w:rPr>
      </w:pPr>
      <w:bookmarkStart w:id="0" w:name="_GoBack"/>
      <w:r>
        <w:rPr>
          <w:rFonts w:hint="eastAsia" w:ascii="宋体" w:hAnsi="宋体" w:cs="宋体"/>
          <w:color w:val="000000"/>
          <w:sz w:val="24"/>
        </w:rPr>
        <w:t>调价流程及定价周期</w:t>
      </w:r>
      <w:r>
        <w:rPr>
          <w:rFonts w:hint="eastAsia" w:ascii="宋体" w:hAnsi="宋体" w:cs="宋体"/>
          <w:color w:val="000000"/>
          <w:sz w:val="24"/>
          <w:lang w:val="en-US" w:eastAsia="zh-CN"/>
        </w:rPr>
        <w:t>为</w:t>
      </w:r>
      <w:r>
        <w:rPr>
          <w:rFonts w:hint="eastAsia" w:ascii="宋体" w:hAnsi="宋体" w:cs="宋体"/>
          <w:color w:val="000000"/>
          <w:sz w:val="24"/>
        </w:rPr>
        <w:t>一次性定价</w:t>
      </w:r>
      <w:r>
        <w:rPr>
          <w:rFonts w:hint="eastAsia" w:ascii="宋体" w:hAnsi="宋体" w:cs="宋体"/>
          <w:color w:val="000000"/>
          <w:sz w:val="24"/>
          <w:lang w:eastAsia="zh-CN"/>
        </w:rPr>
        <w:t>，</w:t>
      </w:r>
      <w:r>
        <w:rPr>
          <w:rFonts w:hint="eastAsia" w:ascii="宋体" w:hAnsi="宋体" w:cs="宋体"/>
          <w:color w:val="000000"/>
          <w:sz w:val="24"/>
        </w:rPr>
        <w:t>合同期内价格不进行调整</w:t>
      </w:r>
      <w:r>
        <w:rPr>
          <w:rFonts w:hint="eastAsia" w:ascii="宋体" w:hAnsi="宋体" w:cs="宋体"/>
          <w:color w:val="000000"/>
          <w:sz w:val="24"/>
          <w:lang w:eastAsia="zh-CN"/>
        </w:rPr>
        <w:t>。</w:t>
      </w:r>
    </w:p>
    <w:bookmarkEnd w:id="0"/>
    <w:p w14:paraId="6127A80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结帐及付款</w:t>
      </w:r>
    </w:p>
    <w:p w14:paraId="346F4707">
      <w:pPr>
        <w:spacing w:line="360" w:lineRule="auto"/>
        <w:ind w:left="420" w:firstLine="420"/>
        <w:rPr>
          <w:rFonts w:hint="eastAsia" w:ascii="宋体" w:hAnsi="宋体" w:cs="宋体"/>
          <w:color w:val="000000"/>
          <w:sz w:val="24"/>
        </w:rPr>
      </w:pPr>
      <w:r>
        <w:rPr>
          <w:rFonts w:hint="eastAsia" w:ascii="宋体" w:hAnsi="宋体" w:cs="宋体"/>
          <w:color w:val="000000"/>
          <w:sz w:val="24"/>
        </w:rPr>
        <w:t>乙方所供货物，经甲方验收合格使用确认无质量问题后，凭供货明细单和乙方开具发票，双方约定按月结算，次月完成结算。若乙方提供的发票、户名、开户行、账号与供货单位不一致，甲方有权不予付款，或延期提供发票，且无需承担延期付款的责任。</w:t>
      </w:r>
    </w:p>
    <w:p w14:paraId="2AC9E4CE">
      <w:pPr>
        <w:numPr>
          <w:ilvl w:val="0"/>
          <w:numId w:val="1"/>
        </w:numPr>
        <w:spacing w:line="360" w:lineRule="auto"/>
        <w:jc w:val="left"/>
        <w:rPr>
          <w:rFonts w:hint="eastAsia" w:ascii="宋体" w:hAnsi="宋体" w:cs="宋体"/>
          <w:b/>
          <w:color w:val="000000"/>
          <w:sz w:val="24"/>
        </w:rPr>
      </w:pPr>
      <w:r>
        <w:rPr>
          <w:rFonts w:hint="eastAsia" w:ascii="宋体" w:hAnsi="宋体" w:cs="宋体"/>
          <w:b/>
          <w:bCs/>
          <w:color w:val="000000"/>
          <w:sz w:val="24"/>
        </w:rPr>
        <w:t xml:space="preserve"> </w:t>
      </w:r>
      <w:r>
        <w:rPr>
          <w:rFonts w:hint="eastAsia" w:ascii="宋体" w:hAnsi="宋体" w:cs="宋体"/>
          <w:b/>
          <w:color w:val="000000"/>
          <w:sz w:val="24"/>
        </w:rPr>
        <w:t>供货能力及运输</w:t>
      </w:r>
    </w:p>
    <w:p w14:paraId="0089546C">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乙方必须具备配送的能力，按照甲方规定时间和要求将所订货物送达指定地点。否则，甲方有权解除合同，并向乙方主张违约金。</w:t>
      </w:r>
    </w:p>
    <w:p w14:paraId="00C64219">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交货及验收：</w:t>
      </w:r>
    </w:p>
    <w:p w14:paraId="3EBC5340">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乙方须按甲方要求分装打包，并按订单要求的交货时间将货物送至指定地点等待甲方验收，</w:t>
      </w:r>
    </w:p>
    <w:p w14:paraId="651F6F81">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甲方各食堂验收人员，按照招标文件及合同约定的质量标准及时验收。</w:t>
      </w:r>
    </w:p>
    <w:p w14:paraId="5AC07186">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在验收过程中，发现供货质量、数量等问题，乙方必须及时响应并进行处理或补货或退货，批量大的货物虽已入库，但在使用过程中发现有质量问题或数量问题的，乙方及时采取有效措施予以补救，以满足甲方正常使用和运营的需要，并承担由此引发的全部责任。如不及时处理造成甲方影响和损失，甲方有权解除合同并追究乙方违约责任（不限于暂停结算货款、退货、承担合同总金额30%违约金等）。</w:t>
      </w:r>
    </w:p>
    <w:p w14:paraId="5A2EE427">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合同双方权利与义务：</w:t>
      </w:r>
    </w:p>
    <w:p w14:paraId="447FB1D4">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甲方工作人员严格验收、客观公正，确保食堂食品物资供货服务工作有序有效进行。</w:t>
      </w:r>
    </w:p>
    <w:p w14:paraId="1C2D8FA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甲方及时为乙方送货入校办理多项进校手续。</w:t>
      </w:r>
    </w:p>
    <w:p w14:paraId="0F0581BC">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甲方有义务配合乙方对所到货物进行收货、验货。</w:t>
      </w:r>
    </w:p>
    <w:p w14:paraId="57C6A3FC">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甲方有义务按合同约定及时付清货款。</w:t>
      </w:r>
    </w:p>
    <w:p w14:paraId="3066207D">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甲方根据合同约定对乙方的违约行为，有权提出终止合同并要求乙方承担违约责任。</w:t>
      </w:r>
    </w:p>
    <w:p w14:paraId="24E6DB51">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w:t>
      </w:r>
      <w:r>
        <w:rPr>
          <w:rFonts w:hint="eastAsia" w:ascii="宋体" w:hAnsi="宋体" w:cs="宋体"/>
          <w:color w:val="000000"/>
          <w:sz w:val="24"/>
          <w:lang w:val="en-US" w:eastAsia="zh-CN"/>
        </w:rPr>
        <w:t>需</w:t>
      </w:r>
      <w:r>
        <w:rPr>
          <w:rFonts w:hint="eastAsia" w:ascii="宋体" w:hAnsi="宋体" w:cs="宋体"/>
          <w:color w:val="000000"/>
          <w:sz w:val="24"/>
        </w:rPr>
        <w:t>提供企业的</w:t>
      </w:r>
      <w:r>
        <w:rPr>
          <w:rFonts w:hint="eastAsia" w:ascii="宋体" w:hAnsi="宋体" w:eastAsia="宋体" w:cs="宋体"/>
          <w:color w:val="000000"/>
          <w:kern w:val="0"/>
          <w:sz w:val="24"/>
          <w:szCs w:val="24"/>
          <w:lang w:val="en-US" w:eastAsia="zh-CN" w:bidi="ar"/>
        </w:rPr>
        <w:t>生产许可证或食</w:t>
      </w:r>
      <w:r>
        <w:rPr>
          <w:rFonts w:hint="eastAsia" w:ascii="宋体" w:hAnsi="宋体" w:eastAsia="宋体" w:cs="宋体"/>
          <w:color w:val="000000"/>
          <w:kern w:val="1"/>
          <w:sz w:val="24"/>
          <w:szCs w:val="24"/>
          <w:lang w:val="en-US" w:eastAsia="zh-CN" w:bidi="ar-SA"/>
        </w:rPr>
        <w:t>品</w:t>
      </w:r>
      <w:r>
        <w:rPr>
          <w:rFonts w:hint="eastAsia" w:ascii="宋体" w:hAnsi="宋体" w:eastAsia="宋体" w:cs="宋体"/>
          <w:color w:val="000000"/>
          <w:kern w:val="0"/>
          <w:sz w:val="24"/>
          <w:szCs w:val="24"/>
          <w:lang w:val="en-US" w:eastAsia="zh-CN" w:bidi="ar"/>
        </w:rPr>
        <w:t>流通许可证</w:t>
      </w:r>
      <w:r>
        <w:rPr>
          <w:rFonts w:hint="eastAsia" w:ascii="宋体" w:hAnsi="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税务登记证、检测或检验检疫报告</w:t>
      </w:r>
      <w:r>
        <w:rPr>
          <w:rFonts w:hint="eastAsia" w:ascii="宋体" w:hAnsi="宋体" w:cs="宋体"/>
          <w:color w:val="000000"/>
          <w:kern w:val="0"/>
          <w:sz w:val="24"/>
          <w:szCs w:val="24"/>
          <w:lang w:val="en-US" w:eastAsia="zh-CN" w:bidi="ar"/>
        </w:rPr>
        <w:t>、</w:t>
      </w:r>
      <w:r>
        <w:rPr>
          <w:rFonts w:hint="eastAsia" w:ascii="宋体" w:hAnsi="宋体" w:cs="宋体"/>
          <w:color w:val="000000"/>
          <w:sz w:val="24"/>
        </w:rPr>
        <w:t>企业法人的营业执照</w:t>
      </w:r>
      <w:r>
        <w:rPr>
          <w:rFonts w:hint="eastAsia" w:ascii="宋体" w:hAnsi="宋体" w:eastAsia="宋体" w:cs="宋体"/>
          <w:color w:val="000000"/>
          <w:kern w:val="0"/>
          <w:sz w:val="24"/>
          <w:szCs w:val="24"/>
          <w:lang w:val="en-US" w:eastAsia="zh-CN" w:bidi="ar"/>
        </w:rPr>
        <w:t>、</w:t>
      </w:r>
      <w:r>
        <w:rPr>
          <w:rFonts w:hint="eastAsia" w:ascii="宋体" w:hAnsi="宋体" w:cs="宋体"/>
          <w:color w:val="000000"/>
          <w:sz w:val="24"/>
        </w:rPr>
        <w:t>法人代表的身份证等复印件给甲方</w:t>
      </w:r>
      <w:r>
        <w:rPr>
          <w:rFonts w:hint="eastAsia" w:ascii="宋体" w:hAnsi="宋体" w:cs="宋体"/>
          <w:color w:val="000000"/>
          <w:kern w:val="0"/>
          <w:sz w:val="24"/>
          <w:szCs w:val="24"/>
          <w:lang w:val="en-US" w:eastAsia="zh-CN" w:bidi="ar"/>
        </w:rPr>
        <w:t>。</w:t>
      </w:r>
    </w:p>
    <w:p w14:paraId="641219D9">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乙方须根据甲方需求，定期提供产品报价。</w:t>
      </w:r>
    </w:p>
    <w:p w14:paraId="5538BC01">
      <w:pPr>
        <w:numPr>
          <w:ilvl w:val="0"/>
          <w:numId w:val="4"/>
        </w:numPr>
        <w:spacing w:line="360" w:lineRule="auto"/>
        <w:jc w:val="left"/>
        <w:rPr>
          <w:rFonts w:hint="eastAsia" w:ascii="宋体" w:hAnsi="宋体" w:cs="宋体"/>
          <w:color w:val="000000"/>
          <w:sz w:val="24"/>
        </w:rPr>
      </w:pPr>
      <w:r>
        <w:rPr>
          <w:rFonts w:hint="eastAsia" w:ascii="宋体" w:hAnsi="宋体" w:cs="宋体"/>
          <w:color w:val="000000"/>
          <w:sz w:val="24"/>
        </w:rPr>
        <w:t>甲方如按上级政府部门要求需进行农校对接或执行帮扶项目时，乙方必须积极服从甲方供货分配工作，乙方不得以任何方式提出疑议。</w:t>
      </w:r>
    </w:p>
    <w:p w14:paraId="556BA21B">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乙方承接甲方的食品物资供货服务工作，服从甲方管理，积极配合做好供货服务工作，按时按要求保质保量完成。</w:t>
      </w:r>
    </w:p>
    <w:p w14:paraId="147AB51D">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乙方应服从政府相关职能部门的业务指导和监管。</w:t>
      </w:r>
    </w:p>
    <w:p w14:paraId="2DF75BC0">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乙方根据投标书的有关承诺条款，严格执行《中华人民共和国食品安全法》等法律法规，建立并自觉履行食品卫生安全和食品质量的保障机制，确保安全。</w:t>
      </w:r>
    </w:p>
    <w:p w14:paraId="7E0808DF">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乙方每次供货均需提供食品物资的检测报告、检疫合格证等合格证明材料，并确保与所供物资完全一致。</w:t>
      </w:r>
    </w:p>
    <w:p w14:paraId="03C963CC">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配送时，乙方应按照甲方对食品物资深加工要求来提供服务，对采购的整鸡、活鱼、肉类有现场二次加工要求的，应安排持有有效期内健康证明的工人进入食堂进行深加工；无二次加工要求的，可以按照甲方要求在市场加工好，再配送到甲方指定区域。</w:t>
      </w:r>
    </w:p>
    <w:p w14:paraId="4BA601E7">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乙方进入校园的车辆和人员必须遵守学校相关管理规定。</w:t>
      </w:r>
    </w:p>
    <w:p w14:paraId="5B99167C">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违约责任</w:t>
      </w:r>
    </w:p>
    <w:p w14:paraId="5181BBBA">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质量违约</w:t>
      </w:r>
    </w:p>
    <w:p w14:paraId="372C0801">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供货质量必须符合《中华人民共和国食品安全法》等相关法律法规的规定和南京市关于该物资的质量标准，并满足学校对该物资品种的质量标准等级要求。</w:t>
      </w:r>
    </w:p>
    <w:p w14:paraId="57CC0850">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所供食品物资属于下列情况之一的，处以同批次货款的50%作为违约金，最低不少于1000元/次，并根据性质严重程度，甲方可以全部或部分没收乙方的履约保证金，并有权暂停结算货款、解除合同，同时乙方须承担所有赔偿责任，履约保证金不足以赔偿的，乙方应予以补足。</w:t>
      </w:r>
    </w:p>
    <w:p w14:paraId="519F55B3">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①无品名、产地、厂名、生产日期、保质期、中文标识及原材料说明的预包装食品。</w:t>
      </w:r>
    </w:p>
    <w:p w14:paraId="58616B83">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②预包装食品标签不醒目、不清晰、不持久，预包装食品标签执行《预包装食品标签规则》（GB7718—2011）。</w:t>
      </w:r>
    </w:p>
    <w:p w14:paraId="48A58959">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③腐败变质、油脂酸败、霉变、生虫、污秽不洁、混有异物或者其它感官性状异常，含有毒、有害物质或者被有毒、有害物质污染，可能对人体健康有害的食品。</w:t>
      </w:r>
    </w:p>
    <w:p w14:paraId="31984128">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④病死、死因不明或从疫区采购的水产品、畜、禽及其制品，食品添加剂超标的原材料，农药残留超标蔬菜等。</w:t>
      </w:r>
    </w:p>
    <w:p w14:paraId="530D46B5">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⑤其它不符合食品卫生标准和要求的食品。</w:t>
      </w:r>
    </w:p>
    <w:p w14:paraId="03E17751">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的质量责任：质量不符合要求，包括不新鲜、有残次的，甲方有权拒收。拒收的后果：每拒收一次，乙方应按照拒收物资总价的20%承担违约金，最低不少于500元/次。同时，乙方应满足甲方需要及时按拒收的品种、数量补足质量符合要求的货品，否则，甲方可自行组织购买，费用由乙方承担，甲方可在货款或其他应付乙方款项中扣除。连续拒收超过三次或者在本合同有效期内累计拒收超过五次，按不能履行合同处理，甲方有权解除合同并追究乙方违约责任同时没收乙方合同履约保证金。</w:t>
      </w:r>
    </w:p>
    <w:p w14:paraId="3D0E6CD5">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 xml:space="preserve"> 交货期限违约</w:t>
      </w:r>
    </w:p>
    <w:p w14:paraId="39DBC197">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在接到甲方的要货通知时要及时快捷的进行配送。乙方若不能按时将物资送到甲方指定的地点，必须承担违约责任（按照逾期送达物资总价的日千分之三承担相应滞纳金）。除不可抗力外（不可抗力的范围按照民法典的解释），交通拥堵、意外、事故、限行及季节性雨雪天气等或其他类似原因均不是延时的理由。所供物资必须按照甲方指定时间送到指定地点。超过限时且未满</w:t>
      </w:r>
      <w:r>
        <w:rPr>
          <w:rFonts w:hint="eastAsia" w:ascii="宋体" w:hAnsi="宋体" w:cs="宋体"/>
          <w:color w:val="000000"/>
          <w:sz w:val="24"/>
          <w:lang w:val="en-US" w:eastAsia="zh-CN"/>
        </w:rPr>
        <w:t>1</w:t>
      </w:r>
      <w:r>
        <w:rPr>
          <w:rFonts w:hint="eastAsia" w:ascii="宋体" w:hAnsi="宋体" w:cs="宋体"/>
          <w:color w:val="000000"/>
          <w:sz w:val="24"/>
        </w:rPr>
        <w:t>小时的，处违约金</w:t>
      </w:r>
      <w:r>
        <w:rPr>
          <w:rFonts w:hint="eastAsia" w:ascii="宋体" w:hAnsi="宋体" w:cs="宋体"/>
          <w:color w:val="000000"/>
          <w:sz w:val="24"/>
          <w:lang w:val="en-US" w:eastAsia="zh-CN"/>
        </w:rPr>
        <w:t>1000</w:t>
      </w:r>
      <w:r>
        <w:rPr>
          <w:rFonts w:hint="eastAsia" w:ascii="宋体" w:hAnsi="宋体" w:cs="宋体"/>
          <w:color w:val="000000"/>
          <w:sz w:val="24"/>
        </w:rPr>
        <w:t>元/次；超过</w:t>
      </w:r>
      <w:r>
        <w:rPr>
          <w:rFonts w:hint="eastAsia" w:ascii="宋体" w:hAnsi="宋体" w:cs="宋体"/>
          <w:color w:val="000000"/>
          <w:sz w:val="24"/>
          <w:lang w:val="en-US" w:eastAsia="zh-CN"/>
        </w:rPr>
        <w:t>1</w:t>
      </w:r>
      <w:r>
        <w:rPr>
          <w:rFonts w:hint="eastAsia" w:ascii="宋体" w:hAnsi="宋体" w:cs="宋体"/>
          <w:color w:val="000000"/>
          <w:sz w:val="24"/>
        </w:rPr>
        <w:t>小时的，处违约金</w:t>
      </w:r>
      <w:r>
        <w:rPr>
          <w:rFonts w:hint="eastAsia" w:ascii="宋体" w:hAnsi="宋体" w:cs="宋体"/>
          <w:color w:val="000000"/>
          <w:sz w:val="24"/>
          <w:lang w:val="en-US" w:eastAsia="zh-CN"/>
        </w:rPr>
        <w:t>2000</w:t>
      </w:r>
      <w:r>
        <w:rPr>
          <w:rFonts w:hint="eastAsia" w:ascii="宋体" w:hAnsi="宋体" w:cs="宋体"/>
          <w:color w:val="000000"/>
          <w:sz w:val="24"/>
        </w:rPr>
        <w:t>元/次。若配送地点有误而不能在约定的时间内调整送到的，按延时处理。连续延时2小时以上超过三次或者在本合同有效期内累计超过五次，按不能履行合同处理，甲方有权解除合同并追究违约责任同时没收乙方合同履约保证金。</w:t>
      </w:r>
    </w:p>
    <w:p w14:paraId="664E7F60">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进行货物配送时不得和食堂工作人员发生口角、殴斗。每发生口角一次，对乙方处以违约金500元；若发生殴斗事件，相关人员将被移送公安机关，乙方亦被永久性取缔其供货资格，甲方解除合同将追索相应损失并没收乙方合同履约保证金。</w:t>
      </w:r>
    </w:p>
    <w:p w14:paraId="615359DB">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其他违约</w:t>
      </w:r>
    </w:p>
    <w:p w14:paraId="64A619C0">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乙方相关人员送货后仍在餐厅内停留、乱串、抽烟、随意吃食堂食物的，每发现一次对乙方处以500元违约金。</w:t>
      </w:r>
    </w:p>
    <w:p w14:paraId="3E5B314A">
      <w:pPr>
        <w:numPr>
          <w:ilvl w:val="0"/>
          <w:numId w:val="8"/>
        </w:numPr>
        <w:spacing w:line="360" w:lineRule="auto"/>
        <w:rPr>
          <w:rFonts w:hint="eastAsia" w:ascii="宋体" w:hAnsi="宋体" w:cs="宋体"/>
          <w:bCs/>
          <w:color w:val="000000"/>
          <w:sz w:val="24"/>
        </w:rPr>
      </w:pPr>
      <w:r>
        <w:rPr>
          <w:rFonts w:hint="eastAsia" w:ascii="宋体" w:hAnsi="宋体" w:cs="宋体"/>
          <w:color w:val="000000"/>
          <w:sz w:val="24"/>
        </w:rPr>
        <w:t xml:space="preserve"> 乙方相关人员在物资的装卸、运输过程中，造成甲方所属食堂、餐厅物品摔坏或丢失的，须按物品的采购价值赔偿。</w:t>
      </w:r>
    </w:p>
    <w:p w14:paraId="74826DBC">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乙方相关人员未经甲方许可擅自向甲方所属食堂供货的，除全部退货外并处3000元违约金。</w:t>
      </w:r>
    </w:p>
    <w:p w14:paraId="0361DFB9">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乙方违约金在三天内完成缴纳，不按规定及时缴纳违约金的，将从货款中扣除。</w:t>
      </w:r>
    </w:p>
    <w:p w14:paraId="0CB78D7F">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乙方进入校园的车辆和人员须遵守学校相关管理规定。</w:t>
      </w:r>
    </w:p>
    <w:p w14:paraId="6ABDC763">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乙方无故停止供应或将本合同有关权利义务转让给第三方，甲方有权不予结算未结货款，合同履约保证金不予退还，同时甲方可以立即解除合同。</w:t>
      </w:r>
    </w:p>
    <w:p w14:paraId="533C7E9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其他约定事项</w:t>
      </w:r>
    </w:p>
    <w:p w14:paraId="631D416A">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招标文件和中标单位的投标文件作为双方签订合同的依据，并作为正式合同的附件，具有法律效力。各类文件的具体效力顺序为：供货合同、招标文件、投标文件。</w:t>
      </w:r>
    </w:p>
    <w:p w14:paraId="16578CAF">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在履行过程中发生的争议，由双方当事人协商解决；协商不成的，依法向甲方所在人民法院提起诉讼。因诉讼产生的相关费用及开支（包括但不限于公证费、诉讼费、保全费、保全担保费、鉴定费、律师费、交通费用）均由败诉方承担。</w:t>
      </w:r>
    </w:p>
    <w:p w14:paraId="1A400700">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本合同一式四份，甲方三份，乙方一份。</w:t>
      </w:r>
    </w:p>
    <w:p w14:paraId="23F4BC98">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              乙方：常州常金农业发展有限公司</w:t>
      </w:r>
    </w:p>
    <w:p w14:paraId="3FC054DF">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单位地址：</w:t>
      </w:r>
      <w:r>
        <w:rPr>
          <w:rFonts w:hint="eastAsia" w:ascii="宋体" w:hAnsi="宋体" w:cs="宋体"/>
          <w:color w:val="000000"/>
          <w:sz w:val="24"/>
          <w:lang w:val="en-US" w:eastAsia="zh-CN"/>
        </w:rPr>
        <w:t>江苏省南京市江宁区南京医科大学</w:t>
      </w:r>
      <w:r>
        <w:rPr>
          <w:rFonts w:hint="eastAsia" w:ascii="宋体" w:hAnsi="宋体" w:cs="宋体"/>
          <w:color w:val="000000"/>
          <w:sz w:val="24"/>
        </w:rPr>
        <w:t>单位地址：</w:t>
      </w:r>
    </w:p>
    <w:p w14:paraId="3F029A20">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代表人：                             代表人：</w:t>
      </w:r>
    </w:p>
    <w:p w14:paraId="6AB629DF">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联系电话：                           联系电话：</w:t>
      </w:r>
    </w:p>
    <w:p w14:paraId="6A84821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签字时间：                           签字时间：</w:t>
      </w:r>
    </w:p>
    <w:p w14:paraId="0EC59572"/>
    <w:p w14:paraId="3CAD5B2F">
      <w:pPr>
        <w:pStyle w:val="2"/>
      </w:pPr>
    </w:p>
    <w:p w14:paraId="04791C22"/>
    <w:p w14:paraId="4E4F4D6B">
      <w:pPr>
        <w:pStyle w:val="2"/>
      </w:pPr>
    </w:p>
    <w:p w14:paraId="521CDD78"/>
    <w:p w14:paraId="47527AE4">
      <w:pPr>
        <w:pStyle w:val="2"/>
      </w:pPr>
    </w:p>
    <w:p w14:paraId="650F2291"/>
    <w:p w14:paraId="78A51FAC">
      <w:pPr>
        <w:pStyle w:val="2"/>
      </w:pPr>
    </w:p>
    <w:p w14:paraId="7586EF0B"/>
    <w:p w14:paraId="089EA356">
      <w:pPr>
        <w:pStyle w:val="2"/>
      </w:pPr>
    </w:p>
    <w:p w14:paraId="63489AE8"/>
    <w:p w14:paraId="668DA955">
      <w:pPr>
        <w:pStyle w:val="2"/>
        <w:rPr>
          <w:rFonts w:hint="default" w:eastAsia="宋体"/>
          <w:lang w:val="en-US" w:eastAsia="zh-CN"/>
        </w:rPr>
      </w:pPr>
      <w:r>
        <w:rPr>
          <w:rFonts w:hint="eastAsia"/>
          <w:lang w:val="en-US" w:eastAsia="zh-CN"/>
        </w:rPr>
        <w:t>附件:</w:t>
      </w:r>
    </w:p>
    <w:tbl>
      <w:tblPr>
        <w:tblStyle w:val="3"/>
        <w:tblW w:w="982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65"/>
        <w:gridCol w:w="853"/>
        <w:gridCol w:w="2054"/>
        <w:gridCol w:w="2054"/>
        <w:gridCol w:w="1412"/>
        <w:gridCol w:w="882"/>
        <w:gridCol w:w="1385"/>
        <w:gridCol w:w="120"/>
      </w:tblGrid>
      <w:tr w14:paraId="78654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20" w:type="dxa"/>
          <w:trHeight w:val="780" w:hRule="atLeast"/>
        </w:trPr>
        <w:tc>
          <w:tcPr>
            <w:tcW w:w="9705" w:type="dxa"/>
            <w:gridSpan w:val="7"/>
            <w:tcBorders>
              <w:top w:val="nil"/>
              <w:left w:val="nil"/>
              <w:bottom w:val="nil"/>
              <w:right w:val="nil"/>
            </w:tcBorders>
            <w:shd w:val="clear" w:color="auto" w:fill="auto"/>
            <w:vAlign w:val="center"/>
          </w:tcPr>
          <w:p w14:paraId="63EA87B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南京医科大学常州校区大宗食材采购项目 包1：大米、面粉食用油中标单价清单</w:t>
            </w:r>
          </w:p>
        </w:tc>
      </w:tr>
      <w:tr w14:paraId="59F1B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20" w:type="dxa"/>
          <w:trHeight w:val="620" w:hRule="atLeast"/>
        </w:trPr>
        <w:tc>
          <w:tcPr>
            <w:tcW w:w="9705" w:type="dxa"/>
            <w:gridSpan w:val="7"/>
            <w:tcBorders>
              <w:top w:val="nil"/>
              <w:left w:val="nil"/>
              <w:bottom w:val="nil"/>
              <w:right w:val="nil"/>
            </w:tcBorders>
            <w:shd w:val="clear" w:color="auto" w:fill="auto"/>
            <w:noWrap/>
            <w:vAlign w:val="center"/>
          </w:tcPr>
          <w:p w14:paraId="2F5E95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中标单位：常州常金农业发展有限公司</w:t>
            </w:r>
          </w:p>
        </w:tc>
      </w:tr>
      <w:tr w14:paraId="3E6C6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9CD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分类名称</w:t>
            </w:r>
          </w:p>
        </w:tc>
        <w:tc>
          <w:tcPr>
            <w:tcW w:w="853" w:type="dxa"/>
            <w:tcBorders>
              <w:top w:val="single" w:color="000000" w:sz="4" w:space="0"/>
              <w:left w:val="single" w:color="000000" w:sz="4" w:space="0"/>
              <w:bottom w:val="nil"/>
              <w:right w:val="single" w:color="000000" w:sz="4" w:space="0"/>
            </w:tcBorders>
            <w:shd w:val="clear" w:color="auto" w:fill="FFFFFF"/>
            <w:noWrap/>
            <w:vAlign w:val="center"/>
          </w:tcPr>
          <w:p w14:paraId="436414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054" w:type="dxa"/>
            <w:tcBorders>
              <w:top w:val="single" w:color="000000" w:sz="4" w:space="0"/>
              <w:left w:val="single" w:color="000000" w:sz="4" w:space="0"/>
              <w:bottom w:val="nil"/>
              <w:right w:val="single" w:color="000000" w:sz="4" w:space="0"/>
            </w:tcBorders>
            <w:shd w:val="clear" w:color="auto" w:fill="FFFFFF"/>
            <w:noWrap/>
            <w:vAlign w:val="center"/>
          </w:tcPr>
          <w:p w14:paraId="4EFF8B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商品名称</w:t>
            </w:r>
          </w:p>
        </w:tc>
        <w:tc>
          <w:tcPr>
            <w:tcW w:w="2054" w:type="dxa"/>
            <w:tcBorders>
              <w:top w:val="single" w:color="000000" w:sz="4" w:space="0"/>
              <w:left w:val="single" w:color="000000" w:sz="4" w:space="0"/>
              <w:bottom w:val="nil"/>
              <w:right w:val="single" w:color="000000" w:sz="4" w:space="0"/>
            </w:tcBorders>
            <w:shd w:val="clear" w:color="auto" w:fill="FFFFFF"/>
            <w:noWrap/>
            <w:vAlign w:val="center"/>
          </w:tcPr>
          <w:p w14:paraId="7606D0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投标品牌</w:t>
            </w:r>
          </w:p>
        </w:tc>
        <w:tc>
          <w:tcPr>
            <w:tcW w:w="1412" w:type="dxa"/>
            <w:tcBorders>
              <w:top w:val="single" w:color="000000" w:sz="4" w:space="0"/>
              <w:left w:val="single" w:color="000000" w:sz="4" w:space="0"/>
              <w:bottom w:val="nil"/>
              <w:right w:val="single" w:color="000000" w:sz="4" w:space="0"/>
            </w:tcBorders>
            <w:shd w:val="clear" w:color="auto" w:fill="FFFFFF"/>
            <w:noWrap/>
            <w:vAlign w:val="center"/>
          </w:tcPr>
          <w:p w14:paraId="65A447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w:t>
            </w:r>
          </w:p>
        </w:tc>
        <w:tc>
          <w:tcPr>
            <w:tcW w:w="882" w:type="dxa"/>
            <w:tcBorders>
              <w:top w:val="single" w:color="000000" w:sz="4" w:space="0"/>
              <w:left w:val="single" w:color="000000" w:sz="4" w:space="0"/>
              <w:bottom w:val="nil"/>
              <w:right w:val="single" w:color="000000" w:sz="4" w:space="0"/>
            </w:tcBorders>
            <w:shd w:val="clear" w:color="auto" w:fill="FFFFFF"/>
            <w:noWrap/>
            <w:vAlign w:val="center"/>
          </w:tcPr>
          <w:p w14:paraId="027DCB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505" w:type="dxa"/>
            <w:gridSpan w:val="2"/>
            <w:tcBorders>
              <w:top w:val="single" w:color="000000" w:sz="4" w:space="0"/>
              <w:left w:val="single" w:color="000000" w:sz="4" w:space="0"/>
              <w:bottom w:val="nil"/>
              <w:right w:val="single" w:color="000000" w:sz="4" w:space="0"/>
            </w:tcBorders>
            <w:shd w:val="clear" w:color="auto" w:fill="FFFFFF"/>
            <w:noWrap/>
            <w:vAlign w:val="center"/>
          </w:tcPr>
          <w:p w14:paraId="74AED1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中标单价</w:t>
            </w:r>
          </w:p>
        </w:tc>
      </w:tr>
      <w:tr w14:paraId="5968A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10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AA09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面粉</w:t>
            </w:r>
          </w:p>
        </w:tc>
        <w:tc>
          <w:tcPr>
            <w:tcW w:w="8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7D5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0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1DC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特制一等高筋面粉</w:t>
            </w:r>
          </w:p>
        </w:tc>
        <w:tc>
          <w:tcPr>
            <w:tcW w:w="20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8475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五得利六星</w:t>
            </w:r>
          </w:p>
        </w:tc>
        <w:tc>
          <w:tcPr>
            <w:tcW w:w="14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A1B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1*50斤</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7BE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5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DB0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1.76元/斤</w:t>
            </w:r>
          </w:p>
        </w:tc>
      </w:tr>
      <w:tr w14:paraId="432C9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702E84">
            <w:pPr>
              <w:jc w:val="center"/>
              <w:rPr>
                <w:rFonts w:hint="eastAsia" w:ascii="宋体" w:hAnsi="宋体" w:eastAsia="宋体" w:cs="宋体"/>
                <w:i w:val="0"/>
                <w:iCs w:val="0"/>
                <w:color w:val="000000"/>
                <w:sz w:val="22"/>
                <w:szCs w:val="22"/>
                <w:u w:val="none"/>
              </w:rPr>
            </w:pPr>
          </w:p>
        </w:tc>
        <w:tc>
          <w:tcPr>
            <w:tcW w:w="8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C84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0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FA7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特制一等中筋面粉</w:t>
            </w:r>
          </w:p>
        </w:tc>
        <w:tc>
          <w:tcPr>
            <w:tcW w:w="20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251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五得利三星</w:t>
            </w:r>
          </w:p>
        </w:tc>
        <w:tc>
          <w:tcPr>
            <w:tcW w:w="14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920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1*50斤</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5EF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5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1F9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1.60元/斤</w:t>
            </w:r>
          </w:p>
        </w:tc>
      </w:tr>
      <w:tr w14:paraId="40CA3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22E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大米</w:t>
            </w:r>
          </w:p>
        </w:tc>
        <w:tc>
          <w:tcPr>
            <w:tcW w:w="8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BA8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0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FD2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一级粳米</w:t>
            </w:r>
          </w:p>
        </w:tc>
        <w:tc>
          <w:tcPr>
            <w:tcW w:w="20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A98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常金</w:t>
            </w:r>
          </w:p>
        </w:tc>
        <w:tc>
          <w:tcPr>
            <w:tcW w:w="14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1C7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1*50斤</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9AB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5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33D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2.08元/斤</w:t>
            </w:r>
          </w:p>
        </w:tc>
      </w:tr>
      <w:tr w14:paraId="7925A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10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02B5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食用油</w:t>
            </w:r>
          </w:p>
        </w:tc>
        <w:tc>
          <w:tcPr>
            <w:tcW w:w="8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709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0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F55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非转大豆油</w:t>
            </w:r>
          </w:p>
        </w:tc>
        <w:tc>
          <w:tcPr>
            <w:tcW w:w="20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CD9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福之禾</w:t>
            </w:r>
          </w:p>
        </w:tc>
        <w:tc>
          <w:tcPr>
            <w:tcW w:w="14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3C8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20L/箱（桶）</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3C8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箱（桶）</w:t>
            </w:r>
          </w:p>
        </w:tc>
        <w:tc>
          <w:tcPr>
            <w:tcW w:w="15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E81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179元/桶</w:t>
            </w:r>
          </w:p>
        </w:tc>
      </w:tr>
      <w:tr w14:paraId="66D59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C197C8">
            <w:pPr>
              <w:jc w:val="center"/>
              <w:rPr>
                <w:rFonts w:hint="eastAsia" w:ascii="宋体" w:hAnsi="宋体" w:eastAsia="宋体" w:cs="宋体"/>
                <w:i w:val="0"/>
                <w:iCs w:val="0"/>
                <w:color w:val="000000"/>
                <w:sz w:val="22"/>
                <w:szCs w:val="22"/>
                <w:u w:val="none"/>
              </w:rPr>
            </w:pPr>
          </w:p>
        </w:tc>
        <w:tc>
          <w:tcPr>
            <w:tcW w:w="8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866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0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F8E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非转菜籽油</w:t>
            </w:r>
          </w:p>
        </w:tc>
        <w:tc>
          <w:tcPr>
            <w:tcW w:w="20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F43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金龙鱼</w:t>
            </w:r>
          </w:p>
        </w:tc>
        <w:tc>
          <w:tcPr>
            <w:tcW w:w="14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6B1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20L/箱（桶）</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051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箱（桶）</w:t>
            </w:r>
          </w:p>
        </w:tc>
        <w:tc>
          <w:tcPr>
            <w:tcW w:w="15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A29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222元/箱</w:t>
            </w:r>
          </w:p>
        </w:tc>
      </w:tr>
    </w:tbl>
    <w:p w14:paraId="65936D9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4A0C0"/>
    <w:multiLevelType w:val="singleLevel"/>
    <w:tmpl w:val="8594A0C0"/>
    <w:lvl w:ilvl="0" w:tentative="0">
      <w:start w:val="1"/>
      <w:numFmt w:val="chineseCounting"/>
      <w:suff w:val="nothing"/>
      <w:lvlText w:val="%1、"/>
      <w:lvlJc w:val="left"/>
      <w:pPr>
        <w:ind w:left="0" w:firstLine="420"/>
      </w:pPr>
      <w:rPr>
        <w:rFonts w:hint="eastAsia"/>
      </w:rPr>
    </w:lvl>
  </w:abstractNum>
  <w:abstractNum w:abstractNumId="1">
    <w:nsid w:val="8D5773AA"/>
    <w:multiLevelType w:val="singleLevel"/>
    <w:tmpl w:val="8D5773AA"/>
    <w:lvl w:ilvl="0" w:tentative="0">
      <w:start w:val="1"/>
      <w:numFmt w:val="decimal"/>
      <w:lvlText w:val="%1."/>
      <w:lvlJc w:val="left"/>
      <w:pPr>
        <w:ind w:left="425" w:hanging="425"/>
      </w:pPr>
      <w:rPr>
        <w:rFonts w:hint="default"/>
      </w:rPr>
    </w:lvl>
  </w:abstractNum>
  <w:abstractNum w:abstractNumId="2">
    <w:nsid w:val="9547D394"/>
    <w:multiLevelType w:val="singleLevel"/>
    <w:tmpl w:val="9547D394"/>
    <w:lvl w:ilvl="0" w:tentative="0">
      <w:start w:val="1"/>
      <w:numFmt w:val="decimal"/>
      <w:lvlText w:val="%1."/>
      <w:lvlJc w:val="left"/>
      <w:pPr>
        <w:ind w:left="425" w:hanging="425"/>
      </w:pPr>
      <w:rPr>
        <w:rFonts w:hint="default"/>
      </w:rPr>
    </w:lvl>
  </w:abstractNum>
  <w:abstractNum w:abstractNumId="3">
    <w:nsid w:val="A1E46426"/>
    <w:multiLevelType w:val="singleLevel"/>
    <w:tmpl w:val="A1E46426"/>
    <w:lvl w:ilvl="0" w:tentative="0">
      <w:start w:val="1"/>
      <w:numFmt w:val="chineseCounting"/>
      <w:suff w:val="nothing"/>
      <w:lvlText w:val="（%1）"/>
      <w:lvlJc w:val="left"/>
      <w:pPr>
        <w:ind w:left="0" w:firstLine="420"/>
      </w:pPr>
      <w:rPr>
        <w:rFonts w:hint="eastAsia"/>
      </w:rPr>
    </w:lvl>
  </w:abstractNum>
  <w:abstractNum w:abstractNumId="4">
    <w:nsid w:val="A22CB9E5"/>
    <w:multiLevelType w:val="singleLevel"/>
    <w:tmpl w:val="A22CB9E5"/>
    <w:lvl w:ilvl="0" w:tentative="0">
      <w:start w:val="1"/>
      <w:numFmt w:val="chineseCounting"/>
      <w:suff w:val="nothing"/>
      <w:lvlText w:val="（%1）"/>
      <w:lvlJc w:val="left"/>
      <w:pPr>
        <w:ind w:left="0" w:firstLine="420"/>
      </w:pPr>
      <w:rPr>
        <w:rFonts w:hint="eastAsia"/>
      </w:rPr>
    </w:lvl>
  </w:abstractNum>
  <w:abstractNum w:abstractNumId="5">
    <w:nsid w:val="EFD5747A"/>
    <w:multiLevelType w:val="singleLevel"/>
    <w:tmpl w:val="EFD5747A"/>
    <w:lvl w:ilvl="0" w:tentative="0">
      <w:start w:val="1"/>
      <w:numFmt w:val="chineseCounting"/>
      <w:suff w:val="nothing"/>
      <w:lvlText w:val="（%1）"/>
      <w:lvlJc w:val="left"/>
      <w:pPr>
        <w:ind w:left="0" w:firstLine="420"/>
      </w:pPr>
      <w:rPr>
        <w:rFonts w:hint="eastAsia"/>
      </w:rPr>
    </w:lvl>
  </w:abstractNum>
  <w:abstractNum w:abstractNumId="6">
    <w:nsid w:val="08B6E6F9"/>
    <w:multiLevelType w:val="singleLevel"/>
    <w:tmpl w:val="08B6E6F9"/>
    <w:lvl w:ilvl="0" w:tentative="0">
      <w:start w:val="1"/>
      <w:numFmt w:val="chineseCounting"/>
      <w:suff w:val="nothing"/>
      <w:lvlText w:val="（%1）"/>
      <w:lvlJc w:val="left"/>
      <w:pPr>
        <w:ind w:left="0" w:firstLine="420"/>
      </w:pPr>
      <w:rPr>
        <w:rFonts w:hint="eastAsia"/>
      </w:rPr>
    </w:lvl>
  </w:abstractNum>
  <w:abstractNum w:abstractNumId="7">
    <w:nsid w:val="4C9DE884"/>
    <w:multiLevelType w:val="singleLevel"/>
    <w:tmpl w:val="4C9DE884"/>
    <w:lvl w:ilvl="0" w:tentative="0">
      <w:start w:val="1"/>
      <w:numFmt w:val="decimal"/>
      <w:lvlText w:val="%1."/>
      <w:lvlJc w:val="left"/>
      <w:pPr>
        <w:ind w:left="425" w:hanging="425"/>
      </w:pPr>
      <w:rPr>
        <w:rFonts w:hint="default"/>
      </w:rPr>
    </w:lvl>
  </w:abstractNum>
  <w:abstractNum w:abstractNumId="8">
    <w:nsid w:val="4E0F3C9A"/>
    <w:multiLevelType w:val="singleLevel"/>
    <w:tmpl w:val="4E0F3C9A"/>
    <w:lvl w:ilvl="0" w:tentative="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8"/>
  </w:num>
  <w:num w:numId="4">
    <w:abstractNumId w:val="5"/>
  </w:num>
  <w:num w:numId="5">
    <w:abstractNumId w:val="6"/>
  </w:num>
  <w:num w:numId="6">
    <w:abstractNumId w:val="1"/>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F82D76"/>
    <w:rsid w:val="130944F8"/>
    <w:rsid w:val="1DE33F41"/>
    <w:rsid w:val="33661C56"/>
    <w:rsid w:val="5DF82D76"/>
    <w:rsid w:val="66393A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1"/>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pPr>
      <w:widowControl w:val="0"/>
      <w:jc w:val="both"/>
    </w:pPr>
    <w:rPr>
      <w:rFonts w:ascii="Times New Roman" w:hAnsi="Times New Roman" w:eastAsia="宋体" w:cs="Times New Roman"/>
      <w:kern w:val="1"/>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3424</Words>
  <Characters>3490</Characters>
  <Lines>0</Lines>
  <Paragraphs>0</Paragraphs>
  <TotalTime>17</TotalTime>
  <ScaleCrop>false</ScaleCrop>
  <LinksUpToDate>false</LinksUpToDate>
  <CharactersWithSpaces>3608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2025-06-19T08:34:00Z</dcterms:created>
  <dc:creator>吱屋猪</dc:creator>
  <cp:lastModifiedBy>吱屋猪</cp:lastModifiedBy>
  <dcterms:modified xsi:type="dcterms:W3CDTF">2025-06-24T00:44:55Z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F19B845D2F654A8EAF92E68BEE6A1851_11</vt:lpwstr>
  </property>
  <property fmtid="{D5CDD505-2E9C-101B-9397-08002B2CF9AE}" pid="4" name="KSOTemplateDocerSaveRecord">
    <vt:lpwstr>eyJoZGlkIjoiYjU4ZWUzYWU0ZjNkYWYwM2QyYzcxZjE4ZWE3MTk0OTciLCJ1c2VySWQiOiIxMjYxMjAwNjM3In0=</vt:lpwstr>
  </property>
</Properties>
</file>