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eastAsia" w:ascii="Times New Roman" w:hAnsi="Times New Roman" w:eastAsia="宋体"/>
          <w:b/>
          <w:bCs/>
          <w:color w:val="auto"/>
          <w:sz w:val="36"/>
          <w:highlight w:val="none"/>
          <w:lang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JSZC-321000-SWGC-G2026-0098号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b/>
          <w:bCs/>
          <w:color w:val="auto"/>
          <w:sz w:val="36"/>
          <w:highlight w:val="none"/>
          <w:lang w:eastAsia="zh-CN"/>
        </w:rPr>
        <w:t xml:space="preserve">扬州市公安局2026年-2027年涉案场所保安服务项目（二次）</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default" w:ascii="Times New Roman" w:hAnsi="Times New Roman"/>
          <w:b/>
          <w:bCs/>
          <w:color w:val="auto"/>
          <w:sz w:val="36"/>
          <w:highlight w:val="none"/>
          <w:lang w:val="en-US" w:eastAsia="zh-CN"/>
        </w:rPr>
        <w:t xml:space="preserve">0</w:t>
      </w:r>
      <w:r>
        <w:rPr>
          <w:rFonts w:hint="eastAsia" w:ascii="Times New Roman" w:hAnsi="Times New Roman"/>
          <w:b/>
          <w:bCs/>
          <w:color w:val="auto"/>
          <w:sz w:val="36"/>
          <w:highlight w:val="none"/>
          <w:lang w:val="en-US" w:eastAsia="zh-CN"/>
        </w:rPr>
        <w:t xml:space="preserve">7</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31</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74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28</w:t>
      </w:r>
      <w:r>
        <w:rPr>
          <w:rFonts w:ascii="Times New Roman" w:hAnsi="Times New Roman" w:eastAsia="宋体"/>
          <w:color w:val="auto"/>
          <w:sz w:val="30"/>
          <w:szCs w:val="30"/>
          <w:highlight w:val="none"/>
        </w:rPr>
        <w:fldChar w:fldCharType="end"/>
      </w:r>
      <w:r/>
    </w:p>
    <w:p>
      <w:pPr>
        <w:pStyle w:val="742"/>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34</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715"/>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cs="宋体"/>
          <w:color w:val="auto"/>
          <w:highlight w:val="none"/>
          <w:lang w:eastAsia="zh-CN"/>
        </w:rPr>
        <w:t xml:space="preserve">扬州市公安局</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olor w:val="auto"/>
          <w:highlight w:val="none"/>
          <w:lang w:eastAsia="zh-CN"/>
        </w:rPr>
        <w:t xml:space="preserve">扬州市公安局2026年-2027年涉案场所保安服务项目（二次）</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JSZC-321000-SWGC-G2026-0098号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color w:val="auto"/>
          <w:highlight w:val="none"/>
          <w:u w:val="single"/>
          <w:lang w:eastAsia="zh-CN"/>
        </w:rPr>
        <w:t xml:space="preserve">扬州市公安局2026年-2027年涉案场所保安服务项目（二次）</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cs="宋体"/>
          <w:bCs/>
          <w:color w:val="auto"/>
          <w:highlight w:val="none"/>
          <w:u w:val="single"/>
        </w:rPr>
        <w:t xml:space="preserve">2026年0</w:t>
      </w:r>
      <w:r>
        <w:rPr>
          <w:rFonts w:hint="eastAsia" w:ascii="Times New Roman" w:hAnsi="Times New Roman" w:cs="宋体"/>
          <w:bCs/>
          <w:color w:val="auto"/>
          <w:highlight w:val="none"/>
          <w:u w:val="single"/>
          <w:lang w:val="en-US" w:eastAsia="zh-CN"/>
        </w:rPr>
        <w:t xml:space="preserve">8</w:t>
      </w:r>
      <w:r>
        <w:rPr>
          <w:rFonts w:hint="eastAsia" w:ascii="Times New Roman" w:hAnsi="Times New Roman" w:cs="宋体"/>
          <w:bCs/>
          <w:color w:val="auto"/>
          <w:highlight w:val="none"/>
          <w:u w:val="single"/>
        </w:rPr>
        <w:t xml:space="preserve">月</w:t>
      </w:r>
      <w:r>
        <w:rPr>
          <w:rFonts w:hint="eastAsia" w:ascii="Times New Roman" w:hAnsi="Times New Roman" w:cs="宋体"/>
          <w:bCs/>
          <w:color w:val="auto"/>
          <w:highlight w:val="none"/>
          <w:u w:val="single"/>
          <w:lang w:val="en-US" w:eastAsia="zh-CN"/>
        </w:rPr>
        <w:t xml:space="preserve">21</w:t>
      </w:r>
      <w:r>
        <w:rPr>
          <w:rFonts w:hint="eastAsia" w:ascii="Times New Roman" w:hAnsi="Times New Roman" w:cs="宋体"/>
          <w:bCs/>
          <w:color w:val="auto"/>
          <w:highlight w:val="none"/>
          <w:u w:val="single"/>
        </w:rPr>
        <w:t xml:space="preserve">日</w:t>
      </w:r>
      <w:r>
        <w:rPr>
          <w:rFonts w:hint="eastAsia" w:ascii="Times New Roman" w:hAnsi="Times New Roman" w:eastAsia="宋体" w:cs="宋体"/>
          <w:bCs/>
          <w:color w:val="auto"/>
          <w:highlight w:val="none"/>
          <w:u w:val="single"/>
        </w:rPr>
        <w:t xml:space="preserve">下午</w:t>
      </w:r>
      <w:r>
        <w:rPr>
          <w:rFonts w:hint="eastAsia" w:ascii="Times New Roman" w:hAnsi="Times New Roman" w:cs="宋体"/>
          <w:bCs/>
          <w:color w:val="auto"/>
          <w:highlight w:val="none"/>
          <w:u w:val="single"/>
          <w:lang w:val="en-US" w:eastAsia="zh-CN"/>
        </w:rPr>
        <w:t xml:space="preserve">3</w:t>
      </w:r>
      <w:r>
        <w:rPr>
          <w:rFonts w:hint="eastAsia" w:ascii="Times New Roman" w:hAnsi="Times New Roman" w:eastAsia="宋体" w:cs="宋体"/>
          <w:bCs/>
          <w:color w:val="auto"/>
          <w:highlight w:val="none"/>
          <w:u w:val="single"/>
        </w:rPr>
        <w:t xml:space="preserve">:</w:t>
      </w:r>
      <w:r>
        <w:rPr>
          <w:rFonts w:hint="eastAsia" w:ascii="Times New Roman" w:hAnsi="Times New Roman" w:cs="宋体"/>
          <w:bCs/>
          <w:color w:val="auto"/>
          <w:highlight w:val="none"/>
          <w:u w:val="single"/>
          <w:lang w:val="en-US" w:eastAsia="zh-CN"/>
        </w:rPr>
        <w:t xml:space="preserve">0</w:t>
      </w:r>
      <w:r>
        <w:rPr>
          <w:rFonts w:hint="eastAsia" w:ascii="Times New Roman" w:hAnsi="Times New Roman" w:eastAsia="宋体" w:cs="宋体"/>
          <w:bCs/>
          <w:color w:val="auto"/>
          <w:highlight w:val="none"/>
          <w:u w:val="single"/>
        </w:rPr>
        <w:t xml:space="preserve">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79"/>
      <w:r/>
      <w:bookmarkStart w:id="3" w:name="_Toc35393621"/>
      <w:r/>
      <w:bookmarkStart w:id="4" w:name="_Toc35393790"/>
      <w:r/>
      <w:bookmarkStart w:id="5" w:name="_Toc38985263"/>
      <w:r/>
      <w:bookmarkStart w:id="6" w:name="_Toc28359002"/>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JSZC-321000-SWGC-G2026-0098号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7"/>
      <w:r>
        <w:rPr>
          <w:rFonts w:hint="eastAsia" w:ascii="Times New Roman" w:hAnsi="Times New Roman"/>
          <w:color w:val="auto"/>
          <w:highlight w:val="none"/>
          <w:lang w:eastAsia="zh-CN"/>
        </w:rPr>
        <w:t xml:space="preserve">扬州市公安局2026年-2027年涉案场所保安服务项目（二次）</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cs="宋体"/>
          <w:color w:val="auto"/>
          <w:highlight w:val="none"/>
          <w:lang w:val="en-US" w:eastAsia="zh-CN"/>
        </w:rPr>
        <w:t xml:space="preserve">179.51</w:t>
      </w:r>
      <w:r>
        <w:rPr>
          <w:rFonts w:hint="eastAsia" w:ascii="Times New Roman" w:hAnsi="Times New Roman" w:eastAsia="宋体" w:cs="宋体"/>
          <w:color w:val="auto"/>
          <w:highlight w:val="none"/>
          <w:lang w:val="en-US" w:eastAsia="zh-CN"/>
        </w:rPr>
        <w:t xml:space="preserve">万元</w:t>
      </w:r>
      <w:r>
        <w:rPr>
          <w:rFonts w:hint="eastAsia" w:ascii="Times New Roman" w:hAnsi="Times New Roman" w:eastAsia="宋体" w:cs="宋体"/>
          <w:color w:val="auto"/>
          <w:highlight w:val="none"/>
        </w:rPr>
        <w:t xml:space="preserve">。</w:t>
      </w:r>
      <w:r/>
    </w:p>
    <w:p>
      <w:pPr>
        <w:pStyle w:val="917"/>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szCs w:val="21"/>
          <w:highlight w:val="none"/>
          <w:lang w:val="en-US" w:eastAsia="zh-CN"/>
        </w:rPr>
        <w:t xml:space="preserve">一年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35393622"/>
      <w:r/>
      <w:bookmarkStart w:id="9" w:name="_Toc28359080"/>
      <w:r/>
      <w:bookmarkStart w:id="10" w:name="_Toc28359003"/>
      <w:r/>
      <w:bookmarkStart w:id="11" w:name="_Toc38985264"/>
      <w:r/>
      <w:bookmarkStart w:id="12" w:name="_Toc35393791"/>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28359081"/>
      <w:r/>
      <w:bookmarkStart w:id="14" w:name="_Toc38985265"/>
      <w:r/>
      <w:bookmarkStart w:id="15" w:name="_Toc28359004"/>
      <w:r/>
      <w:bookmarkStart w:id="16" w:name="_Toc35393623"/>
      <w:r/>
      <w:bookmarkStart w:id="17" w:name="_Toc35393792"/>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投标人具有公安主管部门颁发的保安服务许可证</w:t>
      </w:r>
      <w:r>
        <w:rPr>
          <w:rFonts w:hint="eastAsia" w:ascii="Times New Roman" w:hAnsi="Times New Roman" w:eastAsia="宋体" w:cs="宋体"/>
          <w:b/>
          <w:bCs/>
          <w:i/>
          <w:iCs/>
          <w:color w:val="auto"/>
          <w:sz w:val="21"/>
          <w:szCs w:val="21"/>
          <w:highlight w:val="none"/>
          <w:u w:val="single"/>
          <w:lang w:val="en-US" w:eastAsia="zh-CN" w:bidi="ar-SA"/>
        </w:rPr>
        <w:t xml:space="preserve">（原件扫描上传）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82"/>
      <w:r/>
      <w:bookmarkStart w:id="19" w:name="_Toc28359005"/>
      <w:r/>
      <w:bookmarkStart w:id="20" w:name="_Toc35393793"/>
      <w:r/>
      <w:bookmarkStart w:id="21" w:name="_Toc35393624"/>
      <w:r/>
      <w:bookmarkStart w:id="22" w:name="_Toc38985266"/>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cs="宋体"/>
          <w:color w:val="auto"/>
          <w:highlight w:val="none"/>
        </w:rPr>
        <w:t xml:space="preserve">2026年0</w:t>
      </w:r>
      <w:r>
        <w:rPr>
          <w:rFonts w:hint="eastAsia" w:ascii="Times New Roman" w:hAnsi="Times New Roman" w:cs="宋体"/>
          <w:color w:val="auto"/>
          <w:highlight w:val="none"/>
          <w:lang w:val="en-US" w:eastAsia="zh-CN"/>
        </w:rPr>
        <w:t xml:space="preserve">8</w:t>
      </w:r>
      <w:r>
        <w:rPr>
          <w:rFonts w:hint="eastAsia" w:ascii="Times New Roman" w:hAnsi="Times New Roman" w:cs="宋体"/>
          <w:color w:val="auto"/>
          <w:highlight w:val="none"/>
        </w:rPr>
        <w:t xml:space="preserve">月</w:t>
      </w:r>
      <w:r>
        <w:rPr>
          <w:rFonts w:hint="eastAsia" w:ascii="Times New Roman" w:hAnsi="Times New Roman" w:cs="宋体"/>
          <w:color w:val="auto"/>
          <w:highlight w:val="none"/>
          <w:lang w:val="en-US" w:eastAsia="zh-CN"/>
        </w:rPr>
        <w:t xml:space="preserve">21</w:t>
      </w:r>
      <w:r>
        <w:rPr>
          <w:rFonts w:hint="eastAsia" w:ascii="Times New Roman" w:hAnsi="Times New Roman" w:cs="宋体"/>
          <w:color w:val="auto"/>
          <w:highlight w:val="none"/>
        </w:rPr>
        <w:t xml:space="preserve">日下午3:00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8985267"/>
      <w:r/>
      <w:bookmarkStart w:id="24" w:name="_Toc35393625"/>
      <w:r/>
      <w:bookmarkStart w:id="25" w:name="_Toc35393794"/>
      <w:r/>
      <w:bookmarkStart w:id="26" w:name="_Toc28359007"/>
      <w:r/>
      <w:bookmarkStart w:id="27" w:name="_Toc2835908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8985268"/>
      <w:r/>
      <w:bookmarkStart w:id="29" w:name="_Toc35393626"/>
      <w:r/>
      <w:bookmarkStart w:id="30" w:name="_Toc35393795"/>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35393796"/>
      <w:r/>
      <w:bookmarkStart w:id="32" w:name="_Toc38985269"/>
      <w:r/>
      <w:bookmarkStart w:id="33" w:name="_Toc28359008"/>
      <w:r/>
      <w:bookmarkStart w:id="34" w:name="_Toc28359085"/>
      <w:r/>
      <w:bookmarkStart w:id="35" w:name="_Toc35393627"/>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color w:val="auto"/>
          <w:szCs w:val="21"/>
          <w:highlight w:val="none"/>
          <w:lang w:eastAsia="zh-CN"/>
        </w:rPr>
        <w:t xml:space="preserve">扬州市公安局</w:t>
      </w:r>
      <w:r/>
    </w:p>
    <w:p>
      <w:pPr>
        <w:ind w:firstLine="420"/>
        <w:jc w:val="left"/>
        <w:pageBreakBefore w:val="0"/>
        <w:spacing w:line="360" w:lineRule="auto"/>
        <w:rPr>
          <w:rFonts w:hint="eastAsia" w:ascii="Times New Roman" w:hAnsi="Times New Roman" w:eastAsia="宋体"/>
          <w:color w:val="auto"/>
          <w:szCs w:val="21"/>
          <w:highlight w:val="none"/>
          <w:lang w:val="en-US" w:eastAsia="zh-CN"/>
        </w:rPr>
      </w:pPr>
      <w:r/>
      <w:bookmarkStart w:id="38" w:name="_Toc28359009"/>
      <w:r/>
      <w:bookmarkStart w:id="39" w:name="_Toc28359086"/>
      <w:r>
        <w:rPr>
          <w:rFonts w:hint="eastAsia" w:ascii="Times New Roman" w:hAnsi="Times New Roman" w:eastAsia="宋体" w:cs="宋体"/>
          <w:color w:val="auto"/>
          <w:highlight w:val="none"/>
        </w:rPr>
        <w:t xml:space="preserve">地址：</w:t>
      </w:r>
      <w:r>
        <w:rPr>
          <w:rFonts w:hint="eastAsia" w:ascii="Times New Roman" w:hAnsi="Times New Roman"/>
          <w:color w:val="auto"/>
          <w:szCs w:val="21"/>
          <w:highlight w:val="none"/>
          <w:lang w:eastAsia="zh-CN"/>
        </w:rPr>
        <w:t xml:space="preserve">扬州市邗江区润扬中路98号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eastAsia" w:ascii="Times New Roman" w:hAnsi="Times New Roman" w:cs="Times New Roman"/>
          <w:color w:val="auto"/>
          <w:szCs w:val="21"/>
          <w:highlight w:val="none"/>
          <w:lang w:eastAsia="zh-CN"/>
        </w:rPr>
        <w:t xml:space="preserve">张尧 </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cs="Times New Roman"/>
          <w:color w:val="auto"/>
          <w:szCs w:val="21"/>
          <w:highlight w:val="none"/>
          <w:lang w:val="en-US" w:eastAsia="zh-CN"/>
        </w:rPr>
        <w:t xml:space="preserve">18252700330</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eastAsia"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olor w:val="auto"/>
          <w:szCs w:val="21"/>
          <w:highlight w:val="none"/>
          <w:lang w:eastAsia="zh-CN"/>
        </w:rPr>
        <w:t xml:space="preserve">黄炎</w:t>
      </w:r>
      <w:bookmarkStart w:id="98" w:name="_GoBack"/>
      <w:r/>
      <w:bookmarkEnd w:id="98"/>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宋体"/>
          <w:color w:val="auto"/>
          <w:szCs w:val="21"/>
          <w:highlight w:val="none"/>
        </w:rPr>
        <w:t xml:space="preserve">0514-</w:t>
      </w:r>
      <w:r>
        <w:rPr>
          <w:rFonts w:hint="eastAsia" w:ascii="Times New Roman" w:hAnsi="Times New Roman" w:eastAsia="宋体"/>
          <w:color w:val="auto"/>
          <w:szCs w:val="21"/>
          <w:highlight w:val="none"/>
        </w:rPr>
        <w:t xml:space="preserve">82129101</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color w:val="auto"/>
          <w:szCs w:val="21"/>
          <w:highlight w:val="none"/>
        </w:rPr>
        <w:t xml:space="preserve">2026年0</w:t>
      </w:r>
      <w:r>
        <w:rPr>
          <w:rFonts w:hint="eastAsia" w:ascii="Times New Roman" w:hAnsi="Times New Roman"/>
          <w:color w:val="auto"/>
          <w:szCs w:val="21"/>
          <w:highlight w:val="none"/>
          <w:lang w:val="en-US" w:eastAsia="zh-CN"/>
        </w:rPr>
        <w:t xml:space="preserve">7</w:t>
      </w:r>
      <w:r>
        <w:rPr>
          <w:rFonts w:hint="eastAsia" w:ascii="Times New Roman" w:hAnsi="Times New Roman"/>
          <w:color w:val="auto"/>
          <w:szCs w:val="21"/>
          <w:highlight w:val="none"/>
        </w:rPr>
        <w:t xml:space="preserve">月</w:t>
      </w:r>
      <w:r>
        <w:rPr>
          <w:rFonts w:hint="eastAsia" w:ascii="Times New Roman" w:hAnsi="Times New Roman"/>
          <w:color w:val="auto"/>
          <w:szCs w:val="21"/>
          <w:highlight w:val="none"/>
          <w:lang w:val="en-US" w:eastAsia="zh-CN"/>
        </w:rPr>
        <w:t xml:space="preserve">31</w:t>
      </w:r>
      <w:r>
        <w:rPr>
          <w:rFonts w:hint="eastAsia" w:ascii="Times New Roman" w:hAnsi="Times New Roman"/>
          <w:color w:val="auto"/>
          <w:szCs w:val="21"/>
          <w:highlight w:val="none"/>
        </w:rPr>
        <w:t xml:space="preserve">日</w:t>
      </w:r>
      <w:r/>
    </w:p>
    <w:p>
      <w:pPr>
        <w:pStyle w:val="715"/>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JSZC-321000-SWGC-G2026-0098号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jc w:val="left"/>
        <w:spacing w:line="360" w:lineRule="auto"/>
        <w:rPr>
          <w:rFonts w:ascii="宋体" w:hAnsi="宋体"/>
          <w:b/>
          <w:bCs/>
          <w:color w:val="auto"/>
          <w:szCs w:val="21"/>
          <w:highlight w:val="none"/>
        </w:rPr>
      </w:pPr>
      <w:r>
        <w:rPr>
          <w:rFonts w:hint="eastAsia" w:ascii="Times New Roman" w:hAnsi="Times New Roman" w:eastAsia="宋体"/>
          <w:b/>
          <w:bCs/>
          <w:color w:val="auto"/>
          <w:szCs w:val="21"/>
          <w:highlight w:val="none"/>
        </w:rPr>
        <w:t xml:space="preserve">4.2</w:t>
      </w:r>
      <w:r>
        <w:rPr>
          <w:rFonts w:hint="eastAsia" w:ascii="宋体" w:hAnsi="宋体" w:cs="宋体"/>
          <w:b/>
          <w:bCs/>
          <w:color w:val="auto"/>
          <w:szCs w:val="21"/>
          <w:highlight w:val="none"/>
        </w:rPr>
        <w:t xml:space="preserve">本次采购</w:t>
      </w:r>
      <w:r>
        <w:rPr>
          <w:rFonts w:hint="eastAsia" w:ascii="宋体" w:hAnsi="宋体" w:cs="宋体"/>
          <w:b/>
          <w:bCs/>
          <w:color w:val="auto"/>
          <w:szCs w:val="21"/>
          <w:highlight w:val="none"/>
          <w:lang w:val="en-US" w:eastAsia="zh-CN"/>
        </w:rPr>
        <w:t xml:space="preserve">预算已包含代理服务费5000元，</w:t>
      </w:r>
      <w:r>
        <w:rPr>
          <w:rFonts w:hint="eastAsia" w:ascii="宋体" w:hAnsi="宋体" w:cs="宋体"/>
          <w:b/>
          <w:bCs/>
          <w:color w:val="auto"/>
          <w:szCs w:val="21"/>
          <w:highlight w:val="none"/>
        </w:rPr>
        <w:t xml:space="preserve">由中标人在领取中标通知书前一次性支付给招标代理机构。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（3）招标代理服务费包含在投标总价中，由中标单位支付给代理机构。</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招标代理服务费开户银行：中国工商银行扬州雍华府支行</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    开户名称：江苏苏维工程管理有限公司</w:t>
      </w:r>
      <w:r/>
    </w:p>
    <w:p>
      <w:pPr>
        <w:ind w:firstLine="422"/>
        <w:spacing w:line="360" w:lineRule="auto"/>
        <w:rPr>
          <w:rFonts w:hint="eastAsia" w:ascii="Times New Roman" w:hAnsi="Times New Roman" w:eastAsia="宋体"/>
          <w:b/>
          <w:bCs/>
          <w:color w:val="auto"/>
          <w:szCs w:val="21"/>
          <w:highlight w:val="none"/>
        </w:rPr>
      </w:pPr>
      <w:r>
        <w:rPr>
          <w:rFonts w:hint="eastAsia" w:ascii="宋体" w:hAnsi="宋体" w:cs="宋体"/>
          <w:b/>
          <w:bCs/>
          <w:color w:val="auto"/>
          <w:szCs w:val="21"/>
          <w:highlight w:val="none"/>
        </w:rPr>
        <w:t xml:space="preserve">    开户帐号：1108020819100000612</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w:t>
      </w:r>
      <w:r>
        <w:rPr>
          <w:rFonts w:hint="eastAsia" w:ascii="Times New Roman" w:hAnsi="Times New Roman"/>
          <w:b/>
          <w:bCs/>
          <w:color w:val="auto"/>
          <w:szCs w:val="21"/>
          <w:highlight w:val="none"/>
          <w:lang w:val="en-US" w:eastAsia="zh-CN"/>
        </w:rPr>
        <w:t xml:space="preserve">3</w:t>
      </w:r>
      <w:r>
        <w:rPr>
          <w:rFonts w:hint="eastAsia" w:ascii="Times New Roman" w:hAnsi="Times New Roman" w:eastAsia="宋体"/>
          <w:b/>
          <w:bCs/>
          <w:color w:val="auto"/>
          <w:szCs w:val="21"/>
          <w:highlight w:val="none"/>
        </w:rPr>
        <w:t xml:space="preserve">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20823297"/>
      <w:r/>
      <w:bookmarkStart w:id="43" w:name="_Toc16938541"/>
      <w:r/>
      <w:bookmarkStart w:id="44" w:name="_Toc513029225"/>
      <w:r/>
      <w:bookmarkStart w:id="45" w:name="_Toc462564084"/>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513029226"/>
      <w:r/>
      <w:bookmarkStart w:id="47" w:name="_Toc16938542"/>
      <w:r/>
      <w:bookmarkStart w:id="48" w:name="_Toc20823298"/>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513029227"/>
      <w:r/>
      <w:bookmarkStart w:id="50" w:name="_Toc20823299"/>
      <w:r/>
      <w:bookmarkStart w:id="51" w:name="_Toc16938543"/>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16938544"/>
      <w:r/>
      <w:bookmarkStart w:id="53" w:name="_Toc513029228"/>
      <w:r/>
      <w:bookmarkStart w:id="54" w:name="_Toc20823300"/>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left="420" w:firstLine="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33、其他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55" w:name="_Toc55204179"/>
      <w:r/>
      <w:bookmarkStart w:id="56" w:name="_Toc1393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35"/>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扬州市公安局2026年-2027年涉案场所保安服务项目（二次）</w:t>
      </w:r>
      <w:r>
        <w:rPr>
          <w:rFonts w:hint="eastAsia" w:ascii="Times New Roman" w:hAnsi="Times New Roman" w:eastAsia="宋体"/>
          <w:color w:val="auto"/>
          <w:sz w:val="21"/>
          <w:highlight w:val="none"/>
        </w:rPr>
        <w:t xml:space="preserve">               </w:t>
      </w:r>
      <w:r/>
    </w:p>
    <w:p>
      <w:pPr>
        <w:pStyle w:val="735"/>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JSZC-321000-SWGC-G2026-0098号</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735"/>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color w:val="auto"/>
          <w:sz w:val="21"/>
          <w:highlight w:val="none"/>
          <w:lang w:eastAsia="zh-CN"/>
        </w:rPr>
        <w:t xml:space="preserve">扬州市公安局</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73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735"/>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73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73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3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73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735"/>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2"/>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合同签订后，乙方向甲方开具发票，甲方自收到发票之日起10个工作日内支付合同金额30%的预付款。</w:t>
      </w:r>
      <w:r/>
    </w:p>
    <w:p>
      <w:pPr>
        <w:ind w:firstLine="422"/>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服务开始后，剩余合同总价的70%，甲乙双方按三个月为一个周期结算服务费用，每周期结束后，甲乙双方按考核结果确定实际支付费用，每次付款前，乙方向甲方开具发票，甲方自收到发票之日起10个工作日内支付。</w:t>
      </w:r>
      <w:r/>
    </w:p>
    <w:p>
      <w:pPr>
        <w:ind w:firstLine="422"/>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项目结束后，乙方须无条件服从甲方的合理要求，且在本合同期满三日内完成所有工作的交接。</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6"/>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6"/>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6"/>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6"/>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735"/>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6"/>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735"/>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72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5"/>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color w:val="auto"/>
                <w:sz w:val="21"/>
                <w:highlight w:val="none"/>
                <w:lang w:eastAsia="zh-CN"/>
              </w:rPr>
              <w:t xml:space="preserve">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35"/>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bookmarkEnd w:id="57"/>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7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扬州市公安局2026年-2027年涉案场所保安服务项目（二次）</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二</w:t>
      </w:r>
      <w:r>
        <w:rPr>
          <w:rFonts w:ascii="Times New Roman" w:hAnsi="Times New Roman" w:eastAsia="宋体" w:cs="宋体"/>
          <w:b/>
          <w:color w:val="auto"/>
          <w:sz w:val="21"/>
          <w:szCs w:val="21"/>
          <w:highlight w:val="none"/>
        </w:rPr>
        <w:t xml:space="preserve">、项目概况</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针对扬州市公安局经侦、出入境、反诈中心执法办案中心等涉案场所采购保安服务，约需31人</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食宿由供应商自行负责。</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项目预算（最高限价）：人民币</w:t>
      </w:r>
      <w:r>
        <w:rPr>
          <w:rFonts w:hint="eastAsia" w:ascii="Times New Roman" w:hAnsi="Times New Roman" w:cs="宋体"/>
          <w:color w:val="auto"/>
          <w:sz w:val="21"/>
          <w:szCs w:val="21"/>
          <w:highlight w:val="none"/>
          <w:lang w:val="en-US" w:eastAsia="zh-CN"/>
        </w:rPr>
        <w:t xml:space="preserve">179.51</w:t>
      </w:r>
      <w:r>
        <w:rPr>
          <w:rFonts w:ascii="Times New Roman" w:hAnsi="Times New Roman" w:eastAsia="宋体" w:cs="宋体"/>
          <w:color w:val="auto"/>
          <w:sz w:val="21"/>
          <w:szCs w:val="21"/>
          <w:highlight w:val="none"/>
        </w:rPr>
        <w:t xml:space="preserve">万元。                  </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服务期限：本项目服务时间为1年（按合同内签订日期为准）。</w:t>
      </w:r>
      <w:bookmarkEnd w:id="60"/>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项目属性：服务类</w:t>
      </w:r>
      <w:r/>
    </w:p>
    <w:p>
      <w:pPr>
        <w:ind w:right="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三</w:t>
      </w:r>
      <w:r>
        <w:rPr>
          <w:rFonts w:ascii="Times New Roman" w:hAnsi="Times New Roman" w:eastAsia="宋体" w:cs="宋体"/>
          <w:b/>
          <w:color w:val="auto"/>
          <w:sz w:val="21"/>
          <w:szCs w:val="21"/>
          <w:highlight w:val="none"/>
        </w:rPr>
        <w:t xml:space="preserve">、项目要求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1.总体要求：敬业，专业，精干，高效，健康，思想品质好，作风正派，服务意识强，无不良记录；具有保安类管理服务工作经历。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2.保安人数要求：</w:t>
      </w:r>
      <w:r>
        <w:rPr>
          <w:rFonts w:hint="eastAsia" w:ascii="宋体" w:hAnsi="宋体"/>
          <w:color w:val="auto"/>
          <w:szCs w:val="21"/>
          <w:highlight w:val="none"/>
          <w:lang w:val="en-US" w:eastAsia="zh-CN"/>
        </w:rPr>
        <w:t xml:space="preserve">31</w:t>
      </w:r>
      <w:r>
        <w:rPr>
          <w:rFonts w:hint="eastAsia" w:ascii="宋体" w:hAnsi="宋体"/>
          <w:color w:val="auto"/>
          <w:szCs w:val="21"/>
          <w:highlight w:val="none"/>
        </w:rPr>
        <w:t xml:space="preserve">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2.1项目负责人1人。男性，40周岁以下，身高170cm以上，中共党员。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2.2保安队长</w:t>
      </w:r>
      <w:r>
        <w:rPr>
          <w:rFonts w:ascii="宋体" w:hAnsi="宋体"/>
          <w:color w:val="auto"/>
          <w:szCs w:val="21"/>
          <w:highlight w:val="none"/>
        </w:rPr>
        <w:t xml:space="preserve">3</w:t>
      </w:r>
      <w:r>
        <w:rPr>
          <w:rFonts w:hint="eastAsia" w:ascii="宋体" w:hAnsi="宋体"/>
          <w:color w:val="auto"/>
          <w:szCs w:val="21"/>
          <w:highlight w:val="none"/>
        </w:rPr>
        <w:t xml:space="preserve">人。男性，45周岁以下，身高170cm以上，中共党员。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2.3保安人员</w:t>
      </w:r>
      <w:r>
        <w:rPr>
          <w:rFonts w:hint="eastAsia" w:ascii="宋体" w:hAnsi="宋体"/>
          <w:color w:val="auto"/>
          <w:szCs w:val="21"/>
          <w:highlight w:val="none"/>
          <w:lang w:val="en-US" w:eastAsia="zh-CN"/>
        </w:rPr>
        <w:t xml:space="preserve">27</w:t>
      </w:r>
      <w:r>
        <w:rPr>
          <w:rFonts w:hint="eastAsia" w:ascii="宋体" w:hAnsi="宋体"/>
          <w:color w:val="auto"/>
          <w:szCs w:val="21"/>
          <w:highlight w:val="none"/>
        </w:rPr>
        <w:t xml:space="preserve">人。男性，45周岁以下，身高170cm以上。</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以上人员配备为最低限度要求，供应商可根据实际工作需要自行配备投入人员，所有拟投入人员均须满足服务要求。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3.其他有关要求</w:t>
      </w:r>
      <w:r/>
    </w:p>
    <w:p>
      <w:pPr>
        <w:ind w:firstLine="630"/>
        <w:spacing w:line="360" w:lineRule="auto"/>
        <w:rPr>
          <w:rFonts w:hint="eastAsia" w:ascii="宋体" w:hAnsi="宋体"/>
          <w:color w:val="auto"/>
          <w:szCs w:val="21"/>
          <w:highlight w:val="none"/>
        </w:rPr>
      </w:pPr>
      <w:r>
        <w:rPr>
          <w:rFonts w:hint="eastAsia" w:ascii="宋体" w:hAnsi="宋体"/>
          <w:color w:val="auto"/>
          <w:szCs w:val="21"/>
          <w:highlight w:val="none"/>
        </w:rPr>
        <w:t xml:space="preserve">3.1服务期间，所有保安人员应服从采购人与保安公司的双重管理，采购人有权要求更换不服从安排的保安人员。</w:t>
      </w:r>
      <w:r/>
    </w:p>
    <w:p>
      <w:pPr>
        <w:ind w:firstLine="423"/>
        <w:spacing w:line="360" w:lineRule="auto"/>
        <w:rPr>
          <w:rFonts w:hint="eastAsia" w:ascii="宋体" w:hAnsi="宋体"/>
          <w:color w:val="auto"/>
          <w:szCs w:val="21"/>
          <w:highlight w:val="none"/>
        </w:rPr>
      </w:pPr>
      <w:r>
        <w:rPr>
          <w:rFonts w:hint="eastAsia" w:ascii="宋体" w:hAnsi="宋体"/>
          <w:color w:val="auto"/>
          <w:szCs w:val="21"/>
          <w:highlight w:val="none"/>
        </w:rPr>
        <w:t xml:space="preserve">3.2中标供应商必须承诺服务期间，保安人员服从采购人的安排及管理，并保持相对的人员稳定性，中标供应商更换的保安人员必须经过采购人同意。</w:t>
      </w:r>
      <w:r/>
    </w:p>
    <w:p>
      <w:pPr>
        <w:ind w:firstLine="419"/>
        <w:spacing w:line="360" w:lineRule="auto"/>
        <w:rPr>
          <w:rFonts w:hint="eastAsia" w:ascii="宋体" w:hAnsi="宋体"/>
          <w:color w:val="auto"/>
          <w:szCs w:val="21"/>
          <w:highlight w:val="none"/>
        </w:rPr>
      </w:pPr>
      <w:r>
        <w:rPr>
          <w:rFonts w:hint="eastAsia" w:ascii="宋体" w:hAnsi="宋体"/>
          <w:color w:val="auto"/>
          <w:szCs w:val="21"/>
          <w:highlight w:val="none"/>
        </w:rPr>
        <w:t xml:space="preserve">3.3中标供应商必须在合同签订前给本项目所有符合要求的工作人员在保险部门办理社会保险、意外伤害险、医疗保险等。中标供应商未在合同签订前给本项目所有工作人员办理相关保险或额度不符合要求的，采购人将取消其中标资格。</w:t>
      </w:r>
      <w:r/>
    </w:p>
    <w:p>
      <w:pPr>
        <w:ind w:firstLine="420"/>
        <w:spacing w:line="360" w:lineRule="auto"/>
        <w:rPr>
          <w:rFonts w:hint="eastAsia" w:ascii="宋体" w:hAnsi="宋体"/>
          <w:i/>
          <w:iCs/>
          <w:color w:val="auto"/>
          <w:szCs w:val="21"/>
          <w:highlight w:val="none"/>
          <w:u w:val="single"/>
        </w:rPr>
      </w:pPr>
      <w:r>
        <w:rPr>
          <w:rFonts w:hint="eastAsia" w:ascii="宋体" w:hAnsi="宋体"/>
          <w:color w:val="auto"/>
          <w:szCs w:val="21"/>
          <w:highlight w:val="none"/>
        </w:rPr>
        <w:t xml:space="preserve">3.4</w:t>
      </w:r>
      <w:r>
        <w:rPr>
          <w:rFonts w:hint="eastAsia" w:ascii="宋体" w:hAnsi="宋体"/>
          <w:i/>
          <w:iCs/>
          <w:color w:val="auto"/>
          <w:szCs w:val="21"/>
          <w:highlight w:val="none"/>
          <w:u w:val="single"/>
        </w:rPr>
        <w:t xml:space="preserve">中标供应商必</w:t>
      </w:r>
      <w:r>
        <w:rPr>
          <w:rFonts w:hint="eastAsia" w:ascii="宋体" w:hAnsi="宋体"/>
          <w:i/>
          <w:iCs/>
          <w:color w:val="auto"/>
          <w:szCs w:val="21"/>
          <w:highlight w:val="none"/>
          <w:u w:val="single"/>
        </w:rPr>
        <w:t xml:space="preserve">须在合同签订前，将所有驻派保安人员名单交付采购人，采购人将组织核验并面试，如与响应文件中拟派人员不一致，采购人有权要求中标供应商限期整改，限期整改不到位的，采购人有权依照合同扣取相关保安费用（注：采购人将逐一核对响应文件内拟派人员，如遇与响应文件不一致者，则扣除对应人员保安费用）；如驻派保安人员与响应文件中拟派人员严重不一致，采购人有权取消其中标资格并追究相关责任。供应商需提供承诺函，承诺响应文件中所有拟派人员与现场驻派人员完全一致，如不一致（特殊情况并经采购人认可的情况除外），愿意承担由此造成的所有责任。</w:t>
      </w:r>
      <w:r/>
    </w:p>
    <w:p>
      <w:pPr>
        <w:ind w:firstLine="420"/>
        <w:spacing w:line="360" w:lineRule="auto"/>
        <w:rPr>
          <w:rFonts w:hint="eastAsia" w:ascii="宋体" w:hAnsi="宋体" w:eastAsia="宋体" w:cs="Times New Roman"/>
          <w:i w:val="0"/>
          <w:iCs w:val="0"/>
          <w:color w:val="auto"/>
          <w:sz w:val="21"/>
          <w:szCs w:val="21"/>
          <w:highlight w:val="none"/>
          <w:u w:val="none"/>
          <w:lang w:val="en-US" w:eastAsia="zh-CN" w:bidi="ar-SA"/>
        </w:rPr>
      </w:pPr>
      <w:r>
        <w:rPr>
          <w:rFonts w:hint="default" w:ascii="宋体" w:hAnsi="宋体" w:eastAsia="宋体" w:cs="Times New Roman"/>
          <w:i w:val="0"/>
          <w:iCs w:val="0"/>
          <w:color w:val="auto"/>
          <w:sz w:val="21"/>
          <w:szCs w:val="21"/>
          <w:highlight w:val="none"/>
          <w:u w:val="none"/>
          <w:lang w:val="en-US" w:eastAsia="zh-CN" w:bidi="ar-SA"/>
        </w:rPr>
        <w:t xml:space="preserve">3.5</w:t>
      </w:r>
      <w:r>
        <w:rPr>
          <w:rFonts w:hint="eastAsia" w:ascii="宋体" w:hAnsi="宋体" w:eastAsia="宋体" w:cs="Times New Roman"/>
          <w:i w:val="0"/>
          <w:iCs w:val="0"/>
          <w:color w:val="auto"/>
          <w:sz w:val="21"/>
          <w:szCs w:val="21"/>
          <w:highlight w:val="none"/>
          <w:u w:val="none"/>
          <w:lang w:val="en-US" w:eastAsia="zh-CN" w:bidi="ar-SA"/>
        </w:rPr>
        <w:t xml:space="preserve">中标供应商的岗位人员由扬州市公安局根据实际需要统一调配，中标供应商应无条件接受。</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四、服务要求</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1.实行24小时值班制度。</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2.规范着装，严禁酒后上岗，不得脱岗、串岗。</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3.加强巡查，对可疑人员进行盘查，发现情况及时报告。</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4.加强涉案场所安检工作，推行涉案场所安检工作日常化。</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5.加强车辆管理，确保涉案场所周边交通顺畅、安全有序。</w:t>
      </w:r>
      <w:r/>
    </w:p>
    <w:p>
      <w:pPr>
        <w:ind w:firstLine="421"/>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6.</w:t>
      </w:r>
      <w:r>
        <w:rPr>
          <w:rFonts w:hint="eastAsia" w:ascii="宋体" w:hAnsi="宋体"/>
          <w:color w:val="auto"/>
          <w:szCs w:val="21"/>
          <w:highlight w:val="none"/>
          <w:lang w:eastAsia="zh-CN"/>
        </w:rPr>
        <w:t xml:space="preserve">协助办案单位做好涉案人员</w:t>
      </w:r>
      <w:r>
        <w:rPr>
          <w:rFonts w:hint="eastAsia"/>
          <w:color w:val="auto"/>
          <w:highlight w:val="none"/>
          <w:lang w:eastAsia="zh-CN"/>
        </w:rPr>
        <w:t xml:space="preserve">守护、转运工作。</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7.认真做好夜巡值班工作，发生意外情况要及时向保安管理人和采购人的负责部门报告， 如实填写夜巡值班记录。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8.发现打架斗殴等违纪违法事件，要依法处理，并及时向采购人的有关部门汇报。</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9.文明执勤，不得有打骂行为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执勤过程中，不得与任何一方发生肢体冲突</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发生矛盾过程中，如发生打骂等行为的，由中标供应商自行承担相关责任。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10.做好采购人交办的其它相关工作。</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五、工具、耗材</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1.安检、监控设备、通讯设备及维修由中标供应商负责。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2.工具、耗材：所有保安日常耗材工具全部由中标供应商自行承担。</w:t>
      </w:r>
      <w:r/>
    </w:p>
    <w:p>
      <w:pPr>
        <w:pStyle w:val="968"/>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pStyle w:val="968"/>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六、其他要求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1.中标供应商对保安管理方案、组织架构、人员录用、建立的各项规章制度，中标供应商在实施前要报告采购人，并在采购人处备案。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2.注重保安自身形象，确保保安人员上班统一着装、配饰，自觉维护采购人良好声誉，为采购人做好保密工作，未经许可不得向外界发布任何有关采购人的言论。</w:t>
      </w:r>
      <w:r/>
    </w:p>
    <w:p>
      <w:pPr>
        <w:ind w:firstLine="421"/>
        <w:spacing w:line="360" w:lineRule="auto"/>
        <w:rPr>
          <w:rFonts w:hint="eastAsia" w:ascii="宋体" w:hAnsi="宋体"/>
          <w:color w:val="auto"/>
          <w:szCs w:val="21"/>
          <w:highlight w:val="none"/>
        </w:rPr>
      </w:pPr>
      <w:r>
        <w:rPr>
          <w:rFonts w:hint="eastAsia" w:ascii="宋体" w:hAnsi="宋体"/>
          <w:color w:val="auto"/>
          <w:szCs w:val="21"/>
          <w:highlight w:val="none"/>
        </w:rPr>
        <w:t xml:space="preserve">3.如有保安人员辞职、离岗或休假等事宜，需要即时补充同等数量符合条件的后备人员到采购人指定工作岗位。</w:t>
      </w:r>
      <w:r/>
    </w:p>
    <w:p>
      <w:pPr>
        <w:ind w:firstLine="417"/>
        <w:spacing w:line="360" w:lineRule="auto"/>
        <w:rPr>
          <w:rFonts w:hint="eastAsia" w:ascii="宋体" w:hAnsi="宋体"/>
          <w:color w:val="auto"/>
          <w:szCs w:val="21"/>
          <w:highlight w:val="none"/>
        </w:rPr>
      </w:pPr>
      <w:r>
        <w:rPr>
          <w:rFonts w:hint="eastAsia" w:ascii="宋体" w:hAnsi="宋体"/>
          <w:color w:val="auto"/>
          <w:szCs w:val="21"/>
          <w:highlight w:val="none"/>
        </w:rPr>
        <w:t xml:space="preserve">4.加强保安队伍技能培训，每半年需对每个保安人员进行全面系统的培训，确保保安队伍高质服务、文明执勤。同时，每月组织保安队长进行技能提升拓展活动，提升保安队长管理水平和组织协调能力。</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5.对保安人员的岗位设置、人员录用与管理等一些重要的管理决策须经采购人审批。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6.在处理特殊事件和紧急、突发事故时，采购人对保安人员有直接指挥权。</w:t>
      </w:r>
      <w:r/>
    </w:p>
    <w:p>
      <w:pPr>
        <w:ind w:firstLine="417"/>
        <w:spacing w:line="360" w:lineRule="auto"/>
        <w:rPr>
          <w:rFonts w:hint="eastAsia" w:ascii="宋体" w:hAnsi="宋体"/>
          <w:color w:val="auto"/>
          <w:szCs w:val="21"/>
          <w:highlight w:val="none"/>
        </w:rPr>
      </w:pPr>
      <w:r>
        <w:rPr>
          <w:rFonts w:hint="eastAsia" w:ascii="宋体" w:hAnsi="宋体"/>
          <w:color w:val="auto"/>
          <w:szCs w:val="21"/>
          <w:highlight w:val="none"/>
        </w:rPr>
        <w:t xml:space="preserve">7.保安人员如有不称职行为经教育批评多次不改的，或经发现有违法违规或失职行为的，采购人有权要求中标供应商进行人员更换。</w:t>
      </w:r>
      <w:r/>
    </w:p>
    <w:p>
      <w:pPr>
        <w:ind w:firstLine="418"/>
        <w:spacing w:line="360" w:lineRule="auto"/>
        <w:rPr>
          <w:rFonts w:hint="eastAsia" w:ascii="宋体" w:hAnsi="宋体"/>
          <w:color w:val="auto"/>
          <w:szCs w:val="21"/>
          <w:highlight w:val="none"/>
        </w:rPr>
      </w:pPr>
      <w:r>
        <w:rPr>
          <w:rFonts w:hint="eastAsia" w:ascii="宋体" w:hAnsi="宋体"/>
          <w:color w:val="auto"/>
          <w:szCs w:val="21"/>
          <w:highlight w:val="none"/>
        </w:rPr>
        <w:t xml:space="preserve">8.中标供应商在做好工作的同时，有责任向采购人提供合理化建议，以提高管理效率和管理质量。</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9.采购人和中标供应商共同确定值勤岗位、值勤时间、岗位职责等安排。</w:t>
      </w:r>
      <w:r/>
    </w:p>
    <w:p>
      <w:pPr>
        <w:ind w:firstLine="415"/>
        <w:spacing w:line="360" w:lineRule="auto"/>
        <w:rPr>
          <w:rFonts w:hint="eastAsia" w:ascii="宋体" w:hAnsi="宋体"/>
          <w:color w:val="auto"/>
          <w:szCs w:val="21"/>
          <w:highlight w:val="none"/>
        </w:rPr>
      </w:pPr>
      <w:r>
        <w:rPr>
          <w:rFonts w:hint="eastAsia" w:ascii="宋体" w:hAnsi="宋体"/>
          <w:color w:val="auto"/>
          <w:szCs w:val="21"/>
          <w:highlight w:val="none"/>
        </w:rPr>
        <w:t xml:space="preserve">10.在日常管理中要建立交接班、工作巡查登记制度。</w:t>
      </w:r>
      <w:r/>
    </w:p>
    <w:p>
      <w:pPr>
        <w:ind w:firstLine="422"/>
        <w:spacing w:line="360" w:lineRule="auto"/>
        <w:rPr>
          <w:rFonts w:hint="eastAsia" w:ascii="宋体" w:hAnsi="宋体"/>
          <w:color w:val="auto"/>
          <w:szCs w:val="21"/>
          <w:highlight w:val="none"/>
        </w:rPr>
      </w:pPr>
      <w:r>
        <w:rPr>
          <w:rFonts w:hint="eastAsia" w:ascii="宋体" w:hAnsi="宋体"/>
          <w:color w:val="auto"/>
          <w:szCs w:val="21"/>
          <w:highlight w:val="none"/>
        </w:rPr>
        <w:t xml:space="preserve">11.在管理过程中，对突发事件有应急处理计划和措施，必要时及时报警并报告采购人，防止事态进一步恶化，协助保护现场。</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12.采购人不负责中标供应商所有工作人员的衣食住行等非合同约定事项。</w:t>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left"/>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七、违约责任及处罚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1.如因中标供应商履行合同约定的某一项服务内容不到位，采购人有权处以罚款100元/项，从当月服务费中直接扣除；如因中标供应</w:t>
      </w:r>
      <w:r>
        <w:rPr>
          <w:rFonts w:hint="eastAsia" w:ascii="宋体" w:hAnsi="宋体"/>
          <w:color w:val="auto"/>
          <w:szCs w:val="21"/>
          <w:highlight w:val="none"/>
        </w:rPr>
        <w:t xml:space="preserve">商未履行合同约定的某一项服务内容，采购人有权处以罚款500元/项，从当月服务费中直接扣除；如某一岗位缺岗超过3天的，采购人有权扣除当月10%的服务费；如签订合同后，本项目所配人员与招标文件不相符，采购人有权扣除当月10%-30%服务费，并限期换人；若在采购人限定的时间仍未改正的，采购人有权解除合同，中标供应商还应承担相应的损失；如因中标供应商原因，造成不能完成管理目标或直接造成采购人经济损失的，中标供应商应给予采购人相应补偿，采购人有权终止合同；对中标供应商履行招标文件和合同情况,采购人制定百分制考评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2.采购人对中标供应商所用人员工资发放和各项保险缴纳情况有监督检查权和扣减权，中标供应商每月须如实将发放和缴纳情况报采购人，否则采购人暂停支付保安管理费或扣减相关费用。</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3.中标供应商不得随意调整项目负责人和保安人员，其他保安队员应保持相对稳定，避免频繁更换，如需调整须经采购人同意； 如未经采购人同意，私自更换项目负责人和保安人员，采购人有权要求限期整改，否则扣减服务费或者提前终止合同。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4.如因中标供应商造成的责任事故,应赔偿采购人相应的经济损失。</w:t>
      </w:r>
      <w:r/>
    </w:p>
    <w:p>
      <w:pPr>
        <w:pStyle w:val="909"/>
        <w:ind w:firstLine="42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5.中标供应商在履行合同中有下列行为的，采购人有权终止合同，三年内不得参与采购人的后续竞标。</w:t>
      </w:r>
      <w:r/>
    </w:p>
    <w:p>
      <w:pPr>
        <w:pStyle w:val="909"/>
        <w:ind w:firstLine="42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①给采购人造成重大负面舆情影响的；</w:t>
      </w:r>
      <w:r/>
    </w:p>
    <w:p>
      <w:pPr>
        <w:pStyle w:val="909"/>
        <w:ind w:firstLine="42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②不守信用、拖欠保安队员薪资等行为的；</w:t>
      </w:r>
      <w:r/>
    </w:p>
    <w:p>
      <w:pPr>
        <w:pStyle w:val="909"/>
        <w:ind w:firstLine="420"/>
        <w:spacing w:before="0" w:after="0" w:line="360" w:lineRule="auto"/>
        <w:rPr>
          <w:rFonts w:hint="eastAsia" w:ascii="宋体" w:hAnsi="宋体"/>
          <w:color w:val="auto"/>
          <w:szCs w:val="21"/>
          <w:highlight w:val="none"/>
        </w:rPr>
      </w:pPr>
      <w:r>
        <w:rPr>
          <w:rFonts w:hint="eastAsia" w:ascii="宋体" w:hAnsi="宋体"/>
          <w:color w:val="auto"/>
          <w:szCs w:val="21"/>
          <w:highlight w:val="none"/>
        </w:rPr>
        <w:t xml:space="preserve">③上年度中标供应商无正当理由，在规定时间内未与下年度中标供应商办理交接手续的。</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考核内容</w:t>
      </w:r>
      <w:r/>
    </w:p>
    <w:tbl>
      <w:tblPr>
        <w:tblStyle w:val="725"/>
        <w:tblpPr w:horzAnchor="page" w:tblpXSpec="center" w:vertAnchor="text" w:tblpY="452" w:leftFromText="180" w:topFromText="0" w:rightFromText="180" w:bottomFromText="0"/>
        <w:tblW w:w="92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4946"/>
        <w:gridCol w:w="997"/>
        <w:gridCol w:w="1022"/>
        <w:gridCol w:w="1116"/>
      </w:tblGrid>
      <w:tr>
        <w:trPr>
          <w:trHeight w:val="554"/>
        </w:trPr>
        <w:tc>
          <w:tcPr>
            <w:tcW w:w="1158" w:type="dxa"/>
            <w:vAlign w:val="center"/>
            <w:vMerge w:val="restart"/>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考核项目</w:t>
            </w:r>
            <w:r/>
          </w:p>
        </w:tc>
        <w:tc>
          <w:tcPr>
            <w:tcW w:w="4946" w:type="dxa"/>
            <w:vAlign w:val="center"/>
            <w:textDirection w:val="lrTb"/>
            <w:noWrap/>
          </w:tcPr>
          <w:p>
            <w:pPr>
              <w:ind w:firstLine="482"/>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内容及要求</w:t>
            </w:r>
            <w:r/>
          </w:p>
        </w:tc>
        <w:tc>
          <w:tcPr>
            <w:tcW w:w="997"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分值</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扣分事由</w:t>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扣分</w:t>
            </w:r>
            <w:r/>
          </w:p>
        </w:tc>
      </w:tr>
      <w:tr>
        <w:trPr>
          <w:trHeight w:val="17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涉案场所24小时不间断管理，严守工作岗位，坚持文明执勤，严格执行交接班制度，认真做好当班记录，精力集中不得擅离职守，当班期间不得抽烟、玩手机等做与工作无关的事情。</w:t>
            </w:r>
            <w:r>
              <w:rPr>
                <w:rFonts w:hint="eastAsia" w:ascii="宋体" w:hAnsi="宋体"/>
                <w:color w:val="auto"/>
                <w:szCs w:val="21"/>
                <w:highlight w:val="none"/>
              </w:rPr>
              <w:t xml:space="preserve">未按要求实行的每次扣2分。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8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统一制服，穿着整洁大方，无衣衫不整现象。</w:t>
            </w:r>
            <w:r>
              <w:rPr>
                <w:rFonts w:ascii="宋体" w:hAnsi="宋体" w:cs="宋体"/>
                <w:color w:val="auto"/>
                <w:szCs w:val="21"/>
                <w:highlight w:val="none"/>
              </w:rPr>
              <w:t xml:space="preserve">不符合规定每次扣</w:t>
            </w:r>
            <w:r>
              <w:rPr>
                <w:rFonts w:hint="eastAsia" w:ascii="宋体" w:hAnsi="宋体" w:cs="宋体"/>
                <w:color w:val="auto"/>
                <w:szCs w:val="21"/>
                <w:highlight w:val="none"/>
              </w:rPr>
              <w:t xml:space="preserve">1</w:t>
            </w:r>
            <w:r>
              <w:rPr>
                <w:rFonts w:ascii="宋体" w:hAnsi="宋体" w:cs="宋体"/>
                <w:color w:val="auto"/>
                <w:szCs w:val="21"/>
                <w:highlight w:val="none"/>
              </w:rPr>
              <w:t xml:space="preserve">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2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严格执行出入制度，认真查询外来人员及车辆，在经与有关人员联系同意后，方可办理登记手续进入,严禁未经许可的人员及车辆进入；</w:t>
            </w:r>
            <w:r>
              <w:rPr>
                <w:rFonts w:hint="eastAsia" w:ascii="宋体" w:hAnsi="宋体"/>
                <w:color w:val="auto"/>
                <w:szCs w:val="21"/>
                <w:highlight w:val="none"/>
              </w:rPr>
              <w:t xml:space="preserve">未按要求实行的每次扣2分。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65"/>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认真检查出门物资，必须凭指定部门签发的物资出门证，并做到单据与货物品种、数量相符，否则不予放行。</w:t>
            </w:r>
            <w:r>
              <w:rPr>
                <w:rFonts w:hint="eastAsia" w:ascii="宋体" w:hAnsi="宋体"/>
                <w:color w:val="auto"/>
                <w:szCs w:val="21"/>
                <w:highlight w:val="none"/>
              </w:rPr>
              <w:t xml:space="preserve">未按要求实行的每次扣2分。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3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安全检查人员需保持良好的形象和规范文明的言行举止，掌握相关的安全检查业务知识，会熟练操作安全检查设备和防暴防护装备，认真做好证件查验与登记、人身检查、物品检查等工作。</w:t>
            </w:r>
            <w:r>
              <w:rPr>
                <w:rFonts w:hint="eastAsia" w:ascii="宋体" w:hAnsi="宋体"/>
                <w:color w:val="auto"/>
                <w:szCs w:val="21"/>
                <w:highlight w:val="none"/>
              </w:rPr>
              <w:t xml:space="preserve">未按要求实行的每次扣2分。因个人工作失职，造成不符合条件人员或者不允许携带物品进入涉案场所的，每次扣4分。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129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加强工作设备的管理、保养，正确操作设备，并保持设备运行良好，无人为事故发生。</w:t>
            </w:r>
            <w:r>
              <w:rPr>
                <w:rFonts w:hint="eastAsia" w:ascii="宋体" w:hAnsi="宋体"/>
                <w:color w:val="auto"/>
                <w:szCs w:val="21"/>
                <w:highlight w:val="none"/>
              </w:rPr>
              <w:t xml:space="preserve">未按要求实行的每次扣1分。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210"/>
        </w:trPr>
        <w:tc>
          <w:tcPr>
            <w:tcW w:w="1158" w:type="dxa"/>
            <w:vAlign w:val="center"/>
            <w:vMerge w:val="continue"/>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加强夜间巡查，做好防火、防盗、防破坏等安全防范工作。认真检查门窗是否关好。</w:t>
            </w:r>
            <w:r>
              <w:rPr>
                <w:rFonts w:hint="eastAsia" w:ascii="宋体" w:hAnsi="宋体"/>
                <w:color w:val="auto"/>
                <w:szCs w:val="21"/>
                <w:highlight w:val="none"/>
              </w:rPr>
              <w:t xml:space="preserve">未按要求实行的每次扣1分。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295"/>
        </w:trPr>
        <w:tc>
          <w:tcPr>
            <w:tcW w:w="1158" w:type="dxa"/>
            <w:vAlign w:val="center"/>
            <w:vMerge w:val="continue"/>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b/>
                <w:color w:val="auto"/>
                <w:szCs w:val="21"/>
                <w:highlight w:val="none"/>
              </w:rPr>
            </w:pPr>
            <w:r>
              <w:rPr>
                <w:rFonts w:hint="eastAsia" w:ascii="宋体" w:hAnsi="宋体"/>
                <w:color w:val="auto"/>
                <w:szCs w:val="21"/>
                <w:highlight w:val="none"/>
              </w:rPr>
              <w:t xml:space="preserve">服务期间，保安人员始终合同要求保持符合条件的男性人员在岗在位，服从采购人的安排及管理，并保持相对的人员稳定性，更换人员比例不得超过总人数的10%，更换人员资质不得低于原服务人员的相应条件，且必须征得采购人的书面同意。每次更换人员未经采购人书面同意的扣4分。每次更换人员未按要求到岗到位的扣6分。未经采购人同意更换人员超过总人数10%的扣20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295"/>
        </w:trPr>
        <w:tc>
          <w:tcPr>
            <w:tcW w:w="1158" w:type="dxa"/>
            <w:vAlign w:val="center"/>
            <w:vMerge w:val="continue"/>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按规定要求对涉案场所</w:t>
            </w:r>
            <w:r>
              <w:rPr>
                <w:rFonts w:ascii="宋体" w:hAnsi="宋体" w:cs="宋体"/>
                <w:color w:val="auto"/>
                <w:szCs w:val="21"/>
                <w:highlight w:val="none"/>
                <w:shd w:val="clear" w:color="auto" w:fill="ffffff"/>
              </w:rPr>
              <w:t xml:space="preserve">区域进行巡查，发现不遵守的当事人要及时予以制止，未按要求实行的每次扣</w:t>
            </w:r>
            <w:r>
              <w:rPr>
                <w:rFonts w:hint="eastAsia" w:ascii="宋体" w:hAnsi="宋体" w:cs="宋体"/>
                <w:color w:val="auto"/>
                <w:szCs w:val="21"/>
                <w:highlight w:val="none"/>
                <w:shd w:val="clear" w:color="auto" w:fill="ffffff"/>
              </w:rPr>
              <w:t xml:space="preserve">2分。因脱岗造成重大影响的扣5分。</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295"/>
        </w:trPr>
        <w:tc>
          <w:tcPr>
            <w:tcW w:w="1158" w:type="dxa"/>
            <w:vAlign w:val="center"/>
            <w:vMerge w:val="continue"/>
            <w:textDirection w:val="lrTb"/>
            <w:noWrap/>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4946" w:type="dxa"/>
            <w:vAlign w:val="center"/>
            <w:textDirection w:val="lrTb"/>
            <w:noWrap/>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定期对保安人员进行业务培训和安全保密教育，增强员工综合素质，未定期培训的每次扣1分。发生失泄密事件的扣5分。</w:t>
            </w:r>
            <w:r/>
          </w:p>
        </w:tc>
        <w:tc>
          <w:tcPr>
            <w:tcW w:w="997" w:type="dxa"/>
            <w:vAlign w:val="center"/>
            <w:textDirection w:val="lrTb"/>
            <w:noWrap/>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W w:w="1022"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c>
          <w:tcPr>
            <w:tcW w:w="1116" w:type="dxa"/>
            <w:vAlign w:val="center"/>
            <w:textDirection w:val="lrTb"/>
            <w:noWrap/>
          </w:tcPr>
          <w:p>
            <w:pPr>
              <w:jc w:val="cente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06"/>
        </w:trPr>
        <w:tc>
          <w:tcPr>
            <w:gridSpan w:val="2"/>
            <w:tcW w:w="6104"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合计</w:t>
            </w:r>
            <w:r/>
          </w:p>
        </w:tc>
        <w:tc>
          <w:tcPr>
            <w:tcW w:w="997" w:type="dxa"/>
            <w:vAlign w:val="center"/>
            <w:textDirection w:val="lrTb"/>
            <w:noWrap/>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100分</w:t>
            </w:r>
            <w:r/>
          </w:p>
        </w:tc>
        <w:tc>
          <w:tcPr>
            <w:tcW w:w="1022" w:type="dxa"/>
            <w:vAlign w:val="top"/>
            <w:textDirection w:val="lrTb"/>
            <w:noWrap/>
          </w:tcPr>
          <w:p>
            <w:pPr>
              <w:ind w:firstLine="480"/>
              <w:spacing w:line="360" w:lineRule="auto"/>
              <w:rPr>
                <w:rFonts w:ascii="宋体" w:hAnsi="宋体" w:cs="宋体"/>
                <w:color w:val="auto"/>
                <w:szCs w:val="21"/>
                <w:highlight w:val="none"/>
              </w:rPr>
            </w:pPr>
            <w:r>
              <w:rPr>
                <w:rFonts w:ascii="宋体" w:hAnsi="宋体" w:cs="宋体"/>
                <w:color w:val="auto"/>
                <w:szCs w:val="21"/>
                <w:highlight w:val="none"/>
              </w:rPr>
            </w:r>
            <w:r/>
          </w:p>
        </w:tc>
        <w:tc>
          <w:tcPr>
            <w:tcW w:w="1116" w:type="dxa"/>
            <w:vAlign w:val="top"/>
            <w:textDirection w:val="lrTb"/>
            <w:noWrap/>
          </w:tcPr>
          <w:p>
            <w:pPr>
              <w:pStyle w:val="969"/>
              <w:ind w:firstLine="0"/>
              <w:spacing w:line="360" w:lineRule="auto"/>
              <w:rPr>
                <w:color w:val="auto"/>
                <w:sz w:val="21"/>
                <w:szCs w:val="21"/>
                <w:highlight w:val="none"/>
              </w:rPr>
            </w:pPr>
            <w:r>
              <w:rPr>
                <w:color w:val="auto"/>
                <w:sz w:val="21"/>
                <w:szCs w:val="21"/>
                <w:highlight w:val="none"/>
              </w:rPr>
            </w:r>
            <w:r/>
          </w:p>
        </w:tc>
      </w:tr>
    </w:tbl>
    <w:p>
      <w:pPr>
        <w:ind w:firstLine="482"/>
        <w:spacing w:line="360" w:lineRule="auto"/>
        <w:rPr>
          <w:rFonts w:ascii="宋体" w:hAnsi="宋体" w:cs="宋体"/>
          <w:b/>
          <w:color w:val="auto"/>
          <w:highlight w:val="none"/>
        </w:rPr>
      </w:pPr>
      <w:r>
        <w:rPr>
          <w:rFonts w:hint="eastAsia" w:ascii="宋体" w:hAnsi="宋体" w:cs="宋体"/>
          <w:b/>
          <w:color w:val="auto"/>
          <w:highlight w:val="none"/>
        </w:rPr>
        <w:t xml:space="preserve">备注：</w:t>
      </w:r>
      <w:r/>
    </w:p>
    <w:p>
      <w:pPr>
        <w:ind w:firstLine="482"/>
        <w:spacing w:line="360" w:lineRule="auto"/>
        <w:rPr>
          <w:rFonts w:ascii="宋体" w:hAnsi="宋体" w:cs="宋体"/>
          <w:b/>
          <w:color w:val="auto"/>
          <w:highlight w:val="none"/>
        </w:rPr>
      </w:pPr>
      <w:r>
        <w:rPr>
          <w:rFonts w:hint="eastAsia" w:ascii="宋体" w:hAnsi="宋体" w:cs="宋体"/>
          <w:b/>
          <w:color w:val="auto"/>
          <w:highlight w:val="none"/>
        </w:rPr>
        <w:t xml:space="preserve">1、</w:t>
      </w:r>
      <w:r>
        <w:rPr>
          <w:rFonts w:hint="eastAsia" w:ascii="宋体" w:hAnsi="宋体"/>
          <w:b/>
          <w:color w:val="auto"/>
          <w:highlight w:val="none"/>
          <w:lang w:val="zh-CN"/>
        </w:rPr>
        <w:t xml:space="preserve">每</w:t>
      </w:r>
      <w:r>
        <w:rPr>
          <w:rFonts w:hint="eastAsia" w:ascii="宋体" w:hAnsi="宋体"/>
          <w:b/>
          <w:color w:val="auto"/>
          <w:highlight w:val="none"/>
        </w:rPr>
        <w:t xml:space="preserve">季度</w:t>
      </w:r>
      <w:r>
        <w:rPr>
          <w:rFonts w:hint="eastAsia" w:ascii="宋体" w:hAnsi="宋体"/>
          <w:b/>
          <w:color w:val="auto"/>
          <w:highlight w:val="none"/>
          <w:lang w:val="zh-CN"/>
        </w:rPr>
        <w:t xml:space="preserve">由</w:t>
      </w:r>
      <w:r>
        <w:rPr>
          <w:rFonts w:hint="eastAsia" w:ascii="宋体" w:hAnsi="宋体"/>
          <w:b/>
          <w:color w:val="auto"/>
          <w:highlight w:val="none"/>
        </w:rPr>
        <w:t xml:space="preserve">采购人</w:t>
      </w:r>
      <w:r>
        <w:rPr>
          <w:rFonts w:hint="eastAsia" w:ascii="宋体" w:hAnsi="宋体"/>
          <w:b/>
          <w:color w:val="auto"/>
          <w:highlight w:val="none"/>
          <w:lang w:val="zh-CN"/>
        </w:rPr>
        <w:t xml:space="preserve">对中标人进行考核</w:t>
      </w:r>
      <w:r>
        <w:rPr>
          <w:rFonts w:hint="eastAsia" w:ascii="宋体" w:hAnsi="宋体" w:cs="宋体"/>
          <w:b/>
          <w:color w:val="auto"/>
          <w:highlight w:val="none"/>
        </w:rPr>
        <w:t xml:space="preserve">，在考核中发现的问题未能按采购人要求整改到位的双倍扣分。</w:t>
      </w:r>
      <w:r/>
    </w:p>
    <w:p>
      <w:pPr>
        <w:ind w:firstLine="482"/>
        <w:spacing w:line="360" w:lineRule="auto"/>
        <w:rPr>
          <w:rFonts w:ascii="宋体" w:hAnsi="宋体" w:cs="宋体"/>
          <w:b/>
          <w:color w:val="auto"/>
          <w:highlight w:val="none"/>
        </w:rPr>
      </w:pPr>
      <w:r>
        <w:rPr>
          <w:rFonts w:hint="eastAsia" w:ascii="宋体" w:hAnsi="宋体" w:cs="宋体"/>
          <w:b/>
          <w:color w:val="auto"/>
          <w:highlight w:val="none"/>
        </w:rPr>
        <w:t xml:space="preserve">2、考核得分在95分以上（含95分）的，全额支付；低于95分的，在90分以上（含90分）的，每失1分扣1000元；在85分以上（含85分）的，每失1分扣1500元；在85分以下的，每失1分扣2000元。</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八、其他</w:t>
      </w:r>
      <w:r/>
    </w:p>
    <w:p>
      <w:pPr>
        <w:ind w:firstLine="398"/>
        <w:spacing w:line="360" w:lineRule="auto"/>
        <w:rPr>
          <w:rFonts w:hint="eastAsia" w:ascii="宋体" w:hAnsi="宋体" w:cs="宋体"/>
          <w:b/>
          <w:i/>
          <w:color w:val="auto"/>
          <w:spacing w:val="-6"/>
          <w:szCs w:val="21"/>
          <w:highlight w:val="none"/>
          <w:u w:val="single"/>
        </w:rPr>
      </w:pPr>
      <w:r>
        <w:rPr>
          <w:rFonts w:ascii="宋体" w:hAnsi="宋体" w:cs="宋体"/>
          <w:bCs/>
          <w:i/>
          <w:color w:val="auto"/>
          <w:spacing w:val="-6"/>
          <w:szCs w:val="21"/>
          <w:highlight w:val="none"/>
          <w:u w:val="single"/>
        </w:rPr>
        <w:t xml:space="preserve">8.</w:t>
      </w:r>
      <w:r>
        <w:rPr>
          <w:rFonts w:hint="eastAsia" w:ascii="宋体" w:hAnsi="宋体" w:cs="宋体"/>
          <w:bCs/>
          <w:i/>
          <w:color w:val="auto"/>
          <w:spacing w:val="-6"/>
          <w:szCs w:val="21"/>
          <w:highlight w:val="none"/>
          <w:u w:val="single"/>
        </w:rPr>
        <w:t xml:space="preserve">1、报价应包括所有的费用：人员工资、法定的社会保险（养老、工伤、失业）、医疗保险（医疗、大病救助）、住房公积金、法定节假日加班费、高温补贴、服装费、工具耗材费、管理费、税费等，为完成招标文件规定的服务工作所涉及到的一切相关费用。</w:t>
      </w:r>
      <w:r>
        <w:rPr>
          <w:rFonts w:hint="eastAsia" w:ascii="宋体" w:hAnsi="宋体" w:cs="宋体"/>
          <w:b/>
          <w:i/>
          <w:color w:val="auto"/>
          <w:szCs w:val="21"/>
          <w:highlight w:val="none"/>
          <w:u w:val="single"/>
        </w:rPr>
        <w:t xml:space="preserve">（提供承诺函，格式自拟，系统上传）</w:t>
      </w:r>
      <w:r/>
    </w:p>
    <w:p>
      <w:pPr>
        <w:ind w:firstLine="398"/>
        <w:spacing w:line="360" w:lineRule="auto"/>
        <w:rPr>
          <w:rFonts w:hint="eastAsia" w:ascii="宋体" w:hAnsi="宋体" w:cs="宋体"/>
          <w:b/>
          <w:i/>
          <w:color w:val="auto"/>
          <w:spacing w:val="-6"/>
          <w:szCs w:val="21"/>
          <w:highlight w:val="none"/>
          <w:u w:val="single"/>
        </w:rPr>
      </w:pPr>
      <w:r>
        <w:rPr>
          <w:rFonts w:ascii="宋体" w:hAnsi="宋体" w:cs="宋体"/>
          <w:bCs/>
          <w:i/>
          <w:color w:val="auto"/>
          <w:spacing w:val="-6"/>
          <w:szCs w:val="21"/>
          <w:highlight w:val="none"/>
          <w:u w:val="single"/>
        </w:rPr>
        <w:t xml:space="preserve">8.</w:t>
      </w:r>
      <w:r>
        <w:rPr>
          <w:rFonts w:hint="eastAsia" w:ascii="宋体" w:hAnsi="宋体" w:cs="宋体"/>
          <w:bCs/>
          <w:i/>
          <w:color w:val="auto"/>
          <w:spacing w:val="-6"/>
          <w:szCs w:val="21"/>
          <w:highlight w:val="none"/>
          <w:u w:val="single"/>
        </w:rPr>
        <w:t xml:space="preserve">2、</w:t>
      </w:r>
      <w:r>
        <w:rPr>
          <w:rFonts w:hint="eastAsia" w:ascii="宋体" w:hAnsi="宋体" w:cs="宋体"/>
          <w:bCs/>
          <w:i/>
          <w:color w:val="auto"/>
          <w:szCs w:val="21"/>
          <w:highlight w:val="none"/>
          <w:u w:val="single"/>
        </w:rPr>
        <w:t xml:space="preserve">人员工资低于扬州市最低工资标准及未依法测算全员缴纳社会医疗保险、公积金、防暑降温费的作无效报价处理；报价明显低于其他通过符合性审查供应商的报价，有可能影响服务质量或者不能诚信履约的，且不能在评审现场合理的时间内证明其报价合理性的，评标委员会有权将其作为无效投标处理。</w:t>
      </w:r>
      <w:r>
        <w:rPr>
          <w:rFonts w:hint="eastAsia" w:ascii="宋体" w:hAnsi="宋体" w:cs="宋体"/>
          <w:b/>
          <w:i/>
          <w:color w:val="auto"/>
          <w:szCs w:val="21"/>
          <w:highlight w:val="none"/>
          <w:u w:val="single"/>
        </w:rPr>
        <w:t xml:space="preserve">（提供分项报价表，格式自拟，系统上传）</w:t>
      </w:r>
      <w:r/>
    </w:p>
    <w:p>
      <w:pPr>
        <w:ind w:firstLine="435"/>
        <w:spacing w:line="360" w:lineRule="auto"/>
        <w:rPr>
          <w:rFonts w:hint="eastAsia" w:ascii="宋体" w:hAnsi="宋体" w:cs="宋体"/>
          <w:color w:val="auto"/>
          <w:szCs w:val="21"/>
          <w:highlight w:val="none"/>
        </w:rPr>
      </w:pPr>
      <w:r>
        <w:rPr>
          <w:rFonts w:ascii="宋体" w:hAnsi="宋体" w:cs="宋体"/>
          <w:bCs/>
          <w:iCs/>
          <w:color w:val="auto"/>
          <w:spacing w:val="-6"/>
          <w:szCs w:val="21"/>
          <w:highlight w:val="none"/>
        </w:rPr>
        <w:t xml:space="preserve">8.</w:t>
      </w:r>
      <w:r>
        <w:rPr>
          <w:rFonts w:hint="eastAsia" w:ascii="宋体" w:hAnsi="宋体" w:cs="宋体"/>
          <w:iCs/>
          <w:color w:val="auto"/>
          <w:szCs w:val="21"/>
          <w:highlight w:val="none"/>
        </w:rPr>
        <w:t xml:space="preserve">3</w:t>
      </w:r>
      <w:r>
        <w:rPr>
          <w:rFonts w:hint="eastAsia" w:ascii="宋体" w:hAnsi="宋体" w:cs="宋体"/>
          <w:color w:val="auto"/>
          <w:szCs w:val="21"/>
          <w:highlight w:val="none"/>
        </w:rPr>
        <w:t xml:space="preserve">、中标人在签订合同时应向采购人提供派入服务人员花名册。</w:t>
      </w:r>
      <w:r/>
    </w:p>
    <w:p>
      <w:pPr>
        <w:ind w:firstLine="435"/>
        <w:spacing w:line="360" w:lineRule="auto"/>
        <w:rPr>
          <w:rFonts w:hint="eastAsia" w:ascii="宋体" w:hAnsi="宋体" w:cs="宋体"/>
          <w:color w:val="auto"/>
          <w:szCs w:val="21"/>
          <w:highlight w:val="none"/>
        </w:rPr>
      </w:pPr>
      <w:r>
        <w:rPr>
          <w:rFonts w:ascii="宋体" w:hAnsi="宋体" w:cs="宋体"/>
          <w:bCs/>
          <w:iCs/>
          <w:color w:val="auto"/>
          <w:spacing w:val="-6"/>
          <w:szCs w:val="21"/>
          <w:highlight w:val="none"/>
        </w:rPr>
        <w:t xml:space="preserve">8.</w:t>
      </w:r>
      <w:r>
        <w:rPr>
          <w:rFonts w:hint="eastAsia" w:ascii="宋体" w:hAnsi="宋体" w:cs="宋体"/>
          <w:color w:val="auto"/>
          <w:szCs w:val="21"/>
          <w:highlight w:val="none"/>
        </w:rPr>
        <w:t xml:space="preserve">4、中标人的服务人员须服从采购人的工作安排以及统一调配的要求。</w:t>
      </w:r>
      <w:r/>
    </w:p>
    <w:p>
      <w:pPr>
        <w:ind w:firstLine="435"/>
        <w:spacing w:line="360" w:lineRule="auto"/>
        <w:rPr>
          <w:rFonts w:hint="eastAsia" w:ascii="宋体" w:hAnsi="宋体" w:cs="宋体"/>
          <w:color w:val="auto"/>
          <w:szCs w:val="21"/>
          <w:highlight w:val="none"/>
        </w:rPr>
      </w:pPr>
      <w:r>
        <w:rPr>
          <w:rFonts w:ascii="宋体" w:hAnsi="宋体" w:cs="宋体"/>
          <w:bCs/>
          <w:iCs/>
          <w:color w:val="auto"/>
          <w:spacing w:val="-6"/>
          <w:szCs w:val="21"/>
          <w:highlight w:val="none"/>
        </w:rPr>
        <w:t xml:space="preserve">8.</w:t>
      </w:r>
      <w:r>
        <w:rPr>
          <w:rFonts w:hint="eastAsia" w:ascii="宋体" w:hAnsi="宋体" w:cs="宋体"/>
          <w:color w:val="auto"/>
          <w:szCs w:val="21"/>
          <w:highlight w:val="none"/>
        </w:rPr>
        <w:t xml:space="preserve">5、如果发生因中标人工作失职造成相关财产损失和人身伤害，均由中标人承担经济和法律责任。</w:t>
      </w:r>
      <w:r/>
    </w:p>
    <w:p>
      <w:pPr>
        <w:ind w:firstLine="398"/>
        <w:jc w:val="left"/>
        <w:spacing w:line="360" w:lineRule="auto"/>
        <w:shd w:val="clear" w:color="auto" w:fill="ffffff"/>
        <w:widowControl/>
        <w:rPr>
          <w:rFonts w:hint="eastAsia" w:ascii="宋体" w:hAnsi="宋体" w:cs="宋体"/>
          <w:b/>
          <w:i/>
          <w:color w:val="auto"/>
          <w:spacing w:val="-6"/>
          <w:szCs w:val="21"/>
          <w:highlight w:val="none"/>
          <w:u w:val="single"/>
        </w:rPr>
      </w:pPr>
      <w:r>
        <w:rPr>
          <w:rFonts w:ascii="宋体" w:hAnsi="宋体" w:cs="宋体"/>
          <w:bCs/>
          <w:i/>
          <w:color w:val="auto"/>
          <w:spacing w:val="-6"/>
          <w:szCs w:val="21"/>
          <w:highlight w:val="none"/>
          <w:u w:val="single"/>
        </w:rPr>
        <w:t xml:space="preserve">8.</w:t>
      </w:r>
      <w:r>
        <w:rPr>
          <w:rFonts w:hint="eastAsia" w:ascii="宋体" w:hAnsi="宋体" w:cs="宋体"/>
          <w:bCs/>
          <w:i/>
          <w:color w:val="auto"/>
          <w:spacing w:val="-6"/>
          <w:szCs w:val="21"/>
          <w:highlight w:val="none"/>
          <w:u w:val="single"/>
        </w:rPr>
        <w:t xml:space="preserve">6、进场前中标人须向采购人提供人员名单并报采购人处备案；在工作时间须全员全时在岗，接受采购人的检查和考核，不得有脱岗、混岗、串岗现象发生。</w:t>
      </w:r>
      <w:r>
        <w:rPr>
          <w:rFonts w:hint="eastAsia" w:ascii="宋体" w:hAnsi="宋体" w:cs="宋体"/>
          <w:b/>
          <w:i/>
          <w:color w:val="auto"/>
          <w:szCs w:val="21"/>
          <w:highlight w:val="none"/>
          <w:u w:val="single"/>
        </w:rPr>
        <w:t xml:space="preserve">（提供承诺函，格式自拟，系统上传）</w:t>
      </w:r>
      <w:r/>
    </w:p>
    <w:p>
      <w:pPr>
        <w:ind w:firstLine="435"/>
        <w:spacing w:line="360" w:lineRule="auto"/>
        <w:rPr>
          <w:rFonts w:hint="eastAsia" w:ascii="宋体" w:hAnsi="宋体" w:cs="宋体"/>
          <w:color w:val="auto"/>
          <w:szCs w:val="21"/>
          <w:highlight w:val="none"/>
        </w:rPr>
      </w:pPr>
      <w:r>
        <w:rPr>
          <w:rFonts w:ascii="宋体" w:hAnsi="宋体" w:cs="宋体"/>
          <w:bCs/>
          <w:iCs/>
          <w:color w:val="auto"/>
          <w:spacing w:val="-6"/>
          <w:szCs w:val="21"/>
          <w:highlight w:val="none"/>
        </w:rPr>
        <w:t xml:space="preserve">8.</w:t>
      </w:r>
      <w:r>
        <w:rPr>
          <w:rFonts w:hint="eastAsia" w:ascii="宋体" w:hAnsi="宋体" w:cs="宋体"/>
          <w:color w:val="auto"/>
          <w:szCs w:val="21"/>
          <w:highlight w:val="none"/>
        </w:rPr>
        <w:t xml:space="preserve">7、中标人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pStyle w:val="715"/>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715"/>
        <w:jc w:val="center"/>
        <w:pageBreakBefore w:val="0"/>
        <w:spacing w:before="0" w:after="0" w:line="360" w:lineRule="auto"/>
        <w:rPr>
          <w:rFonts w:ascii="Times New Roman" w:hAnsi="Times New Roman" w:eastAsia="宋体"/>
          <w:color w:val="auto"/>
          <w:sz w:val="36"/>
          <w:szCs w:val="36"/>
          <w:highlight w:val="none"/>
        </w:rPr>
      </w:pPr>
      <w:r/>
      <w:bookmarkStart w:id="62"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2"/>
      <w:r/>
      <w:r/>
    </w:p>
    <w:p>
      <w:pPr>
        <w:pStyle w:val="923"/>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23"/>
        <w:ind w:firstLine="420"/>
        <w:pageBreakBefore w:val="0"/>
        <w:spacing w:before="0" w:after="0" w:line="360" w:lineRule="auto"/>
        <w:rPr>
          <w:rFonts w:ascii="Times New Roman" w:hAnsi="Times New Roman" w:eastAsia="宋体"/>
          <w:color w:val="auto"/>
          <w:sz w:val="21"/>
          <w:szCs w:val="21"/>
          <w:highlight w:val="none"/>
        </w:rPr>
      </w:pPr>
      <w:r/>
      <w:bookmarkStart w:id="63" w:name="_Toc449017024"/>
      <w:r/>
      <w:bookmarkStart w:id="64" w:name="_Toc449016388"/>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3"/>
      <w:r/>
      <w:bookmarkEnd w:id="64"/>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23"/>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23"/>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23"/>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23"/>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23"/>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br w:type="page" w:clear="all"/>
      </w:r>
      <w:r/>
    </w:p>
    <w:p>
      <w:pPr>
        <w:pStyle w:val="923"/>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725"/>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7087"/>
      </w:tblGrid>
      <w:tr>
        <w:trPr>
          <w:jc w:val="center"/>
          <w:trHeight w:val="499"/>
        </w:trPr>
        <w:tc>
          <w:tcPr>
            <w:tcW w:w="1413" w:type="dxa"/>
            <w:vAlign w:val="center"/>
            <w:textDirection w:val="lrTb"/>
            <w:noWrap w:val="false"/>
          </w:tcPr>
          <w:p>
            <w:pPr>
              <w:jc w:val="center"/>
              <w:spacing w:line="360" w:lineRule="auto"/>
              <w:widowControl/>
              <w:rPr>
                <w:rFonts w:hint="eastAsia" w:ascii="宋体" w:hAnsi="宋体"/>
                <w:b/>
                <w:bCs/>
                <w:color w:val="auto"/>
                <w:highlight w:val="none"/>
              </w:rPr>
            </w:pPr>
            <w:r>
              <w:rPr>
                <w:rFonts w:hint="eastAsia" w:ascii="宋体" w:hAnsi="宋体"/>
                <w:b/>
                <w:bCs/>
                <w:color w:val="auto"/>
                <w:highlight w:val="none"/>
              </w:rPr>
              <w:t xml:space="preserve">项目</w:t>
            </w:r>
            <w:r/>
          </w:p>
        </w:tc>
        <w:tc>
          <w:tcPr>
            <w:tcW w:w="7087" w:type="dxa"/>
            <w:vAlign w:val="center"/>
            <w:textDirection w:val="lrTb"/>
            <w:noWrap w:val="false"/>
          </w:tcPr>
          <w:p>
            <w:pPr>
              <w:jc w:val="center"/>
              <w:spacing w:line="360" w:lineRule="auto"/>
              <w:widowControl/>
              <w:rPr>
                <w:rFonts w:hint="eastAsia" w:ascii="宋体" w:hAnsi="宋体"/>
                <w:b/>
                <w:bCs/>
                <w:color w:val="auto"/>
                <w:highlight w:val="none"/>
              </w:rPr>
            </w:pPr>
            <w:r>
              <w:rPr>
                <w:rFonts w:hint="eastAsia" w:ascii="宋体" w:hAnsi="宋体"/>
                <w:b/>
                <w:bCs/>
                <w:color w:val="auto"/>
                <w:highlight w:val="none"/>
              </w:rPr>
              <w:t xml:space="preserve">评分标准</w:t>
            </w:r>
            <w:r/>
          </w:p>
        </w:tc>
      </w:tr>
      <w:tr>
        <w:trPr>
          <w:jc w:val="center"/>
          <w:trHeight w:val="455"/>
        </w:trPr>
        <w:tc>
          <w:tcPr>
            <w:tcW w:w="1413"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价格</w:t>
            </w:r>
            <w:r/>
          </w:p>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（10分）</w:t>
            </w:r>
            <w:r/>
          </w:p>
        </w:tc>
        <w:tc>
          <w:tcPr>
            <w:tcW w:w="7087" w:type="dxa"/>
            <w:vAlign w:val="center"/>
            <w:textDirection w:val="lrTb"/>
            <w:noWrap w:val="false"/>
          </w:tcPr>
          <w:p>
            <w:pPr>
              <w:spacing w:line="360" w:lineRule="auto"/>
              <w:widowControl/>
              <w:rPr>
                <w:rFonts w:hint="eastAsia" w:ascii="宋体" w:hAnsi="宋体"/>
                <w:color w:val="auto"/>
                <w:highlight w:val="none"/>
              </w:rPr>
            </w:pPr>
            <w:r>
              <w:rPr>
                <w:rFonts w:hint="eastAsia" w:ascii="宋体" w:hAnsi="宋体"/>
                <w:color w:val="auto"/>
                <w:highlight w:val="none"/>
              </w:rPr>
              <w:t xml:space="preserve">以满招标文件要求的最低报价为基准价，得满分10分，其他报价=（基准价/其他报价）×10×100%（四舍五入保留两位小数）</w:t>
            </w:r>
            <w:r/>
          </w:p>
        </w:tc>
      </w:tr>
      <w:tr>
        <w:trPr>
          <w:jc w:val="center"/>
          <w:trHeight w:val="699"/>
        </w:trPr>
        <w:tc>
          <w:tcPr>
            <w:tcW w:w="1413" w:type="dxa"/>
            <w:vAlign w:val="center"/>
            <w:textDirection w:val="lrTb"/>
            <w:noWrap w:val="false"/>
          </w:tcPr>
          <w:p>
            <w:pPr>
              <w:jc w:val="center"/>
              <w:spacing w:line="360" w:lineRule="auto"/>
              <w:rPr>
                <w:rFonts w:ascii="宋体" w:hAnsi="宋体"/>
                <w:color w:val="auto"/>
                <w:spacing w:val="8"/>
                <w:position w:val="7"/>
                <w:szCs w:val="21"/>
                <w:highlight w:val="none"/>
              </w:rPr>
            </w:pPr>
            <w:r>
              <w:rPr>
                <w:rFonts w:ascii="宋体" w:hAnsi="宋体"/>
                <w:color w:val="auto"/>
                <w:spacing w:val="8"/>
                <w:position w:val="7"/>
                <w:szCs w:val="21"/>
                <w:highlight w:val="none"/>
              </w:rPr>
              <w:t xml:space="preserve">类</w:t>
            </w:r>
            <w:r>
              <w:rPr>
                <w:rFonts w:ascii="宋体" w:hAnsi="宋体"/>
                <w:color w:val="auto"/>
                <w:spacing w:val="7"/>
                <w:position w:val="7"/>
                <w:szCs w:val="21"/>
                <w:highlight w:val="none"/>
              </w:rPr>
              <w:t xml:space="preserve">似业绩</w:t>
            </w:r>
            <w:r/>
          </w:p>
          <w:p>
            <w:pPr>
              <w:jc w:val="center"/>
              <w:spacing w:line="360" w:lineRule="auto"/>
              <w:rPr>
                <w:rFonts w:hint="eastAsia" w:ascii="宋体" w:hAnsi="宋体"/>
                <w:color w:val="auto"/>
                <w:spacing w:val="11"/>
                <w:szCs w:val="21"/>
                <w:highlight w:val="none"/>
              </w:rPr>
            </w:pPr>
            <w:r>
              <w:rPr>
                <w:rFonts w:hint="eastAsia" w:ascii="宋体" w:hAnsi="宋体"/>
                <w:color w:val="auto"/>
                <w:spacing w:val="11"/>
                <w:szCs w:val="21"/>
                <w:highlight w:val="none"/>
              </w:rPr>
              <w:t xml:space="preserve">（</w:t>
            </w:r>
            <w:r>
              <w:rPr>
                <w:rFonts w:hint="eastAsia" w:ascii="宋体" w:hAnsi="宋体"/>
                <w:color w:val="auto"/>
                <w:spacing w:val="10"/>
                <w:szCs w:val="21"/>
                <w:highlight w:val="none"/>
                <w:lang w:val="en-US" w:eastAsia="zh-CN"/>
              </w:rPr>
              <w:t xml:space="preserve">10</w:t>
            </w:r>
            <w:r>
              <w:rPr>
                <w:rFonts w:ascii="宋体" w:hAnsi="宋体"/>
                <w:color w:val="auto"/>
                <w:spacing w:val="10"/>
                <w:szCs w:val="21"/>
                <w:highlight w:val="none"/>
              </w:rPr>
              <w:t xml:space="preserve">分</w:t>
            </w:r>
            <w:r>
              <w:rPr>
                <w:rFonts w:hint="eastAsia" w:ascii="宋体" w:hAnsi="宋体"/>
                <w:color w:val="auto"/>
                <w:spacing w:val="10"/>
                <w:szCs w:val="21"/>
                <w:highlight w:val="none"/>
              </w:rPr>
              <w:t xml:space="preserve">）</w:t>
            </w:r>
            <w:r/>
          </w:p>
        </w:tc>
        <w:tc>
          <w:tcPr>
            <w:tcW w:w="7087" w:type="dxa"/>
            <w:vAlign w:val="top"/>
            <w:textDirection w:val="lrTb"/>
            <w:noWrap w:val="false"/>
          </w:tcPr>
          <w:p>
            <w:pPr>
              <w:spacing w:line="360" w:lineRule="auto"/>
              <w:rPr>
                <w:rFonts w:hint="eastAsia" w:ascii="宋体" w:hAnsi="宋体"/>
                <w:color w:val="auto"/>
                <w:szCs w:val="21"/>
                <w:highlight w:val="none"/>
                <w:lang w:val="zh-CN"/>
              </w:rPr>
            </w:pPr>
            <w:r>
              <w:rPr>
                <w:rFonts w:hint="eastAsia" w:ascii="宋体" w:hAnsi="宋体" w:cs="宋体"/>
                <w:color w:val="auto"/>
                <w:szCs w:val="21"/>
                <w:highlight w:val="none"/>
                <w:lang w:val="zh-CN"/>
              </w:rPr>
              <w:t xml:space="preserve">20</w:t>
            </w:r>
            <w:r>
              <w:rPr>
                <w:rFonts w:hint="eastAsia" w:ascii="宋体" w:hAnsi="宋体" w:cs="宋体"/>
                <w:color w:val="auto"/>
                <w:szCs w:val="21"/>
                <w:highlight w:val="none"/>
              </w:rPr>
              <w:t xml:space="preserve">2</w:t>
            </w:r>
            <w:r>
              <w:rPr>
                <w:rFonts w:hint="default" w:ascii="宋体" w:hAnsi="宋体" w:cs="宋体"/>
                <w:color w:val="auto"/>
                <w:szCs w:val="21"/>
                <w:highlight w:val="none"/>
                <w:lang w:val="en-US"/>
              </w:rPr>
              <w:t xml:space="preserve">3</w:t>
            </w:r>
            <w:r>
              <w:rPr>
                <w:rFonts w:hint="eastAsia" w:ascii="宋体" w:hAnsi="宋体" w:cs="宋体"/>
                <w:color w:val="auto"/>
                <w:szCs w:val="21"/>
                <w:highlight w:val="none"/>
                <w:lang w:val="zh-CN"/>
              </w:rPr>
              <w:t xml:space="preserve">年1月1日至今，</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承担过</w:t>
            </w:r>
            <w:r>
              <w:rPr>
                <w:rFonts w:hint="eastAsia" w:ascii="宋体" w:hAnsi="宋体" w:cs="宋体"/>
                <w:color w:val="auto"/>
                <w:szCs w:val="21"/>
                <w:highlight w:val="none"/>
              </w:rPr>
              <w:t xml:space="preserve">类似</w:t>
            </w:r>
            <w:r>
              <w:rPr>
                <w:rFonts w:hint="eastAsia" w:ascii="宋体" w:hAnsi="宋体" w:cs="宋体"/>
                <w:color w:val="auto"/>
                <w:szCs w:val="21"/>
                <w:highlight w:val="none"/>
                <w:lang w:val="zh-CN"/>
              </w:rPr>
              <w:t xml:space="preserve">项目，每有一项得</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分，满分</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val="zh-CN"/>
              </w:rPr>
              <w:t xml:space="preserve">分。</w:t>
            </w:r>
            <w:r>
              <w:rPr>
                <w:rFonts w:hint="eastAsia" w:ascii="宋体" w:hAnsi="宋体" w:cs="宋体"/>
                <w:b/>
                <w:bCs/>
                <w:color w:val="auto"/>
                <w:szCs w:val="21"/>
                <w:highlight w:val="none"/>
                <w:lang w:val="zh-CN"/>
              </w:rPr>
              <w:t xml:space="preserve">（以合同</w:t>
            </w:r>
            <w:r>
              <w:rPr>
                <w:rFonts w:hint="eastAsia" w:ascii="宋体" w:hAnsi="宋体" w:cs="宋体"/>
                <w:b/>
                <w:bCs/>
                <w:color w:val="auto"/>
                <w:szCs w:val="21"/>
                <w:highlight w:val="none"/>
              </w:rPr>
              <w:t xml:space="preserve">签订时间</w:t>
            </w:r>
            <w:r>
              <w:rPr>
                <w:rFonts w:hint="eastAsia" w:ascii="宋体" w:hAnsi="宋体" w:cs="宋体"/>
                <w:b/>
                <w:bCs/>
                <w:color w:val="auto"/>
                <w:szCs w:val="21"/>
                <w:highlight w:val="none"/>
                <w:lang w:val="zh-CN"/>
              </w:rPr>
              <w:t xml:space="preserve">为准，并单独列明各项目业主单位地址、办公电话、具体联系人姓名、职务、手机号码以便核对真实性，</w:t>
            </w:r>
            <w:r>
              <w:rPr>
                <w:rFonts w:hint="eastAsia" w:ascii="宋体" w:hAnsi="宋体" w:cs="宋体"/>
                <w:b/>
                <w:bCs/>
                <w:color w:val="auto"/>
                <w:szCs w:val="21"/>
                <w:highlight w:val="none"/>
              </w:rPr>
              <w:t xml:space="preserve">原件扫描上传</w:t>
            </w:r>
            <w:r>
              <w:rPr>
                <w:rFonts w:hint="eastAsia" w:ascii="宋体" w:hAnsi="宋体" w:cs="宋体"/>
                <w:b/>
                <w:bCs/>
                <w:color w:val="auto"/>
                <w:szCs w:val="21"/>
                <w:highlight w:val="none"/>
                <w:lang w:val="zh-CN"/>
              </w:rPr>
              <w:t xml:space="preserve">）</w:t>
            </w:r>
            <w:r/>
          </w:p>
        </w:tc>
      </w:tr>
      <w:tr>
        <w:trPr>
          <w:jc w:val="center"/>
          <w:trHeight w:val="406"/>
        </w:trPr>
        <w:tc>
          <w:tcPr>
            <w:tcW w:w="1413"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服务方案</w:t>
            </w:r>
            <w:r/>
          </w:p>
          <w:p>
            <w:pPr>
              <w:jc w:val="center"/>
              <w:spacing w:line="360" w:lineRule="auto"/>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49</w:t>
            </w:r>
            <w:r>
              <w:rPr>
                <w:rFonts w:hint="eastAsia" w:ascii="宋体" w:hAnsi="宋体"/>
                <w:color w:val="auto"/>
                <w:highlight w:val="none"/>
              </w:rPr>
              <w:t xml:space="preserve">分）</w:t>
            </w:r>
            <w:r/>
          </w:p>
        </w:tc>
        <w:tc>
          <w:tcPr>
            <w:tcW w:w="7087"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总体服务方案：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spacing w:line="360" w:lineRule="auto"/>
              <w:rPr>
                <w:rFonts w:hint="eastAsia"/>
                <w:color w:val="auto"/>
                <w:highlight w:val="none"/>
              </w:rPr>
            </w:pPr>
            <w:r>
              <w:rPr>
                <w:rFonts w:hint="eastAsia"/>
                <w:color w:val="auto"/>
                <w:highlight w:val="none"/>
              </w:rPr>
              <w:t xml:space="preserve">2、管理制度：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 </w:t>
            </w:r>
            <w:r/>
          </w:p>
          <w:p>
            <w:pPr>
              <w:spacing w:line="360" w:lineRule="auto"/>
              <w:rPr>
                <w:rFonts w:hint="eastAsia"/>
                <w:color w:val="auto"/>
                <w:highlight w:val="none"/>
              </w:rPr>
            </w:pPr>
            <w:r>
              <w:rPr>
                <w:rFonts w:hint="eastAsia"/>
                <w:color w:val="auto"/>
                <w:highlight w:val="none"/>
              </w:rPr>
              <w:t xml:space="preserve">3、激励机制；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 </w:t>
            </w:r>
            <w:r/>
          </w:p>
          <w:p>
            <w:pPr>
              <w:spacing w:line="360" w:lineRule="auto"/>
              <w:rPr>
                <w:rFonts w:hint="eastAsia"/>
                <w:color w:val="auto"/>
                <w:highlight w:val="none"/>
              </w:rPr>
            </w:pPr>
            <w:r>
              <w:rPr>
                <w:rFonts w:hint="eastAsia"/>
                <w:color w:val="auto"/>
                <w:highlight w:val="none"/>
              </w:rPr>
              <w:t xml:space="preserve"> 4、监督机制；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 </w:t>
            </w:r>
            <w:r/>
          </w:p>
          <w:p>
            <w:pPr>
              <w:spacing w:line="360" w:lineRule="auto"/>
              <w:rPr>
                <w:rFonts w:hint="eastAsia"/>
                <w:color w:val="auto"/>
                <w:highlight w:val="none"/>
              </w:rPr>
            </w:pPr>
            <w:r>
              <w:rPr>
                <w:rFonts w:hint="eastAsia"/>
                <w:color w:val="auto"/>
                <w:highlight w:val="none"/>
              </w:rPr>
              <w:t xml:space="preserve">5、信息反馈处理机制措施；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spacing w:line="360" w:lineRule="auto"/>
              <w:rPr>
                <w:rFonts w:hint="eastAsia"/>
                <w:color w:val="auto"/>
                <w:highlight w:val="none"/>
              </w:rPr>
            </w:pPr>
            <w:r>
              <w:rPr>
                <w:rFonts w:hint="eastAsia"/>
                <w:color w:val="auto"/>
                <w:highlight w:val="none"/>
              </w:rPr>
              <w:t xml:space="preserve">6、录用与考核及淘汰机制措施；科学、严密、合理，描述详细且具有针对性的得6分，较合理、严密、描述较为详细，不存在实施难度的得4分，基本合理，描述一般、存在可操作性的得3分，具有不合理性、描述略欠缺、存在一定实施难度的得2分，具有明显不合理项、描述欠缺，存在实施难度的得1分，其余不得分；</w:t>
            </w:r>
            <w:r/>
          </w:p>
          <w:p>
            <w:pPr>
              <w:spacing w:line="360" w:lineRule="auto"/>
              <w:rPr>
                <w:rFonts w:hint="eastAsia"/>
                <w:color w:val="auto"/>
                <w:highlight w:val="none"/>
              </w:rPr>
            </w:pPr>
            <w:r>
              <w:rPr>
                <w:rFonts w:hint="eastAsia"/>
                <w:color w:val="auto"/>
                <w:highlight w:val="none"/>
              </w:rPr>
              <w:t xml:space="preserve">7、</w:t>
            </w:r>
            <w:r>
              <w:rPr>
                <w:rFonts w:hint="eastAsia"/>
                <w:color w:val="auto"/>
                <w:highlight w:val="none"/>
                <w:lang w:eastAsia="zh-CN"/>
              </w:rPr>
              <w:t xml:space="preserve">协助守护、转运工作预案</w:t>
            </w:r>
            <w:r>
              <w:rPr>
                <w:rFonts w:hint="eastAsia"/>
                <w:color w:val="auto"/>
                <w:highlight w:val="none"/>
              </w:rPr>
              <w:t xml:space="preserve">；科学、严密、合理，描述详细且具有针对性的得6分，较合理、严密、描述较为详细，不存在实施难度的得4分，基本合理，描述一般、存在可操作性的得3分，具有不合理性、描述略欠缺、存在一定实施难度的得2分，具有明显不 合理项、描述欠缺，存在实施难度的得1分，其余不得分；</w:t>
            </w:r>
            <w:r/>
          </w:p>
          <w:p>
            <w:pPr>
              <w:spacing w:line="360" w:lineRule="auto"/>
              <w:rPr>
                <w:rFonts w:hint="eastAsia" w:eastAsia="宋体"/>
                <w:color w:val="auto"/>
                <w:highlight w:val="none"/>
                <w:lang w:eastAsia="zh-CN"/>
              </w:rPr>
            </w:pPr>
            <w:r>
              <w:rPr>
                <w:rFonts w:hint="eastAsia"/>
                <w:color w:val="auto"/>
                <w:highlight w:val="none"/>
              </w:rPr>
              <w:t xml:space="preserve">8、反恐，处理突发事件的预案；科学、严密、合理，描述详细且具有针对性的得</w:t>
            </w:r>
            <w:r>
              <w:rPr>
                <w:rFonts w:hint="eastAsia"/>
                <w:color w:val="auto"/>
                <w:highlight w:val="none"/>
                <w:lang w:val="en-US" w:eastAsia="zh-CN"/>
              </w:rPr>
              <w:t xml:space="preserve">7</w:t>
            </w:r>
            <w:r>
              <w:rPr>
                <w:rFonts w:hint="eastAsia"/>
                <w:color w:val="auto"/>
                <w:highlight w:val="none"/>
              </w:rPr>
              <w:t xml:space="preserve">分，较合理、严密、描述较为详细，不存在实施难度的得</w:t>
            </w:r>
            <w:r>
              <w:rPr>
                <w:rFonts w:hint="eastAsia"/>
                <w:color w:val="auto"/>
                <w:highlight w:val="none"/>
                <w:lang w:val="en-US" w:eastAsia="zh-CN"/>
              </w:rPr>
              <w:t xml:space="preserve">5</w:t>
            </w:r>
            <w:r>
              <w:rPr>
                <w:rFonts w:hint="eastAsia"/>
                <w:color w:val="auto"/>
                <w:highlight w:val="none"/>
              </w:rPr>
              <w:t xml:space="preserve">分，基本合理，描述一般、存在可操作性的得</w:t>
            </w:r>
            <w:r>
              <w:rPr>
                <w:rFonts w:hint="eastAsia"/>
                <w:color w:val="auto"/>
                <w:highlight w:val="none"/>
                <w:lang w:val="en-US" w:eastAsia="zh-CN"/>
              </w:rPr>
              <w:t xml:space="preserve">3</w:t>
            </w:r>
            <w:r>
              <w:rPr>
                <w:rFonts w:hint="eastAsia"/>
                <w:color w:val="auto"/>
                <w:highlight w:val="none"/>
              </w:rPr>
              <w:t xml:space="preserve">分，具有不合理性、描述略欠缺、存在一定实施难度的得2分，具有明显不合理项、描述欠缺，存在实施难度的得1分，其余不得分</w:t>
            </w:r>
            <w:r>
              <w:rPr>
                <w:rFonts w:hint="eastAsia"/>
                <w:color w:val="auto"/>
                <w:highlight w:val="none"/>
                <w:lang w:val="en-US" w:eastAsia="zh-CN"/>
              </w:rPr>
              <w:t xml:space="preserve">.</w:t>
            </w:r>
            <w:r/>
          </w:p>
        </w:tc>
      </w:tr>
      <w:tr>
        <w:trPr>
          <w:jc w:val="center"/>
          <w:trHeight w:val="814"/>
        </w:trPr>
        <w:tc>
          <w:tcPr>
            <w:tcW w:w="1413"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综合实力</w:t>
            </w:r>
            <w:r/>
          </w:p>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31</w:t>
            </w:r>
            <w:r>
              <w:rPr>
                <w:rFonts w:hint="eastAsia" w:ascii="宋体" w:hAnsi="宋体"/>
                <w:color w:val="auto"/>
                <w:highlight w:val="none"/>
              </w:rPr>
              <w:t xml:space="preserve">分）</w:t>
            </w:r>
            <w:r/>
          </w:p>
        </w:tc>
        <w:tc>
          <w:tcPr>
            <w:tcW w:w="7087" w:type="dxa"/>
            <w:vAlign w:val="center"/>
            <w:textDirection w:val="lrTb"/>
            <w:noWrap w:val="false"/>
          </w:tcPr>
          <w:p>
            <w:pPr>
              <w:spacing w:line="360" w:lineRule="auto"/>
              <w:rPr>
                <w:rFonts w:hint="eastAsia"/>
                <w:color w:val="auto"/>
                <w:highlight w:val="none"/>
              </w:rPr>
            </w:pPr>
            <w:r>
              <w:rPr>
                <w:rFonts w:hint="eastAsia"/>
                <w:color w:val="auto"/>
                <w:highlight w:val="none"/>
              </w:rPr>
              <w:t xml:space="preserve">1、项目负责人具有①</w:t>
            </w:r>
            <w:r>
              <w:rPr>
                <w:rFonts w:hint="eastAsia"/>
                <w:color w:val="auto"/>
                <w:highlight w:val="none"/>
                <w:lang w:val="en-US" w:eastAsia="zh-CN"/>
              </w:rPr>
              <w:t xml:space="preserve">二级及以上保安员</w:t>
            </w:r>
            <w:r>
              <w:rPr>
                <w:rFonts w:hint="eastAsia"/>
                <w:color w:val="auto"/>
                <w:highlight w:val="none"/>
              </w:rPr>
              <w:t xml:space="preserve">证书</w:t>
            </w:r>
            <w:r>
              <w:rPr>
                <w:rFonts w:hint="eastAsia"/>
                <w:color w:val="auto"/>
                <w:highlight w:val="none"/>
                <w:lang w:val="en-US" w:eastAsia="zh-CN"/>
              </w:rPr>
              <w:t xml:space="preserve">的</w:t>
            </w:r>
            <w:r>
              <w:rPr>
                <w:rFonts w:hint="eastAsia"/>
                <w:color w:val="auto"/>
                <w:highlight w:val="none"/>
              </w:rPr>
              <w:t xml:space="preserve">，②复转或退伍军人，每满足一项得</w:t>
            </w:r>
            <w:r>
              <w:rPr>
                <w:rFonts w:hint="eastAsia"/>
                <w:color w:val="auto"/>
                <w:highlight w:val="none"/>
                <w:lang w:val="en-US" w:eastAsia="zh-CN"/>
              </w:rPr>
              <w:t xml:space="preserve">2</w:t>
            </w:r>
            <w:r>
              <w:rPr>
                <w:rFonts w:hint="eastAsia"/>
                <w:color w:val="auto"/>
                <w:highlight w:val="none"/>
              </w:rPr>
              <w:t xml:space="preserve">分，满分</w:t>
            </w:r>
            <w:r>
              <w:rPr>
                <w:rFonts w:hint="eastAsia"/>
                <w:color w:val="auto"/>
                <w:highlight w:val="none"/>
                <w:lang w:val="en-US" w:eastAsia="zh-CN"/>
              </w:rPr>
              <w:t xml:space="preserve">4</w:t>
            </w:r>
            <w:r>
              <w:rPr>
                <w:rFonts w:hint="eastAsia"/>
                <w:color w:val="auto"/>
                <w:highlight w:val="none"/>
              </w:rPr>
              <w:t xml:space="preserve">分</w:t>
            </w:r>
            <w:r>
              <w:rPr>
                <w:rFonts w:hint="eastAsia" w:ascii="宋体" w:hAnsi="宋体"/>
                <w:b/>
                <w:bCs/>
                <w:color w:val="auto"/>
                <w:szCs w:val="21"/>
                <w:highlight w:val="none"/>
              </w:rPr>
              <w:t xml:space="preserve">（投标人需提供相关证书及近一年任意一个月为本单位上述持证人员缴纳社保的证明材料，原件扫描上传）</w:t>
            </w:r>
            <w:r/>
          </w:p>
          <w:p>
            <w:pPr>
              <w:spacing w:line="360" w:lineRule="auto"/>
              <w:rPr>
                <w:rFonts w:hint="eastAsia"/>
                <w:b/>
                <w:bCs/>
                <w:color w:val="auto"/>
                <w:highlight w:val="none"/>
              </w:rPr>
            </w:pPr>
            <w:r>
              <w:rPr>
                <w:rFonts w:hint="eastAsia"/>
                <w:color w:val="auto"/>
                <w:highlight w:val="none"/>
              </w:rPr>
              <w:t xml:space="preserve">2、项目负责人有类似公检法单位（非派出机构）安保服务项目管理经验并获得业主评价优秀的得2分，有其他政府机关（非派出机构）安保服务项目管理经验并获得业主评价优秀的得</w:t>
            </w:r>
            <w:r>
              <w:rPr>
                <w:rFonts w:hint="eastAsia"/>
                <w:color w:val="auto"/>
                <w:highlight w:val="none"/>
                <w:lang w:val="en-US" w:eastAsia="zh-CN"/>
              </w:rPr>
              <w:t xml:space="preserve">2</w:t>
            </w:r>
            <w:r>
              <w:rPr>
                <w:rFonts w:hint="eastAsia"/>
                <w:color w:val="auto"/>
                <w:highlight w:val="none"/>
              </w:rPr>
              <w:t xml:space="preserve">分，最多得4分。</w:t>
            </w:r>
            <w:r>
              <w:rPr>
                <w:rFonts w:hint="eastAsia"/>
                <w:b/>
                <w:bCs/>
                <w:color w:val="auto"/>
                <w:highlight w:val="none"/>
              </w:rPr>
              <w:t xml:space="preserve">（提供业主证明材料，</w:t>
            </w:r>
            <w:r>
              <w:rPr>
                <w:rFonts w:hint="eastAsia" w:ascii="宋体" w:hAnsi="宋体"/>
                <w:b/>
                <w:bCs/>
                <w:color w:val="auto"/>
                <w:szCs w:val="21"/>
                <w:highlight w:val="none"/>
              </w:rPr>
              <w:t xml:space="preserve">原件扫描上传</w:t>
            </w:r>
            <w:r>
              <w:rPr>
                <w:rFonts w:hint="eastAsia"/>
                <w:b/>
                <w:bCs/>
                <w:color w:val="auto"/>
                <w:highlight w:val="none"/>
              </w:rPr>
              <w:t xml:space="preserve">）</w:t>
            </w:r>
            <w:r/>
          </w:p>
          <w:p>
            <w:pPr>
              <w:spacing w:line="360" w:lineRule="auto"/>
              <w:rPr>
                <w:rFonts w:hint="eastAsia"/>
                <w:b/>
                <w:bCs/>
                <w:color w:val="auto"/>
                <w:highlight w:val="none"/>
              </w:rPr>
            </w:pPr>
            <w:r>
              <w:rPr>
                <w:rFonts w:hint="eastAsia"/>
                <w:color w:val="auto"/>
                <w:highlight w:val="none"/>
              </w:rPr>
              <w:t xml:space="preserve">3、投标人具有有效期内的质量管理体系证书、环境管理体系证书和职业健康安全管理体系证书的，每有一项证书得1分，满分3分。</w:t>
            </w:r>
            <w:r>
              <w:rPr>
                <w:rFonts w:hint="eastAsia"/>
                <w:b/>
                <w:bCs/>
                <w:color w:val="auto"/>
                <w:highlight w:val="none"/>
              </w:rPr>
              <w:t xml:space="preserve">（提供相关证书及国家认监委网站查询截图，</w:t>
            </w:r>
            <w:r>
              <w:rPr>
                <w:rFonts w:hint="eastAsia" w:ascii="宋体" w:hAnsi="宋体"/>
                <w:b/>
                <w:bCs/>
                <w:color w:val="auto"/>
                <w:szCs w:val="21"/>
                <w:highlight w:val="none"/>
              </w:rPr>
              <w:t xml:space="preserve">原件扫描上传</w:t>
            </w:r>
            <w:r>
              <w:rPr>
                <w:rFonts w:hint="eastAsia"/>
                <w:b/>
                <w:bCs/>
                <w:color w:val="auto"/>
                <w:highlight w:val="none"/>
              </w:rPr>
              <w:t xml:space="preserve">）</w:t>
            </w:r>
            <w:r/>
          </w:p>
          <w:p>
            <w:pPr>
              <w:spacing w:line="360" w:lineRule="auto"/>
              <w:rPr>
                <w:rFonts w:hint="eastAsia"/>
                <w:color w:val="auto"/>
                <w:highlight w:val="none"/>
              </w:rPr>
            </w:pPr>
            <w:r>
              <w:rPr>
                <w:rFonts w:hint="eastAsia"/>
                <w:color w:val="auto"/>
                <w:highlight w:val="none"/>
              </w:rPr>
              <w:t xml:space="preserve">4、投标人202</w:t>
            </w:r>
            <w:r>
              <w:rPr>
                <w:rFonts w:hint="eastAsia"/>
                <w:color w:val="auto"/>
                <w:highlight w:val="none"/>
                <w:lang w:val="en-US" w:eastAsia="zh-CN"/>
              </w:rPr>
              <w:t xml:space="preserve">3</w:t>
            </w:r>
            <w:r>
              <w:rPr>
                <w:rFonts w:hint="eastAsia"/>
                <w:color w:val="auto"/>
                <w:highlight w:val="none"/>
              </w:rPr>
              <w:t xml:space="preserve">年1月1日至今</w:t>
            </w:r>
            <w:r>
              <w:rPr>
                <w:rFonts w:hint="eastAsia" w:ascii="宋体" w:hAnsi="宋体" w:cs="仿宋"/>
                <w:color w:val="auto"/>
                <w:szCs w:val="21"/>
                <w:highlight w:val="none"/>
              </w:rPr>
              <w:t xml:space="preserve">具有地市级行政主管部门</w:t>
            </w:r>
            <w:r>
              <w:rPr>
                <w:rFonts w:hint="eastAsia" w:ascii="宋体" w:hAnsi="宋体" w:cs="Calibri"/>
                <w:color w:val="auto"/>
                <w:szCs w:val="21"/>
                <w:highlight w:val="none"/>
              </w:rPr>
              <w:t xml:space="preserve">颁发的与本项目实施内容相关的荣誉、表彰或奖项，每</w:t>
            </w:r>
            <w:r>
              <w:rPr>
                <w:rFonts w:hint="eastAsia" w:ascii="宋体" w:hAnsi="宋体" w:cs="仿宋"/>
                <w:color w:val="auto"/>
                <w:szCs w:val="21"/>
                <w:highlight w:val="none"/>
              </w:rPr>
              <w:t xml:space="preserve">有1项得2分，满分</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rPr>
              <w:t xml:space="preserve">分。</w:t>
            </w:r>
            <w:r>
              <w:rPr>
                <w:rFonts w:hint="eastAsia"/>
                <w:b/>
                <w:bCs/>
                <w:color w:val="auto"/>
                <w:highlight w:val="none"/>
              </w:rPr>
              <w:t xml:space="preserve">（以政府部门发文时间为准，提供证明材料</w:t>
            </w:r>
            <w:r>
              <w:rPr>
                <w:rFonts w:hint="eastAsia" w:ascii="宋体" w:hAnsi="宋体"/>
                <w:b/>
                <w:bCs/>
                <w:color w:val="auto"/>
                <w:szCs w:val="21"/>
                <w:highlight w:val="none"/>
              </w:rPr>
              <w:t xml:space="preserve">原件扫描上传</w:t>
            </w:r>
            <w:r>
              <w:rPr>
                <w:rFonts w:hint="eastAsia"/>
                <w:b/>
                <w:bCs/>
                <w:color w:val="auto"/>
                <w:highlight w:val="none"/>
              </w:rPr>
              <w:t xml:space="preserve">）</w:t>
            </w:r>
            <w:r/>
          </w:p>
          <w:p>
            <w:pPr>
              <w:spacing w:line="360" w:lineRule="auto"/>
              <w:rPr>
                <w:rFonts w:hint="eastAsia"/>
                <w:color w:val="auto"/>
                <w:highlight w:val="none"/>
              </w:rPr>
            </w:pPr>
            <w:r>
              <w:rPr>
                <w:rFonts w:hint="eastAsia"/>
                <w:color w:val="auto"/>
                <w:highlight w:val="none"/>
              </w:rPr>
              <w:t xml:space="preserve">5、投标人拟派项目组成员（除项目负责人）中具有复转或退伍军人的，每有一人得1分，满分</w:t>
            </w:r>
            <w:r>
              <w:rPr>
                <w:rFonts w:hint="eastAsia"/>
                <w:color w:val="auto"/>
                <w:highlight w:val="none"/>
                <w:lang w:val="en-US" w:eastAsia="zh-CN"/>
              </w:rPr>
              <w:t xml:space="preserve">7</w:t>
            </w:r>
            <w:r>
              <w:rPr>
                <w:rFonts w:hint="eastAsia"/>
                <w:color w:val="auto"/>
                <w:highlight w:val="none"/>
              </w:rPr>
              <w:t xml:space="preserve">分。</w:t>
            </w:r>
            <w:r>
              <w:rPr>
                <w:rFonts w:hint="eastAsia" w:ascii="宋体" w:hAnsi="宋体"/>
                <w:b/>
                <w:bCs/>
                <w:color w:val="auto"/>
                <w:szCs w:val="21"/>
                <w:highlight w:val="none"/>
              </w:rPr>
              <w:t xml:space="preserve">（投标人需提供相关证书及近一年内任意一个月为本单位上述持证人员缴纳社保的证明材料，原件扫描上传）</w:t>
            </w:r>
            <w:r/>
          </w:p>
          <w:p>
            <w:pPr>
              <w:spacing w:line="360" w:lineRule="auto"/>
              <w:rPr>
                <w:color w:val="auto"/>
                <w:highlight w:val="none"/>
              </w:rPr>
            </w:pPr>
            <w:r>
              <w:rPr>
                <w:rFonts w:hint="eastAsia"/>
                <w:color w:val="auto"/>
                <w:highlight w:val="none"/>
              </w:rPr>
              <w:t xml:space="preserve">6、投标人拟派项目组成员（除项目负责人）中具有</w:t>
            </w:r>
            <w:r>
              <w:rPr>
                <w:rFonts w:hint="eastAsia"/>
                <w:color w:val="auto"/>
                <w:highlight w:val="none"/>
                <w:lang w:val="en-US" w:eastAsia="zh-CN"/>
              </w:rPr>
              <w:t xml:space="preserve">三级及以上</w:t>
            </w:r>
            <w:r>
              <w:rPr>
                <w:rFonts w:hint="eastAsia"/>
                <w:color w:val="auto"/>
                <w:highlight w:val="none"/>
              </w:rPr>
              <w:t xml:space="preserve">保安员证书的，每有一人得1分，满分</w:t>
            </w:r>
            <w:r>
              <w:rPr>
                <w:rFonts w:hint="eastAsia"/>
                <w:color w:val="auto"/>
                <w:highlight w:val="none"/>
                <w:lang w:val="en-US" w:eastAsia="zh-CN"/>
              </w:rPr>
              <w:t xml:space="preserve">7</w:t>
            </w:r>
            <w:r>
              <w:rPr>
                <w:rFonts w:hint="eastAsia"/>
                <w:color w:val="auto"/>
                <w:highlight w:val="none"/>
              </w:rPr>
              <w:t xml:space="preserve">分。</w:t>
            </w:r>
            <w:r>
              <w:rPr>
                <w:rFonts w:hint="eastAsia" w:ascii="宋体" w:hAnsi="宋体"/>
                <w:b/>
                <w:bCs/>
                <w:color w:val="auto"/>
                <w:szCs w:val="21"/>
                <w:highlight w:val="none"/>
              </w:rPr>
              <w:t xml:space="preserve">（投标人需提供相关证书及近一年内任意一个月为本单位上述持证人员缴纳社保的证明材料，原件扫描上传）</w:t>
            </w:r>
            <w:r/>
          </w:p>
        </w:tc>
      </w:tr>
      <w:tr>
        <w:trPr>
          <w:jc w:val="center"/>
          <w:trHeight w:val="264"/>
        </w:trPr>
        <w:tc>
          <w:tcPr>
            <w:tcW w:w="1413"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合计</w:t>
            </w:r>
            <w:r/>
          </w:p>
        </w:tc>
        <w:tc>
          <w:tcPr>
            <w:tcW w:w="7087" w:type="dxa"/>
            <w:vAlign w:val="center"/>
            <w:textDirection w:val="lrTb"/>
            <w:noWrap w:val="false"/>
          </w:tcPr>
          <w:p>
            <w:pPr>
              <w:jc w:val="center"/>
              <w:spacing w:line="360" w:lineRule="auto"/>
              <w:widowControl/>
              <w:rPr>
                <w:rFonts w:hint="eastAsia" w:ascii="宋体" w:hAnsi="宋体"/>
                <w:color w:val="auto"/>
                <w:highlight w:val="none"/>
              </w:rPr>
            </w:pPr>
            <w:r>
              <w:rPr>
                <w:rFonts w:hint="eastAsia" w:ascii="宋体" w:hAnsi="宋体"/>
                <w:color w:val="auto"/>
                <w:highlight w:val="none"/>
              </w:rPr>
              <w:t xml:space="preserve">100分</w:t>
            </w:r>
            <w:r/>
          </w:p>
        </w:tc>
      </w:tr>
    </w:tbl>
    <w:p>
      <w:pPr>
        <w:ind w:firstLine="422"/>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br w:type="page" w:clear="all"/>
      </w: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Style w:val="909"/>
        <w:pageBreakBefore w:val="0"/>
        <w:spacing w:before="0" w:after="0"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15"/>
        <w:jc w:val="center"/>
        <w:pageBreakBefore w:val="0"/>
        <w:spacing w:before="0" w:after="0" w:line="360" w:lineRule="auto"/>
        <w:rPr>
          <w:rFonts w:hint="eastAsia" w:ascii="Times New Roman" w:hAnsi="Times New Roman" w:eastAsia="宋体"/>
          <w:color w:val="auto"/>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65" w:name="_Toc9838"/>
      <w:r/>
      <w:r/>
    </w:p>
    <w:p>
      <w:pPr>
        <w:pStyle w:val="715"/>
        <w:jc w:val="center"/>
        <w:pageBreakBefore w:val="0"/>
        <w:spacing w:before="0" w:after="0" w:line="360" w:lineRule="auto"/>
        <w:rPr>
          <w:rFonts w:ascii="Times New Roman" w:hAnsi="Times New Roman" w:eastAsia="宋体"/>
          <w:color w:val="auto"/>
          <w:sz w:val="36"/>
          <w:highlight w:val="none"/>
        </w:rPr>
      </w:pPr>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5"/>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716"/>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6" w:name="_Toc31039"/>
      <w:r/>
      <w:bookmarkStart w:id="67" w:name="_Toc2029"/>
      <w:r/>
      <w:bookmarkStart w:id="68" w:name="_Toc5792"/>
      <w:r>
        <w:rPr>
          <w:rFonts w:hint="eastAsia" w:ascii="Times New Roman" w:hAnsi="Times New Roman" w:eastAsia="宋体"/>
          <w:color w:val="auto"/>
          <w:sz w:val="32"/>
          <w:highlight w:val="none"/>
        </w:rPr>
        <w:t xml:space="preserve">一、资格审查响应对照表</w:t>
      </w:r>
      <w:bookmarkEnd w:id="66"/>
      <w:r/>
      <w:bookmarkEnd w:id="67"/>
      <w:r/>
      <w:bookmarkEnd w:id="68"/>
      <w:r/>
      <w:r/>
    </w:p>
    <w:tbl>
      <w:tblPr>
        <w:tblStyle w:val="72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iCs/>
                <w:color w:val="auto"/>
                <w:szCs w:val="21"/>
                <w:highlight w:val="none"/>
                <w:lang w:val="en-US" w:eastAsia="zh-CN"/>
              </w:rPr>
              <w:t xml:space="preserve">上一年度的</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i w:val="0"/>
                <w:iCs w:val="0"/>
                <w:color w:val="auto"/>
                <w:szCs w:val="21"/>
                <w:highlight w:val="none"/>
                <w:u w:val="non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 xml:space="preserve">投标人具有公安主管部门颁发的保安服务许可证</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23"/>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23"/>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23"/>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23"/>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23"/>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23"/>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23"/>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24"/>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24"/>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24"/>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24"/>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24"/>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jc w:val="center"/>
        <w:pageBreakBefore w:val="0"/>
        <w:spacing w:after="361"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s="宋体"/>
          <w:b/>
          <w:color w:val="auto"/>
          <w:sz w:val="21"/>
          <w:szCs w:val="21"/>
          <w:highlight w:val="none"/>
        </w:rPr>
      </w:r>
      <w:r/>
    </w:p>
    <w:p>
      <w:pPr>
        <w:jc w:val="center"/>
        <w:pageBreakBefore w:val="0"/>
        <w:spacing w:after="361"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中小企业声明函（服务类项目）（采购包号：</w:t>
      </w:r>
      <w:r>
        <w:rPr>
          <w:rFonts w:hint="eastAsia" w:ascii="Times New Roman" w:hAnsi="Times New Roman" w:cs="宋体"/>
          <w:b/>
          <w:color w:val="auto"/>
          <w:sz w:val="21"/>
          <w:szCs w:val="21"/>
          <w:highlight w:val="none"/>
          <w:lang w:val="en-US" w:eastAsia="zh-CN"/>
        </w:rPr>
        <w:t xml:space="preserve">  </w:t>
      </w:r>
      <w:r>
        <w:rPr>
          <w:rFonts w:ascii="Times New Roman" w:hAnsi="Times New Roman" w:eastAsia="宋体" w:cs="宋体"/>
          <w:b/>
          <w:color w:val="auto"/>
          <w:sz w:val="21"/>
          <w:szCs w:val="21"/>
          <w:highlight w:val="none"/>
        </w:rPr>
        <w:t xml:space="preserve">）</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Times New Roman" w:hAnsi="Times New Roman" w:cs="宋体"/>
          <w:color w:val="auto"/>
          <w:sz w:val="21"/>
          <w:szCs w:val="21"/>
          <w:highlight w:val="none"/>
          <w:lang w:eastAsia="zh-CN"/>
        </w:rPr>
        <w:t xml:space="preserve">江苏苏维工程管理有限公司</w:t>
      </w:r>
      <w:r>
        <w:rPr>
          <w:rFonts w:ascii="Times New Roman" w:hAnsi="Times New Roman" w:eastAsia="宋体" w:cs="宋体"/>
          <w:color w:val="auto"/>
          <w:sz w:val="21"/>
          <w:szCs w:val="21"/>
          <w:highlight w:val="none"/>
        </w:rPr>
        <w:t xml:space="preserve">组织的</w:t>
      </w:r>
      <w:r>
        <w:rPr>
          <w:rFonts w:ascii="Times New Roman" w:hAnsi="Times New Roman" w:eastAsia="宋体" w:cs="宋体"/>
          <w:color w:val="auto"/>
          <w:sz w:val="21"/>
          <w:szCs w:val="21"/>
          <w:highlight w:val="none"/>
          <w:u w:val="single"/>
        </w:rPr>
        <w:t xml:space="preserve">（项目名称）（采购包号：**）</w:t>
      </w:r>
      <w:r>
        <w:rPr>
          <w:rFonts w:ascii="Times New Roman" w:hAnsi="Times New Roman" w:eastAsia="宋体" w:cs="宋体"/>
          <w:color w:val="auto"/>
          <w:sz w:val="21"/>
          <w:szCs w:val="21"/>
          <w:highlight w:val="none"/>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hint="eastAsia" w:ascii="Times New Roman" w:hAnsi="Times New Roman" w:eastAsia="宋体"/>
          <w:b/>
          <w:bCs/>
          <w:color w:val="auto"/>
          <w:highlight w:val="none"/>
          <w:u w:val="single"/>
        </w:rPr>
        <w:t xml:space="preserve">（租赁和商务服务业）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hint="eastAsia" w:ascii="Times New Roman" w:hAnsi="Times New Roman" w:eastAsia="宋体"/>
          <w:b/>
          <w:bCs/>
          <w:color w:val="auto"/>
          <w:highlight w:val="none"/>
          <w:u w:val="single"/>
        </w:rPr>
        <w:t xml:space="preserve">（租赁和商务服务业）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right="180" w:firstLine="360"/>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企业名称（加盖CA电子公章）：</w:t>
      </w:r>
      <w:r/>
    </w:p>
    <w:p>
      <w:pPr>
        <w:ind w:right="480" w:firstLine="540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日  期：</w:t>
      </w:r>
      <w:r/>
    </w:p>
    <w:p>
      <w:pPr>
        <w:ind w:firstLine="24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3.供应商应对照《工业和信息化部、国家统计局、国家发展和改革委员会、财政</w:t>
      </w:r>
      <w:r/>
    </w:p>
    <w:p>
      <w:pPr>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4、企业声明函请完整填写，中标后将公示。</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5、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6、</w:t>
      </w:r>
      <w:r>
        <w:rPr>
          <w:rFonts w:hint="eastAsia" w:ascii="Times New Roman" w:hAnsi="Times New Roman" w:eastAsia="宋体" w:cs="宋体"/>
          <w:color w:val="auto"/>
          <w:szCs w:val="21"/>
          <w:highlight w:val="none"/>
        </w:rPr>
        <w:t xml:space="preserve">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w:t>
      </w:r>
      <w:r>
        <w:rPr>
          <w:rFonts w:hint="eastAsia" w:ascii="Times New Roman" w:hAnsi="Times New Roman" w:eastAsia="宋体" w:cs="宋体"/>
          <w:bCs/>
          <w:color w:val="auto"/>
          <w:szCs w:val="21"/>
          <w:highlight w:val="none"/>
          <w:shd w:val="clear" w:color="auto" w:fill="ffffff"/>
          <w:lang w:eastAsia="zh-CN"/>
        </w:rPr>
        <w:t xml:space="preserve">中华人民共和国政府采购法</w:t>
      </w:r>
      <w:r>
        <w:rPr>
          <w:rFonts w:hint="eastAsia" w:ascii="Times New Roman" w:hAnsi="Times New Roman" w:eastAsia="宋体" w:cs="宋体"/>
          <w:bCs/>
          <w:color w:val="auto"/>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5"/>
        <w:rPr>
          <w:color w:val="auto"/>
          <w:highlight w:val="none"/>
        </w:rPr>
      </w:pPr>
      <w:r>
        <w:rPr>
          <w:color w:val="auto"/>
          <w:highlight w:val="none"/>
        </w:rPr>
      </w:r>
      <w:r/>
    </w:p>
    <w:p>
      <w:pPr>
        <w:jc w:val="center"/>
        <w:pageBreakBefore w:val="0"/>
        <w:spacing w:line="360" w:lineRule="auto"/>
        <w:rPr>
          <w:rStyle w:val="757"/>
          <w:rFonts w:ascii="Times New Roman" w:hAnsi="Times New Roman" w:eastAsia="宋体" w:cs="仿宋"/>
          <w:color w:val="auto"/>
          <w:szCs w:val="21"/>
          <w:highlight w:val="none"/>
        </w:rPr>
      </w:pPr>
      <w:r>
        <w:rPr>
          <w:rStyle w:val="757"/>
          <w:rFonts w:hint="eastAsia" w:ascii="Times New Roman" w:hAnsi="Times New Roman" w:eastAsia="宋体" w:cs="仿宋"/>
          <w:color w:val="auto"/>
          <w:szCs w:val="21"/>
          <w:highlight w:val="none"/>
        </w:rPr>
        <w:t xml:space="preserve">中小微企业划型标准</w:t>
      </w:r>
      <w:r/>
    </w:p>
    <w:p>
      <w:pPr>
        <w:pStyle w:val="752"/>
        <w:ind w:firstLine="420"/>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中小微企业划型标准如下：</w:t>
      </w:r>
      <w:r/>
    </w:p>
    <w:tbl>
      <w:tblPr>
        <w:tblStyle w:val="72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52"/>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ind w:firstLine="420"/>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52"/>
              <w:jc w:val="center"/>
              <w:pageBreakBefore w:val="0"/>
              <w:spacing w:line="360" w:lineRule="auto"/>
              <w:widowControl/>
              <w:rPr>
                <w:rFonts w:ascii="Times New Roman" w:hAnsi="Times New Roman" w:eastAsia="宋体"/>
                <w:color w:val="auto"/>
                <w:sz w:val="21"/>
                <w:szCs w:val="21"/>
                <w:highlight w:val="none"/>
              </w:rPr>
            </w:pPr>
            <w:r>
              <w:rPr>
                <w:rStyle w:val="757"/>
                <w:rFonts w:hint="eastAsia" w:ascii="Times New Roman" w:hAnsi="Times New Roman" w:eastAsia="宋体" w:cs="仿宋"/>
                <w:color w:val="auto"/>
                <w:sz w:val="21"/>
                <w:szCs w:val="21"/>
                <w:highlight w:val="none"/>
              </w:rPr>
              <w:t xml:space="preserve">X＜10</w:t>
            </w:r>
            <w:r/>
          </w:p>
        </w:tc>
      </w:tr>
    </w:tbl>
    <w:p>
      <w:pPr>
        <w:pStyle w:val="752"/>
        <w:ind w:firstLine="810"/>
        <w:pageBreakBefore w:val="0"/>
        <w:spacing w:line="360" w:lineRule="auto"/>
        <w:widowControl/>
        <w:rPr>
          <w:rStyle w:val="757"/>
          <w:rFonts w:ascii="Times New Roman" w:hAnsi="Times New Roman" w:eastAsia="宋体" w:cs="仿宋"/>
          <w:color w:val="auto"/>
          <w:sz w:val="21"/>
          <w:szCs w:val="21"/>
          <w:highlight w:val="none"/>
        </w:rPr>
      </w:pPr>
      <w:r>
        <w:rPr>
          <w:rStyle w:val="757"/>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757"/>
          <w:rFonts w:hint="eastAsia" w:ascii="Times New Roman" w:hAnsi="Times New Roman" w:eastAsia="宋体" w:cs="仿宋"/>
          <w:color w:val="auto"/>
          <w:sz w:val="21"/>
          <w:szCs w:val="21"/>
          <w:highlight w:val="none"/>
          <w:lang w:eastAsia="zh-CN"/>
        </w:rPr>
        <w:t xml:space="preserve">〔2011〕300号</w:t>
      </w:r>
      <w:r>
        <w:rPr>
          <w:rStyle w:val="757"/>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716"/>
        <w:pageBreakBefore w:val="0"/>
        <w:spacing w:before="0" w:after="0" w:line="360" w:lineRule="auto"/>
        <w:rPr>
          <w:rFonts w:ascii="Times New Roman" w:hAnsi="Times New Roman" w:eastAsia="宋体"/>
          <w:color w:val="auto"/>
          <w:sz w:val="32"/>
          <w:highlight w:val="none"/>
        </w:rPr>
      </w:pPr>
      <w:r/>
      <w:bookmarkStart w:id="69" w:name="_Toc20616"/>
      <w:r/>
      <w:bookmarkStart w:id="70" w:name="_Toc29496"/>
      <w:r/>
      <w:bookmarkStart w:id="71" w:name="_Toc10588"/>
      <w:r>
        <w:rPr>
          <w:rFonts w:hint="eastAsia" w:ascii="Times New Roman" w:hAnsi="Times New Roman" w:eastAsia="宋体"/>
          <w:color w:val="auto"/>
          <w:sz w:val="32"/>
          <w:highlight w:val="none"/>
        </w:rPr>
        <w:t xml:space="preserve">二、符合性审查响应对照表</w:t>
      </w:r>
      <w:bookmarkEnd w:id="69"/>
      <w:r/>
      <w:bookmarkEnd w:id="70"/>
      <w:r/>
      <w:bookmarkEnd w:id="71"/>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716"/>
        <w:pageBreakBefore w:val="0"/>
        <w:spacing w:before="0" w:after="0" w:line="360" w:lineRule="auto"/>
        <w:rPr>
          <w:rFonts w:ascii="Times New Roman" w:hAnsi="Times New Roman" w:eastAsia="宋体"/>
          <w:color w:val="auto"/>
          <w:sz w:val="32"/>
          <w:highlight w:val="none"/>
        </w:rPr>
      </w:pPr>
      <w:r/>
      <w:bookmarkStart w:id="72" w:name="_Toc13365"/>
      <w:r/>
      <w:bookmarkStart w:id="73" w:name="_Toc3706"/>
      <w:r/>
      <w:bookmarkStart w:id="74" w:name="_Toc23420"/>
      <w:r>
        <w:rPr>
          <w:rFonts w:hint="eastAsia" w:ascii="Times New Roman" w:hAnsi="Times New Roman" w:eastAsia="宋体"/>
          <w:color w:val="auto"/>
          <w:sz w:val="32"/>
          <w:highlight w:val="none"/>
        </w:rPr>
        <w:t xml:space="preserve">三、非实质性响应对照表</w:t>
      </w:r>
      <w:bookmarkEnd w:id="72"/>
      <w:r/>
      <w:bookmarkEnd w:id="73"/>
      <w:r/>
      <w:bookmarkEnd w:id="74"/>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72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ind w:left="0" w:right="0"/>
              <w:keepLines w:val="0"/>
              <w:keepNext w:val="0"/>
              <w:spacing w:before="0" w:beforeAutospacing="0" w:after="0" w:afterAutospacing="0" w:line="0" w:lineRule="atLeast"/>
              <w:rPr>
                <w:rFonts w:ascii="Times New Roman" w:hAnsi="Times New Roman" w:eastAsia="宋体"/>
                <w:iCs/>
                <w:color w:val="auto"/>
                <w:szCs w:val="21"/>
                <w:highlight w:val="none"/>
              </w:rPr>
              <w:suppressLineNumbers w:val="0"/>
            </w:pPr>
            <w:r>
              <w:rPr>
                <w:rFonts w:hint="eastAsia" w:ascii="宋体" w:hAnsi="宋体" w:cs="宋体"/>
                <w:iCs/>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ind w:left="0" w:right="0"/>
              <w:keepLines w:val="0"/>
              <w:keepNext w:val="0"/>
              <w:spacing w:before="0" w:beforeAutospacing="0" w:after="0" w:afterAutospacing="0" w:line="0" w:lineRule="atLeast"/>
              <w:rPr>
                <w:rFonts w:ascii="Times New Roman" w:hAnsi="Times New Roman" w:eastAsia="宋体"/>
                <w:iCs/>
                <w:color w:val="auto"/>
                <w:szCs w:val="21"/>
                <w:highlight w:val="none"/>
              </w:rPr>
              <w:suppressLineNumbers w:val="0"/>
            </w:pPr>
            <w:r>
              <w:rPr>
                <w:rFonts w:hint="eastAsia" w:ascii="宋体" w:hAnsi="宋体" w:cs="宋体"/>
                <w:iCs/>
                <w:color w:val="auto"/>
                <w:szCs w:val="21"/>
                <w:highlight w:val="none"/>
              </w:rPr>
              <w:t xml:space="preserve">《关于符合本国产品标准的声明函》</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宋体" w:hAnsi="宋体" w:cs="宋体"/>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717"/>
        <w:pageBreakBefore w:val="0"/>
        <w:spacing w:before="0" w:after="0" w:line="360" w:lineRule="auto"/>
        <w:rPr>
          <w:rStyle w:val="757"/>
          <w:rFonts w:ascii="Times New Roman" w:hAnsi="Times New Roman" w:eastAsia="宋体" w:cs="仿宋"/>
          <w:b w:val="0"/>
          <w:color w:val="auto"/>
          <w:sz w:val="21"/>
          <w:szCs w:val="21"/>
          <w:highlight w:val="none"/>
        </w:rPr>
      </w:pPr>
      <w:r>
        <w:rPr>
          <w:rStyle w:val="757"/>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752"/>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52"/>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759"/>
          <w:rFonts w:hint="eastAsia" w:ascii="Times New Roman" w:hAnsi="Times New Roman" w:eastAsia="宋体" w:cs="宋体"/>
          <w:i w:val="0"/>
          <w:color w:val="auto"/>
          <w:highlight w:val="none"/>
          <w:u w:val="single"/>
          <w:shd w:val="clear" w:color="auto" w:fill="ffffff"/>
        </w:rPr>
        <w:t xml:space="preserve">（产品名称1）</w:t>
      </w:r>
      <w:r>
        <w:rPr>
          <w:rStyle w:val="759"/>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759"/>
          <w:rFonts w:hint="eastAsia" w:ascii="Times New Roman" w:hAnsi="Times New Roman" w:eastAsia="宋体" w:cs="宋体"/>
          <w:i w:val="0"/>
          <w:color w:val="auto"/>
          <w:highlight w:val="none"/>
          <w:u w:val="single"/>
          <w:shd w:val="clear" w:color="auto" w:fill="ffffff"/>
        </w:rPr>
        <w:t xml:space="preserve">（厂名）</w:t>
      </w:r>
      <w:r>
        <w:rPr>
          <w:rStyle w:val="759"/>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759"/>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759"/>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759"/>
          <w:rFonts w:hint="eastAsia" w:ascii="Times New Roman" w:hAnsi="Times New Roman" w:eastAsia="宋体" w:cs="宋体"/>
          <w:i w:val="0"/>
          <w:color w:val="auto"/>
          <w:highlight w:val="none"/>
          <w:u w:val="single"/>
          <w:shd w:val="clear" w:color="auto" w:fill="ffffff"/>
        </w:rPr>
        <w:t xml:space="preserve">（规定比例）</w:t>
      </w:r>
      <w:r>
        <w:rPr>
          <w:rStyle w:val="759"/>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（关键组件）</w:t>
      </w:r>
      <w:r>
        <w:rPr>
          <w:rStyle w:val="759"/>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（关键工序）</w:t>
      </w:r>
      <w:r>
        <w:rPr>
          <w:rStyle w:val="759"/>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752"/>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759"/>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759"/>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759"/>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759"/>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759"/>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759"/>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752"/>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752"/>
        <w:ind w:firstLine="4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752"/>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752"/>
        <w:ind w:right="480" w:firstLine="3720"/>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752"/>
        <w:jc w:val="center"/>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752"/>
        <w:pageBreakBefore w:val="0"/>
        <w:spacing w:beforeAutospacing="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752"/>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752"/>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752"/>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752"/>
        <w:pageBreakBefore w:val="0"/>
        <w:spacing w:beforeAutospacing="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752"/>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752"/>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pStyle w:val="752"/>
        <w:jc w:val="left"/>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5080" b="6350"/>
                <wp:docPr id="19"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20" descr="E:\xwechat_files\luoboxiaowuzei_e771\temp\RWTemp\2026-03\c9f511a4c1d072259a887ee18cc5d0ba\322a02389c0a3bd68b9fafd7fe73f7eb.png"/>
                        <pic:cNvPicPr>
                          <a:picLocks noChangeAspect="1"/>
                        </pic:cNvPicPr>
                        <pic:nvPr/>
                      </pic:nvPicPr>
                      <pic:blipFill>
                        <a:blip r:embed="rId16"/>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451.0pt;mso-wrap-distance-left:0.0pt;mso-wrap-distance-top:0.0pt;mso-wrap-distance-right:0.0pt;mso-wrap-distance-bottom:0.0pt;" stroked="f">
                <v:path textboxrect="0,0,0,0"/>
                <v:imagedata r:id="rId16" o:title=""/>
              </v:shape>
            </w:pict>
          </mc:Fallback>
        </mc:AlternateContent>
      </w:r>
      <w:r/>
    </w:p>
    <w:p>
      <w:pPr>
        <w:pStyle w:val="752"/>
        <w:pageBreakBefore w:val="0"/>
        <w:spacing w:beforeAutospacing="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716"/>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5" w:name="_Toc19910"/>
      <w:r/>
      <w:r/>
    </w:p>
    <w:p>
      <w:pPr>
        <w:pStyle w:val="716"/>
        <w:pageBreakBefore w:val="0"/>
        <w:spacing w:before="0" w:after="0" w:line="360" w:lineRule="auto"/>
        <w:rPr>
          <w:rFonts w:ascii="Times New Roman" w:hAnsi="Times New Roman" w:eastAsia="宋体"/>
          <w:color w:val="auto"/>
          <w:sz w:val="32"/>
          <w:highlight w:val="none"/>
        </w:rPr>
      </w:pPr>
      <w:r/>
      <w:bookmarkStart w:id="76" w:name="_Toc24565"/>
      <w:r/>
      <w:bookmarkStart w:id="77" w:name="_Toc29012"/>
      <w:r>
        <w:rPr>
          <w:rFonts w:hint="eastAsia" w:ascii="Times New Roman" w:hAnsi="Times New Roman" w:eastAsia="宋体"/>
          <w:color w:val="auto"/>
          <w:sz w:val="32"/>
          <w:highlight w:val="none"/>
        </w:rPr>
        <w:t xml:space="preserve">四、开标一览表</w:t>
      </w:r>
      <w:bookmarkEnd w:id="75"/>
      <w:r/>
      <w:bookmarkEnd w:id="76"/>
      <w:r/>
      <w:bookmarkEnd w:id="77"/>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72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3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730"/>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923"/>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730"/>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23"/>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727"/>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62"/>
        <w:jc w:val="center"/>
        <w:pageBreakBefore w:val="0"/>
        <w:spacing w:after="0" w:line="360" w:lineRule="auto"/>
        <w:rPr>
          <w:rFonts w:ascii="Times New Roman" w:hAnsi="Times New Roman" w:eastAsia="宋体"/>
          <w:b/>
          <w:bCs/>
          <w:color w:val="auto"/>
          <w:sz w:val="24"/>
          <w:szCs w:val="24"/>
          <w:highlight w:val="none"/>
          <w:lang w:eastAsia="zh-CN"/>
        </w:rPr>
      </w:pPr>
      <w:r/>
      <w:bookmarkStart w:id="78" w:name="_Toc17891"/>
      <w:r/>
      <w:bookmarkStart w:id="79" w:name="_Toc5967"/>
      <w:r>
        <w:rPr>
          <w:rFonts w:hint="eastAsia" w:ascii="Times New Roman" w:hAnsi="Times New Roman" w:eastAsia="宋体"/>
          <w:b/>
          <w:bCs/>
          <w:color w:val="auto"/>
          <w:sz w:val="32"/>
          <w:highlight w:val="none"/>
        </w:rPr>
        <w:t xml:space="preserve">五、分项报价表</w:t>
      </w:r>
      <w:bookmarkEnd w:id="78"/>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725"/>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452"/>
        <w:gridCol w:w="1242"/>
        <w:gridCol w:w="1338"/>
        <w:gridCol w:w="1691"/>
      </w:tblGrid>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单价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hint="eastAsia" w:ascii="宋体" w:hAnsi="宋体"/>
                <w:color w:val="auto"/>
                <w:highlight w:val="none"/>
              </w:rPr>
            </w:pPr>
            <w:r>
              <w:rPr>
                <w:rFonts w:hint="eastAsia" w:ascii="宋体" w:hAnsi="宋体"/>
                <w:color w:val="auto"/>
                <w:highlight w:val="none"/>
              </w:rPr>
              <w:t xml:space="preserve">单项合计价</w:t>
            </w:r>
            <w:r/>
          </w:p>
          <w:p>
            <w:pPr>
              <w:jc w:val="center"/>
              <w:spacing w:line="360" w:lineRule="auto"/>
              <w:rPr>
                <w:rFonts w:ascii="宋体" w:hAnsi="宋体"/>
                <w:color w:val="auto"/>
                <w:szCs w:val="21"/>
                <w:highlight w:val="none"/>
              </w:rPr>
            </w:pPr>
            <w:r>
              <w:rPr>
                <w:rFonts w:hint="eastAsia" w:ascii="宋体" w:hAnsi="宋体"/>
                <w:color w:val="auto"/>
                <w:highlight w:val="none"/>
              </w:rPr>
              <w:t xml:space="preserve">（元）</w:t>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38"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r>
        <w:trPr>
          <w:cantSplit/>
          <w:trHeight w:val="500"/>
        </w:trPr>
        <w:tc>
          <w:tcPr>
            <w:gridSpan w:val="3"/>
            <w:tcBorders>
              <w:top w:val="single" w:color="auto" w:sz="4" w:space="0"/>
              <w:left w:val="single" w:color="auto" w:sz="4" w:space="0"/>
              <w:bottom w:val="single" w:color="auto" w:sz="4" w:space="0"/>
              <w:right w:val="single" w:color="auto" w:sz="4" w:space="0"/>
            </w:tcBorders>
            <w:tcW w:w="423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总报价</w:t>
            </w:r>
            <w:r/>
          </w:p>
        </w:tc>
        <w:tc>
          <w:tcPr>
            <w:gridSpan w:val="3"/>
            <w:tcBorders>
              <w:top w:val="single" w:color="auto" w:sz="4" w:space="0"/>
              <w:left w:val="single" w:color="auto" w:sz="4" w:space="0"/>
              <w:bottom w:val="single" w:color="auto" w:sz="4" w:space="0"/>
              <w:right w:val="single" w:color="auto" w:sz="4" w:space="0"/>
            </w:tcBorders>
            <w:tcW w:w="4271" w:type="dxa"/>
            <w:vAlign w:val="center"/>
            <w:textDirection w:val="lrTb"/>
            <w:noWrap w:val="false"/>
          </w:tcPr>
          <w:p>
            <w:pPr>
              <w:spacing w:line="360" w:lineRule="auto"/>
              <w:rPr>
                <w:rFonts w:ascii="宋体" w:hAnsi="宋体"/>
                <w:color w:val="auto"/>
                <w:szCs w:val="21"/>
                <w:highlight w:val="none"/>
              </w:rPr>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spacing w:line="360" w:lineRule="auto"/>
              <w:rPr>
                <w:rFonts w:ascii="宋体" w:hAnsi="宋体"/>
                <w:color w:val="auto"/>
                <w:szCs w:val="21"/>
                <w:highlight w:val="none"/>
                <w:u w:val="single"/>
              </w:rPr>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r>
        <w:trPr>
          <w:cantSplit/>
          <w:trHeight w:val="500"/>
        </w:trPr>
        <w:tc>
          <w:tcPr>
            <w:gridSpan w:val="6"/>
            <w:tcBorders>
              <w:top w:val="single" w:color="auto" w:sz="4" w:space="0"/>
              <w:left w:val="single" w:color="auto" w:sz="4" w:space="0"/>
              <w:bottom w:val="single" w:color="auto" w:sz="4" w:space="0"/>
              <w:right w:val="single" w:color="auto" w:sz="4" w:space="0"/>
            </w:tcBorders>
            <w:tcW w:w="8505" w:type="dxa"/>
            <w:vAlign w:val="center"/>
            <w:textDirection w:val="lrTb"/>
            <w:noWrap w:val="false"/>
          </w:tcPr>
          <w:p>
            <w:pPr>
              <w:spacing w:line="360" w:lineRule="auto"/>
              <w:rPr>
                <w:rFonts w:hint="eastAsia" w:ascii="宋体" w:hAnsi="宋体"/>
                <w:color w:val="auto"/>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rPr>
        <w:t xml:space="preserve">2、所有报价（含各分项报价）必须符合国家法律法规及本次采购文件要求</w:t>
      </w:r>
      <w:r>
        <w:rPr>
          <w:rFonts w:hint="eastAsia" w:ascii="Times New Roman" w:hAnsi="Times New Roman" w:cs="宋体"/>
          <w:color w:val="auto"/>
          <w:szCs w:val="21"/>
          <w:highlight w:val="none"/>
          <w:lang w:eastAsia="zh-CN"/>
        </w:rPr>
        <w:t xml:space="preserve">。</w:t>
      </w:r>
      <w:r/>
    </w:p>
    <w:p>
      <w:pPr>
        <w:ind w:right="0"/>
        <w:jc w:val="left"/>
        <w:keepLines w:val="0"/>
        <w:keepNext w:val="0"/>
        <w:pageBreakBefore w:val="0"/>
        <w:spacing w:before="0" w:beforeAutospacing="0" w:after="0" w:afterAutospacing="0" w:line="360" w:lineRule="auto"/>
        <w:widowControl/>
        <w:rPr>
          <w:rFonts w:hint="eastAsia" w:ascii="Times New Roman" w:hAnsi="Times New Roman" w:eastAsia="宋体" w:cs="宋体"/>
          <w:b w:val="0"/>
          <w:bCs w:val="0"/>
          <w:color w:val="auto"/>
          <w:szCs w:val="21"/>
          <w:highlight w:val="none"/>
          <w:lang w:eastAsia="zh-CN"/>
        </w:rPr>
        <w:suppressLineNumbers w:val="0"/>
      </w:pPr>
      <w:r>
        <w:rPr>
          <w:rFonts w:hint="eastAsia" w:ascii="宋体" w:hAnsi="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i w:val="0"/>
          <w:iCs w:val="0"/>
          <w:color w:val="auto"/>
          <w:sz w:val="21"/>
          <w:szCs w:val="21"/>
          <w:highlight w:val="none"/>
          <w:u w:val="none"/>
          <w:lang w:val="en-US" w:eastAsia="zh-CN" w:bidi="ar"/>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pageBreakBefore w:val="0"/>
        <w:spacing w:line="360" w:lineRule="auto"/>
        <w:rPr>
          <w:rFonts w:hint="eastAsia" w:ascii="Times New Roman" w:hAnsi="Times New Roman" w:eastAsia="宋体" w:cs="宋体"/>
          <w:b w:val="0"/>
          <w:bCs w:val="0"/>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val="0"/>
          <w:bCs w:val="0"/>
          <w:i w:val="0"/>
          <w:iCs w:val="0"/>
          <w:color w:val="auto"/>
          <w:sz w:val="21"/>
          <w:szCs w:val="21"/>
          <w:highlight w:val="none"/>
          <w:u w:val="none"/>
          <w:lang w:val="en-US" w:eastAsia="zh-CN" w:bidi="ar"/>
        </w:rPr>
        <w:t xml:space="preserve">4、</w:t>
      </w:r>
      <w:r>
        <w:rPr>
          <w:rFonts w:hint="eastAsia" w:ascii="宋体" w:hAnsi="宋体" w:eastAsia="宋体" w:cs="宋体"/>
          <w:b w:val="0"/>
          <w:bCs w:val="0"/>
          <w:i w:val="0"/>
          <w:iCs w:val="0"/>
          <w:color w:val="auto"/>
          <w:sz w:val="21"/>
          <w:szCs w:val="21"/>
          <w:highlight w:val="none"/>
          <w:u w:val="none"/>
          <w:lang w:val="en-US" w:eastAsia="zh-CN" w:bidi="ar"/>
        </w:rPr>
        <w:t xml:space="preserve">本项目招标代理服务费应包含在投标总价中，具体计算方式详见招标文件第二章。</w:t>
      </w:r>
      <w:r/>
    </w:p>
    <w:p>
      <w:pPr>
        <w:pStyle w:val="716"/>
        <w:pageBreakBefore w:val="0"/>
        <w:spacing w:before="0" w:after="0" w:line="360" w:lineRule="auto"/>
        <w:rPr>
          <w:rFonts w:ascii="Times New Roman" w:hAnsi="Times New Roman" w:eastAsia="宋体"/>
          <w:color w:val="auto"/>
          <w:sz w:val="32"/>
          <w:highlight w:val="none"/>
        </w:rPr>
      </w:pPr>
      <w:r/>
      <w:bookmarkStart w:id="80" w:name="_Toc1749"/>
      <w:r/>
      <w:bookmarkStart w:id="81" w:name="_Toc24125"/>
      <w:r>
        <w:rPr>
          <w:rFonts w:hint="eastAsia" w:ascii="Times New Roman" w:hAnsi="Times New Roman" w:eastAsia="宋体"/>
          <w:color w:val="auto"/>
          <w:sz w:val="32"/>
          <w:highlight w:val="none"/>
        </w:rPr>
        <w:t xml:space="preserve">六、技术参数响应及偏离表</w:t>
      </w:r>
      <w:bookmarkEnd w:id="79"/>
      <w:r/>
      <w:bookmarkEnd w:id="80"/>
      <w:r/>
      <w:bookmarkEnd w:id="81"/>
      <w:r/>
      <w:r/>
    </w:p>
    <w:tbl>
      <w:tblPr>
        <w:tblStyle w:val="72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716"/>
        <w:pageBreakBefore w:val="0"/>
        <w:spacing w:before="0" w:after="0" w:line="360" w:lineRule="auto"/>
        <w:rPr>
          <w:rFonts w:ascii="Times New Roman" w:hAnsi="Times New Roman" w:eastAsia="宋体"/>
          <w:color w:val="auto"/>
          <w:sz w:val="32"/>
          <w:highlight w:val="none"/>
        </w:rPr>
      </w:pPr>
      <w:r/>
      <w:bookmarkStart w:id="82" w:name="_Hlt26955054"/>
      <w:r/>
      <w:bookmarkEnd w:id="82"/>
      <w:r/>
      <w:bookmarkStart w:id="83" w:name="_Toc13755"/>
      <w:r/>
      <w:bookmarkStart w:id="84" w:name="_Toc16820"/>
      <w:r/>
      <w:bookmarkStart w:id="85" w:name="_Toc28180"/>
      <w:r>
        <w:rPr>
          <w:rFonts w:hint="eastAsia" w:ascii="Times New Roman" w:hAnsi="Times New Roman" w:eastAsia="宋体"/>
          <w:color w:val="auto"/>
          <w:sz w:val="32"/>
          <w:highlight w:val="none"/>
        </w:rPr>
        <w:t xml:space="preserve">七、商务条款响应及偏离表</w:t>
      </w:r>
      <w:bookmarkEnd w:id="83"/>
      <w:r/>
      <w:bookmarkEnd w:id="84"/>
      <w:r/>
      <w:bookmarkEnd w:id="85"/>
      <w:r/>
      <w:r/>
    </w:p>
    <w:tbl>
      <w:tblPr>
        <w:tblStyle w:val="72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6" w:name="_Hlt26782999"/>
            <w:r/>
            <w:bookmarkEnd w:id="86"/>
            <w:r/>
            <w:bookmarkStart w:id="87" w:name="_Hlt26955064"/>
            <w:r/>
            <w:bookmarkEnd w:id="87"/>
            <w:r/>
            <w:bookmarkStart w:id="88" w:name="_Hlt26955056"/>
            <w:r/>
            <w:bookmarkEnd w:id="88"/>
            <w:r/>
            <w:bookmarkStart w:id="89" w:name="_Hlt26580838"/>
            <w:r/>
            <w:bookmarkEnd w:id="89"/>
            <w:r/>
            <w:bookmarkStart w:id="90" w:name="_Hlt26671343"/>
            <w:r/>
            <w:bookmarkEnd w:id="90"/>
            <w:r/>
            <w:bookmarkStart w:id="91" w:name="_Hlt26609391"/>
            <w:r/>
            <w:bookmarkEnd w:id="91"/>
            <w:r/>
            <w:bookmarkStart w:id="92" w:name="_Hlt24879081"/>
            <w:r/>
            <w:bookmarkEnd w:id="92"/>
            <w:r/>
            <w:bookmarkStart w:id="93" w:name="_Hlt26671372"/>
            <w:r/>
            <w:bookmarkEnd w:id="93"/>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727"/>
        <w:ind w:firstLine="480"/>
        <w:pageBreakBefore w:val="0"/>
        <w:spacing w:line="360" w:lineRule="auto"/>
        <w:rPr>
          <w:rFonts w:ascii="Times New Roman" w:hAnsi="Times New Roman" w:eastAsia="宋体"/>
          <w:color w:val="auto"/>
          <w:sz w:val="24"/>
          <w:highlight w:val="none"/>
        </w:rPr>
      </w:pPr>
      <w:r/>
      <w:bookmarkStart w:id="94" w:name="_Hlt26609389"/>
      <w:r/>
      <w:bookmarkEnd w:id="94"/>
      <w:r/>
      <w:bookmarkStart w:id="95" w:name="_Hlt26671374"/>
      <w:r/>
      <w:bookmarkEnd w:id="95"/>
      <w:r/>
      <w:bookmarkStart w:id="96" w:name="_Hlt26955066"/>
      <w:r/>
      <w:bookmarkEnd w:id="96"/>
      <w:r/>
      <w:bookmarkStart w:id="97" w:name="_Toc462564146"/>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97"/>
      <w:r/>
      <w:r/>
    </w:p>
    <w:p>
      <w:pPr>
        <w:pStyle w:val="727"/>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72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联合体协议（参考格式）（采购包号：**）</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1、我们</w:t>
      </w:r>
      <w:r>
        <w:rPr>
          <w:rFonts w:ascii="Times New Roman" w:hAnsi="Times New Roman" w:eastAsia="宋体" w:cs="宋体"/>
          <w:color w:val="auto"/>
          <w:sz w:val="21"/>
          <w:szCs w:val="21"/>
          <w:highlight w:val="none"/>
          <w:u w:val="single"/>
        </w:rPr>
        <w:t xml:space="preserve"> （供应商1），（供应商2） ，……</w:t>
      </w:r>
      <w:r>
        <w:rPr>
          <w:rFonts w:ascii="Times New Roman" w:hAnsi="Times New Roman" w:eastAsia="宋体" w:cs="宋体"/>
          <w:color w:val="auto"/>
          <w:sz w:val="21"/>
          <w:szCs w:val="21"/>
          <w:highlight w:val="none"/>
        </w:rPr>
        <w:t xml:space="preserve">自愿组成联合体，参加</w:t>
      </w:r>
      <w:r>
        <w:rPr>
          <w:rFonts w:hint="eastAsia" w:ascii="Times New Roman" w:hAnsi="Times New Roman" w:cs="宋体"/>
          <w:color w:val="auto"/>
          <w:sz w:val="21"/>
          <w:szCs w:val="21"/>
          <w:highlight w:val="none"/>
          <w:lang w:eastAsia="zh-CN"/>
        </w:rPr>
        <w:t xml:space="preserve">江苏苏维工程管理有限公司</w:t>
      </w:r>
      <w:r>
        <w:rPr>
          <w:rFonts w:ascii="Times New Roman" w:hAnsi="Times New Roman" w:eastAsia="宋体" w:cs="宋体"/>
          <w:color w:val="auto"/>
          <w:sz w:val="21"/>
          <w:szCs w:val="21"/>
          <w:highlight w:val="none"/>
        </w:rPr>
        <w:t xml:space="preserve">组织的采购编号为</w:t>
      </w:r>
      <w:r>
        <w:rPr>
          <w:rFonts w:ascii="Times New Roman" w:hAnsi="Times New Roman" w:eastAsia="宋体" w:cs="宋体"/>
          <w:color w:val="auto"/>
          <w:sz w:val="21"/>
          <w:szCs w:val="21"/>
          <w:highlight w:val="none"/>
          <w:u w:val="single"/>
        </w:rPr>
        <w:t xml:space="preserve">（编号全称），（项目全称）</w:t>
      </w:r>
      <w:r>
        <w:rPr>
          <w:rFonts w:ascii="Times New Roman" w:hAnsi="Times New Roman" w:eastAsia="宋体" w:cs="宋体"/>
          <w:color w:val="auto"/>
          <w:sz w:val="21"/>
          <w:szCs w:val="21"/>
          <w:highlight w:val="none"/>
        </w:rPr>
        <w:t xml:space="preserve">项目（采购包号：**）的政府采购活动，我联合体指定</w:t>
      </w:r>
      <w:r>
        <w:rPr>
          <w:rFonts w:ascii="Times New Roman" w:hAnsi="Times New Roman" w:eastAsia="宋体" w:cs="宋体"/>
          <w:color w:val="auto"/>
          <w:sz w:val="21"/>
          <w:szCs w:val="21"/>
          <w:highlight w:val="none"/>
          <w:u w:val="single"/>
        </w:rPr>
        <w:t xml:space="preserve">（供应商*）</w:t>
      </w:r>
      <w:r>
        <w:rPr>
          <w:rFonts w:ascii="Times New Roman" w:hAnsi="Times New Roman" w:eastAsia="宋体" w:cs="宋体"/>
          <w:color w:val="auto"/>
          <w:sz w:val="21"/>
          <w:szCs w:val="21"/>
          <w:highlight w:val="none"/>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3、其中</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（小型、微型企业/残疾人福利性单位/监狱企业全称）为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6"/>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联合体中各供应商全称（公章）：     </w:t>
      </w:r>
      <w:r/>
    </w:p>
    <w:p>
      <w:pPr>
        <w:ind w:firstLine="646"/>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日期：</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both"/>
    </w:pPr>
    <w:r>
      <w:rPr>
        <w:rFonts w:hint="eastAsia"/>
        <w:lang w:eastAsia="zh-CN"/>
      </w:rPr>
      <w:t xml:space="preserve">JSZC-321000-SWGC-G2026-0098号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both"/>
    </w:pPr>
    <w:r>
      <w:rPr>
        <w:rFonts w:hint="eastAsia"/>
        <w:lang w:eastAsia="zh-CN"/>
      </w:rPr>
      <w:t xml:space="preserve">JSZC-321000-SWGC-G2026-0098号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6"/>
      <w:isLgl w:val="false"/>
      <w:suff w:val="tab"/>
      <w:lvlText w:val="%1"/>
      <w:lvlJc w:val="left"/>
      <w:pPr>
        <w:ind w:left="432" w:hanging="432"/>
      </w:pPr>
    </w:lvl>
    <w:lvl w:ilvl="1">
      <w:start w:val="1"/>
      <w:numFmt w:val="decimal"/>
      <w:pStyle w:val="957"/>
      <w:isLgl w:val="false"/>
      <w:suff w:val="tab"/>
      <w:lvlText w:val="%1.%2"/>
      <w:lvlJc w:val="left"/>
      <w:pPr>
        <w:ind w:left="576" w:hanging="576"/>
      </w:pPr>
    </w:lvl>
    <w:lvl w:ilvl="2">
      <w:start w:val="1"/>
      <w:numFmt w:val="decimal"/>
      <w:pStyle w:val="959"/>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2">
    <w:multiLevelType w:val="hybridMultilevel"/>
    <w:lvl w:ilvl="0">
      <w:start w:val="1"/>
      <w:numFmt w:val="decimal"/>
      <w:pStyle w:val="927"/>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53"/>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5">
    <w:name w:val="Heading 1"/>
    <w:basedOn w:val="714"/>
    <w:next w:val="714"/>
    <w:uiPriority w:val="9"/>
    <w:qFormat/>
    <w:pPr>
      <w:keepLines/>
      <w:keepNext/>
      <w:spacing w:before="340" w:after="330" w:line="578" w:lineRule="auto"/>
      <w:outlineLvl w:val="0"/>
    </w:pPr>
    <w:rPr>
      <w:b/>
      <w:bCs/>
      <w:sz w:val="44"/>
      <w:szCs w:val="44"/>
    </w:rPr>
  </w:style>
  <w:style w:type="paragraph" w:styleId="716">
    <w:name w:val="Heading 2"/>
    <w:basedOn w:val="718"/>
    <w:next w:val="714"/>
    <w:uiPriority w:val="0"/>
    <w:qFormat/>
    <w:pPr>
      <w:jc w:val="center"/>
      <w:keepLines/>
      <w:keepNext/>
      <w:spacing w:before="260" w:after="260" w:line="416" w:lineRule="auto"/>
      <w:outlineLvl w:val="1"/>
    </w:pPr>
    <w:rPr>
      <w:rFonts w:ascii="Arial" w:hAnsi="Arial" w:eastAsia="幼圆" w:cs="Arial"/>
      <w:sz w:val="44"/>
      <w:szCs w:val="44"/>
    </w:rPr>
  </w:style>
  <w:style w:type="paragraph" w:styleId="717">
    <w:name w:val="Heading 3"/>
    <w:basedOn w:val="714"/>
    <w:next w:val="714"/>
    <w:uiPriority w:val="0"/>
    <w:qFormat/>
    <w:pPr>
      <w:keepLines/>
      <w:keepNext/>
      <w:spacing w:before="260" w:after="260" w:line="416" w:lineRule="auto"/>
      <w:outlineLvl w:val="2"/>
    </w:pPr>
    <w:rPr>
      <w:b/>
      <w:bCs/>
      <w:sz w:val="32"/>
      <w:szCs w:val="32"/>
    </w:rPr>
  </w:style>
  <w:style w:type="paragraph" w:styleId="718">
    <w:name w:val="Heading 4"/>
    <w:basedOn w:val="714"/>
    <w:next w:val="714"/>
    <w:uiPriority w:val="9"/>
    <w:qFormat/>
    <w:pPr>
      <w:spacing w:before="280" w:after="290" w:line="374" w:lineRule="auto"/>
      <w:outlineLvl w:val="3"/>
    </w:pPr>
    <w:rPr>
      <w:rFonts w:ascii="Arial" w:hAnsi="Arial" w:eastAsia="黑体"/>
      <w:b/>
      <w:bCs/>
      <w:sz w:val="28"/>
      <w:szCs w:val="28"/>
    </w:rPr>
  </w:style>
  <w:style w:type="paragraph" w:styleId="719">
    <w:name w:val="Heading 5"/>
    <w:basedOn w:val="714"/>
    <w:next w:val="714"/>
    <w:link w:val="767"/>
    <w:uiPriority w:val="9"/>
    <w:unhideWhenUsed/>
    <w:qFormat/>
    <w:pPr>
      <w:keepLines/>
      <w:keepNext/>
      <w:spacing w:before="320" w:after="200"/>
      <w:outlineLvl w:val="4"/>
    </w:pPr>
    <w:rPr>
      <w:rFonts w:ascii="Arial" w:hAnsi="Arial" w:eastAsia="Arial" w:cs="Arial"/>
      <w:b/>
      <w:bCs/>
      <w:sz w:val="24"/>
      <w:szCs w:val="24"/>
    </w:rPr>
  </w:style>
  <w:style w:type="paragraph" w:styleId="720">
    <w:name w:val="Heading 6"/>
    <w:basedOn w:val="714"/>
    <w:next w:val="714"/>
    <w:link w:val="768"/>
    <w:uiPriority w:val="9"/>
    <w:unhideWhenUsed/>
    <w:qFormat/>
    <w:pPr>
      <w:keepLines/>
      <w:keepNext/>
      <w:spacing w:before="320" w:after="200"/>
      <w:outlineLvl w:val="5"/>
    </w:pPr>
    <w:rPr>
      <w:rFonts w:ascii="Arial" w:hAnsi="Arial" w:eastAsia="Arial" w:cs="Arial"/>
      <w:b/>
      <w:bCs/>
      <w:sz w:val="22"/>
      <w:szCs w:val="22"/>
    </w:rPr>
  </w:style>
  <w:style w:type="paragraph" w:styleId="721">
    <w:name w:val="Heading 7"/>
    <w:basedOn w:val="714"/>
    <w:next w:val="714"/>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Heading 8"/>
    <w:basedOn w:val="714"/>
    <w:next w:val="714"/>
    <w:link w:val="770"/>
    <w:uiPriority w:val="9"/>
    <w:unhideWhenUsed/>
    <w:qFormat/>
    <w:pPr>
      <w:keepLines/>
      <w:keepNext/>
      <w:spacing w:before="320" w:after="200"/>
      <w:outlineLvl w:val="7"/>
    </w:pPr>
    <w:rPr>
      <w:rFonts w:ascii="Arial" w:hAnsi="Arial" w:eastAsia="Arial" w:cs="Arial"/>
      <w:i/>
      <w:iCs/>
      <w:sz w:val="22"/>
      <w:szCs w:val="22"/>
    </w:rPr>
  </w:style>
  <w:style w:type="paragraph" w:styleId="723">
    <w:name w:val="Heading 9"/>
    <w:basedOn w:val="714"/>
    <w:next w:val="714"/>
    <w:link w:val="771"/>
    <w:uiPriority w:val="9"/>
    <w:unhideWhenUsed/>
    <w:qFormat/>
    <w:pPr>
      <w:keepLines/>
      <w:keepNext/>
      <w:spacing w:before="320" w:after="200"/>
      <w:outlineLvl w:val="8"/>
    </w:pPr>
    <w:rPr>
      <w:rFonts w:ascii="Arial" w:hAnsi="Arial" w:eastAsia="Arial" w:cs="Arial"/>
      <w:i/>
      <w:iCs/>
      <w:sz w:val="21"/>
      <w:szCs w:val="21"/>
    </w:rPr>
  </w:style>
  <w:style w:type="character" w:styleId="724" w:default="1">
    <w:name w:val="Default Paragraph Font"/>
    <w:uiPriority w:val="1"/>
    <w:unhideWhenUsed/>
    <w:qFormat/>
  </w:style>
  <w:style w:type="table" w:styleId="725" w:default="1">
    <w:name w:val="Normal Table"/>
    <w:uiPriority w:val="99"/>
    <w:semiHidden/>
    <w:unhideWhenUsed/>
    <w:qFormat/>
    <w:tblPr>
      <w:tblCellMar>
        <w:left w:w="108" w:type="dxa"/>
        <w:top w:w="0" w:type="dxa"/>
        <w:right w:w="108" w:type="dxa"/>
        <w:bottom w:w="0" w:type="dxa"/>
      </w:tblCellMar>
    </w:tblPr>
  </w:style>
  <w:style w:type="paragraph" w:styleId="726">
    <w:name w:val="toc 7"/>
    <w:basedOn w:val="714"/>
    <w:next w:val="714"/>
    <w:uiPriority w:val="39"/>
    <w:unhideWhenUsed/>
    <w:pPr>
      <w:ind w:left="1701" w:right="0" w:firstLine="0"/>
      <w:spacing w:after="57"/>
    </w:pPr>
  </w:style>
  <w:style w:type="paragraph" w:styleId="727">
    <w:name w:val="Normal Indent"/>
    <w:basedOn w:val="714"/>
    <w:uiPriority w:val="0"/>
    <w:unhideWhenUsed/>
    <w:qFormat/>
    <w:pPr>
      <w:ind w:firstLine="420"/>
    </w:pPr>
  </w:style>
  <w:style w:type="paragraph" w:styleId="728">
    <w:name w:val="Caption"/>
    <w:basedOn w:val="714"/>
    <w:next w:val="71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9">
    <w:name w:val="annotation text"/>
    <w:basedOn w:val="714"/>
    <w:link w:val="934"/>
    <w:uiPriority w:val="0"/>
    <w:qFormat/>
    <w:pPr>
      <w:jc w:val="left"/>
    </w:pPr>
  </w:style>
  <w:style w:type="paragraph" w:styleId="730">
    <w:name w:val="Body Text"/>
    <w:basedOn w:val="714"/>
    <w:next w:val="714"/>
    <w:uiPriority w:val="0"/>
    <w:qFormat/>
    <w:rPr>
      <w:rFonts w:ascii="楷体_GB2312" w:hAnsi="Arial" w:eastAsia="楷体_GB2312"/>
      <w:sz w:val="28"/>
      <w:szCs w:val="28"/>
    </w:rPr>
  </w:style>
  <w:style w:type="paragraph" w:styleId="731">
    <w:name w:val="Body Text Indent"/>
    <w:basedOn w:val="714"/>
    <w:next w:val="732"/>
    <w:uiPriority w:val="0"/>
    <w:qFormat/>
    <w:pPr>
      <w:ind w:left="420"/>
      <w:spacing w:after="120"/>
    </w:pPr>
    <w:rPr>
      <w:rFonts w:ascii="等线" w:hAnsi="等线" w:eastAsia="等线"/>
    </w:rPr>
  </w:style>
  <w:style w:type="paragraph" w:styleId="732">
    <w:name w:val="envelope return"/>
    <w:basedOn w:val="714"/>
    <w:uiPriority w:val="99"/>
    <w:unhideWhenUsed/>
    <w:qFormat/>
    <w:rPr>
      <w:rFonts w:ascii="Arial" w:hAnsi="Arial"/>
    </w:rPr>
  </w:style>
  <w:style w:type="paragraph" w:styleId="733">
    <w:name w:val="toc 5"/>
    <w:basedOn w:val="714"/>
    <w:next w:val="714"/>
    <w:uiPriority w:val="39"/>
    <w:unhideWhenUsed/>
    <w:pPr>
      <w:ind w:left="1134" w:right="0" w:firstLine="0"/>
      <w:spacing w:after="57"/>
    </w:pPr>
  </w:style>
  <w:style w:type="paragraph" w:styleId="734">
    <w:name w:val="toc 3"/>
    <w:basedOn w:val="714"/>
    <w:next w:val="714"/>
    <w:uiPriority w:val="39"/>
    <w:unhideWhenUsed/>
    <w:pPr>
      <w:ind w:left="567" w:right="0" w:firstLine="0"/>
      <w:spacing w:after="57"/>
    </w:pPr>
  </w:style>
  <w:style w:type="paragraph" w:styleId="735">
    <w:name w:val="Plain Text"/>
    <w:basedOn w:val="714"/>
    <w:uiPriority w:val="99"/>
    <w:qFormat/>
    <w:rPr>
      <w:rFonts w:ascii="宋体" w:hAnsi="Courier New"/>
      <w:sz w:val="20"/>
      <w:szCs w:val="21"/>
    </w:rPr>
  </w:style>
  <w:style w:type="paragraph" w:styleId="736">
    <w:name w:val="toc 8"/>
    <w:basedOn w:val="714"/>
    <w:next w:val="714"/>
    <w:uiPriority w:val="39"/>
    <w:unhideWhenUsed/>
    <w:pPr>
      <w:ind w:left="1984" w:right="0" w:firstLine="0"/>
      <w:spacing w:after="57"/>
    </w:pPr>
  </w:style>
  <w:style w:type="paragraph" w:styleId="737">
    <w:name w:val="Body Text Indent 2"/>
    <w:basedOn w:val="714"/>
    <w:uiPriority w:val="0"/>
    <w:qFormat/>
    <w:pPr>
      <w:ind w:left="640"/>
      <w:spacing w:after="120" w:line="480" w:lineRule="auto"/>
    </w:pPr>
    <w:rPr>
      <w:rFonts w:eastAsia="仿宋_GB2312"/>
      <w:sz w:val="32"/>
      <w:szCs w:val="28"/>
    </w:rPr>
  </w:style>
  <w:style w:type="paragraph" w:styleId="738">
    <w:name w:val="endnote text"/>
    <w:basedOn w:val="714"/>
    <w:link w:val="907"/>
    <w:uiPriority w:val="99"/>
    <w:semiHidden/>
    <w:unhideWhenUsed/>
    <w:pPr>
      <w:spacing w:after="0" w:line="240" w:lineRule="auto"/>
    </w:pPr>
    <w:rPr>
      <w:sz w:val="20"/>
    </w:rPr>
  </w:style>
  <w:style w:type="paragraph" w:styleId="739">
    <w:name w:val="Balloon Text"/>
    <w:basedOn w:val="714"/>
    <w:link w:val="925"/>
    <w:uiPriority w:val="0"/>
    <w:qFormat/>
    <w:rPr>
      <w:sz w:val="18"/>
      <w:szCs w:val="18"/>
    </w:rPr>
  </w:style>
  <w:style w:type="paragraph" w:styleId="740">
    <w:name w:val="Footer"/>
    <w:basedOn w:val="714"/>
    <w:uiPriority w:val="99"/>
    <w:unhideWhenUsed/>
    <w:qFormat/>
    <w:pPr>
      <w:jc w:val="left"/>
      <w:tabs>
        <w:tab w:val="center" w:pos="4153" w:leader="none"/>
        <w:tab w:val="right" w:pos="8306" w:leader="none"/>
      </w:tabs>
    </w:pPr>
    <w:rPr>
      <w:sz w:val="18"/>
      <w:szCs w:val="18"/>
    </w:rPr>
  </w:style>
  <w:style w:type="paragraph" w:styleId="741">
    <w:name w:val="Header"/>
    <w:basedOn w:val="7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14"/>
    <w:next w:val="714"/>
    <w:uiPriority w:val="39"/>
    <w:unhideWhenUsed/>
    <w:qFormat/>
  </w:style>
  <w:style w:type="paragraph" w:styleId="743">
    <w:name w:val="toc 4"/>
    <w:basedOn w:val="714"/>
    <w:next w:val="714"/>
    <w:uiPriority w:val="39"/>
    <w:unhideWhenUsed/>
    <w:pPr>
      <w:ind w:left="850" w:right="0" w:firstLine="0"/>
      <w:spacing w:after="57"/>
    </w:pPr>
  </w:style>
  <w:style w:type="paragraph" w:styleId="744">
    <w:name w:val="Subtitle"/>
    <w:basedOn w:val="714"/>
    <w:next w:val="714"/>
    <w:link w:val="773"/>
    <w:uiPriority w:val="11"/>
    <w:qFormat/>
    <w:pPr>
      <w:spacing w:before="200" w:after="200"/>
    </w:pPr>
    <w:rPr>
      <w:sz w:val="24"/>
      <w:szCs w:val="24"/>
    </w:rPr>
  </w:style>
  <w:style w:type="paragraph" w:styleId="745">
    <w:name w:val="footnote text"/>
    <w:basedOn w:val="714"/>
    <w:link w:val="906"/>
    <w:uiPriority w:val="99"/>
    <w:semiHidden/>
    <w:unhideWhenUsed/>
    <w:pPr>
      <w:spacing w:after="40" w:line="240" w:lineRule="auto"/>
    </w:pPr>
    <w:rPr>
      <w:sz w:val="18"/>
    </w:rPr>
  </w:style>
  <w:style w:type="paragraph" w:styleId="746">
    <w:name w:val="toc 6"/>
    <w:basedOn w:val="714"/>
    <w:next w:val="714"/>
    <w:uiPriority w:val="39"/>
    <w:unhideWhenUsed/>
    <w:pPr>
      <w:ind w:left="1417" w:right="0" w:firstLine="0"/>
      <w:spacing w:after="57"/>
    </w:pPr>
  </w:style>
  <w:style w:type="paragraph" w:styleId="747">
    <w:name w:val="table of figures"/>
    <w:basedOn w:val="714"/>
    <w:next w:val="714"/>
    <w:uiPriority w:val="99"/>
    <w:unhideWhenUsed/>
    <w:qFormat/>
    <w:pPr>
      <w:spacing w:after="0" w:afterAutospacing="0"/>
    </w:pPr>
  </w:style>
  <w:style w:type="paragraph" w:styleId="748">
    <w:name w:val="toc 2"/>
    <w:basedOn w:val="714"/>
    <w:next w:val="714"/>
    <w:uiPriority w:val="0"/>
    <w:qFormat/>
    <w:pPr>
      <w:ind w:left="420"/>
    </w:pPr>
  </w:style>
  <w:style w:type="paragraph" w:styleId="749">
    <w:name w:val="toc 9"/>
    <w:basedOn w:val="714"/>
    <w:next w:val="714"/>
    <w:uiPriority w:val="0"/>
    <w:qFormat/>
    <w:pPr>
      <w:ind w:left="3360"/>
    </w:pPr>
    <w:rPr>
      <w:rFonts w:ascii="Times New Roman" w:hAnsi="Times New Roman"/>
    </w:rPr>
  </w:style>
  <w:style w:type="paragraph" w:styleId="750">
    <w:name w:val="Body Text 2"/>
    <w:basedOn w:val="714"/>
    <w:uiPriority w:val="0"/>
    <w:qFormat/>
    <w:pPr>
      <w:spacing w:after="120" w:line="480" w:lineRule="auto"/>
    </w:pPr>
  </w:style>
  <w:style w:type="paragraph" w:styleId="751">
    <w:name w:val="Message Header"/>
    <w:basedOn w:val="714"/>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52">
    <w:name w:val="Normal (Web)"/>
    <w:basedOn w:val="714"/>
    <w:uiPriority w:val="0"/>
    <w:qFormat/>
    <w:rPr>
      <w:rFonts w:ascii="Times New Roman" w:hAnsi="Times New Roman"/>
      <w:sz w:val="24"/>
    </w:rPr>
  </w:style>
  <w:style w:type="paragraph" w:styleId="753">
    <w:name w:val="Title"/>
    <w:basedOn w:val="714"/>
    <w:next w:val="714"/>
    <w:link w:val="772"/>
    <w:uiPriority w:val="10"/>
    <w:qFormat/>
    <w:pPr>
      <w:contextualSpacing/>
      <w:spacing w:before="300" w:after="200"/>
    </w:pPr>
    <w:rPr>
      <w:sz w:val="48"/>
      <w:szCs w:val="48"/>
    </w:rPr>
  </w:style>
  <w:style w:type="paragraph" w:styleId="754">
    <w:name w:val="annotation subject"/>
    <w:basedOn w:val="729"/>
    <w:next w:val="729"/>
    <w:link w:val="935"/>
    <w:uiPriority w:val="0"/>
    <w:qFormat/>
    <w:rPr>
      <w:b/>
      <w:bCs/>
    </w:rPr>
  </w:style>
  <w:style w:type="paragraph" w:styleId="755">
    <w:name w:val="Body Text First Indent 2"/>
    <w:basedOn w:val="731"/>
    <w:uiPriority w:val="0"/>
    <w:qFormat/>
    <w:pPr>
      <w:ind w:firstLine="420"/>
      <w:spacing w:before="100" w:beforeAutospacing="1"/>
    </w:pPr>
    <w:rPr>
      <w:rFonts w:ascii="Times New Roman" w:hAnsi="Times New Roman" w:eastAsia="宋体"/>
      <w:sz w:val="20"/>
      <w:szCs w:val="21"/>
    </w:rPr>
  </w:style>
  <w:style w:type="table" w:styleId="756">
    <w:name w:val="Table Grid"/>
    <w:basedOn w:val="72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uiPriority w:val="0"/>
    <w:qFormat/>
    <w:rPr>
      <w:b/>
    </w:rPr>
  </w:style>
  <w:style w:type="character" w:styleId="758">
    <w:name w:val="endnote reference"/>
    <w:basedOn w:val="724"/>
    <w:uiPriority w:val="99"/>
    <w:semiHidden/>
    <w:unhideWhenUsed/>
    <w:rPr>
      <w:vertAlign w:val="superscript"/>
    </w:rPr>
  </w:style>
  <w:style w:type="character" w:styleId="759">
    <w:name w:val="Emphasis"/>
    <w:uiPriority w:val="0"/>
    <w:qFormat/>
    <w:rPr>
      <w:i/>
    </w:rPr>
  </w:style>
  <w:style w:type="character" w:styleId="760">
    <w:name w:val="Hyperlink"/>
    <w:basedOn w:val="724"/>
    <w:uiPriority w:val="0"/>
    <w:qFormat/>
    <w:rPr>
      <w:color w:val="0000ff"/>
      <w:u w:val="single"/>
    </w:rPr>
  </w:style>
  <w:style w:type="character" w:styleId="761">
    <w:name w:val="annotation reference"/>
    <w:basedOn w:val="724"/>
    <w:uiPriority w:val="0"/>
    <w:qFormat/>
    <w:rPr>
      <w:sz w:val="21"/>
      <w:szCs w:val="21"/>
    </w:rPr>
  </w:style>
  <w:style w:type="character" w:styleId="762">
    <w:name w:val="footnote reference"/>
    <w:basedOn w:val="724"/>
    <w:uiPriority w:val="99"/>
    <w:unhideWhenUsed/>
    <w:rPr>
      <w:vertAlign w:val="superscript"/>
    </w:rPr>
  </w:style>
  <w:style w:type="character" w:styleId="763" w:customStyle="1">
    <w:name w:val="Heading 1 Char"/>
    <w:basedOn w:val="724"/>
    <w:uiPriority w:val="9"/>
    <w:rPr>
      <w:rFonts w:ascii="Arial" w:hAnsi="Arial" w:eastAsia="Arial" w:cs="Arial"/>
      <w:sz w:val="40"/>
      <w:szCs w:val="40"/>
    </w:rPr>
  </w:style>
  <w:style w:type="character" w:styleId="764" w:customStyle="1">
    <w:name w:val="Heading 2 Char"/>
    <w:basedOn w:val="724"/>
    <w:uiPriority w:val="9"/>
    <w:rPr>
      <w:rFonts w:ascii="Arial" w:hAnsi="Arial" w:eastAsia="Arial" w:cs="Arial"/>
      <w:sz w:val="34"/>
    </w:rPr>
  </w:style>
  <w:style w:type="character" w:styleId="765" w:customStyle="1">
    <w:name w:val="Heading 3 Char"/>
    <w:basedOn w:val="724"/>
    <w:uiPriority w:val="9"/>
    <w:rPr>
      <w:rFonts w:ascii="Arial" w:hAnsi="Arial" w:eastAsia="Arial" w:cs="Arial"/>
      <w:sz w:val="30"/>
      <w:szCs w:val="30"/>
    </w:rPr>
  </w:style>
  <w:style w:type="character" w:styleId="766" w:customStyle="1">
    <w:name w:val="Heading 4 Char"/>
    <w:basedOn w:val="724"/>
    <w:uiPriority w:val="9"/>
    <w:rPr>
      <w:rFonts w:ascii="Arial" w:hAnsi="Arial" w:eastAsia="Arial" w:cs="Arial"/>
      <w:b/>
      <w:bCs/>
      <w:sz w:val="26"/>
      <w:szCs w:val="26"/>
    </w:rPr>
  </w:style>
  <w:style w:type="character" w:styleId="767" w:customStyle="1">
    <w:name w:val="Heading 5 Char"/>
    <w:basedOn w:val="724"/>
    <w:link w:val="719"/>
    <w:uiPriority w:val="9"/>
    <w:rPr>
      <w:rFonts w:ascii="Arial" w:hAnsi="Arial" w:eastAsia="Arial" w:cs="Arial"/>
      <w:b/>
      <w:bCs/>
      <w:sz w:val="24"/>
      <w:szCs w:val="24"/>
    </w:rPr>
  </w:style>
  <w:style w:type="character" w:styleId="768" w:customStyle="1">
    <w:name w:val="Heading 6 Char"/>
    <w:basedOn w:val="724"/>
    <w:link w:val="720"/>
    <w:uiPriority w:val="9"/>
    <w:rPr>
      <w:rFonts w:ascii="Arial" w:hAnsi="Arial" w:eastAsia="Arial" w:cs="Arial"/>
      <w:b/>
      <w:bCs/>
      <w:sz w:val="22"/>
      <w:szCs w:val="22"/>
    </w:rPr>
  </w:style>
  <w:style w:type="character" w:styleId="769" w:customStyle="1">
    <w:name w:val="Heading 7 Char"/>
    <w:basedOn w:val="724"/>
    <w:link w:val="721"/>
    <w:uiPriority w:val="9"/>
    <w:qFormat/>
    <w:rPr>
      <w:rFonts w:ascii="Arial" w:hAnsi="Arial" w:eastAsia="Arial" w:cs="Arial"/>
      <w:b/>
      <w:bCs/>
      <w:i/>
      <w:iCs/>
      <w:sz w:val="22"/>
      <w:szCs w:val="22"/>
    </w:rPr>
  </w:style>
  <w:style w:type="character" w:styleId="770" w:customStyle="1">
    <w:name w:val="Heading 8 Char"/>
    <w:basedOn w:val="724"/>
    <w:link w:val="722"/>
    <w:uiPriority w:val="9"/>
    <w:rPr>
      <w:rFonts w:ascii="Arial" w:hAnsi="Arial" w:eastAsia="Arial" w:cs="Arial"/>
      <w:i/>
      <w:iCs/>
      <w:sz w:val="22"/>
      <w:szCs w:val="22"/>
    </w:rPr>
  </w:style>
  <w:style w:type="character" w:styleId="771" w:customStyle="1">
    <w:name w:val="Heading 9 Char"/>
    <w:basedOn w:val="724"/>
    <w:link w:val="723"/>
    <w:uiPriority w:val="9"/>
    <w:rPr>
      <w:rFonts w:ascii="Arial" w:hAnsi="Arial" w:eastAsia="Arial" w:cs="Arial"/>
      <w:i/>
      <w:iCs/>
      <w:sz w:val="21"/>
      <w:szCs w:val="21"/>
    </w:rPr>
  </w:style>
  <w:style w:type="character" w:styleId="772" w:customStyle="1">
    <w:name w:val="Title Char"/>
    <w:basedOn w:val="724"/>
    <w:link w:val="753"/>
    <w:uiPriority w:val="10"/>
    <w:rPr>
      <w:sz w:val="48"/>
      <w:szCs w:val="48"/>
    </w:rPr>
  </w:style>
  <w:style w:type="character" w:styleId="773" w:customStyle="1">
    <w:name w:val="Subtitle Char"/>
    <w:basedOn w:val="724"/>
    <w:link w:val="744"/>
    <w:uiPriority w:val="11"/>
    <w:rPr>
      <w:sz w:val="24"/>
      <w:szCs w:val="24"/>
    </w:rPr>
  </w:style>
  <w:style w:type="paragraph" w:styleId="774">
    <w:name w:val="Quote"/>
    <w:basedOn w:val="714"/>
    <w:next w:val="714"/>
    <w:link w:val="775"/>
    <w:uiPriority w:val="29"/>
    <w:qFormat/>
    <w:pPr>
      <w:ind w:left="720" w:right="720"/>
    </w:pPr>
    <w:rPr>
      <w:i/>
    </w:rPr>
  </w:style>
  <w:style w:type="character" w:styleId="775" w:customStyle="1">
    <w:name w:val="Quote Char"/>
    <w:link w:val="774"/>
    <w:uiPriority w:val="29"/>
    <w:rPr>
      <w:i/>
    </w:rPr>
  </w:style>
  <w:style w:type="paragraph" w:styleId="776">
    <w:name w:val="Intense Quote"/>
    <w:basedOn w:val="714"/>
    <w:next w:val="714"/>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24"/>
    <w:uiPriority w:val="99"/>
  </w:style>
  <w:style w:type="character" w:styleId="779" w:customStyle="1">
    <w:name w:val="Footer Char"/>
    <w:basedOn w:val="724"/>
    <w:uiPriority w:val="99"/>
    <w:qFormat/>
  </w:style>
  <w:style w:type="character" w:styleId="780" w:customStyle="1">
    <w:name w:val="Caption Char"/>
    <w:uiPriority w:val="99"/>
  </w:style>
  <w:style w:type="table" w:styleId="781" w:customStyle="1">
    <w:name w:val="Table Grid Light"/>
    <w:basedOn w:val="72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2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2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2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2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2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2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2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2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2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2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2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2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2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25"/>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25"/>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1" w:customStyle="1">
    <w:name w:val="Grid Table 3"/>
    <w:basedOn w:val="72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2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25"/>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2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25"/>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2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2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25"/>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2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0" w:customStyle="1">
    <w:name w:val="Grid Table 4 - Accent 2"/>
    <w:basedOn w:val="72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1" w:customStyle="1">
    <w:name w:val="Grid Table 4 - Accent 3"/>
    <w:basedOn w:val="725"/>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2" w:customStyle="1">
    <w:name w:val="Grid Table 4 - Accent 4"/>
    <w:basedOn w:val="725"/>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3" w:customStyle="1">
    <w:name w:val="Grid Table 4 - Accent 5"/>
    <w:basedOn w:val="72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4" w:customStyle="1">
    <w:name w:val="Grid Table 4 - Accent 6"/>
    <w:basedOn w:val="72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5" w:customStyle="1">
    <w:name w:val="Grid Table 5 Dark"/>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7" w:customStyle="1">
    <w:name w:val="Grid Table 5 Dark - Accent 2"/>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8" w:customStyle="1">
    <w:name w:val="Grid Table 5 Dark - Accent 3"/>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9" w:customStyle="1">
    <w:name w:val="Grid Table 5 Dark- Accent 4"/>
    <w:basedOn w:val="72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0" w:customStyle="1">
    <w:name w:val="Grid Table 5 Dark - Accent 5"/>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1" w:customStyle="1">
    <w:name w:val="Grid Table 5 Dark - Accent 6"/>
    <w:basedOn w:val="72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2" w:customStyle="1">
    <w:name w:val="Grid Table 6 Colorful"/>
    <w:basedOn w:val="72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2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2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2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2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25"/>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8" w:customStyle="1">
    <w:name w:val="Grid Table 6 Colorful - Accent 6"/>
    <w:basedOn w:val="725"/>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9" w:customStyle="1">
    <w:name w:val="Grid Table 7 Colorful"/>
    <w:basedOn w:val="72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25"/>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25"/>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25"/>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25"/>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25"/>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25"/>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2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25"/>
    <w:uiPriority w:val="99"/>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25"/>
    <w:uiPriority w:val="99"/>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25"/>
    <w:uiPriority w:val="99"/>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25"/>
    <w:uiPriority w:val="99"/>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25"/>
    <w:uiPriority w:val="99"/>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25"/>
    <w:uiPriority w:val="99"/>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List Table 2"/>
    <w:basedOn w:val="72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25"/>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5" w:customStyle="1">
    <w:name w:val="List Table 2 - Accent 2"/>
    <w:basedOn w:val="725"/>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6" w:customStyle="1">
    <w:name w:val="List Table 2 - Accent 3"/>
    <w:basedOn w:val="725"/>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7" w:customStyle="1">
    <w:name w:val="List Table 2 - Accent 4"/>
    <w:basedOn w:val="725"/>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8" w:customStyle="1">
    <w:name w:val="List Table 2 - Accent 5"/>
    <w:basedOn w:val="725"/>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9" w:customStyle="1">
    <w:name w:val="List Table 2 - Accent 6"/>
    <w:basedOn w:val="725"/>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0" w:customStyle="1">
    <w:name w:val="List Table 3"/>
    <w:basedOn w:val="72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25"/>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2" w:customStyle="1">
    <w:name w:val="List Table 3 - Accent 2"/>
    <w:basedOn w:val="72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25"/>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2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2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25"/>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7" w:customStyle="1">
    <w:name w:val="List Table 4"/>
    <w:basedOn w:val="72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25"/>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4 - Accent 2"/>
    <w:basedOn w:val="725"/>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0" w:customStyle="1">
    <w:name w:val="List Table 4 - Accent 3"/>
    <w:basedOn w:val="725"/>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1" w:customStyle="1">
    <w:name w:val="List Table 4 - Accent 4"/>
    <w:basedOn w:val="725"/>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2" w:customStyle="1">
    <w:name w:val="List Table 4 - Accent 5"/>
    <w:basedOn w:val="725"/>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3" w:customStyle="1">
    <w:name w:val="List Table 4 - Accent 6"/>
    <w:basedOn w:val="725"/>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4" w:customStyle="1">
    <w:name w:val="List Table 5 Dark"/>
    <w:basedOn w:val="72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25"/>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25"/>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25"/>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25"/>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25"/>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25"/>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25"/>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25"/>
    <w:uiPriority w:val="99"/>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3" w:customStyle="1">
    <w:name w:val="List Table 6 Colorful - Accent 2"/>
    <w:basedOn w:val="725"/>
    <w:uiPriority w:val="99"/>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4" w:customStyle="1">
    <w:name w:val="List Table 6 Colorful - Accent 3"/>
    <w:basedOn w:val="725"/>
    <w:uiPriority w:val="99"/>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5" w:customStyle="1">
    <w:name w:val="List Table 6 Colorful - Accent 4"/>
    <w:basedOn w:val="725"/>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6" w:customStyle="1">
    <w:name w:val="List Table 6 Colorful - Accent 5"/>
    <w:basedOn w:val="725"/>
    <w:uiPriority w:val="99"/>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7" w:customStyle="1">
    <w:name w:val="List Table 6 Colorful - Accent 6"/>
    <w:basedOn w:val="725"/>
    <w:uiPriority w:val="99"/>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8" w:customStyle="1">
    <w:name w:val="List Table 7 Colorful"/>
    <w:basedOn w:val="72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25"/>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25"/>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25"/>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25"/>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25"/>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25"/>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7" w:customStyle="1">
    <w:name w:val="Lined - Accent 2"/>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8" w:customStyle="1">
    <w:name w:val="Lined - Accent 3"/>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9" w:customStyle="1">
    <w:name w:val="Lined - Accent 4"/>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0" w:customStyle="1">
    <w:name w:val="Lined - Accent 5"/>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1" w:customStyle="1">
    <w:name w:val="Lined - Accent 6"/>
    <w:basedOn w:val="72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2" w:customStyle="1">
    <w:name w:val="Bordered &amp; Lined - Accent"/>
    <w:basedOn w:val="72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25"/>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Bordered &amp; Lined - Accent 2"/>
    <w:basedOn w:val="725"/>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Bordered &amp; Lined - Accent 3"/>
    <w:basedOn w:val="72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Bordered &amp; Lined - Accent 4"/>
    <w:basedOn w:val="72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Bordered &amp; Lined - Accent 5"/>
    <w:basedOn w:val="725"/>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Bordered &amp; Lined - Accent 6"/>
    <w:basedOn w:val="72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w:basedOn w:val="72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2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1" w:customStyle="1">
    <w:name w:val="Bordered - Accent 2"/>
    <w:basedOn w:val="72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2" w:customStyle="1">
    <w:name w:val="Bordered - Accent 3"/>
    <w:basedOn w:val="72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3" w:customStyle="1">
    <w:name w:val="Bordered - Accent 4"/>
    <w:basedOn w:val="72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4" w:customStyle="1">
    <w:name w:val="Bordered - Accent 5"/>
    <w:basedOn w:val="72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5" w:customStyle="1">
    <w:name w:val="Bordered - Accent 6"/>
    <w:basedOn w:val="72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6" w:customStyle="1">
    <w:name w:val="Footnote Text Char"/>
    <w:link w:val="745"/>
    <w:uiPriority w:val="99"/>
    <w:rPr>
      <w:sz w:val="18"/>
    </w:rPr>
  </w:style>
  <w:style w:type="character" w:styleId="907" w:customStyle="1">
    <w:name w:val="Endnote Text Char"/>
    <w:link w:val="738"/>
    <w:uiPriority w:val="99"/>
    <w:rPr>
      <w:sz w:val="20"/>
    </w:rPr>
  </w:style>
  <w:style w:type="paragraph" w:styleId="908" w:customStyle="1">
    <w:name w:val="TOC Heading"/>
    <w:uiPriority w:val="39"/>
    <w:unhideWhenUsed/>
    <w:rPr>
      <w:rFonts w:hint="default" w:ascii="Times New Roman" w:hAnsi="Times New Roman" w:eastAsia="宋体" w:cs="Times New Roman"/>
    </w:rPr>
  </w:style>
  <w:style w:type="paragraph" w:styleId="909" w:customStyle="1">
    <w:name w:val="正文（缩进）"/>
    <w:basedOn w:val="714"/>
    <w:uiPriority w:val="0"/>
    <w:qFormat/>
    <w:pPr>
      <w:ind w:firstLine="480"/>
      <w:spacing w:before="156" w:after="156"/>
    </w:pPr>
  </w:style>
  <w:style w:type="paragraph" w:styleId="910" w:customStyle="1">
    <w:name w:val="Char Char Char Char Char Char Char Char Char"/>
    <w:basedOn w:val="714"/>
    <w:next w:val="911"/>
    <w:uiPriority w:val="0"/>
    <w:qFormat/>
    <w:pPr>
      <w:ind w:left="360" w:firstLine="5784"/>
    </w:pPr>
  </w:style>
  <w:style w:type="paragraph" w:styleId="911" w:customStyle="1">
    <w:name w:val="正文文本 21"/>
    <w:basedOn w:val="714"/>
    <w:next w:val="912"/>
    <w:uiPriority w:val="0"/>
    <w:qFormat/>
    <w:pPr>
      <w:spacing w:after="120" w:line="480" w:lineRule="auto"/>
    </w:pPr>
  </w:style>
  <w:style w:type="paragraph" w:styleId="912" w:customStyle="1">
    <w:name w:val="默认段落字体 Para Char Char Char Char Char Char Char"/>
    <w:basedOn w:val="714"/>
    <w:next w:val="913"/>
    <w:uiPriority w:val="0"/>
    <w:qFormat/>
    <w:pPr>
      <w:ind w:firstLine="200"/>
    </w:pPr>
    <w:rPr>
      <w:rFonts w:ascii="Times New Roman" w:hAnsi="Times New Roman" w:cs="Arial"/>
    </w:rPr>
  </w:style>
  <w:style w:type="paragraph" w:styleId="913" w:customStyle="1">
    <w:name w:val="样式 首行缩进:  2 字符"/>
    <w:basedOn w:val="714"/>
    <w:next w:val="914"/>
    <w:uiPriority w:val="0"/>
    <w:qFormat/>
    <w:pPr>
      <w:ind w:left="480" w:firstLine="5856"/>
      <w:spacing w:line="360" w:lineRule="auto"/>
    </w:pPr>
    <w:rPr>
      <w:rFonts w:ascii="Times New Roman" w:hAnsi="Times New Roman"/>
    </w:rPr>
  </w:style>
  <w:style w:type="paragraph" w:styleId="914" w:customStyle="1">
    <w:name w:val="样式 段后: 0.25 行"/>
    <w:basedOn w:val="714"/>
    <w:next w:val="915"/>
    <w:uiPriority w:val="0"/>
    <w:qFormat/>
    <w:pPr>
      <w:ind w:left="420" w:firstLine="5796"/>
      <w:spacing w:line="300" w:lineRule="auto"/>
      <w:widowControl/>
    </w:pPr>
    <w:rPr>
      <w:rFonts w:ascii="Times New Roman" w:hAnsi="Times New Roman"/>
    </w:rPr>
  </w:style>
  <w:style w:type="paragraph" w:styleId="915" w:customStyle="1">
    <w:name w:val="正文 New New New New New New New New New New New New New New"/>
    <w:next w:val="749"/>
    <w:uiPriority w:val="0"/>
    <w:qFormat/>
    <w:pPr>
      <w:ind w:firstLine="2048"/>
      <w:jc w:val="both"/>
      <w:widowControl w:val="off"/>
    </w:pPr>
    <w:rPr>
      <w:rFonts w:hint="default" w:ascii="Calibri" w:hAnsi="Calibri" w:eastAsia="宋体" w:cs="Times New Roman"/>
      <w:lang w:val="en-US" w:eastAsia="zh-CN" w:bidi="ar-SA"/>
    </w:rPr>
  </w:style>
  <w:style w:type="paragraph" w:styleId="916" w:customStyle="1">
    <w:name w:val="首行缩进"/>
    <w:basedOn w:val="714"/>
    <w:uiPriority w:val="0"/>
    <w:qFormat/>
    <w:pPr>
      <w:ind w:firstLine="420"/>
      <w:spacing w:line="360" w:lineRule="auto"/>
    </w:pPr>
  </w:style>
  <w:style w:type="paragraph" w:styleId="917" w:customStyle="1">
    <w:name w:val="Default"/>
    <w:uiPriority w:val="0"/>
    <w:qFormat/>
    <w:pPr>
      <w:widowControl w:val="off"/>
    </w:pPr>
    <w:rPr>
      <w:rFonts w:hint="default" w:ascii="微软雅黑" w:hAnsi="Times New Roman" w:eastAsia="微软雅黑" w:cs="微软雅黑"/>
      <w:color w:val="000000"/>
      <w:sz w:val="24"/>
      <w:szCs w:val="24"/>
      <w:lang w:val="en-US" w:eastAsia="zh-CN" w:bidi="ar-SA"/>
    </w:rPr>
  </w:style>
  <w:style w:type="paragraph" w:styleId="918" w:customStyle="1">
    <w:name w:val="正文1"/>
    <w:basedOn w:val="714"/>
    <w:next w:val="919"/>
    <w:uiPriority w:val="0"/>
    <w:qFormat/>
    <w:pPr>
      <w:jc w:val="left"/>
      <w:spacing w:line="360" w:lineRule="atLeast"/>
    </w:pPr>
    <w:rPr>
      <w:rFonts w:ascii="宋体" w:hAnsiTheme="minorHAnsi" w:eastAsiaTheme="minorEastAsia" w:cstheme="minorBidi"/>
      <w:sz w:val="24"/>
      <w:szCs w:val="20"/>
    </w:rPr>
  </w:style>
  <w:style w:type="paragraph" w:styleId="919" w:customStyle="1">
    <w:name w:val="正文文本1"/>
    <w:basedOn w:val="918"/>
    <w:next w:val="920"/>
    <w:uiPriority w:val="0"/>
    <w:qFormat/>
    <w:pPr>
      <w:spacing w:after="120"/>
    </w:pPr>
    <w:rPr>
      <w:lang w:eastAsia="en-US"/>
    </w:rPr>
  </w:style>
  <w:style w:type="paragraph" w:styleId="920" w:customStyle="1">
    <w:name w:val="一级条标题"/>
    <w:basedOn w:val="921"/>
    <w:next w:val="9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1" w:customStyle="1">
    <w:name w:val="章标题"/>
    <w:next w:val="71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22" w:customStyle="1">
    <w:name w:val="段"/>
    <w:basedOn w:val="918"/>
    <w:next w:val="714"/>
    <w:uiPriority w:val="0"/>
    <w:qFormat/>
    <w:pPr>
      <w:ind w:firstLine="200"/>
      <w:widowControl/>
    </w:pPr>
    <w:rPr>
      <w:sz w:val="20"/>
    </w:rPr>
  </w:style>
  <w:style w:type="paragraph" w:styleId="923" w:customStyle="1">
    <w:name w:val="普通正文"/>
    <w:basedOn w:val="714"/>
    <w:uiPriority w:val="0"/>
    <w:qFormat/>
    <w:pPr>
      <w:ind w:firstLine="480"/>
      <w:jc w:val="left"/>
      <w:spacing w:before="120" w:after="120" w:line="360" w:lineRule="auto"/>
    </w:pPr>
    <w:rPr>
      <w:rFonts w:ascii="Arial" w:hAnsi="Arial"/>
      <w:sz w:val="24"/>
      <w:szCs w:val="24"/>
    </w:rPr>
  </w:style>
  <w:style w:type="paragraph" w:styleId="924" w:customStyle="1">
    <w:name w:val="Char"/>
    <w:basedOn w:val="714"/>
    <w:uiPriority w:val="0"/>
    <w:qFormat/>
    <w:pPr>
      <w:ind w:firstLine="200"/>
      <w:tabs>
        <w:tab w:val="left" w:pos="360" w:leader="none"/>
      </w:tabs>
    </w:pPr>
    <w:rPr>
      <w:rFonts w:ascii="Times New Roman" w:hAnsi="Times New Roman"/>
      <w:sz w:val="28"/>
      <w:szCs w:val="30"/>
    </w:rPr>
  </w:style>
  <w:style w:type="character" w:styleId="925" w:customStyle="1">
    <w:name w:val="批注框文本 字符"/>
    <w:basedOn w:val="724"/>
    <w:link w:val="739"/>
    <w:uiPriority w:val="0"/>
    <w:qFormat/>
    <w:rPr>
      <w:sz w:val="18"/>
      <w:szCs w:val="18"/>
    </w:rPr>
  </w:style>
  <w:style w:type="paragraph" w:styleId="926" w:customStyle="1">
    <w:name w:val="Table Paragraph"/>
    <w:basedOn w:val="714"/>
    <w:uiPriority w:val="1"/>
    <w:qFormat/>
    <w:rPr>
      <w:rFonts w:ascii="Noto Sans CJK JP Regular" w:hAnsi="Noto Sans CJK JP Regular" w:eastAsia="Noto Sans CJK JP Regular" w:cs="Noto Sans CJK JP Regular"/>
    </w:rPr>
  </w:style>
  <w:style w:type="paragraph" w:styleId="927" w:customStyle="1">
    <w:name w:val="正文（1）"/>
    <w:basedOn w:val="714"/>
    <w:uiPriority w:val="0"/>
    <w:qFormat/>
    <w:pPr>
      <w:numPr>
        <w:ilvl w:val="0"/>
        <w:numId w:val="1"/>
      </w:numPr>
      <w:ind w:firstLine="200"/>
    </w:pPr>
    <w:rPr>
      <w:szCs w:val="24"/>
    </w:rPr>
  </w:style>
  <w:style w:type="paragraph" w:styleId="928" w:customStyle="1">
    <w:name w:val="朱-正文"/>
    <w:basedOn w:val="714"/>
    <w:uiPriority w:val="0"/>
    <w:qFormat/>
    <w:pPr>
      <w:ind w:firstLine="200"/>
    </w:pPr>
    <w:rPr>
      <w:rFonts w:ascii="Times New Roman"/>
      <w:color w:val="000000"/>
      <w:szCs w:val="24"/>
      <w:lang w:val="en-GB"/>
    </w:rPr>
  </w:style>
  <w:style w:type="paragraph" w:styleId="929" w:customStyle="1">
    <w:name w:val="GP正文(首行缩进)"/>
    <w:basedOn w:val="714"/>
    <w:uiPriority w:val="0"/>
    <w:qFormat/>
    <w:pPr>
      <w:ind w:firstLine="480"/>
      <w:jc w:val="left"/>
    </w:pPr>
    <w:rPr>
      <w:rFonts w:ascii="Times New Roman" w:hAnsi="宋体"/>
      <w:sz w:val="24"/>
      <w:szCs w:val="24"/>
    </w:rPr>
  </w:style>
  <w:style w:type="character" w:styleId="930" w:customStyle="1">
    <w:name w:val="font71"/>
    <w:basedOn w:val="724"/>
    <w:uiPriority w:val="0"/>
    <w:qFormat/>
    <w:rPr>
      <w:rFonts w:hint="eastAsia" w:ascii="宋体" w:hAnsi="宋体" w:eastAsia="宋体" w:cs="宋体"/>
      <w:color w:val="ff0000"/>
      <w:sz w:val="21"/>
      <w:szCs w:val="21"/>
      <w:u w:val="none"/>
    </w:rPr>
  </w:style>
  <w:style w:type="character" w:styleId="931" w:customStyle="1">
    <w:name w:val="font41"/>
    <w:basedOn w:val="724"/>
    <w:uiPriority w:val="0"/>
    <w:qFormat/>
    <w:rPr>
      <w:rFonts w:hint="eastAsia" w:ascii="宋体" w:hAnsi="宋体" w:eastAsia="宋体" w:cs="宋体"/>
      <w:color w:val="000000"/>
      <w:sz w:val="21"/>
      <w:szCs w:val="21"/>
      <w:u w:val="none"/>
    </w:rPr>
  </w:style>
  <w:style w:type="paragraph" w:styleId="932">
    <w:name w:val="List Paragraph"/>
    <w:basedOn w:val="714"/>
    <w:uiPriority w:val="0"/>
    <w:qFormat/>
    <w:pPr>
      <w:ind w:firstLine="420"/>
    </w:pPr>
  </w:style>
  <w:style w:type="paragraph" w:styleId="933" w:customStyle="1">
    <w:name w:val="列出段落2"/>
    <w:basedOn w:val="714"/>
    <w:uiPriority w:val="34"/>
    <w:qFormat/>
    <w:pPr>
      <w:ind w:firstLine="420"/>
    </w:pPr>
    <w:rPr>
      <w:rFonts w:ascii="宋体"/>
      <w:color w:val="404040"/>
    </w:rPr>
  </w:style>
  <w:style w:type="character" w:styleId="934" w:customStyle="1">
    <w:name w:val="批注文字 字符"/>
    <w:basedOn w:val="724"/>
    <w:link w:val="729"/>
    <w:uiPriority w:val="0"/>
    <w:qFormat/>
    <w:rPr>
      <w:rFonts w:ascii="Calibri" w:hAnsi="Calibri"/>
      <w:sz w:val="21"/>
      <w:szCs w:val="22"/>
    </w:rPr>
  </w:style>
  <w:style w:type="character" w:styleId="935" w:customStyle="1">
    <w:name w:val="批注主题 字符"/>
    <w:basedOn w:val="934"/>
    <w:link w:val="754"/>
    <w:uiPriority w:val="0"/>
    <w:qFormat/>
    <w:rPr>
      <w:rFonts w:ascii="Calibri" w:hAnsi="Calibri"/>
      <w:b/>
      <w:bCs/>
      <w:sz w:val="21"/>
      <w:szCs w:val="22"/>
    </w:rPr>
  </w:style>
  <w:style w:type="paragraph" w:styleId="936" w:customStyle="1">
    <w:name w:val="列表段落1"/>
    <w:basedOn w:val="714"/>
    <w:uiPriority w:val="0"/>
    <w:qFormat/>
    <w:pPr>
      <w:ind w:firstLine="200"/>
    </w:pPr>
    <w:rPr>
      <w:rFonts w:cs="宋体"/>
    </w:rPr>
  </w:style>
  <w:style w:type="character" w:styleId="937" w:customStyle="1">
    <w:name w:val="font51"/>
    <w:basedOn w:val="724"/>
    <w:uiPriority w:val="0"/>
    <w:qFormat/>
    <w:rPr>
      <w:rFonts w:hint="eastAsia" w:ascii="宋体" w:hAnsi="宋体" w:eastAsia="宋体" w:cs="宋体"/>
      <w:color w:val="000000"/>
      <w:sz w:val="24"/>
      <w:szCs w:val="24"/>
      <w:u w:val="none"/>
      <w:vertAlign w:val="subscript"/>
    </w:rPr>
  </w:style>
  <w:style w:type="character" w:styleId="938" w:customStyle="1">
    <w:name w:val="font61"/>
    <w:basedOn w:val="724"/>
    <w:uiPriority w:val="0"/>
    <w:qFormat/>
    <w:rPr>
      <w:rFonts w:hint="eastAsia" w:ascii="宋体" w:hAnsi="宋体" w:eastAsia="宋体" w:cs="宋体"/>
      <w:color w:val="000000"/>
      <w:sz w:val="24"/>
      <w:szCs w:val="24"/>
      <w:u w:val="none"/>
    </w:rPr>
  </w:style>
  <w:style w:type="character" w:styleId="939" w:customStyle="1">
    <w:name w:val="font01"/>
    <w:basedOn w:val="724"/>
    <w:uiPriority w:val="0"/>
    <w:qFormat/>
    <w:rPr>
      <w:rFonts w:hint="eastAsia" w:ascii="宋体" w:hAnsi="宋体" w:eastAsia="宋体" w:cs="宋体"/>
      <w:color w:val="000000"/>
      <w:sz w:val="24"/>
      <w:szCs w:val="24"/>
      <w:u w:val="none"/>
    </w:rPr>
  </w:style>
  <w:style w:type="character" w:styleId="940" w:customStyle="1">
    <w:name w:val="font81"/>
    <w:basedOn w:val="724"/>
    <w:uiPriority w:val="0"/>
    <w:qFormat/>
    <w:rPr>
      <w:rFonts w:ascii="微软雅黑" w:hAnsi="微软雅黑" w:eastAsia="微软雅黑" w:cs="微软雅黑"/>
      <w:color w:val="000000"/>
      <w:sz w:val="24"/>
      <w:szCs w:val="24"/>
      <w:u w:val="none"/>
    </w:rPr>
  </w:style>
  <w:style w:type="character" w:styleId="941" w:customStyle="1">
    <w:name w:val="font91"/>
    <w:basedOn w:val="724"/>
    <w:uiPriority w:val="0"/>
    <w:qFormat/>
    <w:rPr>
      <w:rFonts w:ascii="Segoe UI Symbol" w:hAnsi="Segoe UI Symbol" w:eastAsia="Segoe UI Symbol" w:cs="Segoe UI Symbol"/>
      <w:color w:val="000000"/>
      <w:sz w:val="24"/>
      <w:szCs w:val="24"/>
      <w:u w:val="none"/>
    </w:rPr>
  </w:style>
  <w:style w:type="character" w:styleId="942" w:customStyle="1">
    <w:name w:val="font101"/>
    <w:basedOn w:val="724"/>
    <w:uiPriority w:val="0"/>
    <w:qFormat/>
    <w:rPr>
      <w:rFonts w:ascii="Calibri" w:hAnsi="Calibri" w:cs="Calibri"/>
      <w:color w:val="000000"/>
      <w:sz w:val="24"/>
      <w:szCs w:val="24"/>
      <w:u w:val="none"/>
    </w:rPr>
  </w:style>
  <w:style w:type="paragraph" w:styleId="943" w:customStyle="1">
    <w:name w:val="TableItem"/>
    <w:uiPriority w:val="0"/>
    <w:qFormat/>
    <w:rPr>
      <w:rFonts w:hint="default" w:ascii="Verdana" w:hAnsi="Verdana" w:cs="Verdana" w:eastAsiaTheme="minorEastAsia"/>
      <w:b/>
      <w:bCs/>
      <w:color w:val="548235" w:themeColor="accent6" w:themeShade="BF"/>
      <w:spacing w:val="-10"/>
      <w:sz w:val="16"/>
      <w:szCs w:val="28"/>
      <w:lang w:val="en-US" w:eastAsia="zh-CN" w:bidi="ar-SA"/>
    </w:rPr>
  </w:style>
  <w:style w:type="paragraph" w:styleId="944" w:customStyle="1">
    <w:name w:val="TableEmphasis"/>
    <w:basedOn w:val="714"/>
    <w:uiPriority w:val="0"/>
    <w:qFormat/>
    <w:rPr>
      <w:rFonts w:ascii="Times New Roman" w:hAnsi="Times New Roman" w:eastAsia="Times New Roman"/>
      <w:b/>
      <w:bCs/>
      <w:color w:val="3333ff"/>
      <w:sz w:val="16"/>
      <w:szCs w:val="18"/>
    </w:rPr>
  </w:style>
  <w:style w:type="paragraph" w:styleId="945" w:customStyle="1">
    <w:name w:val="修订1"/>
    <w:hidden/>
    <w:uiPriority w:val="99"/>
    <w:unhideWhenUsed/>
    <w:qFormat/>
    <w:rPr>
      <w:rFonts w:hint="default" w:ascii="Calibri" w:hAnsi="Calibri" w:eastAsia="宋体" w:cs="Times New Roman"/>
      <w:sz w:val="21"/>
      <w:szCs w:val="22"/>
      <w:lang w:val="en-US" w:eastAsia="zh-CN" w:bidi="ar-SA"/>
    </w:rPr>
  </w:style>
  <w:style w:type="paragraph" w:styleId="946" w:customStyle="1">
    <w:name w:val="修订2"/>
    <w:hidden/>
    <w:uiPriority w:val="99"/>
    <w:semiHidden/>
    <w:qFormat/>
    <w:rPr>
      <w:rFonts w:hint="default" w:ascii="Calibri" w:hAnsi="Calibri" w:eastAsia="宋体" w:cs="Times New Roman"/>
      <w:sz w:val="21"/>
      <w:szCs w:val="22"/>
      <w:lang w:val="en-US" w:eastAsia="zh-CN" w:bidi="ar-SA"/>
    </w:rPr>
  </w:style>
  <w:style w:type="character" w:styleId="947" w:customStyle="1">
    <w:name w:val="font11"/>
    <w:basedOn w:val="724"/>
    <w:uiPriority w:val="0"/>
    <w:qFormat/>
    <w:rPr>
      <w:rFonts w:hint="eastAsia" w:ascii="宋体" w:hAnsi="宋体" w:eastAsia="宋体" w:cs="宋体"/>
      <w:color w:val="000000"/>
      <w:sz w:val="24"/>
      <w:szCs w:val="24"/>
      <w:u w:val="none"/>
    </w:rPr>
  </w:style>
  <w:style w:type="character" w:styleId="948" w:customStyle="1">
    <w:name w:val="font21"/>
    <w:basedOn w:val="724"/>
    <w:uiPriority w:val="0"/>
    <w:qFormat/>
    <w:rPr>
      <w:rFonts w:ascii="Segoe UI Symbol" w:hAnsi="Segoe UI Symbol" w:eastAsia="Segoe UI Symbol" w:cs="Segoe UI Symbol"/>
      <w:color w:val="000000"/>
      <w:sz w:val="24"/>
      <w:szCs w:val="24"/>
      <w:u w:val="none"/>
    </w:rPr>
  </w:style>
  <w:style w:type="character" w:styleId="949" w:customStyle="1">
    <w:name w:val="NormalCharacter"/>
    <w:uiPriority w:val="0"/>
    <w:semiHidden/>
    <w:qFormat/>
  </w:style>
  <w:style w:type="paragraph" w:styleId="950" w:customStyle="1">
    <w:name w:val="日期1"/>
    <w:basedOn w:val="714"/>
    <w:next w:val="714"/>
    <w:uiPriority w:val="0"/>
    <w:qFormat/>
    <w:pPr>
      <w:ind w:left="100"/>
    </w:pPr>
    <w:rPr>
      <w:rFonts w:ascii="Times New Roman" w:hAnsi="Times New Roman" w:eastAsia="楷体_GB2312"/>
      <w:b/>
      <w:bCs/>
      <w:sz w:val="32"/>
    </w:rPr>
  </w:style>
  <w:style w:type="paragraph" w:styleId="951" w:customStyle="1">
    <w:name w:val="正文文本缩进1"/>
    <w:basedOn w:val="714"/>
    <w:next w:val="714"/>
    <w:uiPriority w:val="0"/>
    <w:qFormat/>
    <w:pPr>
      <w:ind w:left="420"/>
      <w:spacing w:after="120"/>
    </w:pPr>
    <w:rPr>
      <w:rFonts w:ascii="Times New Roman" w:hAnsi="Times New Roman"/>
      <w:sz w:val="20"/>
      <w:szCs w:val="24"/>
    </w:rPr>
  </w:style>
  <w:style w:type="paragraph" w:styleId="952" w:customStyle="1">
    <w:name w:val="BodyText"/>
    <w:basedOn w:val="714"/>
    <w:uiPriority w:val="0"/>
    <w:qFormat/>
    <w:rPr>
      <w:rFonts w:ascii="楷体_GB2312" w:hAnsi="Arial" w:eastAsia="楷体_GB2312"/>
      <w:sz w:val="28"/>
      <w:szCs w:val="28"/>
    </w:rPr>
  </w:style>
  <w:style w:type="paragraph" w:styleId="953" w:customStyle="1">
    <w:name w:val="UserStyle_0"/>
    <w:basedOn w:val="714"/>
    <w:uiPriority w:val="0"/>
    <w:qFormat/>
    <w:pPr>
      <w:numPr>
        <w:ilvl w:val="0"/>
        <w:numId w:val="2"/>
      </w:numPr>
    </w:pPr>
  </w:style>
  <w:style w:type="character" w:styleId="954" w:customStyle="1">
    <w:name w:val="htd0"/>
    <w:uiPriority w:val="0"/>
    <w:qFormat/>
  </w:style>
  <w:style w:type="paragraph" w:styleId="955"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956" w:customStyle="1">
    <w:name w:val="样式11"/>
    <w:basedOn w:val="715"/>
    <w:uiPriority w:val="0"/>
    <w:qFormat/>
    <w:pPr>
      <w:numPr>
        <w:ilvl w:val="0"/>
        <w:numId w:val="3"/>
      </w:numPr>
      <w:jc w:val="left"/>
      <w:spacing w:before="0" w:after="0"/>
    </w:pPr>
    <w:rPr>
      <w:rFonts w:ascii="黑体" w:hAnsi="黑体" w:eastAsia="黑体"/>
      <w:sz w:val="28"/>
      <w:szCs w:val="28"/>
      <w:lang w:val="zh-CN"/>
    </w:rPr>
  </w:style>
  <w:style w:type="paragraph" w:styleId="957" w:customStyle="1">
    <w:name w:val="样式12"/>
    <w:basedOn w:val="956"/>
    <w:uiPriority w:val="0"/>
    <w:qFormat/>
    <w:pPr>
      <w:numPr>
        <w:ilvl w:val="1"/>
      </w:numPr>
      <w:tabs>
        <w:tab w:val="left" w:pos="567" w:leader="none"/>
      </w:tabs>
      <w:outlineLvl w:val="1"/>
    </w:pPr>
  </w:style>
  <w:style w:type="paragraph" w:styleId="958" w:customStyle="1">
    <w:name w:val="表11"/>
    <w:basedOn w:val="714"/>
    <w:uiPriority w:val="0"/>
    <w:qFormat/>
    <w:pPr>
      <w:jc w:val="center"/>
      <w:tabs>
        <w:tab w:val="left" w:pos="4020" w:leader="none"/>
      </w:tabs>
    </w:pPr>
    <w:rPr>
      <w:rFonts w:ascii="黑体" w:hAnsi="黑体"/>
      <w:szCs w:val="24"/>
      <w:lang w:val="zh-CN"/>
    </w:rPr>
  </w:style>
  <w:style w:type="paragraph" w:styleId="959" w:customStyle="1">
    <w:name w:val="样式13"/>
    <w:basedOn w:val="957"/>
    <w:uiPriority w:val="0"/>
    <w:qFormat/>
    <w:pPr>
      <w:numPr>
        <w:ilvl w:val="2"/>
      </w:numPr>
      <w:ind w:left="510" w:hanging="170"/>
      <w:outlineLvl w:val="2"/>
    </w:pPr>
    <w:rPr>
      <w:sz w:val="24"/>
    </w:rPr>
  </w:style>
  <w:style w:type="paragraph" w:styleId="960">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1" w:customStyle="1">
    <w:name w:val="其他"/>
    <w:basedOn w:val="714"/>
    <w:uiPriority w:val="0"/>
    <w:qFormat/>
    <w:pPr>
      <w:spacing w:line="266" w:lineRule="exact"/>
      <w:shd w:val="clear" w:color="auto" w:fill="ffffff"/>
    </w:pPr>
    <w:rPr>
      <w:rFonts w:ascii="MingLiU" w:hAnsi="MingLiU" w:eastAsia="MingLiU" w:cs="MingLiU"/>
      <w:sz w:val="20"/>
      <w:szCs w:val="20"/>
      <w:lang w:val="zh-CN" w:bidi="zh-CN"/>
    </w:rPr>
  </w:style>
  <w:style w:type="paragraph" w:styleId="962" w:customStyle="1">
    <w:name w:val="Body text|1"/>
    <w:basedOn w:val="714"/>
    <w:uiPriority w:val="0"/>
    <w:qFormat/>
    <w:pPr>
      <w:spacing w:after="220"/>
    </w:pPr>
    <w:rPr>
      <w:rFonts w:cs="宋体"/>
      <w:sz w:val="22"/>
      <w:lang w:val="zh-TW" w:eastAsia="zh-TW" w:bidi="zh-TW"/>
    </w:rPr>
  </w:style>
  <w:style w:type="paragraph" w:styleId="963" w:customStyle="1">
    <w:name w:val="Other|1"/>
    <w:basedOn w:val="714"/>
    <w:uiPriority w:val="0"/>
    <w:qFormat/>
    <w:pPr>
      <w:jc w:val="center"/>
    </w:pPr>
    <w:rPr>
      <w:rFonts w:cs="宋体"/>
      <w:sz w:val="20"/>
      <w:szCs w:val="20"/>
      <w:lang w:val="zh-TW" w:eastAsia="zh-TW" w:bidi="zh-TW"/>
    </w:rPr>
  </w:style>
  <w:style w:type="paragraph" w:styleId="964" w:customStyle="1">
    <w:name w:val="Table Text"/>
    <w:basedOn w:val="714"/>
    <w:uiPriority w:val="0"/>
    <w:semiHidden/>
    <w:qFormat/>
    <w:rPr>
      <w:rFonts w:ascii="宋体" w:hAnsi="宋体" w:cs="宋体"/>
      <w:sz w:val="24"/>
      <w:szCs w:val="24"/>
      <w:lang w:eastAsia="en-US"/>
    </w:rPr>
  </w:style>
  <w:style w:type="paragraph" w:styleId="965"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6" w:customStyle="1">
    <w:name w:val="纯文本1"/>
    <w:basedOn w:val="714"/>
    <w:uiPriority w:val="99"/>
    <w:qFormat/>
    <w:rPr>
      <w:rFonts w:ascii="宋体" w:hAnsi="Courier New"/>
      <w:sz w:val="20"/>
      <w:szCs w:val="21"/>
    </w:rPr>
  </w:style>
  <w:style w:type="paragraph" w:styleId="967" w:customStyle="1">
    <w:name w:val="2"/>
    <w:next w:val="714"/>
    <w:uiPriority w:val="0"/>
    <w:qFormat/>
    <w:pPr>
      <w:jc w:val="both"/>
      <w:widowControl w:val="off"/>
    </w:pPr>
    <w:rPr>
      <w:rFonts w:hint="default" w:ascii="Times New Roman" w:hAnsi="Times New Roman" w:eastAsia="宋体" w:cs="Times New Roman"/>
      <w:color w:val="ff0000"/>
      <w:sz w:val="21"/>
      <w:szCs w:val="24"/>
      <w:lang w:val="en-US" w:eastAsia="zh-CN" w:bidi="ar-SA"/>
    </w:rPr>
  </w:style>
  <w:style w:type="paragraph" w:styleId="968" w:customStyle="1">
    <w:name w:val="寄信人地址1"/>
    <w:basedOn w:val="714"/>
    <w:uiPriority w:val="99"/>
    <w:unhideWhenUsed/>
    <w:qFormat/>
    <w:rPr>
      <w:rFonts w:ascii="Arial" w:hAnsi="Arial"/>
    </w:rPr>
  </w:style>
  <w:style w:type="paragraph" w:styleId="969" w:customStyle="1">
    <w:name w:val="正文文本缩进 21"/>
    <w:basedOn w:val="714"/>
    <w:uiPriority w:val="0"/>
    <w:qFormat/>
    <w:pPr>
      <w:ind w:firstLine="510"/>
      <w:spacing w:line="520" w:lineRule="exact"/>
    </w:pPr>
    <w:rPr>
      <w:rFonts w:ascii="华文仿宋" w:eastAsia="华文仿宋"/>
      <w:sz w:val="28"/>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AE9FA21-C106-4CB5-BE3B-0237D6F2D9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黄炎</cp:lastModifiedBy>
  <cp:revision>11</cp:revision>
  <dcterms:created xsi:type="dcterms:W3CDTF">2023-11-29T03:36:00Z</dcterms:created>
  <dcterms:modified xsi:type="dcterms:W3CDTF">2026-07-29T08:48:38Z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F11766429A964E51BCBB702FF1F2B501_13</vt:lpwstr>
  </property>
  <property fmtid="{D5CDD505-2E9C-101B-9397-08002B2CF9AE}" pid="4" name="KSOTemplateDocerSaveRecord">
    <vt:lpwstr>eyJoZGlkIjoiOTY1NTIxNDIxNWZhYzI4OWJjZDYwMTNjNTkwZGQ5N2UiLCJ1c2VySWQiOiIyMjY3NTcyNjEifQ==</vt:lpwstr>
  </property>
</Properties>
</file>