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671"/>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120" w:beforeAutospacing="0" w:after="120" w:afterAutospacing="0"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滨海县滨淮镇街道、农村市容服务外包(27个村居和集镇范围)采购项目</w:t>
      </w:r>
      <w:r>
        <w:rPr>
          <w:rFonts w:hint="eastAsia" w:ascii="宋体" w:hAnsi="宋体" w:eastAsia="宋体" w:cs="宋体"/>
          <w:b/>
          <w:color w:val="auto"/>
          <w:sz w:val="32"/>
          <w:szCs w:val="32"/>
          <w:highlight w:val="none"/>
          <w:lang w:eastAsia="zh-CN"/>
        </w:rPr>
        <w:t xml:space="preserve">（二次</w:t>
      </w:r>
      <w:r>
        <w:rPr>
          <w:rFonts w:hint="eastAsia" w:ascii="宋体" w:hAnsi="宋体" w:eastAsia="宋体" w:cs="宋体"/>
          <w:b/>
          <w:color w:val="auto"/>
          <w:sz w:val="32"/>
          <w:szCs w:val="32"/>
          <w:highlight w:val="none"/>
          <w:lang w:eastAsia="zh-CN"/>
        </w:rPr>
        <w:t xml:space="preserve">）</w:t>
      </w:r>
      <w:r/>
    </w:p>
    <w:p>
      <w:pPr>
        <w:pStyle w:val="671"/>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JSZC-320922-YCJD-G2026-0003</w:t>
      </w:r>
      <w:r>
        <w:rPr>
          <w:rFonts w:hint="eastAsia" w:ascii="宋体" w:hAnsi="宋体" w:eastAsia="宋体" w:cs="宋体"/>
          <w:b/>
          <w:color w:val="auto"/>
          <w:sz w:val="32"/>
          <w:szCs w:val="32"/>
          <w:highlight w:val="none"/>
        </w:rPr>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ind w:firstLine="1606"/>
        <w:spacing w:beforeAutospacing="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滨海县滨淮镇人民政府</w:t>
      </w:r>
      <w:r/>
    </w:p>
    <w:p>
      <w:pPr>
        <w:pStyle w:val="671"/>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代理机构：盐城市鲸咚项目管理有限公司 </w:t>
      </w:r>
      <w:r/>
    </w:p>
    <w:p>
      <w:pPr>
        <w:pStyle w:val="67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p>
    <w:p>
      <w:pPr>
        <w:pStyle w:val="67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20823272"/>
      <w:r/>
      <w:bookmarkStart w:id="1" w:name="_Toc479757206"/>
      <w:r/>
      <w:bookmarkStart w:id="2" w:name="_Toc16938516"/>
      <w:r/>
      <w:bookmarkStart w:id="3" w:name="_Toc513029200"/>
      <w:r/>
      <w:bookmarkStart w:id="4" w:name="_Toc523127445"/>
      <w:r/>
      <w:bookmarkStart w:id="5" w:name="_Toc120614210"/>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3</w:t>
      </w:r>
      <w:r>
        <w:rPr>
          <w:rFonts w:hint="eastAsia" w:ascii="宋体" w:hAnsi="宋体" w:eastAsia="宋体" w:cs="宋体"/>
          <w:color w:val="auto"/>
          <w:sz w:val="36"/>
          <w:szCs w:val="36"/>
          <w:highlight w:val="none"/>
        </w:rPr>
        <w:t xml:space="preserve"> </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7</w:t>
      </w:r>
      <w:r>
        <w:rPr>
          <w:rFonts w:hint="eastAsia" w:ascii="宋体" w:hAnsi="宋体" w:eastAsia="宋体" w:cs="宋体"/>
          <w:color w:val="auto"/>
          <w:sz w:val="36"/>
          <w:szCs w:val="36"/>
          <w:highlight w:val="none"/>
        </w:rPr>
        <w:t xml:space="preserve">  </w:t>
      </w:r>
      <w:r/>
    </w:p>
    <w:p>
      <w:pPr>
        <w:pStyle w:val="671"/>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 22</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 28</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 34</w:t>
      </w:r>
      <w:r/>
    </w:p>
    <w:p>
      <w:pPr>
        <w:pStyle w:val="671"/>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 36</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 xml:space="preserve">第一章 </w:t>
      </w:r>
      <w:r>
        <w:rPr>
          <w:rFonts w:hint="eastAsia" w:ascii="宋体" w:hAnsi="宋体" w:eastAsia="宋体" w:cs="宋体"/>
          <w:color w:val="auto"/>
          <w:sz w:val="44"/>
          <w:szCs w:val="44"/>
          <w:highlight w:val="none"/>
          <w:lang w:val="en-US" w:eastAsia="zh-CN"/>
        </w:rPr>
        <w:t xml:space="preserve">招标公告</w:t>
      </w:r>
      <w:r/>
    </w:p>
    <w:p>
      <w:pPr>
        <w:pStyle w:val="671"/>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1"/>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滨海县滨淮镇街道、农村市容服务外包(27个村居和集镇范围)采购项目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bookmarkStart w:id="6" w:name="_Toc28359002"/>
      <w:r/>
      <w:bookmarkStart w:id="7" w:name="_Toc35393621"/>
      <w:r/>
      <w:bookmarkStart w:id="8" w:name="_Toc28359079"/>
      <w:r/>
      <w:bookmarkStart w:id="9" w:name="_Hlk24379207"/>
      <w:r/>
      <w:bookmarkStart w:id="10" w:name="_Toc38985263"/>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JSZC-320922-YCJD-G2026-0003</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滨海县滨淮镇街道、农村市容服务外包(27个村居和集镇范围)采购项目；</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370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370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.采购需求（简介）：采购需求详见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合同签订之日起一年。</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bookmarkStart w:id="12" w:name="_Toc35393622"/>
      <w:r/>
      <w:bookmarkStart w:id="13" w:name="_Toc35393791"/>
      <w:r/>
      <w:bookmarkStart w:id="14" w:name="_Toc38985264"/>
      <w:r/>
      <w:bookmarkStart w:id="15" w:name="_Toc28359003"/>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（至少提供资产负债表、利润表、现金流量表，供应商成立不满一年无需提供）；</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71"/>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lang w:eastAsia="zh-CN"/>
        </w:rPr>
        <w:t xml:space="preserve">。</w:t>
      </w:r>
      <w:r/>
    </w:p>
    <w:p>
      <w:pPr>
        <w:pStyle w:val="671"/>
        <w:ind w:right="0" w:firstLine="48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具备省公安部门颁发的《保安服务许可证》</w:t>
      </w:r>
      <w:r>
        <w:rPr>
          <w:rFonts w:hint="eastAsia" w:ascii="宋体" w:hAnsi="宋体" w:eastAsia="宋体" w:cs="宋体"/>
          <w:color w:val="auto"/>
          <w:sz w:val="24"/>
          <w:szCs w:val="24"/>
          <w:highlight w:val="none"/>
          <w:lang w:val="en-US" w:eastAsia="zh-CN"/>
        </w:rPr>
        <w:t xml:space="preserve">。</w:t>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5393793"/>
      <w:r/>
      <w:bookmarkStart w:id="18" w:name="_Toc38985266"/>
      <w:r/>
      <w:bookmarkStart w:id="19" w:name="_Toc28359005"/>
      <w:r/>
      <w:bookmarkStart w:id="20" w:name="_Toc28359082"/>
      <w:r/>
      <w:bookmarkStart w:id="21"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时间：2026年8月28日09点00分00秒（北京时间）</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w:t>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bookmarkStart w:id="22" w:name="_Toc28359007"/>
      <w:r/>
      <w:bookmarkStart w:id="23" w:name="_Toc35393625"/>
      <w:r/>
      <w:bookmarkStart w:id="24" w:name="_Toc35393794"/>
      <w:r/>
      <w:bookmarkStart w:id="25" w:name="_Toc28359084"/>
      <w:r/>
      <w:bookmarkStart w:id="26" w:name="_Toc3898526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71"/>
        <w:ind w:firstLine="498"/>
        <w:jc w:val="both"/>
        <w:keepLines/>
        <w:keepNext/>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p>
      <w:pPr>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39"/>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color w:val="auto"/>
          <w:sz w:val="24"/>
          <w:szCs w:val="24"/>
          <w:highlight w:val="none"/>
        </w:rPr>
        <w:t xml:space="preserve">1.采购人信息</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滨海县滨淮镇人民政府</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val="en-US" w:eastAsia="zh-CN"/>
        </w:rPr>
        <w:t xml:space="preserve">滨海县滨淮镇新岭街 </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13815516630</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2.采购代理机构信息</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盐城市鲸咚项目管理有限公司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lang w:eastAsia="zh-CN"/>
        </w:rPr>
        <w:t xml:space="preserve">滨海县坎北街道大学生创业园C东103-2</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刘女士</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19962308468</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3.项目联系方式</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刘女士</w:t>
      </w:r>
      <w:r/>
    </w:p>
    <w:p>
      <w:pPr>
        <w:pStyle w:val="671"/>
        <w:ind w:left="0" w:right="0" w:firstLine="560"/>
        <w:jc w:val="both"/>
        <w:keepLines w:val="0"/>
        <w:keepNext w:val="0"/>
        <w:pageBreakBefore w:val="0"/>
        <w:spacing w:beforeAutospacing="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19962308468</w:t>
      </w:r>
      <w:r>
        <w:rPr>
          <w:rFonts w:hint="eastAsia" w:ascii="宋体" w:hAnsi="宋体" w:eastAsia="宋体" w:cs="宋体"/>
          <w:color w:val="auto"/>
          <w:sz w:val="24"/>
          <w:szCs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rPr>
          <w:rFonts w:hint="eastAsia" w:ascii="宋体" w:hAnsi="宋体" w:eastAsia="宋体" w:cs="宋体"/>
          <w:b/>
          <w:color w:val="auto"/>
          <w:sz w:val="44"/>
          <w:szCs w:val="44"/>
          <w:highlight w:val="none"/>
        </w:rPr>
      </w:pPr>
      <w:r/>
      <w:bookmarkStart w:id="32" w:name="_Toc120614211"/>
      <w:r>
        <w:rPr>
          <w:rFonts w:hint="eastAsia" w:ascii="宋体" w:hAnsi="宋体" w:eastAsia="宋体" w:cs="宋体"/>
          <w:b/>
          <w:color w:val="auto"/>
          <w:sz w:val="44"/>
          <w:szCs w:val="44"/>
          <w:highlight w:val="none"/>
        </w:rPr>
        <w:br w:type="page" w:clear="all"/>
      </w:r>
      <w:r/>
    </w:p>
    <w:p>
      <w:pPr>
        <w:jc w:val="center"/>
        <w:pageBreakBefore w:val="0"/>
        <w:spacing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2"/>
      <w:r/>
      <w:bookmarkStart w:id="33" w:name="_Toc20823274"/>
      <w:r/>
      <w:bookmarkStart w:id="34" w:name="_Toc16938518"/>
      <w:r/>
      <w:bookmarkStart w:id="35" w:name="_Toc513029202"/>
      <w:r/>
      <w:bookmarkStart w:id="36" w:name="_Toc120614213"/>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71"/>
        <w:ind w:firstLine="498"/>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37" w:name="_Toc120614214"/>
      <w:r/>
      <w:bookmarkStart w:id="38" w:name="_Toc20823275"/>
      <w:r/>
      <w:bookmarkStart w:id="39" w:name="_Toc513029203"/>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1" w:name="_Toc16938520"/>
      <w:r/>
      <w:bookmarkStart w:id="42" w:name="_Toc513029204"/>
      <w:r/>
      <w:bookmarkStart w:id="43" w:name="_Toc458694821"/>
      <w:r/>
      <w:bookmarkStart w:id="44" w:name="_Toc20823276"/>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6" w:name="_Toc16938521"/>
      <w:r/>
      <w:bookmarkStart w:id="47" w:name="_Toc513029205"/>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20"/>
        <w:pageBreakBefore w:val="0"/>
        <w:spacing w:line="460" w:lineRule="exact"/>
        <w:widowControl w:val="off"/>
        <w:rPr>
          <w:rFonts w:hint="eastAsia" w:ascii="宋体" w:hAnsi="宋体" w:eastAsia="宋体" w:cs="宋体"/>
          <w:color w:val="auto"/>
          <w:sz w:val="24"/>
          <w:szCs w:val="21"/>
          <w:highlight w:val="none"/>
        </w:rPr>
      </w:pPr>
      <w:r/>
      <w:bookmarkStart w:id="49" w:name="_Toc16938522"/>
      <w:r/>
      <w:bookmarkStart w:id="50" w:name="_Toc513029206"/>
      <w:r/>
      <w:bookmarkStart w:id="51" w:name="_Toc20823278"/>
      <w:r/>
      <w:bookmarkStart w:id="52" w:name="_Toc462564067"/>
      <w:r/>
      <w:bookmarkStart w:id="53" w:name="_Toc513029207"/>
      <w:r/>
      <w:bookmarkStart w:id="54" w:name="_Toc16938523"/>
      <w:r/>
      <w:bookmarkStart w:id="55" w:name="_Toc20823279"/>
      <w:r>
        <w:rPr>
          <w:rFonts w:hint="eastAsia" w:ascii="宋体" w:hAnsi="宋体" w:eastAsia="宋体" w:cs="宋体"/>
          <w:color w:val="auto"/>
          <w:sz w:val="24"/>
          <w:szCs w:val="21"/>
          <w:highlight w:val="none"/>
        </w:rPr>
        <w:t xml:space="preserve">3、适用法律</w:t>
      </w:r>
      <w:bookmarkEnd w:id="49"/>
      <w:r/>
      <w:bookmarkEnd w:id="50"/>
      <w:r/>
      <w:bookmarkEnd w:id="51"/>
      <w:r>
        <w:rPr>
          <w:rFonts w:hint="eastAsia" w:ascii="宋体" w:hAnsi="宋体" w:eastAsia="宋体" w:cs="宋体"/>
          <w:color w:val="auto"/>
          <w:sz w:val="24"/>
          <w:szCs w:val="21"/>
          <w:highlight w:val="none"/>
        </w:rPr>
        <w:t xml:space="preserve">和标准</w:t>
      </w:r>
      <w:r/>
    </w:p>
    <w:p>
      <w:pPr>
        <w:pStyle w:val="671"/>
        <w:ind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bookmarkEnd w:id="52"/>
      <w:r/>
      <w:bookmarkEnd w:id="53"/>
      <w:r/>
      <w:bookmarkEnd w:id="54"/>
      <w:r/>
      <w:bookmarkEnd w:id="55"/>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4、投标费用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4.1 投标人应自行承担所有与参加投标有关的费用，无论投标过程中的做法和结果如何，采购人及代理机构在任何情况下均无义务和责任承担这些费用。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4.2本次招标代理机构和采购人不收取标书工本费。</w:t>
      </w:r>
      <w:r/>
    </w:p>
    <w:p>
      <w:pPr>
        <w:pStyle w:val="671"/>
        <w:ind w:firstLine="480"/>
        <w:jc w:val="both"/>
        <w:pageBreakBefore w:val="0"/>
        <w:spacing w:beforeAutospacing="0" w:afterAutospacing="0" w:line="460" w:lineRule="exact"/>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4.3</w:t>
      </w:r>
      <w:r>
        <w:rPr>
          <w:rFonts w:hint="eastAsia" w:ascii="宋体" w:hAnsi="宋体" w:eastAsia="宋体" w:cs="宋体"/>
          <w:b w:val="0"/>
          <w:bCs w:val="0"/>
          <w:color w:val="auto"/>
          <w:sz w:val="24"/>
          <w:szCs w:val="24"/>
          <w:highlight w:val="none"/>
          <w:lang w:val="en-US" w:eastAsia="zh-CN"/>
        </w:rPr>
        <w:t xml:space="preserve">本次招标代理服务费：</w:t>
      </w:r>
      <w:r>
        <w:rPr>
          <w:rFonts w:hint="eastAsia" w:ascii="宋体" w:hAnsi="宋体" w:eastAsia="宋体" w:cs="宋体"/>
          <w:b w:val="0"/>
          <w:bCs w:val="0"/>
          <w:color w:val="auto"/>
          <w:sz w:val="24"/>
          <w:szCs w:val="24"/>
          <w:highlight w:val="none"/>
          <w:lang w:val="en-US" w:eastAsia="zh-CN" w:bidi="ar-SA"/>
        </w:rPr>
        <w:t xml:space="preserve">本项目代理服务费按《江苏省政府采购代理服务收费指导意见》（苏政采协〔2024〕20号）折后按10400元向中标供应商收取</w:t>
      </w:r>
      <w:r>
        <w:rPr>
          <w:rFonts w:hint="eastAsia" w:ascii="宋体" w:hAnsi="宋体" w:eastAsia="宋体" w:cs="宋体"/>
          <w:b w:val="0"/>
          <w:bCs w:val="0"/>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rPr>
          <w:rFonts w:hint="eastAsia" w:ascii="宋体" w:hAnsi="宋体" w:eastAsia="宋体" w:cs="宋体"/>
          <w:b w:val="0"/>
          <w:bCs w:val="0"/>
          <w:color w:val="auto"/>
          <w:sz w:val="24"/>
          <w:szCs w:val="24"/>
          <w:highlight w:val="none"/>
          <w:u w:val="none"/>
        </w:rPr>
        <w:t xml:space="preserve">，招标人不另行支付。</w:t>
      </w:r>
      <w:r/>
    </w:p>
    <w:p>
      <w:pPr>
        <w:pStyle w:val="671"/>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71"/>
        <w:ind w:firstLine="32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0" w:name="_Toc20823282"/>
      <w:r/>
      <w:bookmarkStart w:id="61" w:name="_Toc513029210"/>
      <w:r/>
      <w:bookmarkStart w:id="62" w:name="_Toc16938526"/>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联系解决。</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1"/>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3" w:name="_Toc462564070"/>
      <w:r/>
      <w:bookmarkStart w:id="64" w:name="_Toc20823283"/>
      <w:r/>
      <w:bookmarkStart w:id="65" w:name="_Toc513029211"/>
      <w:r/>
      <w:bookmarkStart w:id="66" w:name="_Toc16938527"/>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前按招标公告中的通讯地址，以书面形式通知采购人及代理机构。</w:t>
      </w:r>
      <w:r/>
    </w:p>
    <w:p>
      <w:pPr>
        <w:pStyle w:val="671"/>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7" w:name="_Toc16938528"/>
      <w:r/>
      <w:bookmarkStart w:id="68" w:name="_Toc513029212"/>
      <w:r/>
      <w:bookmarkStart w:id="69" w:name="_Toc462564071"/>
      <w:r/>
      <w:bookmarkStart w:id="70" w:name="_Toc20823284"/>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8.1在投标截止时间前，采购人及代理机构可以对招标文件进行修改。</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71"/>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1" w:name="_Toc20823285"/>
      <w:r/>
      <w:bookmarkStart w:id="72" w:name="_Toc16938529"/>
      <w:r/>
      <w:bookmarkStart w:id="73" w:name="_Toc120614216"/>
      <w:r/>
      <w:bookmarkStart w:id="74" w:name="_Toc513029213"/>
      <w:r/>
      <w:bookmarkStart w:id="75" w:name="_Toc462564072"/>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71"/>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6" w:name="_Toc16938530"/>
      <w:r/>
      <w:bookmarkStart w:id="77" w:name="_Toc513029214"/>
      <w:r/>
      <w:bookmarkStart w:id="78" w:name="_Toc462564073"/>
      <w:r/>
      <w:bookmarkStart w:id="79" w:name="_Toc20823286"/>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0" w:name="_Toc462564074"/>
      <w:r/>
      <w:bookmarkStart w:id="81" w:name="_Toc16938531"/>
      <w:r/>
      <w:bookmarkStart w:id="82" w:name="_Toc513029215"/>
      <w:r/>
      <w:bookmarkStart w:id="83" w:name="_Toc20823287"/>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4" w:name="_Toc14577357"/>
      <w:r/>
      <w:bookmarkStart w:id="85" w:name="_Toc513029216"/>
      <w:r/>
      <w:bookmarkStart w:id="86" w:name="_Toc14577354"/>
      <w:r/>
      <w:bookmarkStart w:id="87" w:name="_Toc49090507"/>
      <w:r/>
      <w:bookmarkStart w:id="88" w:name="_Toc49090509"/>
      <w:r/>
      <w:bookmarkStart w:id="89" w:name="_Toc513029219"/>
      <w:r/>
      <w:bookmarkStart w:id="90" w:name="_Hlt26668975"/>
      <w:r/>
      <w:bookmarkStart w:id="91" w:name="_Hlt26670360"/>
      <w:r/>
      <w:bookmarkStart w:id="92" w:name="_Hlt26954838"/>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71"/>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8" w:name="_Hlt26670486"/>
      <w:r/>
      <w:bookmarkStart w:id="99" w:name="_Hlt26668983"/>
      <w:r/>
      <w:bookmarkStart w:id="100" w:name="_Hlt26954731"/>
      <w:r/>
      <w:bookmarkStart w:id="101" w:name="_Hlt26954848"/>
      <w:r/>
      <w:bookmarkStart w:id="102" w:name="_Hlt26670425"/>
      <w:r/>
      <w:bookmarkStart w:id="103" w:name="_Hlt26670403"/>
      <w:r/>
      <w:bookmarkStart w:id="104" w:name="_Hlt26670482"/>
      <w:r/>
      <w:bookmarkStart w:id="105" w:name="_Hlt26954842"/>
      <w:r/>
      <w:bookmarkStart w:id="106" w:name="_Hlt26954846"/>
      <w:r/>
      <w:bookmarkStart w:id="107" w:name="_Hlt26954844"/>
      <w:r>
        <w:rPr>
          <w:rFonts w:hint="eastAsia" w:ascii="宋体" w:hAnsi="宋体" w:eastAsia="宋体" w:cs="宋体"/>
          <w:color w:val="auto"/>
          <w:sz w:val="24"/>
          <w:szCs w:val="24"/>
          <w:highlight w:val="none"/>
        </w:rPr>
        <w:t xml:space="preserve">13、技术要求响应及偏离表、商务要求响应及偏离表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71"/>
        <w:ind w:firstLine="480"/>
        <w:jc w:val="both"/>
        <w:pageBreakBefore w:val="0"/>
        <w:spacing w:beforeAutospacing="0" w:afterAutospacing="0" w:line="46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rPr>
        <w:t xml:space="preserve">14、投标函和开标一览表</w:t>
      </w:r>
      <w:bookmarkEnd w:id="108"/>
      <w:r/>
      <w:bookmarkEnd w:id="109"/>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954850"/>
      <w:r/>
      <w:bookmarkStart w:id="113" w:name="_Hlt26954734"/>
      <w:r/>
      <w:bookmarkStart w:id="114" w:name="_Hlt26670489"/>
      <w:r>
        <w:rPr>
          <w:rFonts w:hint="eastAsia" w:ascii="宋体" w:hAnsi="宋体" w:eastAsia="宋体" w:cs="宋体"/>
          <w:color w:val="auto"/>
          <w:sz w:val="24"/>
          <w:szCs w:val="24"/>
          <w:highlight w:val="none"/>
        </w:rPr>
        <w:t xml:space="preserve">15、投标有效期</w:t>
      </w:r>
      <w:bookmarkEnd w:id="110"/>
      <w:r/>
      <w:bookmarkEnd w:id="111"/>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71"/>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5" w:name="_Toc120614217"/>
      <w:r/>
      <w:bookmarkStart w:id="116" w:name="_Toc16938540"/>
      <w:r/>
      <w:bookmarkStart w:id="117" w:name="_Toc20823296"/>
      <w:r/>
      <w:bookmarkStart w:id="118" w:name="_Toc513029224"/>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71"/>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1" w:name="_Toc20823297"/>
      <w:r/>
      <w:bookmarkStart w:id="122" w:name="_Toc513029225"/>
      <w:r/>
      <w:bookmarkStart w:id="123" w:name="_Toc16938541"/>
      <w:r/>
      <w:bookmarkStart w:id="124" w:name="_Toc462564084"/>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71"/>
        <w:ind w:left="525"/>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8" w:name="_Toc513029227"/>
      <w:r/>
      <w:bookmarkStart w:id="129" w:name="_Toc20823299"/>
      <w:r/>
      <w:bookmarkStart w:id="130" w:name="_Toc16938543"/>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1" w:name="_Toc513029228"/>
      <w:r/>
      <w:bookmarkStart w:id="132" w:name="_Toc20823300"/>
      <w:r/>
      <w:bookmarkStart w:id="133" w:name="_Toc16938544"/>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71"/>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4" w:name="_Toc513029229"/>
      <w:r/>
      <w:bookmarkStart w:id="135" w:name="_Toc16938545"/>
      <w:r/>
      <w:bookmarkStart w:id="136" w:name="_Toc20823301"/>
      <w:r/>
      <w:bookmarkStart w:id="137" w:name="_Toc120614218"/>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8" w:name="_Toc513029230"/>
      <w:r/>
      <w:bookmarkStart w:id="139" w:name="_Toc16938546"/>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1" w:name="_Toc20823303"/>
      <w:r/>
      <w:bookmarkStart w:id="142" w:name="_Toc513029231"/>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71"/>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71"/>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1"/>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4" w:name="_Toc513029232"/>
      <w:r/>
      <w:bookmarkStart w:id="145" w:name="_Toc20823304"/>
      <w:r/>
      <w:bookmarkStart w:id="146" w:name="_Toc16938548"/>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71"/>
        <w:numPr>
          <w:ilvl w:val="0"/>
          <w:numId w:val="1"/>
        </w:numPr>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7" w:name="_Toc16938549"/>
      <w:r/>
      <w:bookmarkStart w:id="148" w:name="_Toc513029233"/>
      <w:r/>
      <w:bookmarkStart w:id="149" w:name="_Toc20823305"/>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71"/>
        <w:numPr>
          <w:ilvl w:val="0"/>
          <w:numId w:val="0"/>
        </w:numPr>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用记录。</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1"/>
        <w:ind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采购人或代理机构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71"/>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3" w:name="_Toc513029235"/>
      <w:r/>
      <w:bookmarkStart w:id="154" w:name="_Toc16938551"/>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71"/>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 的，即投标报价&lt;采购项目预算×50%；</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 的，即投标报价&lt;采购项目最高限价×45%；</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71"/>
        <w:ind w:left="479"/>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1"/>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将只对供应商第一次质疑作出答复。</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1"/>
        <w:ind w:firstLine="482"/>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负责答复。</w:t>
      </w:r>
      <w:r/>
    </w:p>
    <w:p>
      <w:pPr>
        <w:ind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只接收以纸质原件形式送达的质疑,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不接受未填写快递运单的快件。质疑接收部门为盐城市鲸咚项目管理有限公司 业务受理处，联系地址：</w:t>
      </w:r>
      <w:r>
        <w:rPr>
          <w:rFonts w:ascii="宋体" w:hAnsi="宋体" w:eastAsia="宋体" w:cs="宋体"/>
          <w:sz w:val="24"/>
          <w:szCs w:val="24"/>
        </w:rPr>
        <w:t xml:space="preserve">滨海县坎北街道大学生创业园 C 东 103-2（盐城市鲸咚项目管理有限公司）</w:t>
      </w:r>
      <w:r>
        <w:rPr>
          <w:rFonts w:hint="eastAsia" w:ascii="宋体" w:hAnsi="宋体" w:eastAsia="宋体" w:cs="宋体"/>
          <w:color w:val="auto"/>
          <w:sz w:val="24"/>
          <w:szCs w:val="24"/>
          <w:highlight w:val="none"/>
          <w:lang w:val="en-US" w:eastAsia="zh-CN" w:bidi="ar-SA"/>
        </w:rPr>
        <w:t xml:space="preserve">，联系电话：19962308468。</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1"/>
        <w:ind w:firstLine="468"/>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71"/>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1"/>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1" w:name="_Toc20823308"/>
      <w:r/>
      <w:bookmarkStart w:id="162" w:name="_Toc513029236"/>
      <w:r/>
      <w:bookmarkStart w:id="163" w:name="_Toc16938552"/>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5" w:name="_Toc16938553"/>
      <w:r/>
      <w:bookmarkStart w:id="166" w:name="_Toc513029237"/>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71"/>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71"/>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1"/>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w:t>
      </w:r>
      <w:r>
        <w:rPr>
          <w:rFonts w:ascii="宋体" w:hAnsi="宋体" w:eastAsia="宋体" w:cs="宋体"/>
          <w:sz w:val="24"/>
          <w:szCs w:val="24"/>
        </w:rPr>
        <w:t xml:space="preserve">单方解除合同</w:t>
      </w:r>
      <w:r>
        <w:rPr>
          <w:rFonts w:hint="eastAsia" w:ascii="宋体" w:hAnsi="宋体" w:eastAsia="宋体" w:cs="宋体"/>
          <w:color w:val="auto"/>
          <w:sz w:val="24"/>
          <w:szCs w:val="24"/>
          <w:highlight w:val="none"/>
        </w:rPr>
        <w:t xml:space="preserve">。转包或分包造成采购人损失的，中标人应承担相应赔偿责任。</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71"/>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ascii="宋体" w:hAnsi="宋体" w:eastAsia="宋体" w:cs="宋体"/>
          <w:sz w:val="24"/>
          <w:szCs w:val="24"/>
        </w:rPr>
        <w:t xml:space="preserve">确需收取履约保证金的，履约保证</w:t>
      </w:r>
      <w:r>
        <w:rPr>
          <w:rFonts w:ascii="宋体" w:hAnsi="宋体" w:eastAsia="宋体" w:cs="宋体"/>
          <w:b w:val="0"/>
          <w:bCs w:val="0"/>
          <w:sz w:val="24"/>
          <w:szCs w:val="24"/>
        </w:rPr>
        <w:t xml:space="preserve">金</w:t>
      </w:r>
      <w:r>
        <w:rPr>
          <w:rStyle w:val="674"/>
          <w:rFonts w:ascii="宋体" w:hAnsi="宋体" w:eastAsia="宋体" w:cs="宋体"/>
          <w:b w:val="0"/>
          <w:bCs w:val="0"/>
          <w:color w:val="000000"/>
          <w:sz w:val="24"/>
          <w:szCs w:val="24"/>
        </w:rPr>
        <w:t xml:space="preserve">仅接受银行转账</w:t>
      </w:r>
      <w:r>
        <w:rPr>
          <w:rFonts w:ascii="宋体" w:hAnsi="宋体" w:eastAsia="宋体" w:cs="宋体"/>
          <w:b w:val="0"/>
          <w:bCs w:val="0"/>
          <w:sz w:val="24"/>
          <w:szCs w:val="24"/>
        </w:rPr>
        <w:t xml:space="preserve">方式</w:t>
      </w:r>
      <w:r>
        <w:rPr>
          <w:rFonts w:ascii="宋体" w:hAnsi="宋体" w:eastAsia="宋体" w:cs="宋体"/>
          <w:sz w:val="24"/>
          <w:szCs w:val="24"/>
        </w:rPr>
        <w:t xml:space="preserve">缴纳，不接受支票、汇票、本票、金融机构保函、电子履约保函（保险）等其他缴纳形式</w:t>
      </w:r>
      <w:r>
        <w:rPr>
          <w:rFonts w:hint="eastAsia" w:ascii="宋体" w:hAnsi="宋体" w:eastAsia="宋体" w:cs="宋体"/>
          <w:color w:val="auto"/>
          <w:sz w:val="24"/>
          <w:szCs w:val="24"/>
          <w:highlight w:val="none"/>
          <w:lang w:val="en-US" w:eastAsia="zh-CN"/>
        </w:rPr>
        <w:t xml:space="preserve">。</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71"/>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w:t>
      </w:r>
      <w:r>
        <w:rPr>
          <w:rFonts w:hint="eastAsia" w:ascii="宋体" w:hAnsi="宋体" w:eastAsia="宋体" w:cs="宋体"/>
          <w:color w:val="auto"/>
          <w:sz w:val="24"/>
          <w:szCs w:val="24"/>
          <w:highlight w:val="none"/>
          <w:u w:val="none"/>
          <w:lang w:val="en-US" w:eastAsia="zh-CN"/>
        </w:rPr>
        <w:t xml:space="preserve">，预付款比例为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。在</w:t>
      </w:r>
      <w:r>
        <w:rPr>
          <w:rFonts w:hint="eastAsia" w:ascii="宋体" w:hAnsi="宋体" w:eastAsia="宋体" w:cs="宋体"/>
          <w:color w:val="auto"/>
          <w:sz w:val="24"/>
          <w:szCs w:val="24"/>
          <w:highlight w:val="none"/>
          <w:lang w:val="en-US" w:eastAsia="zh-CN"/>
        </w:rPr>
        <w:t xml:space="preserve">签订合同时，中标、成交供应商明确书面表示无需预付款或者主动要求降低预付款比例的，采购人可就预付款比例作相应调整。</w:t>
      </w:r>
      <w:r/>
    </w:p>
    <w:p>
      <w:pPr>
        <w:pStyle w:val="67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Lines w:val="0"/>
        <w:keepNext w:val="0"/>
        <w:pageBreakBefore w:val="0"/>
        <w:spacing w:line="500" w:lineRule="exact"/>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第三章  合同文本</w:t>
      </w:r>
      <w:r/>
    </w:p>
    <w:p>
      <w:pPr>
        <w:pStyle w:val="671"/>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8" w:name="_Toc513029243"/>
      <w:r/>
      <w:bookmarkStart w:id="169" w:name="_Toc20823315"/>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71"/>
        <w:ind w:firstLine="511"/>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项目名称：滨海县滨淮镇街道、农村市容服务外包(27个村居和集镇范围)采购项目</w:t>
      </w:r>
      <w:r/>
    </w:p>
    <w:p>
      <w:pPr>
        <w:pStyle w:val="671"/>
        <w:ind w:firstLine="511"/>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项目编号：___________</w:t>
      </w:r>
      <w:r/>
    </w:p>
    <w:p>
      <w:pPr>
        <w:pStyle w:val="671"/>
        <w:ind w:firstLine="511"/>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甲方（采购人）：滨海县滨淮镇人民政府</w:t>
      </w:r>
      <w:r/>
    </w:p>
    <w:p>
      <w:pPr>
        <w:pStyle w:val="671"/>
        <w:ind w:firstLine="511"/>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乙方（中标供应商/服务方）：___________</w:t>
      </w:r>
      <w:r/>
    </w:p>
    <w:p>
      <w:pPr>
        <w:pStyle w:val="671"/>
        <w:ind w:firstLine="511"/>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政府采购法》《中华人民共和国民法典》等相关法律法规，本项目通过公开招标方式确定乙方为中标服务单位。甲乙双方本着平等自愿、公平诚信、履约尽责的原则，结合本项目招标文件、乙方投标文件及相关澄清承诺文件，订立本合同，双方共同遵照执行。</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第一条 合同服务内容与服务范围</w:t>
      </w:r>
      <w:r/>
    </w:p>
    <w:p>
      <w:pPr>
        <w:ind w:left="0" w:right="0" w:firstLine="240"/>
        <w:jc w:val="left"/>
        <w:keepLines w:val="0"/>
        <w:keepNext w:val="0"/>
        <w:pageBreakBefore w:val="0"/>
        <w:spacing w:before="0" w:beforeAutospacing="0" w:afterAutospacing="0" w:line="4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1.1 服务范围：服务区域为滨海县滨淮镇集镇建成区全域及下辖27个行政村</w:t>
      </w:r>
      <w:r>
        <w:rPr>
          <w:rFonts w:hint="eastAsia" w:ascii="宋体" w:hAnsi="宋体" w:eastAsia="宋体" w:cs="宋体"/>
          <w:color w:val="auto"/>
          <w:sz w:val="24"/>
          <w:szCs w:val="24"/>
          <w:highlight w:val="none"/>
          <w:lang w:val="en-US" w:eastAsia="zh-CN" w:bidi="ar-SA"/>
        </w:rPr>
        <w:t xml:space="preserve">（建民村、建西村、沈滩村、东滨村、合新村、新岭村、建东村、双舍村、公玉村、河西村、硝场村、双树村、长兴村、玉华村、东罾村、康庄村、城门村、新圩村、陆塘村、玉龙村、凡集村、临淮村、双建村、山星村、梁港村、倪滩村、新垦村）全部行政区域，涵盖区域内所有主次干道、背街小巷、公共场地、河道沟</w:t>
      </w:r>
      <w:r>
        <w:rPr>
          <w:rFonts w:hint="eastAsia" w:ascii="宋体" w:hAnsi="宋体" w:eastAsia="宋体" w:cs="宋体"/>
          <w:color w:val="auto"/>
          <w:sz w:val="24"/>
          <w:szCs w:val="24"/>
          <w:highlight w:val="none"/>
          <w:lang w:val="en-US" w:eastAsia="zh-CN"/>
        </w:rPr>
        <w:t xml:space="preserve">渠、田间道路、闲置空地、村居出入口、企业作坊外围、公共设施周边等全部公共区域。</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核心服务内容</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 全域常态化巡查管控：负责集镇及27个村居市容秩序、人居环境、违法建设日常巡查，全覆盖无死角排查乱堆乱放、乱搭乱建、占道经营、垃圾乱抛、污水直排、户外广告乱贴、车辆乱停、露天粪坑、废品堆放、河道漂浮垃圾、岸边杂草、私搭拦网、违建围堰等各类违规乱象。</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 现场处置与上报：对巡查发现的各类问题第一时间现场劝阻、制止、整改；对拒不整改、新增违建、重大环境问题、排污行为等，即时拍照取证、登记台账，当日上报镇相关职能部门，重大突发问题30分钟内抵达现场并上报。</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 专项保障服务：全程配合甲方开展人居环境整治、集镇市容专项清理、违建排查拆除、河道清整、节庆安保、迎检督查、台风暴雨应急值守等各类专项工作，无条件服从甲方调度加班值守。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 台账管理：建立每日巡查台账、问题照片台账、整改回访台账、月度培训台账，按月汇总整理提交甲方备案，做到问题可追溯、台账可核查。</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第二条 合同服务期限</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本合同服务期限为自合同签订之日起1年，服务期满前，甲乙双方可根据履约考核情况协商后续合作事宜，无协商续约则合同自动终止。</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第三条 人员、设备及服务配置标准</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人员配置硬性要求</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乙方全程固定配备共计61名服务人员（含1名项目负责人），所有人员须经甲方面试、考核同意后方可上岗，人员配置全程满编在岗，不得缺岗、漏岗、空编。</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普通工作人员要求：中华人民共和国国籍，无违法犯罪、行政拘留、吸毒等不良记录，政审合格；男性，年龄18-45周岁，身高不低于1.65米，身体健康、无重大疾病、无色觉异常、无明显纹身、无传染病，可适应户外及田间河道高强度巡查作业；高中/中专及以上学历，具备基础文字记录、拍照上传、沟通协调能力，退伍军人、有市容管理经验者优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项目负责人要求：18-45周岁，大专及以上学历，具备5年以上市容管理、农村环境外包项目管理经验，全程驻镇办公，专职负责人员调度、台账管理、对接甲方各部门、响应整改任务，不得兼职、脱岗。</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人员管理：乙方更换工作人员必须提前书面报备甲方，经甲方审核同意后方可更换；私自更换人员的，每人每次扣除违约金1000元。所有人员上岗前需完成岗前安全、作业规范、应急处置培训，每周累计培训时长不少于2小时，培训签到、照片、记录按月提交甲方备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 </w:t>
      </w:r>
      <w:r>
        <w:rPr>
          <w:rFonts w:ascii="宋体" w:hAnsi="宋体" w:eastAsia="宋体" w:cs="宋体"/>
          <w:sz w:val="24"/>
          <w:szCs w:val="24"/>
        </w:rPr>
        <w:t xml:space="preserve">乙方须在合同签订前向甲方提交全部拟派驻人员身份证、无犯罪记录证明、体检报告、学历证书原件核验，未按期提交或材料造假的，甲方有权取消中标资格、不予签订合同，投标保证金（如有）不予退还</w:t>
      </w:r>
      <w:r>
        <w:rPr>
          <w:rFonts w:hint="eastAsia" w:ascii="宋体" w:hAnsi="宋体" w:eastAsia="宋体" w:cs="宋体"/>
          <w:sz w:val="24"/>
          <w:szCs w:val="24"/>
          <w:lang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薪资与社保硬性规定（不可竞争条款）</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 所有在岗服务人员月度应发工资不得低于滨海县现行最低工资标准及本地同类外包岗位合理薪酬水平，人员工资、社会保险、住房公积金均属于法定不可竞争成本。</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 乙方必须按照滨海县社保最低缴费标准及国家、省、市、县现行社保政策，为全体服务人员足额缴纳五险；乙方需与全部服务人员依法签订规范劳动合同，劳动合同、社保缴费凭证、保险保单等材料采购人可随时要求乙方提供原件备查。</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 服务人员全部劳动报酬、各类加班费、高温津贴、福利费、单位及个人社会保险、住房公积金、执勤服装、反光防护装备、巡查通讯设备、办公台账耗材、岗前及常态化培训、人身意外险、项目管理费、税金、人工成本上涨预估等实施本项目全部费用，合同履行期间采购人不再额外支付任何款项。</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服务工作标准与作业规范</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 作业时间：每日服务时间为7:30-18:00，人居环境迎检、节假日、恶劣天气、专项整治、应急任务期间，乙方无条件全员加班值守，无时间限制。</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巡查作业标准</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 实行网格化分片责任制，各片区专人固定值守，每日全域全覆盖巡查，无死角、无漏巡，留存完整巡查轨迹。</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 当日发现问题当日处置、当日登记、当日上报，拒不整改的点位全程跟踪回访，形成闭环管理。</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 违建动态每日排查，新增搭建第一时间劝阻、拍照、书面上报甲方；河道沟渠每日巡岸，及时处置水面漂浮垃圾、岸边杂物，排查污水直排、河道围垦等违规行为。</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 响应时效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甲方交办常规问题1小时内到场处置；突发违建、河道污染、重大环境乱象等紧急问题30分钟内抵达现场并上报。</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安全作业要求</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乙方全面负责所有工作人员作业安全，全员开展岗前安全培训，所有户外、田间、河道作业风险、人员疾病、摔伤、溺水、交通意外等全部责任、费用由乙方自行承担，与甲方无关。</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第五条 合同金额与费用包干范围</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 合同总金额：人民币___________元（大写：___________），合同总价为固定包干价。</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 </w:t>
      </w:r>
      <w:r>
        <w:rPr>
          <w:rFonts w:ascii="宋体" w:hAnsi="宋体" w:eastAsia="宋体" w:cs="宋体"/>
          <w:sz w:val="24"/>
          <w:szCs w:val="24"/>
        </w:rPr>
        <w:t xml:space="preserve">合同总价为固定包干价。服务期内所有人工薪酬、社保、物料、管理、税费、各类政策性上调、市场涨价等全部风险与成本均包含在包干总价内，甲方不再另行支付任何增补费用</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 费用说明：本项目工资、社保为不可竞争费用，乙方报价低于成本价的视为无效投标，合同履约期间严禁降低人员薪资、社保缴纳标准。</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第六条 付款方式与付款节点</w:t>
      </w:r>
      <w:r/>
    </w:p>
    <w:p>
      <w:pPr>
        <w:pStyle w:val="671"/>
        <w:ind w:firstLine="238"/>
        <w:jc w:val="both"/>
        <w:keepLines w:val="0"/>
        <w:keepNext w:val="0"/>
        <w:pageBreakBefore w:val="0"/>
        <w:spacing w:beforeAutospacing="0" w:afterAutospacing="0" w:line="4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 季度结算支付：</w:t>
      </w:r>
      <w:r>
        <w:rPr>
          <w:rFonts w:ascii="宋体" w:hAnsi="宋体" w:eastAsia="宋体" w:cs="宋体"/>
          <w:sz w:val="24"/>
          <w:szCs w:val="24"/>
        </w:rPr>
        <w:t xml:space="preserve">服务费按季度结算，结算款项扣除当季违约金、整改费用（如有）后支付</w:t>
      </w:r>
      <w:r>
        <w:rPr>
          <w:rFonts w:hint="eastAsia" w:ascii="宋体" w:hAnsi="宋体" w:eastAsia="宋体" w:cs="宋体"/>
          <w:color w:val="auto"/>
          <w:sz w:val="24"/>
          <w:szCs w:val="24"/>
          <w:highlight w:val="none"/>
          <w:lang w:val="en-US" w:eastAsia="zh-CN"/>
        </w:rPr>
        <w:t xml:space="preserve">。 </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付款约束：乙方未足额缴纳社保、未全员投保、人员缺岗、台账不全、考核不合格、存在有效投诉的，甲方有权暂缓付款、扣除相应违约金，直至乙方整改达标。</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第七条 履约保证金与信用政策</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履约保证金标准：合同总金额10%（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 缴纳形式：银行转账。</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 退还规则：</w:t>
      </w:r>
      <w:r>
        <w:rPr>
          <w:rFonts w:ascii="宋体" w:hAnsi="宋体" w:eastAsia="宋体" w:cs="宋体"/>
          <w:sz w:val="24"/>
          <w:szCs w:val="24"/>
        </w:rPr>
        <w:t xml:space="preserve">服务期满、全部履约达标、验收合格、资料归档完整且乙方结清全部税费后30日内，甲方无息退还履约保证金</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 不予退还情形：</w:t>
      </w:r>
      <w:r>
        <w:rPr>
          <w:rFonts w:ascii="宋体" w:hAnsi="宋体" w:eastAsia="宋体" w:cs="宋体"/>
          <w:sz w:val="24"/>
          <w:szCs w:val="24"/>
        </w:rPr>
        <w:t xml:space="preserve">乙方无正当理由拒签合同、擅自转包分包、履约不达标、弄虚作假、串通投标、恶意投诉、私自更换人员、未依法用工的，甲方有权部分或全部没收履约保证金，并追究乙方违约责任</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第八条 验收与考核标准</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日常验收：甲方每日抽查人员到岗、巡查轨迹、问题处置情况，当日履职达标视为当日验收合格。</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 月度考核：甲方每月核查人员在岗情况、台账完整度、问题处置完成率、群众投诉情况，形成月度考核记录。</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季度综合验收（付款依据）：</w:t>
      </w:r>
      <w:r>
        <w:rPr>
          <w:rFonts w:ascii="宋体" w:hAnsi="宋体" w:eastAsia="宋体" w:cs="宋体"/>
          <w:sz w:val="24"/>
          <w:szCs w:val="24"/>
        </w:rPr>
        <w:t xml:space="preserve">季度综合考核不合格，按考核细则扣除对应违约金；甲方下达整改通知书后限期整改仍未达标的，采购人有权单方解除服务合同</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第九条 转包、分包禁止条款</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严禁转包、违法分包，乙方不得将本合同全部或部分服务内容转交第三方实施。一经查实转包、分包行为，甲方有权立即解除合同、没收履约保证金、扣除全部未结款项，乙方承担由此造成的全部损失及法律责任。</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第十条 违约责任</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 乙方违约责任</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10.1.1 </w:t>
      </w:r>
      <w:r>
        <w:rPr>
          <w:rFonts w:ascii="宋体" w:hAnsi="宋体" w:eastAsia="宋体" w:cs="宋体"/>
          <w:sz w:val="24"/>
          <w:szCs w:val="24"/>
        </w:rPr>
        <w:t xml:space="preserve">未提前书面报备、未经采购人书面审核同意，擅自更换、内部调岗所有在岗服务人员的，每一人次扣除违约金 1000 元，乙方须 3 日内补齐同等条件人员</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10.1.2 </w:t>
      </w:r>
      <w:r>
        <w:rPr>
          <w:rFonts w:ascii="宋体" w:hAnsi="宋体" w:eastAsia="宋体" w:cs="宋体"/>
          <w:sz w:val="24"/>
          <w:szCs w:val="24"/>
        </w:rPr>
        <w:t xml:space="preserve">服务人员存在脱岗、空岗、片区漏巡、巡查履职不到位、工作消极敷衍，或经核实产生有效群众投诉的，每一人次扣除违约金 500 元，并扣除该人员当日全部薪酬</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10.1.3 </w:t>
      </w:r>
      <w:r>
        <w:rPr>
          <w:rFonts w:ascii="宋体" w:hAnsi="宋体" w:eastAsia="宋体" w:cs="宋体"/>
          <w:sz w:val="24"/>
          <w:szCs w:val="24"/>
        </w:rPr>
        <w:t xml:space="preserve">未按要求建立完整巡查台账、问题整改台账、月度培训台账，或未落实每周累计不少于 2 小时全员培训、未留存完整培训资料的，每次扣除违约金 1000 元；限期 3 日内整改仍未达标的，采购人有权暂缓支付当期季度服务费</w:t>
      </w:r>
      <w:r>
        <w:rPr>
          <w:rFonts w:hint="eastAsia" w:ascii="宋体" w:hAnsi="宋体" w:eastAsia="宋体" w:cs="宋体"/>
          <w:color w:val="auto"/>
          <w:sz w:val="24"/>
          <w:szCs w:val="24"/>
          <w:highlight w:val="none"/>
          <w:lang w:val="en-US" w:eastAsia="zh-CN"/>
        </w:rPr>
        <w:t xml:space="preserve">；</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10.1.4 乙方多次拒不配合集镇管理、农村人居环境整治、违章建筑排查整治等专项工作，经采购人多次督促整改后服务质量仍不达标，采购人有权单方面解除合同，因解约产生的全部经济损失由乙方承担；</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10.1.7 乙方未依法与人员签订劳动合同、未按规定足额缴纳社会保险，采购人有权暂缓支付全部服务费用，并可</w:t>
      </w:r>
      <w:r>
        <w:rPr>
          <w:rFonts w:ascii="宋体" w:hAnsi="宋体" w:eastAsia="宋体" w:cs="宋体"/>
          <w:sz w:val="24"/>
          <w:szCs w:val="24"/>
        </w:rPr>
        <w:t xml:space="preserve">单方解除合同</w:t>
      </w:r>
      <w:r>
        <w:rPr>
          <w:rFonts w:hint="eastAsia" w:ascii="宋体" w:hAnsi="宋体" w:eastAsia="宋体" w:cs="宋体"/>
          <w:color w:val="auto"/>
          <w:sz w:val="24"/>
          <w:szCs w:val="24"/>
          <w:highlight w:val="none"/>
          <w:lang w:val="en-US" w:eastAsia="zh-CN"/>
        </w:rPr>
        <w:t xml:space="preserve">，同时追究乙方全部法律及经济责任；</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10.1.8 乙方逾期履职、服务质量不达标，按合同总额每日千分之六支付违约金，逾期超10个工作日，甲方可解除合同并追偿全部损失；</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10.1.9 乙方提供虚假材料、弄虚作假谋取中标的，甲方取消其中标资格、解除合同，并上报监管部门记入失信记录。</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 甲方违约责任</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 甲方无正当理由拒收乙方合格服务的，按拒收部分合同价款每日5‰支付违约金；</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 甲方无故逾期支付服务费的，按逾期付款总额每日万分之五支付违约金。</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第十一条 保密与数据安全条款</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 乙方须对所有在岗人员开展网络安全、数据安全、保密教育培训，与所有项目人员签订保密协议，建立一人一档保密资料，全程提交甲方备案。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发生数据安全、信息泄露等违规事件：首次违规扣除违约金5万元；二次同类违规扣除违约金10万元并行业通报；三次同类违规，甲方单方面解除合同，乙方承担全部法律责任及经济损失。</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第十二条  不可抗力</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地震、台风、暴雨、疫情等不可抗力因素导致合同无法正常履行的，受影响方需立即书面通知对方，并提供权威机构证明，双方可协商顺延服务期限或调整履约内容，互不承担违约责任。不可抗力持续超120天的，双方可协商解除合同。</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第十三条 争议解决</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本合同履行过程中发生争议，双方优先友好协商解决；协商不成的，依法向甲方住所地人民法院提起诉讼。</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第十四条 合同生效及其他</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本合同自双方法定代表人/授权代表签字、加盖公章之日起生效。</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本合同由招标文件、乙方投标文件、中标通知书、答疑澄清文件、乙方承诺函、各类声明函共同组成，所有文件互为补充，具有同等法律效力。</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服务期内，甲方可根据政府采购政策及项目实际需求，在不改变合同核心条款的前提下，追加不超过原合同金额10%的同类服务。</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本合同未尽事宜，遵照《中华人民共和国政府采购法》《中华人民共和国民法典》相关规定执行。</w:t>
      </w:r>
      <w:r/>
    </w:p>
    <w:p>
      <w:pPr>
        <w:pStyle w:val="671"/>
        <w:ind w:firstLine="238"/>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本合同正本一式肆份，甲乙双方各执贰份，具有同等法律效力。</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（以下无正文）</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甲方（盖章）：滨海县滨淮镇人民政府</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法定代表人/授权代表（签字）：___________</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联系电话：13815516630</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签订日期：______年____月____日</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乙方（盖章）：___________</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法定代表人/授权代表（签字）：___________</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联系电话：___________</w:t>
      </w:r>
      <w:r/>
    </w:p>
    <w:p>
      <w:pPr>
        <w:pStyle w:val="671"/>
        <w:ind w:firstLine="24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签订日期：______年____月____日</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bookmarkStart w:id="171" w:name="_Toc479757211"/>
      <w:r/>
      <w:bookmarkStart w:id="172" w:name="_Hlt16619350"/>
      <w:r/>
      <w:bookmarkStart w:id="173" w:name="_Toc20823346"/>
      <w:r/>
      <w:bookmarkStart w:id="174" w:name="_Toc120614244"/>
      <w:r/>
      <w:bookmarkStart w:id="175" w:name="_Toc16938590"/>
      <w:r/>
      <w:bookmarkStart w:id="176" w:name="_Toc462564139"/>
      <w:r/>
      <w:bookmarkStart w:id="177" w:name="_Hlt16619369"/>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w:t>
      </w:r>
      <w:bookmarkEnd w:id="171"/>
      <w:r>
        <w:rPr>
          <w:rFonts w:hint="eastAsia" w:ascii="宋体" w:hAnsi="宋体" w:eastAsia="宋体" w:cs="宋体"/>
          <w:color w:val="auto"/>
          <w:sz w:val="44"/>
          <w:szCs w:val="44"/>
          <w:highlight w:val="none"/>
        </w:rPr>
        <w:t xml:space="preserve">四章 采购需求</w:t>
      </w:r>
      <w:bookmarkEnd w:id="172"/>
      <w:r/>
      <w:bookmarkEnd w:id="173"/>
      <w:r/>
      <w:bookmarkEnd w:id="174"/>
      <w:r/>
      <w:bookmarkEnd w:id="175"/>
      <w:r/>
      <w:bookmarkEnd w:id="176"/>
      <w:r/>
      <w:r/>
    </w:p>
    <w:p>
      <w:pPr>
        <w:pStyle w:val="671"/>
        <w:ind w:firstLine="480"/>
        <w:jc w:val="both"/>
        <w:spacing w:beforeAutospacing="0" w:afterAutospacing="0" w:line="0" w:lineRule="atLeast"/>
        <w:rPr>
          <w:rFonts w:hint="eastAsia" w:ascii="宋体" w:hAnsi="宋体" w:eastAsia="宋体" w:cs="宋体"/>
          <w:b/>
          <w:bCs/>
          <w:color w:val="auto"/>
          <w:sz w:val="24"/>
          <w:szCs w:val="24"/>
          <w:highlight w:val="none"/>
          <w:shd w:val="clear" w:color="auto" w:fill="auto"/>
        </w:rPr>
      </w:pPr>
      <w:r/>
      <w:bookmarkStart w:id="178" w:name="_Toc26554093"/>
      <w:r/>
      <w:bookmarkStart w:id="179" w:name="_Toc49090575"/>
      <w:r/>
      <w:r/>
    </w:p>
    <w:p>
      <w:pPr>
        <w:pStyle w:val="671"/>
        <w:ind w:firstLine="480"/>
        <w:jc w:val="both"/>
        <w:keepLines w:val="0"/>
        <w:keepNext w:val="0"/>
        <w:pageBreakBefore w:val="0"/>
        <w:spacing w:beforeAutospacing="0" w:afterAutospacing="0"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rPr>
        <w:t xml:space="preserve">项目属性:服务类项目。</w:t>
      </w:r>
      <w:bookmarkEnd w:id="178"/>
      <w:r/>
      <w:bookmarkEnd w:id="179"/>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shd w:val="clear" w:color="auto" w:fill="auto"/>
        </w:rPr>
      </w:pPr>
      <w:r/>
      <w:bookmarkStart w:id="180" w:name="_Toc120614281"/>
      <w:r>
        <w:rPr>
          <w:rFonts w:hint="eastAsia" w:ascii="宋体" w:hAnsi="宋体" w:eastAsia="宋体" w:cs="宋体"/>
          <w:b/>
          <w:bCs/>
          <w:color w:val="auto"/>
          <w:sz w:val="24"/>
          <w:szCs w:val="24"/>
          <w:highlight w:val="none"/>
          <w:shd w:val="clear" w:color="auto" w:fill="auto"/>
        </w:rPr>
        <w:t xml:space="preserve">一、项目基本情况</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项目名称：滨淮镇街道、农村市容服务外包 (27 个村居和集镇范围) 采购项目</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服务</w:t>
      </w:r>
      <w:r>
        <w:rPr>
          <w:rFonts w:hint="eastAsia" w:ascii="宋体" w:hAnsi="宋体" w:eastAsia="宋体" w:cs="宋体"/>
          <w:b w:val="0"/>
          <w:bCs w:val="0"/>
          <w:color w:val="auto"/>
          <w:sz w:val="24"/>
          <w:szCs w:val="24"/>
          <w:highlight w:val="none"/>
          <w:shd w:val="clear" w:color="auto" w:fill="auto"/>
          <w:lang w:val="en-US" w:eastAsia="zh-CN"/>
        </w:rPr>
        <w:t xml:space="preserve">范围</w:t>
      </w: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i w:val="0"/>
          <w:iCs w:val="0"/>
          <w:caps w:val="0"/>
          <w:color w:val="0f1115"/>
          <w:spacing w:val="0"/>
          <w:sz w:val="24"/>
          <w:szCs w:val="24"/>
          <w:highlight w:val="none"/>
          <w:shd w:val="clear" w:color="auto" w:fill="ffffff"/>
        </w:rPr>
        <w:t xml:space="preserve">主要为滨海县滨淮镇集镇建成区全域及下辖27个行政村行政区域内的所有主次干道、背街小巷、公共场地、河道沟渠、田间道路及公共区域</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服务地点：</w:t>
      </w:r>
      <w:r>
        <w:rPr>
          <w:rFonts w:hint="eastAsia" w:ascii="宋体" w:hAnsi="宋体" w:eastAsia="宋体" w:cs="宋体"/>
          <w:i w:val="0"/>
          <w:iCs w:val="0"/>
          <w:caps w:val="0"/>
          <w:color w:val="0f1115"/>
          <w:spacing w:val="0"/>
          <w:sz w:val="24"/>
          <w:szCs w:val="24"/>
          <w:highlight w:val="none"/>
          <w:shd w:val="clear" w:color="auto" w:fill="ffffff"/>
        </w:rPr>
        <w:t xml:space="preserve">滨海县滨淮镇集镇建成区+滨淮镇全部27个行政村全域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项目期限：自合同签订之日起1年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hint="eastAsia" w:ascii="宋体" w:hAnsi="宋体" w:eastAsia="宋体" w:cs="宋体"/>
          <w:b w:val="0"/>
          <w:bCs w:val="0"/>
          <w:color w:val="auto"/>
          <w:sz w:val="24"/>
          <w:szCs w:val="24"/>
          <w:highlight w:val="none"/>
          <w:shd w:val="clear" w:color="auto" w:fill="auto"/>
        </w:rPr>
        <w:t xml:space="preserve">人员配备总额：本项目共须配备服务人员61名（含项目负责人1名</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二、采购需求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（一）核心功能目标</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全面承担滨淮</w:t>
      </w:r>
      <w:r>
        <w:rPr>
          <w:rFonts w:hint="eastAsia" w:ascii="宋体" w:hAnsi="宋体" w:eastAsia="宋体" w:cs="宋体"/>
          <w:b w:val="0"/>
          <w:bCs w:val="0"/>
          <w:i w:val="0"/>
          <w:iCs w:val="0"/>
          <w:caps w:val="0"/>
          <w:color w:val="0f1115"/>
          <w:spacing w:val="0"/>
          <w:sz w:val="24"/>
          <w:szCs w:val="24"/>
          <w:highlight w:val="none"/>
          <w:shd w:val="clear" w:color="auto" w:fill="ffffff"/>
        </w:rPr>
        <w:t xml:space="preserve">镇集镇市容秩序管理、全域违章建筑巡查管控、27个村居主次道路、背街小巷、村内公共场地、村级河道、沟渠、坑塘、田间环境常态化巡查；及时劝阻乱堆乱放、乱搭乱建、占道经营、垃圾乱抛、污水直排、违建搭建等各类影响村容镇貌、农村人居环境的行为，建立巡查台账，第一时间上报镇相关职能部门</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i w:val="0"/>
          <w:iCs w:val="0"/>
          <w:caps w:val="0"/>
          <w:color w:val="0f1115"/>
          <w:spacing w:val="0"/>
          <w:sz w:val="24"/>
          <w:szCs w:val="24"/>
          <w:highlight w:val="none"/>
          <w:shd w:val="clear" w:color="auto" w:fill="ffffff"/>
        </w:rPr>
        <w:t xml:space="preserve">全程配合镇政府开展人居环境整治、集镇专项清理、违建排查拆除、河道清整、节庆市容保障等各类专项行动，保障滨淮镇集镇、各村环境整洁、建设规范、秩序有序</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二）</w:t>
      </w:r>
      <w:r>
        <w:rPr>
          <w:rFonts w:hint="eastAsia" w:ascii="宋体" w:hAnsi="宋体" w:eastAsia="宋体" w:cs="宋体"/>
          <w:b w:val="0"/>
          <w:bCs w:val="0"/>
          <w:color w:val="auto"/>
          <w:sz w:val="24"/>
          <w:szCs w:val="24"/>
          <w:highlight w:val="none"/>
          <w:shd w:val="clear" w:color="auto" w:fill="auto"/>
        </w:rPr>
        <w:t xml:space="preserve">采购标的需执行的国家相关标准、行业标准、地方标准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《中华人民共和国政府采购法》《中华人民共和国政府采购法实施条例》</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《中华人民共和国劳动法》《中华人民共和国劳动合同法》《社会保险法》</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《城市市容和环境卫生管理条例》《江苏省城市市容和环境卫生管理条例》</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《江苏省农村人居环境整治提升实施方案》《江苏省河道管理条例》</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hint="eastAsia" w:ascii="宋体" w:hAnsi="宋体" w:eastAsia="宋体" w:cs="宋体"/>
          <w:b w:val="0"/>
          <w:bCs w:val="0"/>
          <w:color w:val="auto"/>
          <w:sz w:val="24"/>
          <w:szCs w:val="24"/>
          <w:highlight w:val="none"/>
          <w:shd w:val="clear" w:color="auto" w:fill="auto"/>
        </w:rPr>
        <w:t xml:space="preserve">《江苏省工资支付条例》、滨海县农村环境、集镇管理、违法建设管控相关考核管理办法</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三）</w:t>
      </w:r>
      <w:r>
        <w:rPr>
          <w:rFonts w:hint="eastAsia" w:ascii="宋体" w:hAnsi="宋体" w:eastAsia="宋体" w:cs="宋体"/>
          <w:b w:val="0"/>
          <w:bCs w:val="0"/>
          <w:color w:val="auto"/>
          <w:sz w:val="24"/>
          <w:szCs w:val="24"/>
          <w:highlight w:val="none"/>
          <w:shd w:val="clear" w:color="auto" w:fill="auto"/>
        </w:rPr>
        <w:t xml:space="preserve">采购标的需满足的质量、安全、技术要求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质量要求：</w:t>
      </w:r>
      <w:r>
        <w:rPr>
          <w:rFonts w:hint="eastAsia" w:ascii="宋体" w:hAnsi="宋体" w:eastAsia="宋体" w:cs="宋体"/>
          <w:i w:val="0"/>
          <w:iCs w:val="0"/>
          <w:caps w:val="0"/>
          <w:color w:val="0f1115"/>
          <w:spacing w:val="0"/>
          <w:sz w:val="24"/>
          <w:szCs w:val="24"/>
          <w:highlight w:val="none"/>
          <w:shd w:val="clear" w:color="auto" w:fill="ffffff"/>
        </w:rPr>
        <w:t xml:space="preserve">日常巡查全覆盖无死角，各类违规行为早发现、早劝阻、早登记、早上报；台账完整真实，月度、季度考核达到采购人合格标准</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安全要求：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统一配备反光服、照明、防滑、涉水防护装备</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开展岗前交通安全、河道巡查、户外作业安全培训；</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rPr>
        <w:t xml:space="preserve">人员上下班、田间、河道、集镇执勤发生疾病、摔伤、溺水、交通意外等全部责任、费用由供应商自行承担，与采购人无关</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四）</w:t>
      </w:r>
      <w:r>
        <w:rPr>
          <w:rFonts w:hint="eastAsia" w:ascii="宋体" w:hAnsi="宋体" w:eastAsia="宋体" w:cs="宋体"/>
          <w:b w:val="0"/>
          <w:bCs w:val="0"/>
          <w:color w:val="auto"/>
          <w:sz w:val="24"/>
          <w:szCs w:val="24"/>
          <w:highlight w:val="none"/>
          <w:shd w:val="clear" w:color="auto" w:fill="auto"/>
        </w:rPr>
        <w:t xml:space="preserve">采购标的数量、实施时间、细化服务范围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4.1</w:t>
      </w:r>
      <w:r>
        <w:rPr>
          <w:rFonts w:hint="eastAsia" w:ascii="宋体" w:hAnsi="宋体" w:eastAsia="宋体" w:cs="宋体"/>
          <w:b w:val="0"/>
          <w:bCs w:val="0"/>
          <w:color w:val="auto"/>
          <w:sz w:val="24"/>
          <w:szCs w:val="24"/>
          <w:highlight w:val="none"/>
          <w:shd w:val="clear" w:color="auto" w:fill="auto"/>
        </w:rPr>
        <w:t xml:space="preserve">人员配备要求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i w:val="0"/>
          <w:iCs w:val="0"/>
          <w:caps w:val="0"/>
          <w:color w:val="0f1115"/>
          <w:spacing w:val="0"/>
          <w:sz w:val="24"/>
          <w:szCs w:val="24"/>
          <w:highlight w:val="none"/>
          <w:shd w:val="clear" w:color="auto" w:fill="ffffff"/>
        </w:rPr>
        <w:t xml:space="preserve">本项目须配备服务人员61名（含项目负责人1名），所有人员须经采购</w:t>
      </w:r>
      <w:r>
        <w:rPr>
          <w:rFonts w:hint="eastAsia" w:ascii="宋体" w:hAnsi="宋体" w:eastAsia="宋体" w:cs="宋体"/>
          <w:b w:val="0"/>
          <w:bCs w:val="0"/>
          <w:color w:val="auto"/>
          <w:sz w:val="24"/>
          <w:szCs w:val="24"/>
          <w:highlight w:val="none"/>
          <w:shd w:val="clear" w:color="auto" w:fill="auto"/>
          <w:lang w:val="en-US" w:eastAsia="zh-CN"/>
        </w:rPr>
        <w:t xml:space="preserve">人面试或考核同意后方可上岗。人员基本条件如下：</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（1）具有中华人民共和国国籍，拥护宪法，遵守法律法规，品行端正，无违法犯罪记录；</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（2）男性，年龄在18周岁至45周岁之间；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（3）身高不低于1.65米，身体健康，无重大疾病、无色觉异常、无明显纹身及传染病，能适应户外巡查及体力工作要求；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（4）高中或中专以上文化程度，具备一定的沟通协调能力和文字记录能力；退伍军人或具有相关市容管理经验者优先录用。</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4.2</w:t>
      </w:r>
      <w:r>
        <w:rPr>
          <w:rFonts w:hint="eastAsia" w:ascii="宋体" w:hAnsi="宋体" w:eastAsia="宋体" w:cs="宋体"/>
          <w:b w:val="0"/>
          <w:bCs w:val="0"/>
          <w:color w:val="auto"/>
          <w:sz w:val="24"/>
          <w:szCs w:val="24"/>
          <w:highlight w:val="none"/>
          <w:shd w:val="clear" w:color="auto" w:fill="auto"/>
        </w:rPr>
        <w:t xml:space="preserve">项目负责人专项要求：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年龄18—45周岁，大专及以上学历；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具有5年以上市容管理/农村环境外包项目管理经验；</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全程驻镇办公，对接镇各部门，统筹人员调度、台账管理、整改响应</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二</w:t>
      </w:r>
      <w:r>
        <w:rPr>
          <w:rFonts w:hint="eastAsia" w:ascii="宋体" w:hAnsi="宋体" w:eastAsia="宋体" w:cs="宋体"/>
          <w:b w:val="0"/>
          <w:bCs w:val="0"/>
          <w:color w:val="auto"/>
          <w:sz w:val="24"/>
          <w:szCs w:val="24"/>
          <w:highlight w:val="none"/>
          <w:shd w:val="clear" w:color="auto" w:fill="auto"/>
        </w:rPr>
        <w:t xml:space="preserve">）详细服务范围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 集镇服务范围（滨淮镇集镇建成区全域）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i w:val="0"/>
          <w:iCs w:val="0"/>
          <w:caps w:val="0"/>
          <w:color w:val="0f1115"/>
          <w:spacing w:val="0"/>
          <w:sz w:val="24"/>
          <w:szCs w:val="24"/>
          <w:highlight w:val="none"/>
          <w:shd w:val="clear" w:color="auto" w:fill="ffffff"/>
        </w:rPr>
        <w:t xml:space="preserve">滨淮镇集镇主次街道、所有背街小巷、农贸市场内外及周边、集镇沿街商铺门前区域、集镇所有公共广场、公厕、停车场、集镇河道两岸、集镇工业小区外围、集镇各村出入口连接线、集镇所有闲置空地、集镇拆迁待整治地块。</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服务内容：</w:t>
      </w:r>
      <w:r>
        <w:rPr>
          <w:rFonts w:hint="eastAsia" w:ascii="宋体" w:hAnsi="宋体" w:eastAsia="宋体" w:cs="宋体"/>
          <w:i w:val="0"/>
          <w:iCs w:val="0"/>
          <w:caps w:val="0"/>
          <w:color w:val="0f1115"/>
          <w:spacing w:val="0"/>
          <w:sz w:val="24"/>
          <w:szCs w:val="24"/>
          <w:highlight w:val="none"/>
          <w:shd w:val="clear" w:color="auto" w:fill="ffffff"/>
        </w:rPr>
        <w:t xml:space="preserve">占道经营、店外堆放、户外广告乱贴、车辆乱停、垃圾杂物乱堆、私搭棚亭、违建、河道垃圾漂浮、杂草、露天粪坑、废品乱堆等巡查劝导、登记上报</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 27个行政村（全域覆盖）</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建民村、建西村、沈滩村、东滨村、合新村、新岭村、建东村、双舍村、公玉村、河西村、硝场村、双树村、长兴村、玉华村、东罾村、康庄村、城门村、新圩村、陆塘村、玉龙村、凡集村、临淮村、双建村、山星村、梁港村、倪滩村、新垦村</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 各村统一巡查服务区域（每个村全部包含以下板块）</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① 村内所有主干道、村组支路、房前屋后背街巷道；</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② 村内公共场地、文化广场、便民服务点、村级卫生室、村部周边；</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③ 全村所有河道、灌溉沟渠、水塘两岸（含水面漂浮垃圾、岸边杂草、乱堆杂物、污水直排、私搭拦网、违建围堰）；</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④ 村内闲置宅基地、荒地、废弃房屋周边；</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⑤ 田间道路、村庄与农田交界地带；</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⑥ 村内养殖棚、简易搭建、围墙、附属违建点位；</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⑦ 村组垃圾堆放点、露天粪坑、杂物堆、柴火堆；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⑧ 村级出入口、与集镇连接线道路两侧；</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⑨ 村内企业、小作坊外围市容、乱堆乱放点位。</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 专项覆盖范围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全镇27村+集镇范围内所有新增在建房屋、围挡、临时搭建、畜禽简易棚、围墙扩建等违建动态巡查；全镇人居环境迎检点位、上级督查点位、镇政府临时划定重点管控区域。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(五）</w:t>
      </w:r>
      <w:r>
        <w:rPr>
          <w:rFonts w:hint="eastAsia" w:ascii="宋体" w:hAnsi="宋体" w:eastAsia="宋体" w:cs="宋体"/>
          <w:b w:val="0"/>
          <w:bCs w:val="0"/>
          <w:color w:val="auto"/>
          <w:sz w:val="24"/>
          <w:szCs w:val="24"/>
          <w:highlight w:val="none"/>
          <w:shd w:val="clear" w:color="auto" w:fill="auto"/>
        </w:rPr>
        <w:t xml:space="preserve">服务标准、人员管理、工作要求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5.1</w:t>
      </w:r>
      <w:r>
        <w:rPr>
          <w:rFonts w:hint="eastAsia" w:ascii="宋体" w:hAnsi="宋体" w:eastAsia="宋体" w:cs="宋体"/>
          <w:b w:val="0"/>
          <w:bCs w:val="0"/>
          <w:color w:val="auto"/>
          <w:sz w:val="24"/>
          <w:szCs w:val="24"/>
          <w:highlight w:val="none"/>
          <w:shd w:val="clear" w:color="auto" w:fill="auto"/>
        </w:rPr>
        <w:t xml:space="preserve">工作时间：每日7:30—18:00；人居环境迎检、节假日、暴雨台风、河道清理、违建集中整治等任务，无条件加班值守。</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5.2</w:t>
      </w:r>
      <w:r>
        <w:rPr>
          <w:rFonts w:hint="eastAsia" w:ascii="宋体" w:hAnsi="宋体" w:eastAsia="宋体" w:cs="宋体"/>
          <w:b w:val="0"/>
          <w:bCs w:val="0"/>
          <w:color w:val="auto"/>
          <w:sz w:val="24"/>
          <w:szCs w:val="24"/>
          <w:highlight w:val="none"/>
          <w:shd w:val="clear" w:color="auto" w:fill="auto"/>
        </w:rPr>
        <w:t xml:space="preserve">人员基础条件</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（1）无犯罪记录、无行政拘留、无吸毒等不良记录，政审合格；</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（2）身体健康，无传染病、重大基础疾病，能适应户外、田间、河道长期巡查；</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（3）中专/高中及以上学历，具备基础文字记录、拍照上传能力；</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（4）服从镇政府、项目负责人统一调度。</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5.3</w:t>
      </w:r>
      <w:r>
        <w:rPr>
          <w:rFonts w:hint="eastAsia" w:ascii="宋体" w:hAnsi="宋体" w:eastAsia="宋体" w:cs="宋体"/>
          <w:b w:val="0"/>
          <w:bCs w:val="0"/>
          <w:color w:val="auto"/>
          <w:sz w:val="24"/>
          <w:szCs w:val="24"/>
          <w:highlight w:val="none"/>
          <w:shd w:val="clear" w:color="auto" w:fill="auto"/>
        </w:rPr>
        <w:t xml:space="preserve">日常巡查服务标准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（1）每日分片全覆盖巡查，当日发现占道、乱堆、违建、河道垃圾、污水、乱贴小广告等现场劝导制止，拒不整改的拍照登记，当日上报镇职能部门；</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（2）违建实行每日动态排查，新增搭建第一时间现场劝阻并书面上报；</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（3）河道沟渠每日巡岸，清理岸边及水面漂浮垃圾，上报排污、围垦河道行为；</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（4）建立每日巡查台账、问题照片台账、整改回访台账，每月统一汇总提交采购人。</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5.4</w:t>
      </w:r>
      <w:r>
        <w:rPr>
          <w:rFonts w:hint="eastAsia" w:ascii="宋体" w:hAnsi="宋体" w:eastAsia="宋体" w:cs="宋体"/>
          <w:b w:val="0"/>
          <w:bCs w:val="0"/>
          <w:color w:val="auto"/>
          <w:sz w:val="24"/>
          <w:szCs w:val="24"/>
          <w:highlight w:val="none"/>
          <w:shd w:val="clear" w:color="auto" w:fill="auto"/>
        </w:rPr>
        <w:t xml:space="preserve">培训要求：每周累计不少于2小时集中培训（</w:t>
      </w:r>
      <w:r>
        <w:rPr>
          <w:rFonts w:hint="eastAsia" w:ascii="宋体" w:hAnsi="宋体" w:eastAsia="宋体" w:cs="宋体"/>
          <w:i w:val="0"/>
          <w:iCs w:val="0"/>
          <w:caps w:val="0"/>
          <w:color w:val="0f1115"/>
          <w:spacing w:val="0"/>
          <w:sz w:val="24"/>
          <w:szCs w:val="24"/>
          <w:highlight w:val="none"/>
          <w:shd w:val="clear" w:color="auto" w:fill="ffffff"/>
        </w:rPr>
        <w:t xml:space="preserve">内容涵盖环境巡查、违建识别、安全作业、沟通规范、应急处置），培训记录、签到、照片每月上交镇政府</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5.5</w:t>
      </w:r>
      <w:r>
        <w:rPr>
          <w:rFonts w:hint="eastAsia" w:ascii="宋体" w:hAnsi="宋体" w:eastAsia="宋体" w:cs="宋体"/>
          <w:b w:val="0"/>
          <w:bCs w:val="0"/>
          <w:color w:val="auto"/>
          <w:sz w:val="24"/>
          <w:szCs w:val="24"/>
          <w:highlight w:val="none"/>
          <w:shd w:val="clear" w:color="auto" w:fill="auto"/>
        </w:rPr>
        <w:t xml:space="preserve">响应时效：镇交办问题1小时到场处置</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rPr>
        <w:t xml:space="preserve">突发违建、河道污染、环境乱象30分钟抵达现场并上报。</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六）</w:t>
      </w:r>
      <w:r>
        <w:rPr>
          <w:rFonts w:hint="eastAsia" w:ascii="宋体" w:hAnsi="宋体" w:eastAsia="宋体" w:cs="宋体"/>
          <w:b w:val="0"/>
          <w:bCs w:val="0"/>
          <w:color w:val="auto"/>
          <w:sz w:val="24"/>
          <w:szCs w:val="24"/>
          <w:highlight w:val="none"/>
          <w:shd w:val="clear" w:color="auto" w:fill="auto"/>
        </w:rPr>
        <w:t xml:space="preserve">验收标准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6.1</w:t>
      </w:r>
      <w:r>
        <w:rPr>
          <w:rFonts w:hint="eastAsia" w:ascii="宋体" w:hAnsi="宋体" w:eastAsia="宋体" w:cs="宋体"/>
          <w:b w:val="0"/>
          <w:bCs w:val="0"/>
          <w:color w:val="auto"/>
          <w:sz w:val="24"/>
          <w:szCs w:val="24"/>
          <w:highlight w:val="none"/>
          <w:shd w:val="clear" w:color="auto" w:fill="auto"/>
        </w:rPr>
        <w:t xml:space="preserve">日常验收：镇工作人员每日抽查人员到岗、巡查轨迹、现场处置，当日履职合格视为当日验收通过；</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6.2</w:t>
      </w:r>
      <w:r>
        <w:rPr>
          <w:rFonts w:hint="eastAsia" w:ascii="宋体" w:hAnsi="宋体" w:eastAsia="宋体" w:cs="宋体"/>
          <w:b w:val="0"/>
          <w:bCs w:val="0"/>
          <w:color w:val="auto"/>
          <w:sz w:val="24"/>
          <w:szCs w:val="24"/>
          <w:highlight w:val="none"/>
          <w:shd w:val="clear" w:color="auto" w:fill="auto"/>
        </w:rPr>
        <w:t xml:space="preserve">月度验收：核查人员在岗、台账完整度、问题处置完成率、投诉数量；</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6.3</w:t>
      </w:r>
      <w:r>
        <w:rPr>
          <w:rFonts w:hint="eastAsia" w:ascii="宋体" w:hAnsi="宋体" w:eastAsia="宋体" w:cs="宋体"/>
          <w:b w:val="0"/>
          <w:bCs w:val="0"/>
          <w:color w:val="auto"/>
          <w:sz w:val="24"/>
          <w:szCs w:val="24"/>
          <w:highlight w:val="none"/>
          <w:shd w:val="clear" w:color="auto" w:fill="auto"/>
        </w:rPr>
        <w:t xml:space="preserve">季度综合验收（付款依据）：</w:t>
      </w:r>
      <w:r>
        <w:rPr>
          <w:rFonts w:ascii="宋体" w:hAnsi="宋体" w:eastAsia="宋体" w:cs="宋体"/>
          <w:sz w:val="24"/>
          <w:szCs w:val="24"/>
          <w:highlight w:val="none"/>
        </w:rPr>
        <w:t xml:space="preserve">季度综合考核不合格，按考核细则扣除对应违约金；甲方下达整改通知书后限期整改仍未达标的，采购人有权单方解除服务合同</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七）</w:t>
      </w:r>
      <w:r>
        <w:rPr>
          <w:rFonts w:hint="eastAsia" w:ascii="宋体" w:hAnsi="宋体" w:eastAsia="宋体" w:cs="宋体"/>
          <w:b w:val="0"/>
          <w:bCs w:val="0"/>
          <w:color w:val="auto"/>
          <w:sz w:val="24"/>
          <w:szCs w:val="24"/>
          <w:highlight w:val="none"/>
          <w:shd w:val="clear" w:color="auto" w:fill="auto"/>
        </w:rPr>
        <w:t xml:space="preserve">报价、用工相关硬性要求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本项目为总价包干报价，投标总价包含 61 名服务人员全部劳动报酬、各类加班费、高温津贴、福利费、单位及个人社会保险、住房公积金、执勤服装、反光防护装备、巡查通讯设备、办公台账耗材、岗前及常态化培训、人身意外险、项目管理费、税金、人工成本上涨预估等实施本项目全部费用，合同履行期间采购人不再额外支付任何款项</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人员工资底线：</w:t>
      </w:r>
      <w:r>
        <w:rPr>
          <w:rFonts w:ascii="宋体" w:hAnsi="宋体" w:eastAsia="宋体" w:cs="宋体"/>
          <w:sz w:val="24"/>
          <w:szCs w:val="24"/>
          <w:highlight w:val="none"/>
        </w:rPr>
        <w:t xml:space="preserve">所有在岗服务人员月度应发工资不得低于滨海县现行最低工资标准及本地同类外包岗位合理薪酬水平，人员工资、社会保险、住房公积金均属于法定不可竞争成本，投标报价测算成本低于法定用工底线的，按无效投标处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社会保险缴纳要求：乙方必须按照滨海县社保最低缴费标准及国家、省、市、县现行社保政策，为全体服务人员足额缴纳五险；乙方需与全部服务人员依法签订规范劳动合同，劳动合同、社保缴费凭证、保险保单等材料采购人可随时要求乙方提供原件备查</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ascii="宋体" w:hAnsi="宋体" w:eastAsia="宋体" w:cs="宋体"/>
          <w:sz w:val="24"/>
          <w:szCs w:val="24"/>
          <w:highlight w:val="none"/>
        </w:rPr>
        <w:t xml:space="preserve">服务人员伙食费、个人通讯费、个人生活用品等全部由人员自行承担，采购人不提供食宿、通讯相关任何补贴</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ascii="宋体" w:hAnsi="宋体" w:eastAsia="宋体" w:cs="宋体"/>
          <w:sz w:val="24"/>
          <w:szCs w:val="24"/>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ascii="宋体" w:hAnsi="宋体" w:eastAsia="宋体" w:cs="宋体"/>
          <w:sz w:val="24"/>
          <w:szCs w:val="24"/>
          <w:highlight w:val="none"/>
        </w:rPr>
        <w:t xml:space="preserve">政策性薪酬调整约定：合同履约期内，若国家、江苏省、盐城市、滨海县出台文件上调最低工资标准、社保缴费最低标准等政策性用工调整政策，自政策文件规定执行之日起，乙方服务人员工资、单位承担社保部分同步按政策要求相应上调；</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6.</w:t>
      </w:r>
      <w:r>
        <w:rPr>
          <w:rFonts w:ascii="宋体" w:hAnsi="宋体" w:eastAsia="宋体" w:cs="宋体"/>
          <w:sz w:val="24"/>
          <w:szCs w:val="24"/>
          <w:highlight w:val="none"/>
        </w:rPr>
        <w:t xml:space="preserve">本项目服务不得整体转包，亦不得拆分分项分包给任何第三方单位或个人，一经查实，采购人有权直接解除合同，由此产生一切损失由乙方自行承担</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八）</w:t>
      </w:r>
      <w:r>
        <w:rPr>
          <w:rFonts w:hint="eastAsia" w:ascii="宋体" w:hAnsi="宋体" w:eastAsia="宋体" w:cs="宋体"/>
          <w:b w:val="0"/>
          <w:bCs w:val="0"/>
          <w:color w:val="auto"/>
          <w:sz w:val="24"/>
          <w:szCs w:val="24"/>
          <w:highlight w:val="none"/>
          <w:shd w:val="clear" w:color="auto" w:fill="auto"/>
        </w:rPr>
        <w:t xml:space="preserve">违约责任</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未提前书面报备、未经采购人书面审核同意，擅自更换、内部调岗所有在岗服务人员的，每一人次扣除违约金 1000 元，乙方须 3 日内补齐同等条件人员</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ascii="宋体" w:hAnsi="宋体" w:eastAsia="宋体" w:cs="宋体"/>
          <w:sz w:val="24"/>
          <w:szCs w:val="24"/>
          <w:highlight w:val="none"/>
        </w:rPr>
        <w:t xml:space="preserve">服务人员存在脱岗、空岗、片区漏巡、巡查履职不到位、工作消极敷衍，或经核实产生有效群众投诉的，每一人次扣除违约金 500 元，并扣除该人员当日全部薪酬</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未按要求建立完整巡查台账、问题整改台账、月度培训台账，或未落实每周累计不少于 2 小时全员培训、未留存完整培训资料的，每次扣除违约金 1000 元；限期 3 日内整改仍未达标的，采购人有权暂缓支付当期季度服务费</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ascii="宋体" w:hAnsi="宋体" w:eastAsia="宋体" w:cs="宋体"/>
          <w:sz w:val="24"/>
          <w:szCs w:val="24"/>
          <w:highlight w:val="none"/>
        </w:rPr>
        <w:t xml:space="preserve">乙方多次拒不配合集镇管理、农村人居环境整治、违章建筑排查整治等专项工作，经采购人多次督促整改后服务质量仍不达标，采购人有权单方面解除合同，因解约产生的全部经济损失由乙方承担</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ascii="宋体" w:hAnsi="宋体" w:eastAsia="宋体" w:cs="宋体"/>
          <w:sz w:val="24"/>
          <w:szCs w:val="24"/>
          <w:highlight w:val="none"/>
        </w:rPr>
        <w:t xml:space="preserve">乙方未依法与人员签订劳动合同、未按规定足额缴纳社会保险，采购人有权暂缓支付全部服务费用，并可单方解除合同，同时追究乙方全部法律及经济责任</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九）</w:t>
      </w:r>
      <w:r>
        <w:rPr>
          <w:rFonts w:hint="eastAsia" w:ascii="宋体" w:hAnsi="宋体" w:eastAsia="宋体" w:cs="宋体"/>
          <w:b w:val="0"/>
          <w:bCs w:val="0"/>
          <w:color w:val="auto"/>
          <w:sz w:val="24"/>
          <w:szCs w:val="24"/>
          <w:highlight w:val="none"/>
          <w:shd w:val="clear" w:color="auto" w:fill="auto"/>
        </w:rPr>
        <w:t xml:space="preserve">其他承诺条款</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响应人须提供书面承诺书（格式自拟），承诺内容包括但不限于：</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合同签订前向采购人提交全部拟派人员身份证、无犯罪记录证明、健康体检证明、学历证书等原件核验</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ascii="宋体" w:hAnsi="宋体" w:eastAsia="宋体" w:cs="宋体"/>
          <w:sz w:val="24"/>
          <w:szCs w:val="24"/>
          <w:highlight w:val="none"/>
        </w:rPr>
        <w:t xml:space="preserve">人员更换须提前书面报备、经镇政府审核同意后方可上岗</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未按要求提交核验材料或未经同意私自更换人员，采购人有权拒绝签订合同、单方解除合同并没收履约保证金</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在合同履行期间，采购人及采购代理机构有权要求中标人提供投标文件中的相关证明材料原件予以核实，如出现弄虚作假，按“提供虚假材料谋取中标”依法处理</w:t>
      </w:r>
      <w:r>
        <w:rPr>
          <w:rFonts w:hint="eastAsia" w:ascii="宋体" w:hAnsi="宋体" w:eastAsia="宋体" w:cs="宋体"/>
          <w:b w:val="0"/>
          <w:bCs w:val="0"/>
          <w:color w:val="auto"/>
          <w:sz w:val="24"/>
          <w:szCs w:val="24"/>
          <w:highlight w:val="none"/>
          <w:lang w:val="en-US" w:eastAsia="zh-CN"/>
        </w:rPr>
        <w:t xml:space="preserve">。</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contextualSpacing w:val="0"/>
        <w:ind w:left="0" w:firstLine="473"/>
        <w:jc w:val="both"/>
        <w:keepLines w:val="0"/>
        <w:keepNext w:val="0"/>
        <w:pageBreakBefore w:val="0"/>
        <w:spacing w:line="460" w:lineRule="exact"/>
        <w:widowControl w:val="off"/>
        <w:rPr>
          <w:rFonts w:hint="eastAsia" w:ascii="宋体" w:hAnsi="宋体" w:eastAsia="宋体" w:cs="Times New Roman"/>
          <w:b/>
          <w:bCs/>
          <w:color w:val="auto"/>
          <w:sz w:val="21"/>
          <w:szCs w:val="21"/>
          <w:highlight w:val="none"/>
          <w:lang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Times New Roman"/>
          <w:b/>
          <w:bCs/>
          <w:color w:val="auto"/>
          <w:sz w:val="21"/>
          <w:szCs w:val="21"/>
          <w:highlight w:val="none"/>
          <w:lang w:bidi="ar-SA"/>
        </w:rPr>
        <w:t xml:space="preserve">采购标的对应的中小企业划分标准所属行业一览表</w:t>
      </w:r>
      <w:r/>
    </w:p>
    <w:tbl>
      <w:tblPr>
        <w:tblStyle w:val="648"/>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滨海县滨淮镇街道、农村市容服务外包(27个村居和集镇范围)采购项目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pStyle w:val="671"/>
        <w:ind w:firstLine="240"/>
        <w:jc w:val="both"/>
        <w:spacing w:beforeAutospacing="0" w:afterAutospacing="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44"/>
          <w:szCs w:val="44"/>
          <w:highlight w:val="none"/>
        </w:rPr>
        <w:t xml:space="preserve">     第五章  </w:t>
      </w:r>
      <w:r>
        <w:rPr>
          <w:rFonts w:hint="eastAsia" w:ascii="宋体" w:hAnsi="宋体" w:eastAsia="宋体" w:cs="宋体"/>
          <w:b/>
          <w:color w:val="auto"/>
          <w:sz w:val="44"/>
          <w:szCs w:val="44"/>
          <w:highlight w:val="none"/>
        </w:rPr>
        <w:t xml:space="preserve">评标方法与评标标准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最低评标价</w:t>
      </w:r>
      <w:r>
        <w:rPr>
          <w:rFonts w:hint="eastAsia" w:ascii="宋体" w:hAnsi="宋体" w:eastAsia="宋体" w:cs="宋体"/>
          <w:bCs/>
          <w:color w:val="auto"/>
          <w:sz w:val="24"/>
          <w:szCs w:val="24"/>
          <w:highlight w:val="none"/>
        </w:rPr>
        <w:t xml:space="preserve"> 法。评标委员会对满足招标文件实质性要求的投标文件，按照本招标文件规定的要求进行评审，并按最终通过评审的评标价由低到高顺序推荐中标候选人。最低评标报价相等的，由招标人确定，本项目选取1名中标候选人</w:t>
      </w:r>
      <w:r>
        <w:rPr>
          <w:rFonts w:hint="eastAsia" w:ascii="宋体" w:hAnsi="宋体" w:eastAsia="宋体" w:cs="宋体"/>
          <w:color w:val="auto"/>
          <w:sz w:val="24"/>
          <w:szCs w:val="24"/>
          <w:highlight w:val="none"/>
        </w:rPr>
        <w:t xml:space="preserve">。</w:t>
      </w:r>
      <w:r/>
    </w:p>
    <w:p>
      <w:pPr>
        <w:pStyle w:val="671"/>
        <w:ind w:firstLine="441"/>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30"/>
        <w:ind w:firstLine="360"/>
        <w:keepLines w:val="0"/>
        <w:keepNext w:val="0"/>
        <w:pageBreakBefore w:val="0"/>
        <w:spacing w:before="0"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71"/>
        <w:ind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71"/>
        <w:ind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71"/>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71"/>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71"/>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71"/>
        <w:ind w:firstLine="48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71"/>
        <w:ind w:left="120" w:firstLine="360"/>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第六章  投标文件格式 </w:t>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1"/>
        <w:jc w:val="center"/>
        <w:spacing w:beforeAutospacing="0" w:afterAutospacing="0"/>
        <w:rPr>
          <w:rFonts w:hint="eastAsia" w:ascii="宋体" w:hAnsi="宋体" w:eastAsia="宋体" w:cs="宋体"/>
          <w:color w:val="auto"/>
          <w:highlight w:val="none"/>
        </w:rPr>
      </w:pPr>
      <w:r/>
      <w:bookmarkStart w:id="181" w:name="_Hlt26671244"/>
      <w:r/>
      <w:bookmarkEnd w:id="181"/>
      <w:r/>
      <w:bookmarkStart w:id="182" w:name="_Toc26554094"/>
      <w:r/>
      <w:bookmarkEnd w:id="182"/>
      <w:r/>
      <w:bookmarkStart w:id="183" w:name="_Hlt26955039"/>
      <w:r/>
      <w:bookmarkEnd w:id="183"/>
      <w:r/>
      <w:bookmarkStart w:id="184" w:name="_Toc120614282"/>
      <w:r/>
      <w:bookmarkStart w:id="185" w:name="_Toc49090576"/>
      <w:r>
        <w:rPr>
          <w:rFonts w:hint="eastAsia" w:ascii="宋体" w:hAnsi="宋体" w:eastAsia="宋体" w:cs="宋体"/>
          <w:b/>
          <w:color w:val="auto"/>
          <w:sz w:val="72"/>
          <w:szCs w:val="72"/>
          <w:highlight w:val="none"/>
        </w:rPr>
        <w:t xml:space="preserve">投  标  文  件</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1084"/>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1"/>
        <w:ind w:firstLine="1084"/>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clear="all"/>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left="480"/>
        <w:jc w:val="both"/>
        <w:keepLines w:val="0"/>
        <w:keepNext w:val="0"/>
        <w:pageBreakBefore w:val="0"/>
        <w:spacing w:beforeAutospacing="0" w:afterAutospacing="0" w:line="400" w:lineRule="exact"/>
        <w:widowControl w:val="off"/>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rPr>
        <w:t xml:space="preserve">一、法人或者其他组织的营业执照等证明文件，自然人的身份证明</w:t>
      </w:r>
      <w:r/>
    </w:p>
    <w:p>
      <w:pPr>
        <w:ind w:firstLine="480"/>
        <w:jc w:val="left"/>
        <w:keepLines w:val="0"/>
        <w:keepNext w:val="0"/>
        <w:pageBreakBefore w:val="0"/>
        <w:spacing w:line="400" w:lineRule="exact"/>
        <w:widowControl w:val="off"/>
        <w:tabs>
          <w:tab w:val="left" w:pos="1331" w:leader="none"/>
        </w:tabs>
        <w:rPr>
          <w:rFonts w:hint="eastAsia" w:ascii="宋体" w:hAnsi="宋体" w:eastAsia="宋体" w:cs="宋体"/>
          <w:i/>
          <w:iCs w:val="0"/>
          <w:color w:val="auto"/>
          <w:sz w:val="24"/>
          <w:szCs w:val="24"/>
          <w:highlight w:val="none"/>
          <w:u w:val="none"/>
          <w:lang w:val="en-US" w:eastAsia="zh-CN" w:bidi="ar-SA"/>
        </w:rPr>
      </w:pPr>
      <w:r>
        <w:rPr>
          <w:rFonts w:hint="eastAsia" w:ascii="宋体" w:hAnsi="宋体" w:eastAsia="宋体" w:cs="宋体"/>
          <w:i/>
          <w:iCs w:val="0"/>
          <w:color w:val="auto"/>
          <w:sz w:val="24"/>
          <w:szCs w:val="24"/>
          <w:highlight w:val="none"/>
          <w:u w:val="none"/>
          <w:lang w:val="en-US" w:eastAsia="zh-CN" w:bidi="ar-SA"/>
        </w:rPr>
        <w:t xml:space="preserve">二、上一年度的财务状况报告</w:t>
      </w:r>
      <w:r>
        <w:rPr>
          <w:rFonts w:hint="eastAsia" w:ascii="宋体" w:hAnsi="宋体" w:eastAsia="宋体" w:cs="宋体"/>
          <w:i/>
          <w:iCs w:val="0"/>
          <w:color w:val="auto"/>
          <w:sz w:val="24"/>
          <w:szCs w:val="24"/>
          <w:highlight w:val="none"/>
        </w:rPr>
        <w:t xml:space="preserve">（至少提供资产负债表、利润表、现金流量表，供应商成立不满一</w:t>
      </w:r>
      <w:bookmarkStart w:id="204" w:name="_GoBack"/>
      <w:r>
        <w:rPr>
          <w:rFonts w:hint="eastAsia" w:ascii="宋体" w:hAnsi="宋体" w:eastAsia="宋体" w:cs="宋体"/>
          <w:i/>
          <w:iCs w:val="0"/>
          <w:color w:val="auto"/>
          <w:sz w:val="24"/>
          <w:szCs w:val="24"/>
          <w:highlight w:val="none"/>
        </w:rPr>
        <w:t xml:space="preserve">年</w:t>
      </w:r>
      <w:bookmarkEnd w:id="204"/>
      <w:r>
        <w:rPr>
          <w:rFonts w:hint="eastAsia" w:ascii="宋体" w:hAnsi="宋体" w:eastAsia="宋体" w:cs="宋体"/>
          <w:i/>
          <w:iCs w:val="0"/>
          <w:color w:val="auto"/>
          <w:sz w:val="24"/>
          <w:szCs w:val="24"/>
          <w:highlight w:val="none"/>
        </w:rPr>
        <w:t xml:space="preserve">无需提供）</w:t>
      </w:r>
      <w:r/>
    </w:p>
    <w:p>
      <w:pPr>
        <w:pStyle w:val="671"/>
        <w:ind w:left="480"/>
        <w:jc w:val="both"/>
        <w:keepLines w:val="0"/>
        <w:keepNext w:val="0"/>
        <w:pageBreakBefore w:val="0"/>
        <w:spacing w:beforeAutospacing="0" w:afterAutospacing="0" w:line="400" w:lineRule="exact"/>
        <w:widowControl w:val="off"/>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 xml:space="preserve">三</w:t>
      </w:r>
      <w:r>
        <w:rPr>
          <w:rFonts w:hint="eastAsia" w:ascii="宋体" w:hAnsi="宋体" w:eastAsia="宋体" w:cs="宋体"/>
          <w:i/>
          <w:iCs w:val="0"/>
          <w:color w:val="auto"/>
          <w:highlight w:val="none"/>
          <w:u w:val="none"/>
        </w:rPr>
        <w:t xml:space="preserve">、具备履行合同所必需的设备和专业技术能力的书面声明</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 xml:space="preserve">四</w:t>
      </w:r>
      <w:r>
        <w:rPr>
          <w:rFonts w:hint="eastAsia" w:ascii="宋体" w:hAnsi="宋体" w:eastAsia="宋体" w:cs="宋体"/>
          <w:i/>
          <w:iCs w:val="0"/>
          <w:color w:val="auto"/>
          <w:highlight w:val="none"/>
          <w:u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rPr>
        <w:t xml:space="preserve">五、参加政府采购活动前3年内在经营活动中没有重大违法记录的书面声明</w:t>
      </w:r>
      <w:r/>
    </w:p>
    <w:p>
      <w:pPr>
        <w:ind w:firstLine="480"/>
        <w:jc w:val="both"/>
        <w:keepLines w:val="0"/>
        <w:keepNext w:val="0"/>
        <w:pageBreakBefore w:val="0"/>
        <w:spacing w:line="400" w:lineRule="exact"/>
        <w:widowControl w:val="off"/>
        <w:rPr>
          <w:rFonts w:hint="eastAsia" w:ascii="宋体" w:hAnsi="宋体" w:eastAsia="宋体" w:cs="宋体"/>
          <w:i/>
          <w:iCs w:val="0"/>
          <w:color w:val="auto"/>
          <w:sz w:val="24"/>
          <w:szCs w:val="22"/>
          <w:highlight w:val="none"/>
          <w:u w:val="single"/>
          <w:lang w:val="en-US" w:eastAsia="zh-CN" w:bidi="ar-SA"/>
        </w:rPr>
      </w:pPr>
      <w:r>
        <w:rPr>
          <w:rFonts w:hint="eastAsia" w:ascii="宋体" w:hAnsi="宋体" w:eastAsia="宋体" w:cs="宋体"/>
          <w:i/>
          <w:iCs w:val="0"/>
          <w:color w:val="auto"/>
          <w:sz w:val="24"/>
          <w:szCs w:val="22"/>
          <w:highlight w:val="none"/>
          <w:u w:val="single"/>
          <w:lang w:val="en-US" w:eastAsia="zh-CN" w:bidi="ar-SA"/>
        </w:rPr>
        <w:t xml:space="preserve">六、单位负责人为同一人或者存在直接控股、服务关系的不同供应商，不得参加同一合同项下的政府采购活动证明文件</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 xml:space="preserve">七</w:t>
      </w:r>
      <w:r>
        <w:rPr>
          <w:rFonts w:hint="eastAsia" w:ascii="宋体" w:hAnsi="宋体" w:eastAsia="宋体" w:cs="宋体"/>
          <w:i/>
          <w:iCs w:val="0"/>
          <w:color w:val="auto"/>
          <w:highlight w:val="none"/>
          <w:u w:val="none"/>
        </w:rPr>
        <w:t xml:space="preserve">、特定资格要求的证明文件（如果本项目设置特定资格要求，则需要提供）</w:t>
      </w:r>
      <w:r/>
    </w:p>
    <w:p>
      <w:pPr>
        <w:pStyle w:val="671"/>
        <w:ind w:left="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671"/>
        <w:ind w:left="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、投标分项报价表</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671"/>
        <w:ind w:left="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pStyle w:val="671"/>
        <w:ind w:firstLine="480"/>
        <w:jc w:val="both"/>
        <w:keepLines w:val="0"/>
        <w:keepNext w:val="0"/>
        <w:pageBreakBefore w:val="0"/>
        <w:spacing w:beforeAutospacing="0" w:afterAutospacing="0" w:line="4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w:t>
      </w:r>
      <w:r>
        <w:rPr>
          <w:rFonts w:hint="eastAsia" w:ascii="宋体" w:hAnsi="宋体" w:eastAsia="宋体" w:cs="宋体"/>
          <w:i w:val="0"/>
          <w:iCs/>
          <w:color w:val="auto"/>
          <w:highlight w:val="none"/>
          <w:u w:val="none"/>
        </w:rPr>
        <w:t xml:space="preserve">盐城市政府采购事前信用承诺书</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（至少提供资产负债表、利润表、现金流量表，供应商成立不满一年无需提供）</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71"/>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1"/>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71"/>
        <w:ind w:firstLine="480"/>
        <w:jc w:val="both"/>
        <w:spacing w:beforeAutospacing="0" w:afterAutospacing="0"/>
        <w:rPr>
          <w:rFonts w:hint="eastAsia" w:ascii="宋体" w:hAnsi="宋体" w:eastAsia="宋体" w:cs="宋体"/>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t xml:space="preserve">六、</w:t>
      </w:r>
      <w:r>
        <w:rPr>
          <w:rFonts w:hint="eastAsia" w:ascii="宋体" w:hAnsi="宋体" w:eastAsia="宋体" w:cs="宋体"/>
          <w:i/>
          <w:iCs/>
          <w:color w:val="auto"/>
          <w:sz w:val="24"/>
          <w:szCs w:val="22"/>
          <w:highlight w:val="none"/>
          <w:u w:val="single"/>
        </w:rPr>
        <w:t xml:space="preserve">单位负责人为同一人或者存在直接控股、服务关系的不同供应商，不得参加同一合同项下的政府采购活动证明文件</w:t>
      </w:r>
      <w:r/>
    </w:p>
    <w:p>
      <w:pPr>
        <w:jc w:val="center"/>
        <w:spacing w:beforeAutospacing="0" w:afterAutospacing="0" w:line="0" w:lineRule="atLeas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44"/>
          <w:szCs w:val="44"/>
          <w:highlight w:val="none"/>
          <w:lang w:val="en-US" w:eastAsia="zh-CN" w:bidi="ar-SA"/>
        </w:rPr>
        <w:t xml:space="preserve">声  明</w:t>
      </w:r>
      <w:r/>
    </w:p>
    <w:p>
      <w:pPr>
        <w:jc w:val="both"/>
        <w:spacing w:beforeAutospacing="0" w:afterAutospacing="0" w:line="0" w:lineRule="atLeas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pStyle w:val="671"/>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、法人授权书</w:t>
      </w:r>
      <w:r/>
    </w:p>
    <w:p>
      <w:pPr>
        <w:pStyle w:val="671"/>
        <w:ind w:firstLine="482"/>
        <w:jc w:val="both"/>
        <w:keepLines w:val="0"/>
        <w:keepNext w:val="0"/>
        <w:pageBreakBefore w:val="0"/>
        <w:spacing w:before="361"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71"/>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71"/>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671"/>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671"/>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71"/>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71"/>
        <w:ind w:firstLine="42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7" w:name="_Hlt26671380"/>
      <w:r/>
      <w:bookmarkStart w:id="188" w:name="_Hlt26955070"/>
      <w:r/>
      <w:bookmarkStart w:id="189" w:name="_格式3__银行出具的资信证明"/>
      <w:r>
        <w:rPr>
          <w:rFonts w:hint="eastAsia" w:ascii="宋体" w:hAnsi="宋体" w:eastAsia="宋体" w:cs="宋体"/>
          <w:color w:val="auto"/>
          <w:highlight w:val="none"/>
          <w:u w:val="singl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3390"/>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宋体" w:hAnsi="宋体" w:eastAsia="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、投标函</w:t>
      </w:r>
      <w:r/>
    </w:p>
    <w:p>
      <w:pPr>
        <w:pStyle w:val="671"/>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滨海县滨淮镇人民政府</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滨海县滨淮镇人民政府</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71"/>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71"/>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71"/>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rPr>
        <w:t xml:space="preserve">、残疾人福利性单位声明函</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71"/>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671"/>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71"/>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p>
      <w:pPr>
        <w:pStyle w:val="671"/>
        <w:numPr>
          <w:ilvl w:val="0"/>
          <w:numId w:val="0"/>
        </w:numPr>
        <w:jc w:val="center"/>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48"/>
        <w:tblW w:w="10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733"/>
        <w:gridCol w:w="2763"/>
        <w:gridCol w:w="2763"/>
        <w:gridCol w:w="1560"/>
        <w:gridCol w:w="815"/>
      </w:tblGrid>
      <w:tr>
        <w:trPr>
          <w:jc w:val="center"/>
          <w:trHeight w:val="925"/>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序号</w:t>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配置人数（人）</w:t>
            </w:r>
            <w:r/>
          </w:p>
        </w:tc>
        <w:tc>
          <w:tcPr>
            <w:tcW w:w="276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服务天数（天）</w:t>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人员费用标准（元/人/天）</w:t>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合计费用（元）</w:t>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备注</w:t>
            </w:r>
            <w:r/>
          </w:p>
        </w:tc>
      </w:tr>
      <w:tr>
        <w:trPr>
          <w:jc w:val="center"/>
          <w:trHeight w:val="525"/>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0"/>
                <w:highlight w:val="white"/>
                <w14:textFill>
                  <w14:solidFill>
                    <w14:schemeClr w14:val="tx1"/>
                  </w14:solidFill>
                </w14:textFill>
              </w:rPr>
              <w:suppressLineNumbers w:val="0"/>
            </w:pPr>
            <w:r>
              <w:rPr>
                <w:rFonts w:ascii="宋体" w:hAnsi="宋体" w:cs="宋体"/>
                <w:b/>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0"/>
                <w:highlight w:val="white"/>
                <w14:textFill>
                  <w14:solidFill>
                    <w14:schemeClr w14:val="tx1"/>
                  </w14:solidFill>
                </w14:textFill>
              </w:rPr>
              <w:suppressLineNumbers w:val="0"/>
            </w:pPr>
            <w:r>
              <w:rPr>
                <w:rFonts w:ascii="宋体" w:hAnsi="宋体" w:cs="宋体"/>
                <w:b/>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60"/>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80"/>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35"/>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20"/>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05"/>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9"/>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2"/>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36"/>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4"/>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20"/>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3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78"/>
        </w:trPr>
        <w:tc>
          <w:tcPr>
            <w:gridSpan w:val="2"/>
            <w:tcW w:w="2524"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t xml:space="preserve">合计：</w:t>
            </w:r>
            <w:r/>
          </w:p>
        </w:tc>
        <w:tc>
          <w:tcPr>
            <w:tcW w:w="2763"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76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560"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81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bl>
    <w:p>
      <w:pPr>
        <w:pStyle w:val="650"/>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pStyle w:val="650"/>
        <w:ind w:left="0"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注： 1、总报价除应包括人员的工资（符合</w:t>
      </w:r>
      <w:r>
        <w:rPr>
          <w:rFonts w:hint="eastAsia" w:ascii="宋体" w:hAnsi="宋体" w:eastAsia="宋体"/>
          <w:color w:val="000000" w:themeColor="text1"/>
          <w:sz w:val="24"/>
          <w:highlight w:val="white"/>
          <w:lang w:val="en-US" w:eastAsia="zh-CN"/>
          <w14:textFill>
            <w14:solidFill>
              <w14:schemeClr w14:val="tx1"/>
            </w14:solidFill>
          </w14:textFill>
        </w:rPr>
        <w:t xml:space="preserve">滨海县</w:t>
      </w:r>
      <w:r>
        <w:rPr>
          <w:rFonts w:hint="eastAsia" w:ascii="宋体" w:hAnsi="宋体"/>
          <w:color w:val="000000" w:themeColor="text1"/>
          <w:sz w:val="24"/>
          <w:highlight w:val="white"/>
          <w14:textFill>
            <w14:solidFill>
              <w14:schemeClr w14:val="tx1"/>
            </w14:solidFill>
          </w14:textFill>
        </w:rPr>
        <w:t xml:space="preserve">最低工资标准、工作时间不得超过每月最高工作时间的相关规定且所有人员必须缴纳社会保险费）、社保福利费、加班费、法定税费、办公费、保险费和合理利润外，还应包括体检、管理、劳务、服装、培训、保修、通讯、包括人员最低工资政策性调整风险及政策性文件规定等各项应有费用，以及为完成采购文件规定的所涉及到的一切相关费用，投标人报价时应充分考虑服务期内所有可能影响到报价的因素（包括人员最低工资政策性调整），一旦中标，总价将包定，即为合同价，不予调整。如发生漏、缺、少项，都将被认为是投标人的报价让利行为，损失自负。</w:t>
      </w:r>
      <w:r/>
    </w:p>
    <w:p>
      <w:pPr>
        <w:pStyle w:val="650"/>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、上述报价表由投标单位参照，不限于此，可根据采购需求自行添加条目进行投报。</w:t>
      </w:r>
      <w:r/>
    </w:p>
    <w:p>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r>
      <w:r/>
    </w:p>
    <w:p>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供应商（盖章）：</w:t>
      </w:r>
      <w:r/>
    </w:p>
    <w:p>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法定代表人或授权代表签字或盖章：</w:t>
      </w:r>
      <w:r/>
    </w:p>
    <w:p>
      <w:pPr>
        <w:pStyle w:val="671"/>
        <w:numPr>
          <w:ilvl w:val="0"/>
          <w:numId w:val="0"/>
        </w:numPr>
        <w:jc w:val="both"/>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bCs/>
          <w:color w:val="000000" w:themeColor="text1"/>
          <w:sz w:val="24"/>
          <w:highlight w:val="white"/>
          <w14:textFill>
            <w14:solidFill>
              <w14:schemeClr w14:val="tx1"/>
            </w14:solidFill>
          </w14:textFill>
        </w:rPr>
        <w:t xml:space="preserve">日期：</w:t>
      </w:r>
      <w:r>
        <w:rPr>
          <w:rFonts w:hint="eastAsia" w:ascii="黑体" w:hAnsi="宋体" w:eastAsia="黑体"/>
          <w:bCs/>
          <w:color w:val="000000" w:themeColor="text1"/>
          <w:sz w:val="24"/>
          <w:szCs w:val="24"/>
          <w:highlight w:val="white"/>
          <w14:textFill>
            <w14:solidFill>
              <w14:schemeClr w14:val="tx1"/>
            </w14:solidFill>
          </w14:textFill>
        </w:rPr>
        <w:br w:type="page" w:clear="all"/>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、技术要求响应及偏离表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bookmarkStart w:id="190" w:name="_Hlt26955054"/>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、商务要求响应及偏离表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bookmarkStart w:id="191" w:name="_Hlt26671343"/>
            <w:r/>
            <w:bookmarkStart w:id="192" w:name="_Hlt24879081"/>
            <w:r/>
            <w:bookmarkStart w:id="193" w:name="_Hlt26609391"/>
            <w:r/>
            <w:bookmarkStart w:id="194" w:name="_Hlt26955064"/>
            <w:r/>
            <w:bookmarkStart w:id="195" w:name="_Hlt26671372"/>
            <w:r/>
            <w:bookmarkStart w:id="196" w:name="_Hlt26782999"/>
            <w:r/>
            <w:bookmarkStart w:id="197" w:name="_Hlt26580838"/>
            <w:r/>
            <w:bookmarkStart w:id="198" w:name="_Hlt26955056"/>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bookmarkStart w:id="199" w:name="_Toc462564146"/>
      <w:r/>
      <w:bookmarkStart w:id="200" w:name="_Hlt26609389"/>
      <w:r/>
      <w:bookmarkStart w:id="201" w:name="_格式2__法定代表人授权书"/>
      <w:r/>
      <w:bookmarkStart w:id="202" w:name="_Hlt26955066"/>
      <w:r/>
      <w:bookmarkStart w:id="203" w:name="_Hlt26671374"/>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clear="all"/>
      </w:r>
      <w:r/>
    </w:p>
    <w:p>
      <w:pPr>
        <w:pStyle w:val="671"/>
        <w:ind w:firstLine="3213"/>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五</w:t>
      </w:r>
      <w:r>
        <w:rPr>
          <w:rFonts w:hint="eastAsia" w:ascii="宋体" w:hAnsi="宋体" w:eastAsia="宋体" w:cs="宋体"/>
          <w:b/>
          <w:i/>
          <w:color w:val="auto"/>
          <w:sz w:val="32"/>
          <w:szCs w:val="32"/>
          <w:highlight w:val="none"/>
          <w:u w:val="single"/>
        </w:rPr>
        <w:t xml:space="preserve">、开标一览表</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7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1"/>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1"/>
        <w:ind w:firstLine="42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8">
    <w:name w:val="Heading 1"/>
    <w:basedOn w:val="637"/>
    <w:next w:val="637"/>
    <w:link w:val="679"/>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3"/>
    <w:basedOn w:val="637"/>
    <w:next w:val="637"/>
    <w:link w:val="681"/>
    <w:uiPriority w:val="9"/>
    <w:unhideWhenUsed/>
    <w:qFormat/>
    <w:pPr>
      <w:keepLines/>
      <w:keepNext/>
      <w:spacing w:before="320" w:after="200"/>
      <w:outlineLvl w:val="2"/>
    </w:pPr>
    <w:rPr>
      <w:rFonts w:ascii="Arial" w:hAnsi="Arial" w:eastAsia="Arial" w:cs="Arial"/>
      <w:sz w:val="30"/>
      <w:szCs w:val="30"/>
    </w:rPr>
  </w:style>
  <w:style w:type="paragraph" w:styleId="641">
    <w:name w:val="Heading 4"/>
    <w:basedOn w:val="637"/>
    <w:next w:val="637"/>
    <w:link w:val="682"/>
    <w:uiPriority w:val="9"/>
    <w:unhideWhenUsed/>
    <w:qFormat/>
    <w:pPr>
      <w:keepLines/>
      <w:keepNext/>
      <w:spacing w:before="320" w:after="200"/>
      <w:outlineLvl w:val="3"/>
    </w:pPr>
    <w:rPr>
      <w:rFonts w:ascii="Arial" w:hAnsi="Arial" w:eastAsia="Arial" w:cs="Arial"/>
      <w:b/>
      <w:bCs/>
      <w:sz w:val="26"/>
      <w:szCs w:val="26"/>
    </w:rPr>
  </w:style>
  <w:style w:type="paragraph" w:styleId="642">
    <w:name w:val="Heading 5"/>
    <w:basedOn w:val="637"/>
    <w:next w:val="637"/>
    <w:link w:val="683"/>
    <w:uiPriority w:val="9"/>
    <w:unhideWhenUsed/>
    <w:qFormat/>
    <w:pPr>
      <w:keepLines/>
      <w:keepNext/>
      <w:spacing w:before="320" w:after="200"/>
      <w:outlineLvl w:val="4"/>
    </w:pPr>
    <w:rPr>
      <w:rFonts w:ascii="Arial" w:hAnsi="Arial" w:eastAsia="Arial" w:cs="Arial"/>
      <w:b/>
      <w:bCs/>
      <w:sz w:val="24"/>
      <w:szCs w:val="24"/>
    </w:rPr>
  </w:style>
  <w:style w:type="paragraph" w:styleId="643">
    <w:name w:val="Heading 6"/>
    <w:basedOn w:val="637"/>
    <w:next w:val="637"/>
    <w:link w:val="684"/>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86"/>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87"/>
    <w:uiPriority w:val="9"/>
    <w:unhideWhenUsed/>
    <w:qFormat/>
    <w:pPr>
      <w:keepLines/>
      <w:keepNext/>
      <w:spacing w:before="320" w:after="200"/>
      <w:outlineLvl w:val="8"/>
    </w:pPr>
    <w:rPr>
      <w:rFonts w:ascii="Arial" w:hAnsi="Arial" w:eastAsia="Arial" w:cs="Arial"/>
      <w:i/>
      <w:iCs/>
      <w:sz w:val="21"/>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toc 7"/>
    <w:basedOn w:val="637"/>
    <w:next w:val="637"/>
    <w:uiPriority w:val="39"/>
    <w:unhideWhenUsed/>
    <w:qFormat/>
    <w:pPr>
      <w:ind w:left="1701" w:right="0" w:firstLine="0"/>
      <w:spacing w:after="57"/>
    </w:pPr>
  </w:style>
  <w:style w:type="paragraph" w:styleId="650">
    <w:name w:val="Normal Indent"/>
    <w:basedOn w:val="637"/>
    <w:uiPriority w:val="0"/>
    <w:qFormat/>
    <w:pPr>
      <w:ind w:firstLine="420"/>
      <w:jc w:val="left"/>
      <w:widowControl/>
    </w:pPr>
    <w:rPr>
      <w:sz w:val="20"/>
      <w:szCs w:val="20"/>
    </w:rPr>
  </w:style>
  <w:style w:type="paragraph" w:styleId="651">
    <w:name w:val="Caption"/>
    <w:basedOn w:val="637"/>
    <w:next w:val="6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2">
    <w:name w:val="annotation text"/>
    <w:basedOn w:val="637"/>
    <w:uiPriority w:val="0"/>
    <w:qFormat/>
    <w:pPr>
      <w:jc w:val="left"/>
    </w:pPr>
  </w:style>
  <w:style w:type="paragraph" w:styleId="653">
    <w:name w:val="Body Text"/>
    <w:basedOn w:val="637"/>
    <w:uiPriority w:val="0"/>
    <w:semiHidden/>
    <w:qFormat/>
    <w:rPr>
      <w:rFonts w:ascii="仿宋" w:hAnsi="仿宋" w:eastAsia="仿宋" w:cs="仿宋"/>
      <w:sz w:val="31"/>
      <w:szCs w:val="31"/>
      <w:lang w:val="en-US" w:eastAsia="en-US" w:bidi="ar-SA"/>
    </w:rPr>
  </w:style>
  <w:style w:type="paragraph" w:styleId="654">
    <w:name w:val="Body Text Indent"/>
    <w:basedOn w:val="637"/>
    <w:next w:val="655"/>
    <w:uiPriority w:val="0"/>
    <w:qFormat/>
    <w:pPr>
      <w:ind w:left="420"/>
      <w:spacing w:after="120"/>
    </w:pPr>
  </w:style>
  <w:style w:type="paragraph" w:styleId="655">
    <w:name w:val="envelope return"/>
    <w:basedOn w:val="637"/>
    <w:uiPriority w:val="0"/>
    <w:qFormat/>
    <w:rPr>
      <w:rFonts w:ascii="Arial" w:hAnsi="Arial"/>
    </w:rPr>
  </w:style>
  <w:style w:type="paragraph" w:styleId="656">
    <w:name w:val="toc 5"/>
    <w:basedOn w:val="637"/>
    <w:next w:val="637"/>
    <w:uiPriority w:val="39"/>
    <w:unhideWhenUsed/>
    <w:qFormat/>
    <w:pPr>
      <w:ind w:left="1134" w:right="0" w:firstLine="0"/>
      <w:spacing w:after="57"/>
    </w:pPr>
  </w:style>
  <w:style w:type="paragraph" w:styleId="657">
    <w:name w:val="toc 3"/>
    <w:basedOn w:val="637"/>
    <w:next w:val="637"/>
    <w:uiPriority w:val="39"/>
    <w:unhideWhenUsed/>
    <w:qFormat/>
    <w:pPr>
      <w:ind w:left="567" w:right="0" w:firstLine="0"/>
      <w:spacing w:after="57"/>
    </w:pPr>
  </w:style>
  <w:style w:type="paragraph" w:styleId="658">
    <w:name w:val="toc 8"/>
    <w:basedOn w:val="637"/>
    <w:next w:val="637"/>
    <w:uiPriority w:val="39"/>
    <w:unhideWhenUsed/>
    <w:qFormat/>
    <w:pPr>
      <w:ind w:left="1984" w:right="0" w:firstLine="0"/>
      <w:spacing w:after="57"/>
    </w:pPr>
  </w:style>
  <w:style w:type="paragraph" w:styleId="659">
    <w:name w:val="Body Text Indent 2"/>
    <w:basedOn w:val="637"/>
    <w:uiPriority w:val="0"/>
    <w:qFormat/>
    <w:rPr>
      <w:rFonts w:ascii="Arial" w:hAnsi="Arial" w:eastAsia="仿宋_GB2312"/>
      <w:b/>
    </w:rPr>
  </w:style>
  <w:style w:type="paragraph" w:styleId="660">
    <w:name w:val="endnote text"/>
    <w:basedOn w:val="637"/>
    <w:link w:val="825"/>
    <w:uiPriority w:val="99"/>
    <w:semiHidden/>
    <w:unhideWhenUsed/>
    <w:qFormat/>
    <w:pPr>
      <w:spacing w:after="0" w:line="240" w:lineRule="auto"/>
    </w:pPr>
    <w:rPr>
      <w:sz w:val="20"/>
    </w:rPr>
  </w:style>
  <w:style w:type="paragraph" w:styleId="661">
    <w:name w:val="Footer"/>
    <w:basedOn w:val="637"/>
    <w:link w:val="829"/>
    <w:uiPriority w:val="0"/>
    <w:qFormat/>
    <w:pPr>
      <w:jc w:val="left"/>
      <w:tabs>
        <w:tab w:val="center" w:pos="4153" w:leader="none"/>
        <w:tab w:val="right" w:pos="8306" w:leader="none"/>
      </w:tabs>
    </w:pPr>
    <w:rPr>
      <w:sz w:val="18"/>
      <w:szCs w:val="18"/>
    </w:rPr>
  </w:style>
  <w:style w:type="paragraph" w:styleId="662">
    <w:name w:val="Header"/>
    <w:basedOn w:val="637"/>
    <w:link w:val="828"/>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7"/>
    <w:next w:val="637"/>
    <w:uiPriority w:val="39"/>
    <w:unhideWhenUsed/>
    <w:qFormat/>
    <w:pPr>
      <w:ind w:left="0" w:right="0" w:firstLine="0"/>
      <w:spacing w:after="57"/>
    </w:pPr>
  </w:style>
  <w:style w:type="paragraph" w:styleId="664">
    <w:name w:val="toc 4"/>
    <w:basedOn w:val="637"/>
    <w:next w:val="637"/>
    <w:uiPriority w:val="39"/>
    <w:unhideWhenUsed/>
    <w:qFormat/>
    <w:pPr>
      <w:ind w:left="850" w:right="0" w:firstLine="0"/>
      <w:spacing w:after="57"/>
    </w:pPr>
  </w:style>
  <w:style w:type="paragraph" w:styleId="665">
    <w:name w:val="Subtitle"/>
    <w:basedOn w:val="637"/>
    <w:next w:val="637"/>
    <w:link w:val="691"/>
    <w:uiPriority w:val="11"/>
    <w:qFormat/>
    <w:pPr>
      <w:spacing w:before="200" w:after="200"/>
    </w:pPr>
    <w:rPr>
      <w:sz w:val="24"/>
      <w:szCs w:val="24"/>
    </w:rPr>
  </w:style>
  <w:style w:type="paragraph" w:styleId="666">
    <w:name w:val="footnote text"/>
    <w:basedOn w:val="637"/>
    <w:link w:val="824"/>
    <w:uiPriority w:val="99"/>
    <w:semiHidden/>
    <w:unhideWhenUsed/>
    <w:qFormat/>
    <w:pPr>
      <w:spacing w:after="40" w:line="240" w:lineRule="auto"/>
    </w:pPr>
    <w:rPr>
      <w:sz w:val="18"/>
    </w:rPr>
  </w:style>
  <w:style w:type="paragraph" w:styleId="667">
    <w:name w:val="toc 6"/>
    <w:basedOn w:val="637"/>
    <w:next w:val="637"/>
    <w:uiPriority w:val="39"/>
    <w:unhideWhenUsed/>
    <w:qFormat/>
    <w:pPr>
      <w:ind w:left="1417" w:right="0" w:firstLine="0"/>
      <w:spacing w:after="57"/>
    </w:pPr>
  </w:style>
  <w:style w:type="paragraph" w:styleId="668">
    <w:name w:val="table of figures"/>
    <w:basedOn w:val="637"/>
    <w:next w:val="637"/>
    <w:uiPriority w:val="99"/>
    <w:unhideWhenUsed/>
    <w:qFormat/>
    <w:pPr>
      <w:spacing w:after="0" w:afterAutospacing="0"/>
    </w:pPr>
  </w:style>
  <w:style w:type="paragraph" w:styleId="669">
    <w:name w:val="toc 2"/>
    <w:basedOn w:val="637"/>
    <w:next w:val="637"/>
    <w:uiPriority w:val="39"/>
    <w:unhideWhenUsed/>
    <w:qFormat/>
    <w:pPr>
      <w:ind w:left="283" w:right="0" w:firstLine="0"/>
      <w:spacing w:after="57"/>
    </w:pPr>
  </w:style>
  <w:style w:type="paragraph" w:styleId="670">
    <w:name w:val="toc 9"/>
    <w:basedOn w:val="637"/>
    <w:next w:val="637"/>
    <w:uiPriority w:val="39"/>
    <w:unhideWhenUsed/>
    <w:qFormat/>
    <w:pPr>
      <w:ind w:left="2268" w:right="0" w:firstLine="0"/>
      <w:spacing w:after="57"/>
    </w:pPr>
  </w:style>
  <w:style w:type="paragraph" w:styleId="671">
    <w:name w:val="Normal (Web)"/>
    <w:basedOn w:val="637"/>
    <w:uiPriority w:val="0"/>
    <w:qFormat/>
    <w:pPr>
      <w:jc w:val="left"/>
      <w:spacing w:beforeAutospacing="1" w:afterAutospacing="1"/>
    </w:pPr>
    <w:rPr>
      <w:rFonts w:cs="Times New Roman"/>
      <w:sz w:val="24"/>
    </w:rPr>
  </w:style>
  <w:style w:type="paragraph" w:styleId="672">
    <w:name w:val="Title"/>
    <w:basedOn w:val="637"/>
    <w:next w:val="637"/>
    <w:link w:val="690"/>
    <w:uiPriority w:val="10"/>
    <w:qFormat/>
    <w:pPr>
      <w:contextualSpacing/>
      <w:spacing w:before="300" w:after="200"/>
    </w:pPr>
    <w:rPr>
      <w:sz w:val="48"/>
      <w:szCs w:val="48"/>
    </w:rPr>
  </w:style>
  <w:style w:type="table" w:styleId="673">
    <w:name w:val="Table Grid"/>
    <w:basedOn w:val="6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47"/>
    <w:uiPriority w:val="22"/>
    <w:qFormat/>
    <w:rPr>
      <w:b/>
    </w:rPr>
  </w:style>
  <w:style w:type="character" w:styleId="675">
    <w:name w:val="endnote reference"/>
    <w:basedOn w:val="647"/>
    <w:uiPriority w:val="99"/>
    <w:semiHidden/>
    <w:unhideWhenUsed/>
    <w:qFormat/>
    <w:rPr>
      <w:vertAlign w:val="superscript"/>
    </w:rPr>
  </w:style>
  <w:style w:type="character" w:styleId="676">
    <w:name w:val="Emphasis"/>
    <w:uiPriority w:val="0"/>
    <w:qFormat/>
    <w:rPr>
      <w:i/>
    </w:rPr>
  </w:style>
  <w:style w:type="character" w:styleId="677">
    <w:name w:val="Hyperlink"/>
    <w:uiPriority w:val="99"/>
    <w:unhideWhenUsed/>
    <w:qFormat/>
    <w:rPr>
      <w:color w:val="0563c1" w:themeColor="hyperlink"/>
      <w:u w:val="single"/>
      <w14:textFill>
        <w14:solidFill>
          <w14:schemeClr w14:val="hlink"/>
        </w14:solidFill>
      </w14:textFill>
    </w:rPr>
  </w:style>
  <w:style w:type="character" w:styleId="678">
    <w:name w:val="footnote reference"/>
    <w:basedOn w:val="647"/>
    <w:uiPriority w:val="99"/>
    <w:unhideWhenUsed/>
    <w:qFormat/>
    <w:rPr>
      <w:vertAlign w:val="superscript"/>
    </w:rPr>
  </w:style>
  <w:style w:type="character" w:styleId="679" w:customStyle="1">
    <w:name w:val="Heading 1 Char"/>
    <w:basedOn w:val="647"/>
    <w:link w:val="638"/>
    <w:uiPriority w:val="9"/>
    <w:qFormat/>
    <w:rPr>
      <w:rFonts w:ascii="Arial" w:hAnsi="Arial" w:eastAsia="Arial" w:cs="Arial"/>
      <w:sz w:val="40"/>
      <w:szCs w:val="40"/>
    </w:rPr>
  </w:style>
  <w:style w:type="character" w:styleId="680" w:customStyle="1">
    <w:name w:val="Heading 2 Char"/>
    <w:basedOn w:val="647"/>
    <w:uiPriority w:val="9"/>
    <w:qFormat/>
    <w:rPr>
      <w:rFonts w:ascii="Arial" w:hAnsi="Arial" w:eastAsia="Arial" w:cs="Arial"/>
      <w:sz w:val="34"/>
    </w:rPr>
  </w:style>
  <w:style w:type="character" w:styleId="681" w:customStyle="1">
    <w:name w:val="Heading 3 Char"/>
    <w:basedOn w:val="647"/>
    <w:link w:val="640"/>
    <w:uiPriority w:val="9"/>
    <w:qFormat/>
    <w:rPr>
      <w:rFonts w:ascii="Arial" w:hAnsi="Arial" w:eastAsia="Arial" w:cs="Arial"/>
      <w:sz w:val="30"/>
      <w:szCs w:val="30"/>
    </w:rPr>
  </w:style>
  <w:style w:type="character" w:styleId="682" w:customStyle="1">
    <w:name w:val="Heading 4 Char"/>
    <w:basedOn w:val="647"/>
    <w:link w:val="641"/>
    <w:uiPriority w:val="9"/>
    <w:qFormat/>
    <w:rPr>
      <w:rFonts w:ascii="Arial" w:hAnsi="Arial" w:eastAsia="Arial" w:cs="Arial"/>
      <w:b/>
      <w:bCs/>
      <w:sz w:val="26"/>
      <w:szCs w:val="26"/>
    </w:rPr>
  </w:style>
  <w:style w:type="character" w:styleId="683" w:customStyle="1">
    <w:name w:val="Heading 5 Char"/>
    <w:basedOn w:val="647"/>
    <w:link w:val="642"/>
    <w:uiPriority w:val="9"/>
    <w:qFormat/>
    <w:rPr>
      <w:rFonts w:ascii="Arial" w:hAnsi="Arial" w:eastAsia="Arial" w:cs="Arial"/>
      <w:b/>
      <w:bCs/>
      <w:sz w:val="24"/>
      <w:szCs w:val="24"/>
    </w:rPr>
  </w:style>
  <w:style w:type="character" w:styleId="684" w:customStyle="1">
    <w:name w:val="Heading 6 Char"/>
    <w:basedOn w:val="647"/>
    <w:link w:val="643"/>
    <w:uiPriority w:val="9"/>
    <w:qFormat/>
    <w:rPr>
      <w:rFonts w:ascii="Arial" w:hAnsi="Arial" w:eastAsia="Arial" w:cs="Arial"/>
      <w:b/>
      <w:bCs/>
      <w:sz w:val="22"/>
      <w:szCs w:val="22"/>
    </w:rPr>
  </w:style>
  <w:style w:type="character" w:styleId="685" w:customStyle="1">
    <w:name w:val="Heading 7 Char"/>
    <w:basedOn w:val="647"/>
    <w:link w:val="644"/>
    <w:uiPriority w:val="9"/>
    <w:rPr>
      <w:rFonts w:ascii="Arial" w:hAnsi="Arial" w:eastAsia="Arial" w:cs="Arial"/>
      <w:b/>
      <w:bCs/>
      <w:i/>
      <w:iCs/>
      <w:sz w:val="22"/>
      <w:szCs w:val="22"/>
    </w:rPr>
  </w:style>
  <w:style w:type="character" w:styleId="686" w:customStyle="1">
    <w:name w:val="Heading 8 Char"/>
    <w:basedOn w:val="647"/>
    <w:link w:val="645"/>
    <w:uiPriority w:val="9"/>
    <w:qFormat/>
    <w:rPr>
      <w:rFonts w:ascii="Arial" w:hAnsi="Arial" w:eastAsia="Arial" w:cs="Arial"/>
      <w:i/>
      <w:iCs/>
      <w:sz w:val="22"/>
      <w:szCs w:val="22"/>
    </w:rPr>
  </w:style>
  <w:style w:type="character" w:styleId="687" w:customStyle="1">
    <w:name w:val="Heading 9 Char"/>
    <w:basedOn w:val="647"/>
    <w:link w:val="646"/>
    <w:uiPriority w:val="9"/>
    <w:qFormat/>
    <w:rPr>
      <w:rFonts w:ascii="Arial" w:hAnsi="Arial" w:eastAsia="Arial" w:cs="Arial"/>
      <w:i/>
      <w:iCs/>
      <w:sz w:val="21"/>
      <w:szCs w:val="21"/>
    </w:rPr>
  </w:style>
  <w:style w:type="paragraph" w:styleId="688">
    <w:name w:val="List Paragraph"/>
    <w:basedOn w:val="637"/>
    <w:uiPriority w:val="34"/>
    <w:qFormat/>
    <w:pPr>
      <w:contextualSpacing/>
      <w:ind w:left="720"/>
    </w:p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basedOn w:val="647"/>
    <w:link w:val="672"/>
    <w:uiPriority w:val="10"/>
    <w:qFormat/>
    <w:rPr>
      <w:sz w:val="48"/>
      <w:szCs w:val="48"/>
    </w:rPr>
  </w:style>
  <w:style w:type="character" w:styleId="691" w:customStyle="1">
    <w:name w:val="Subtitle Char"/>
    <w:basedOn w:val="647"/>
    <w:link w:val="665"/>
    <w:uiPriority w:val="11"/>
    <w:qFormat/>
    <w:rPr>
      <w:sz w:val="24"/>
      <w:szCs w:val="24"/>
    </w:rPr>
  </w:style>
  <w:style w:type="paragraph" w:styleId="692">
    <w:name w:val="Quote"/>
    <w:basedOn w:val="637"/>
    <w:next w:val="637"/>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7"/>
    <w:next w:val="637"/>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7"/>
    <w:uiPriority w:val="99"/>
    <w:qFormat/>
  </w:style>
  <w:style w:type="character" w:styleId="697" w:customStyle="1">
    <w:name w:val="Footer Char"/>
    <w:basedOn w:val="647"/>
    <w:uiPriority w:val="99"/>
    <w:qFormat/>
  </w:style>
  <w:style w:type="character" w:styleId="698" w:customStyle="1">
    <w:name w:val="Caption Char"/>
    <w:uiPriority w:val="99"/>
    <w:qFormat/>
  </w:style>
  <w:style w:type="table" w:styleId="699" w:customStyle="1">
    <w:name w:val="Table Grid Light"/>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9" w:customStyle="1">
    <w:name w:val="Grid Table 3"/>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4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8" w:customStyle="1">
    <w:name w:val="Grid Table 4 - Accent 2"/>
    <w:basedOn w:val="64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9" w:customStyle="1">
    <w:name w:val="Grid Table 4 - Accent 3"/>
    <w:basedOn w:val="64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0" w:customStyle="1">
    <w:name w:val="Grid Table 4 - Accent 4"/>
    <w:basedOn w:val="64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1" w:customStyle="1">
    <w:name w:val="Grid Table 4 - Accent 5"/>
    <w:basedOn w:val="64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2" w:customStyle="1">
    <w:name w:val="Grid Table 4 - Accent 6"/>
    <w:basedOn w:val="64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3" w:customStyle="1">
    <w:name w:val="Grid Table 5 Dark"/>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5" w:customStyle="1">
    <w:name w:val="Grid Table 5 Dark - Accent 2"/>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6" w:customStyle="1">
    <w:name w:val="Grid Table 5 Dark - Accent 3"/>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7" w:customStyle="1">
    <w:name w:val="Grid Table 5 Dark- Accent 4"/>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8" w:customStyle="1">
    <w:name w:val="Grid Table 5 Dark - Accent 5"/>
    <w:basedOn w:val="64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9" w:customStyle="1">
    <w:name w:val="Grid Table 5 Dark - Accent 6"/>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0" w:customStyle="1">
    <w:name w:val="Grid Table 6 Colorful"/>
    <w:basedOn w:val="6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4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4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4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4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6 Colorful - Accent 6"/>
    <w:basedOn w:val="64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7 Colorful"/>
    <w:basedOn w:val="6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4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4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4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48"/>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4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4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4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4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4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4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4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4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List Table 2"/>
    <w:basedOn w:val="64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4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3" w:customStyle="1">
    <w:name w:val="List Table 2 - Accent 2"/>
    <w:basedOn w:val="64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4" w:customStyle="1">
    <w:name w:val="List Table 2 - Accent 3"/>
    <w:basedOn w:val="64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5" w:customStyle="1">
    <w:name w:val="List Table 2 - Accent 4"/>
    <w:basedOn w:val="64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6" w:customStyle="1">
    <w:name w:val="List Table 2 - Accent 5"/>
    <w:basedOn w:val="64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7" w:customStyle="1">
    <w:name w:val="List Table 2 - Accent 6"/>
    <w:basedOn w:val="64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8" w:customStyle="1">
    <w:name w:val="List Table 3"/>
    <w:basedOn w:val="64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48"/>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3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48"/>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48"/>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4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5" w:customStyle="1">
    <w:name w:val="List Table 4"/>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48"/>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4 - Accent 2"/>
    <w:basedOn w:val="64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8" w:customStyle="1">
    <w:name w:val="List Table 4 - Accent 3"/>
    <w:basedOn w:val="64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9" w:customStyle="1">
    <w:name w:val="List Table 4 - Accent 4"/>
    <w:basedOn w:val="64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0" w:customStyle="1">
    <w:name w:val="List Table 4 - Accent 5"/>
    <w:basedOn w:val="64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1" w:customStyle="1">
    <w:name w:val="List Table 4 - Accent 6"/>
    <w:basedOn w:val="64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2" w:customStyle="1">
    <w:name w:val="List Table 5 Dark"/>
    <w:basedOn w:val="6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4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4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4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4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4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4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4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List Table 6 Colorful - Accent 2"/>
    <w:basedOn w:val="64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2" w:customStyle="1">
    <w:name w:val="List Table 6 Colorful - Accent 3"/>
    <w:basedOn w:val="64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3" w:customStyle="1">
    <w:name w:val="List Table 6 Colorful - Accent 4"/>
    <w:basedOn w:val="64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4" w:customStyle="1">
    <w:name w:val="List Table 6 Colorful - Accent 5"/>
    <w:basedOn w:val="64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5" w:customStyle="1">
    <w:name w:val="List Table 6 Colorful - Accent 6"/>
    <w:basedOn w:val="64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6" w:customStyle="1">
    <w:name w:val="List Table 7 Colorful"/>
    <w:basedOn w:val="6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4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4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4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4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4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4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5" w:customStyle="1">
    <w:name w:val="Lined - Accent 2"/>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6" w:customStyle="1">
    <w:name w:val="Lined - Accent 3"/>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Lined - Accent 4"/>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8" w:customStyle="1">
    <w:name w:val="Lined - Accent 5"/>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Lined - Accent 6"/>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amp; Lined - Accent"/>
    <w:basedOn w:val="6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4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Bordered &amp; Lined - Accent 2"/>
    <w:basedOn w:val="64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Bordered &amp; Lined - Accent 3"/>
    <w:basedOn w:val="64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Bordered &amp; Lined - Accent 4"/>
    <w:basedOn w:val="64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Bordered &amp; Lined - Accent 5"/>
    <w:basedOn w:val="64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Bordered &amp; Lined - Accent 6"/>
    <w:basedOn w:val="64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w:basedOn w:val="6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9" w:customStyle="1">
    <w:name w:val="Bordered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0" w:customStyle="1">
    <w:name w:val="Bordered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1" w:customStyle="1">
    <w:name w:val="Bordered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2" w:customStyle="1">
    <w:name w:val="Bordered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3" w:customStyle="1">
    <w:name w:val="Bordered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Footnote Text Char"/>
    <w:link w:val="666"/>
    <w:uiPriority w:val="99"/>
    <w:qFormat/>
    <w:rPr>
      <w:sz w:val="18"/>
    </w:rPr>
  </w:style>
  <w:style w:type="character" w:styleId="825" w:customStyle="1">
    <w:name w:val="Endnote Text Char"/>
    <w:link w:val="660"/>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Default"/>
    <w:basedOn w:val="637"/>
    <w:uiPriority w:val="0"/>
    <w:semiHidden/>
    <w:qFormat/>
    <w:pPr>
      <w:jc w:val="left"/>
    </w:pPr>
    <w:rPr>
      <w:rFonts w:ascii="宋体" w:hAnsi="Calibri" w:cs="宋体"/>
      <w:color w:val="000000"/>
      <w:sz w:val="24"/>
    </w:rPr>
  </w:style>
  <w:style w:type="character" w:styleId="828" w:customStyle="1">
    <w:name w:val="页眉 Char"/>
    <w:basedOn w:val="647"/>
    <w:link w:val="662"/>
    <w:uiPriority w:val="0"/>
    <w:qFormat/>
    <w:rPr>
      <w:rFonts w:asciiTheme="minorHAnsi" w:hAnsiTheme="minorHAnsi" w:eastAsiaTheme="minorEastAsia" w:cstheme="minorBidi"/>
      <w:sz w:val="18"/>
      <w:szCs w:val="18"/>
    </w:rPr>
  </w:style>
  <w:style w:type="character" w:styleId="829" w:customStyle="1">
    <w:name w:val="页脚 Char"/>
    <w:basedOn w:val="647"/>
    <w:link w:val="661"/>
    <w:uiPriority w:val="0"/>
    <w:qFormat/>
    <w:rPr>
      <w:rFonts w:asciiTheme="minorHAnsi" w:hAnsiTheme="minorHAnsi" w:eastAsiaTheme="minorEastAsia" w:cstheme="minorBidi"/>
      <w:sz w:val="18"/>
      <w:szCs w:val="18"/>
    </w:rPr>
  </w:style>
  <w:style w:type="paragraph" w:styleId="830"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831" w:customStyle="1">
    <w:name w:val="正文首行缩进 21"/>
    <w:basedOn w:val="832"/>
    <w:uiPriority w:val="0"/>
    <w:qFormat/>
    <w:pPr>
      <w:ind w:firstLine="420"/>
    </w:pPr>
  </w:style>
  <w:style w:type="paragraph" w:styleId="832" w:customStyle="1">
    <w:name w:val="正文文本缩进1"/>
    <w:basedOn w:val="637"/>
    <w:uiPriority w:val="0"/>
    <w:qFormat/>
    <w:pPr>
      <w:ind w:left="420"/>
      <w:spacing w:after="120"/>
    </w:pPr>
  </w:style>
  <w:style w:type="paragraph" w:styleId="833"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7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刘女士</cp:lastModifiedBy>
  <cp:revision>275</cp:revision>
  <dcterms:created xsi:type="dcterms:W3CDTF">2014-10-29T12:08:00Z</dcterms:created>
  <dcterms:modified xsi:type="dcterms:W3CDTF">2026-08-07T07:59:52Z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A7F8E026DEAA410DB89B83FE5B0AA4E4_13</vt:lpwstr>
  </property>
  <property fmtid="{D5CDD505-2E9C-101B-9397-08002B2CF9AE}" pid="4" name="KSOTemplateDocerSaveRecord">
    <vt:lpwstr>eyJoZGlkIjoiYzAxYzk1YmFlODA0YmNjN2I1MDFkZDdmMjhlYmNmNzciLCJ1c2VySWQiOiI5MjQ4NDE4MjkifQ==</vt:lpwstr>
  </property>
</Properties>
</file>