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江苏省南通中学附属实验学校教育教学设备采购项目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91</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18"/>
        <w:ind w:firstLine="0"/>
        <w:jc w:val="center"/>
        <w:spacing w:line="480" w:lineRule="exact"/>
        <w:rPr>
          <w:sz w:val="28"/>
          <w:highlight w:val="none"/>
        </w:rPr>
      </w:pPr>
      <w:r>
        <w:rPr>
          <w:highlight w:val="none"/>
          <w:lang w:eastAsia="zh-CN"/>
        </w:rPr>
        <w:br w:type="page" w:clear="all"/>
      </w:r>
      <w:r/>
    </w:p>
    <w:p>
      <w:pPr>
        <w:pStyle w:val="71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46</w:t>
          </w:r>
          <w:r>
            <w:rPr>
              <w:sz w:val="36"/>
              <w:szCs w:val="32"/>
              <w:highlight w:val="none"/>
            </w:rPr>
            <w:fldChar w:fldCharType="end"/>
          </w:r>
          <w:r>
            <w:rPr>
              <w:sz w:val="36"/>
              <w:szCs w:val="32"/>
              <w:highlight w:val="none"/>
              <w:lang w:eastAsia="zh-CN"/>
            </w:rPr>
            <w:fldChar w:fldCharType="end"/>
          </w:r>
          <w:r/>
        </w:p>
        <w:p>
          <w:pPr>
            <w:pStyle w:val="71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1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江苏省南通中学附属实验学校教</w:t>
      </w:r>
      <w:r>
        <w:rPr>
          <w:rFonts w:hint="eastAsia" w:ascii="仿宋" w:hAnsi="仿宋" w:eastAsia="仿宋" w:cs="仿宋"/>
          <w:sz w:val="28"/>
          <w:szCs w:val="28"/>
          <w:highlight w:val="none"/>
        </w:rPr>
        <w:t xml:space="preserve">育教学设备采购项目的潜在供应商应在江苏政府采购网获取采购文件，并于</w:t>
      </w: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月11</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w:t>
      </w:r>
      <w:r>
        <w:rPr>
          <w:rFonts w:hint="eastAsia" w:ascii="仿宋" w:hAnsi="仿宋" w:eastAsia="仿宋" w:cs="仿宋"/>
          <w:sz w:val="28"/>
          <w:szCs w:val="28"/>
          <w:highlight w:val="none"/>
        </w:rPr>
        <w:t xml:space="preserve">（北</w:t>
      </w:r>
      <w:r>
        <w:rPr>
          <w:rFonts w:hint="eastAsia" w:ascii="仿宋" w:hAnsi="仿宋" w:eastAsia="仿宋" w:cs="仿宋"/>
          <w:sz w:val="28"/>
          <w:szCs w:val="28"/>
          <w:highlight w:val="none"/>
        </w:rPr>
        <w:t xml:space="preserve">京时间）前提交响应文件。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8"/>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91</w:t>
      </w:r>
      <w:r/>
    </w:p>
    <w:p>
      <w:pPr>
        <w:pStyle w:val="718"/>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highlight w:val="none"/>
          <w:lang w:eastAsia="zh-CN"/>
        </w:rPr>
        <w:t xml:space="preserve">江苏省南通中学附属实验学校教育教学设备采购项目</w:t>
      </w:r>
      <w:r/>
    </w:p>
    <w:p>
      <w:pPr>
        <w:pStyle w:val="71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3.预算金额：12.48 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12.48 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eastAsia="zh-CN"/>
        </w:rPr>
        <w:t xml:space="preserve">教育教学设备</w:t>
      </w:r>
      <w:r>
        <w:rPr>
          <w:rFonts w:hint="eastAsia" w:ascii="仿宋" w:hAnsi="仿宋" w:eastAsia="仿宋" w:cs="仿宋"/>
          <w:sz w:val="28"/>
          <w:highlight w:val="none"/>
          <w:lang w:val="en-US" w:eastAsia="zh-CN"/>
        </w:rPr>
        <w:t xml:space="preserve">(课桌椅、</w:t>
      </w:r>
      <w:r>
        <w:rPr>
          <w:rFonts w:hint="eastAsia" w:ascii="仿宋" w:hAnsi="仿宋" w:eastAsia="仿宋" w:cs="仿宋"/>
          <w:sz w:val="28"/>
          <w:szCs w:val="28"/>
          <w:lang w:bidi="ar"/>
        </w:rPr>
        <w:t xml:space="preserve">实验室凳子</w:t>
      </w:r>
      <w:r>
        <w:rPr>
          <w:rFonts w:hint="eastAsia" w:ascii="仿宋" w:hAnsi="仿宋" w:eastAsia="仿宋" w:cs="仿宋"/>
          <w:sz w:val="28"/>
          <w:szCs w:val="28"/>
          <w:lang w:val="en-US" w:eastAsia="zh-CN" w:bidi="ar"/>
        </w:rPr>
        <w:t xml:space="preserve">等</w:t>
      </w:r>
      <w:r>
        <w:rPr>
          <w:rFonts w:hint="eastAsia" w:ascii="仿宋" w:hAnsi="仿宋" w:eastAsia="仿宋" w:cs="仿宋"/>
          <w:sz w:val="28"/>
          <w:highlight w:val="none"/>
          <w:lang w:val="en-US" w:eastAsia="zh-CN"/>
        </w:rPr>
        <w:t xml:space="preserve">)</w:t>
      </w:r>
      <w:r>
        <w:rPr>
          <w:rFonts w:hint="eastAsia" w:ascii="仿宋" w:hAnsi="仿宋" w:eastAsia="仿宋" w:cs="仿宋"/>
          <w:sz w:val="28"/>
          <w:szCs w:val="28"/>
          <w:highlight w:val="none"/>
        </w:rPr>
        <w:t xml:space="preserve">。</w:t>
      </w:r>
      <w:r/>
    </w:p>
    <w:p>
      <w:pPr>
        <w:ind w:firstLine="560"/>
        <w:spacing w:line="48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14:textFill>
            <w14:solidFill>
              <w14:schemeClr w14:val="tx1"/>
            </w14:solidFill>
          </w14:textFill>
        </w:rPr>
        <w:t xml:space="preserve">合同签订后15个日历天内完成交付，并通过初步验收。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日9</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日9</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称：江苏省南通中学附属实验学校</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址：南通市崇川区崇州大道2号</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陈老师</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 18862933490</w:t>
      </w:r>
      <w:r>
        <w:rPr>
          <w:highlight w:val="none"/>
        </w:rPr>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8"/>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18"/>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71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89"/>
        <w:gridCol w:w="2141"/>
        <w:gridCol w:w="1930"/>
        <w:gridCol w:w="738"/>
        <w:gridCol w:w="738"/>
        <w:gridCol w:w="2107"/>
      </w:tblGrid>
      <w:tr>
        <w:trPr>
          <w:jc w:val="center"/>
          <w:tblHead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Mar>
              <w:left w:w="20" w:type="dxa"/>
              <w:top w:w="20" w:type="dxa"/>
              <w:right w:w="20" w:type="dxa"/>
              <w:bottom w:w="20" w:type="dxa"/>
            </w:tcMar>
            <w:tcW w:w="2141" w:type="dxa"/>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名称</w:t>
            </w:r>
            <w:r/>
          </w:p>
        </w:tc>
        <w:tc>
          <w:tcPr>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规格</w:t>
            </w:r>
            <w:r/>
          </w:p>
        </w:tc>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单位</w:t>
            </w:r>
            <w:r/>
          </w:p>
        </w:tc>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数量</w:t>
            </w:r>
            <w:r/>
          </w:p>
        </w:tc>
        <w:tc>
          <w:tcPr>
            <w:tcMar>
              <w:left w:w="20" w:type="dxa"/>
              <w:top w:w="20" w:type="dxa"/>
              <w:right w:w="20" w:type="dxa"/>
              <w:bottom w:w="20" w:type="dxa"/>
            </w:tcMar>
            <w:tcW w:w="2107" w:type="dxa"/>
            <w:vAlign w:val="center"/>
            <w:textDirection w:val="lrTb"/>
            <w:noWrap w:val="false"/>
          </w:tcPr>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最高限价(元)</w:t>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课桌椅（蓝色）</w:t>
            </w:r>
            <w:r/>
          </w:p>
        </w:tc>
        <w:tc>
          <w:tcPr>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250</w:t>
            </w:r>
            <w:r/>
          </w:p>
        </w:tc>
        <w:tc>
          <w:tcPr>
            <w:tcMar>
              <w:left w:w="20" w:type="dxa"/>
              <w:top w:w="20" w:type="dxa"/>
              <w:right w:w="20" w:type="dxa"/>
              <w:bottom w:w="20" w:type="dxa"/>
            </w:tcMar>
            <w:tcW w:w="2107" w:type="dxa"/>
            <w:vAlign w:val="center"/>
            <w:vMerge w:val="restart"/>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124800</w:t>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理化生实验室凳子</w:t>
            </w:r>
            <w:r/>
          </w:p>
        </w:tc>
        <w:tc>
          <w:tcPr>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张</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100</w:t>
            </w:r>
            <w:r/>
          </w:p>
        </w:tc>
        <w:tc>
          <w:tcPr>
            <w:tcMar>
              <w:left w:w="20" w:type="dxa"/>
              <w:top w:w="20" w:type="dxa"/>
              <w:right w:w="20" w:type="dxa"/>
              <w:bottom w:w="20" w:type="dxa"/>
            </w:tcMar>
            <w:tcW w:w="2107" w:type="dxa"/>
            <w:vAlign w:val="center"/>
            <w:vMerge w:val="continue"/>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rPr>
              <w:t xml:space="preserve">音乐教室凳子</w:t>
            </w:r>
            <w:r/>
          </w:p>
        </w:tc>
        <w:tc>
          <w:tcPr>
            <w:shd w:val="clear" w:color="auto" w:fill="auto"/>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shd w:val="clear" w:color="auto" w:fill="auto"/>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张</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80</w:t>
            </w:r>
            <w:r/>
          </w:p>
        </w:tc>
        <w:tc>
          <w:tcPr>
            <w:tcMar>
              <w:left w:w="20" w:type="dxa"/>
              <w:top w:w="20" w:type="dxa"/>
              <w:right w:w="20" w:type="dxa"/>
              <w:bottom w:w="20" w:type="dxa"/>
            </w:tcMar>
            <w:tcW w:w="2107" w:type="dxa"/>
            <w:vAlign w:val="center"/>
            <w:vMerge w:val="continue"/>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软质黑板</w:t>
            </w:r>
            <w:r/>
          </w:p>
        </w:tc>
        <w:tc>
          <w:tcPr>
            <w:shd w:val="clear" w:color="auto" w:fill="auto"/>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shd w:val="clear" w:color="auto" w:fill="auto"/>
            <w:tcMar>
              <w:left w:w="20" w:type="dxa"/>
              <w:top w:w="20" w:type="dxa"/>
              <w:right w:w="20" w:type="dxa"/>
              <w:bottom w:w="20" w:type="dxa"/>
            </w:tcMar>
            <w:tcW w:w="738" w:type="dxa"/>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张</w:t>
            </w:r>
            <w:r/>
          </w:p>
        </w:tc>
        <w:tc>
          <w:tcPr>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c>
          <w:tcPr>
            <w:tcMar>
              <w:left w:w="20" w:type="dxa"/>
              <w:top w:w="20" w:type="dxa"/>
              <w:right w:w="20" w:type="dxa"/>
              <w:bottom w:w="20" w:type="dxa"/>
            </w:tcMar>
            <w:tcW w:w="2107" w:type="dxa"/>
            <w:vAlign w:val="center"/>
            <w:vMerge w:val="continue"/>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讲台（橡胶木）</w:t>
            </w:r>
            <w:r/>
          </w:p>
        </w:tc>
        <w:tc>
          <w:tcPr>
            <w:shd w:val="clear" w:color="auto" w:fill="auto"/>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shd w:val="clear" w:color="auto" w:fill="auto"/>
            <w:tcMar>
              <w:left w:w="20" w:type="dxa"/>
              <w:top w:w="20" w:type="dxa"/>
              <w:right w:w="20" w:type="dxa"/>
              <w:bottom w:w="20" w:type="dxa"/>
            </w:tcMar>
            <w:tcW w:w="738" w:type="dxa"/>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个</w:t>
            </w:r>
            <w:r/>
          </w:p>
        </w:tc>
        <w:tc>
          <w:tcPr>
            <w:tcMar>
              <w:left w:w="20" w:type="dxa"/>
              <w:top w:w="20" w:type="dxa"/>
              <w:right w:w="20" w:type="dxa"/>
              <w:bottom w:w="20" w:type="dxa"/>
            </w:tcMar>
            <w:tcW w:w="738" w:type="dxa"/>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c>
          <w:tcPr>
            <w:tcMar>
              <w:left w:w="20" w:type="dxa"/>
              <w:top w:w="20" w:type="dxa"/>
              <w:right w:w="20" w:type="dxa"/>
              <w:bottom w:w="20" w:type="dxa"/>
            </w:tcMar>
            <w:tcW w:w="2107" w:type="dxa"/>
            <w:vAlign w:val="center"/>
            <w:vMerge w:val="continue"/>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Mar>
              <w:left w:w="20" w:type="dxa"/>
              <w:top w:w="20" w:type="dxa"/>
              <w:right w:w="20" w:type="dxa"/>
              <w:bottom w:w="20" w:type="dxa"/>
            </w:tcMar>
            <w:tcW w:w="0" w:type="auto"/>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Mar>
              <w:left w:w="20" w:type="dxa"/>
              <w:top w:w="20" w:type="dxa"/>
              <w:right w:w="20" w:type="dxa"/>
              <w:bottom w:w="20" w:type="dxa"/>
            </w:tcMar>
            <w:tcW w:w="2141" w:type="dxa"/>
            <w:vAlign w:val="center"/>
            <w:textDirection w:val="lrTb"/>
            <w:noWrap w:val="false"/>
          </w:tcPr>
          <w:p>
            <w:pPr>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书柜（橡胶木）</w:t>
            </w:r>
            <w:r/>
          </w:p>
        </w:tc>
        <w:tc>
          <w:tcPr>
            <w:shd w:val="clear" w:color="auto" w:fill="auto"/>
            <w:tcMar>
              <w:left w:w="20" w:type="dxa"/>
              <w:top w:w="20" w:type="dxa"/>
              <w:right w:w="20" w:type="dxa"/>
              <w:bottom w:w="20" w:type="dxa"/>
            </w:tcMar>
            <w:tcW w:w="1930"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见技术参数</w:t>
            </w:r>
            <w:r/>
          </w:p>
        </w:tc>
        <w:tc>
          <w:tcPr>
            <w:shd w:val="clear" w:color="auto" w:fill="auto"/>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个</w:t>
            </w:r>
            <w:r/>
          </w:p>
        </w:tc>
        <w:tc>
          <w:tcPr>
            <w:shd w:val="clear" w:color="auto" w:fill="auto"/>
            <w:tcMar>
              <w:left w:w="20" w:type="dxa"/>
              <w:top w:w="20" w:type="dxa"/>
              <w:right w:w="20" w:type="dxa"/>
              <w:bottom w:w="20" w:type="dxa"/>
            </w:tcMar>
            <w:tcW w:w="0" w:type="auto"/>
            <w:vAlign w:val="center"/>
            <w:textDirection w:val="lrTb"/>
            <w:noWrap w:val="false"/>
          </w:tcPr>
          <w:p>
            <w:pPr>
              <w:jc w:val="center"/>
              <w:spacing w:line="44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c>
          <w:tcPr>
            <w:tcMar>
              <w:left w:w="20" w:type="dxa"/>
              <w:top w:w="20" w:type="dxa"/>
              <w:right w:w="20" w:type="dxa"/>
              <w:bottom w:w="20" w:type="dxa"/>
            </w:tcMar>
            <w:tcW w:w="2107" w:type="dxa"/>
            <w:vAlign w:val="center"/>
            <w:vMerge w:val="continue"/>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40" w:lineRule="exact"/>
        <w:widowControl/>
        <w:rPr>
          <w:rFonts w:ascii="仿宋" w:hAnsi="仿宋" w:eastAsia="仿宋" w:cs="仿宋"/>
          <w:sz w:val="24"/>
          <w:szCs w:val="24"/>
          <w:lang w:bidi="ar"/>
        </w:rPr>
      </w:pPr>
      <w:r>
        <w:rPr>
          <w:rFonts w:hint="eastAsia" w:ascii="仿宋" w:hAnsi="仿宋" w:eastAsia="仿宋" w:cs="仿宋"/>
          <w:b/>
          <w:bCs/>
          <w:sz w:val="24"/>
          <w:szCs w:val="24"/>
          <w:lang w:bidi="ar"/>
        </w:rPr>
        <w:t xml:space="preserve">本项目核心产品：</w:t>
      </w:r>
      <w:r>
        <w:rPr>
          <w:rFonts w:hint="eastAsia" w:ascii="仿宋" w:hAnsi="仿宋" w:eastAsia="仿宋" w:cs="仿宋"/>
          <w:sz w:val="24"/>
          <w:szCs w:val="24"/>
          <w:lang w:bidi="ar"/>
        </w:rPr>
        <w:t xml:space="preserve">课桌椅（蓝色）</w:t>
      </w:r>
      <w:r/>
    </w:p>
    <w:p>
      <w:pPr>
        <w:spacing w:line="440" w:lineRule="exact"/>
        <w:widowControl/>
        <w:rPr>
          <w:rFonts w:ascii="仿宋" w:hAnsi="仿宋" w:eastAsia="仿宋" w:cs="仿宋"/>
          <w:b/>
          <w:bCs/>
          <w:sz w:val="24"/>
          <w:szCs w:val="24"/>
          <w:lang w:bidi="ar"/>
        </w:rPr>
      </w:pPr>
      <w:r>
        <w:rPr>
          <w:rFonts w:hint="eastAsia" w:ascii="仿宋" w:hAnsi="仿宋" w:eastAsia="仿宋" w:cs="仿宋"/>
          <w:b/>
          <w:bCs/>
          <w:sz w:val="24"/>
          <w:szCs w:val="24"/>
          <w:lang w:bidi="ar"/>
        </w:rPr>
        <w:t xml:space="preserve">本项目所有产品所属行业：</w:t>
      </w:r>
      <w:r>
        <w:rPr>
          <w:rFonts w:hint="eastAsia" w:ascii="仿宋" w:hAnsi="仿宋" w:eastAsia="仿宋" w:cs="仿宋"/>
          <w:sz w:val="24"/>
          <w:szCs w:val="24"/>
          <w:lang w:bidi="ar"/>
        </w:rPr>
        <w:t xml:space="preserve">工业</w:t>
      </w:r>
      <w:r/>
    </w:p>
    <w:p>
      <w:pPr>
        <w:pStyle w:val="718"/>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jc w:val="left"/>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为江苏省南通中学附属实验学校配置课桌椅(蓝色)、理化生实验室凳子、音乐教室凳子、软质黑板、讲台（橡胶木）、书柜（橡胶木）等。</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本项目所有成品均配套对应国标，从源头严控有害物质，满足校园室内密闭空间使用条件。</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整体必须符合GB 18584-2024《家具中有害物质限量》强制限值。为确保成品达标，本项目要求所有人造板零部件所用基材须符合GB 18580-2025《室内装饰装修材料人造板及其制品中甲醛释放限量》且达到E0级（≤0.050mg/m³，1m³气候箱法）。</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所用木器涂料（含水性、UV、溶剂型等）及稀释剂、固化剂等配套辅助材料，其有害物质限量应符合 GB 30981.2-2025《涂料中有害物质限量 第2部分：工业涂料》中对应品类限值。</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木家具应符合GB/T 3324-2024《木家具通用技术条件》相关要求。</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塑料家具应符合GB/T32487-2016《塑料家具通用技术条件》相关要求。</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家具结构安全应符合GB 28008-2024《家具结构安全技术规范》要求。</w:t>
      </w:r>
      <w:r/>
    </w:p>
    <w:p>
      <w:pPr>
        <w:spacing w:line="480" w:lineRule="exact"/>
        <w:rPr>
          <w:sz w:val="20"/>
          <w:szCs w:val="18"/>
        </w:rPr>
      </w:pPr>
      <w:r>
        <w:rPr>
          <w:rFonts w:hint="eastAsia" w:ascii="仿宋" w:hAnsi="仿宋" w:eastAsia="仿宋" w:cs="仿宋"/>
          <w:bCs/>
          <w:color w:val="000000" w:themeColor="text1"/>
          <w:sz w:val="24"/>
          <w:szCs w:val="24"/>
          <w14:textFill>
            <w14:solidFill>
              <w14:schemeClr w14:val="tx1"/>
            </w14:solidFill>
          </w14:textFill>
        </w:rPr>
        <w:t xml:space="preserve">课桌椅应符合GB/T 3976-2014《学校课桌椅功能尺寸及技术要求》相关要求。</w:t>
      </w:r>
      <w:r/>
    </w:p>
    <w:p>
      <w:pPr>
        <w:spacing w:line="480" w:lineRule="exact"/>
        <w:rPr>
          <w:rFonts w:ascii="仿宋" w:hAnsi="仿宋" w:eastAsia="仿宋" w:cs="仿宋"/>
          <w:b/>
          <w:bCs w:val="0"/>
          <w:sz w:val="24"/>
          <w:szCs w:val="24"/>
        </w:rPr>
      </w:pPr>
      <w:r>
        <w:rPr>
          <w:rFonts w:hint="eastAsia" w:ascii="仿宋" w:hAnsi="仿宋" w:eastAsia="仿宋" w:cs="仿宋"/>
          <w:b/>
          <w:bCs w:val="0"/>
          <w:color w:val="000000" w:themeColor="text1"/>
          <w:sz w:val="24"/>
          <w:szCs w:val="24"/>
          <w14:textFill>
            <w14:solidFill>
              <w14:schemeClr w14:val="tx1"/>
            </w14:solidFill>
          </w14:textFill>
        </w:rPr>
        <w:t xml:space="preserve">注：上述标准若有更新或替代，以最新的国家标准为准。</w:t>
      </w:r>
      <w:r/>
    </w:p>
    <w:p>
      <w:pPr>
        <w:jc w:val="left"/>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产品参数要求</w:t>
      </w:r>
      <w:r>
        <w:rPr>
          <w:rFonts w:hint="eastAsia" w:ascii="仿宋" w:hAnsi="仿宋" w:eastAsia="仿宋" w:cs="仿宋"/>
          <w:b/>
          <w:bCs/>
          <w:sz w:val="24"/>
          <w:szCs w:val="24"/>
          <w:lang w:val="en-US" w:eastAsia="zh-CN"/>
        </w:rPr>
        <w:t xml:space="preserve">如下</w:t>
      </w:r>
      <w:r/>
    </w:p>
    <w:p>
      <w:pPr>
        <w:keepLines w:val="0"/>
        <w:keepNext w:val="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1.课桌椅（蓝色）（各部分细节须与学校确认后再供货）</w:t>
      </w:r>
      <w:r/>
    </w:p>
    <w:p>
      <w:pPr>
        <w:pStyle w:val="722"/>
        <w:keepLines w:val="0"/>
        <w:keepNext w:val="0"/>
        <w:pageBreakBefore w:val="0"/>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课桌：规格参数</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（1）桌子尺寸：长650(mm)×宽450(mm)×高660-780mm (注:高度可调节,可按学生实际需要调节)</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桌面：材质：采用一级全新ABS塑料新料，一体注塑成型；得需采用环保耐冲击塑料一级新料一体注塑成型。耐冲击强度：须能承受5磅榔头重力锤击不得破裂。不得采用回收料生产。前端设置长条状铅笔槽长度405mm，面板前端设置一冂字型防滑落凸条，延伸至桌面左右两侧，总长度1000mm，凹陷3mm，面板底部有強化承重之设计。锁入1根承重方型钢管，并与面板底部平齐。尺寸规格为15mm×30mm×壁厚1.2mm。由螺丝锁付于面板底部。</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（3）屉箱： 材质:必须采用一级全新PP塑料，一体注塑成型。抗压、耐磨、耐冲击。尺寸：外径尺寸长515mm*深度378mm*高度150mm±5mm，抽屉靠学生侧外沿有一圈采用开口倾斜设计，便于学生更好的取用书籍。抽屉底部外沿往内设计有宽度25mm*长度420mm文具储物盒，功能：储存文具最大化收纳分类，方便学生放置文具小物品。底部中间不少于20条纵向圆柱条纹状加强条，防止物品滑动产生噪音，底部设有2个5mm小孔以便排水。</w:t>
      </w:r>
      <w:r/>
    </w:p>
    <w:p>
      <w:pPr>
        <w:pStyle w:val="722"/>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桌腿/桌脚：材质及形状：扁圆形钢管。焊接全为满焊。尺寸：外管37*74*1.2mm扁圆冷轧钢管，内管27*64*1.2mm扁圆冷轧钢管，桌底脚采用37*74*1.2mm扁圆冷轧钢管，桌斗固定管采用20*40*1.2mm扁圆管U型弯管而成，弯管不得有凹槽钢管需圆满，连接横档采用25*54*1.2mm扁圆冷轧钢管。表面涂装：焊接完成之钢管架，经高温粉体烤漆。附着力特强，长时间使用也不会产生表面漆剥落现象，颜色为驼灰色。桌脚两端配置塑料外套，具备防滑、防移动从而避免产生噪音或刮伤地板板面的功能。</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 （5）挂钩：屉箱两侧装有安全挂钩，Pp材料一次成型，承重≥25KG。方便学生挂书包或学习用品袋。</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 （6）外观：表面没有裂纹、破损、明显修补痕迹、明显色差等缺陷；边缘平整圆滑，无分层；内表面应整洁；外表和内表以及手指可触及的隐蔽处没有锐利的棱角、毛刺。各焊缝不应有漏焊、烧穿、裂纹、气孔、夹渣、未焊透及严重咬边等缺陷，无明显焊瘤、熔渣。使用者能接触到的部件开口端或管口有盖帽或其它形式的闭合设计。</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7）涂装：外露金属件表面喷塑前进行喷丸除锈后磷化处理，静电喷塑，涂层与金属表面的附着力强，不易腐蚀和脱落。涂装件不得有明显的气泡、流痕、漏底、皱皮和其它损伤。塑粉要求用环保聚氨酯塑粉（户外型抗紫外线II级）。</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（8）零部件安装:各种零部件安装严密、平整、牢固，各结合处紧密、平整，无明显间缝。</w:t>
      </w:r>
      <w:r/>
    </w:p>
    <w:p>
      <w:pPr>
        <w:pStyle w:val="722"/>
        <w:keepLines w:val="0"/>
        <w:keepNext w:val="0"/>
        <w:pageBreakBefore w:val="0"/>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椅子：规格参数</w:t>
      </w:r>
      <w:r/>
    </w:p>
    <w:p>
      <w:pPr>
        <w:pStyle w:val="722"/>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（1）椅子尺寸:升降尺寸360-460mm。</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（2）坐板、靠背:坐板、靠背采用环保PP塑料，根据人体脊椎学原理一次注塑而成。椅面尺寸≥415*360 mm ,坐板有两列十条透气网，能有效缓解学生坐资疲劳，集中学生听课注意力，表面采用磨纱处理，表面纹路清晰，美观大方，坐板和椅子铁件连接部分不外露，靠背尺寸≥393*265 mm ，六条透气网，椭圆形把手圈。</w:t>
      </w:r>
      <w:r/>
    </w:p>
    <w:p>
      <w:pPr>
        <w:pStyle w:val="722"/>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（3）椅腿、靠背管:材质及形状：椭圆形钢管。焊接全为满焊。尺寸：外管37*74*1.2mm扁圆冷轧钢管，</w:t>
      </w:r>
      <w:r>
        <w:rPr>
          <w:rFonts w:hint="eastAsia" w:ascii="仿宋" w:hAnsi="仿宋" w:eastAsia="仿宋" w:cs="仿宋"/>
          <w:sz w:val="24"/>
          <w:szCs w:val="24"/>
        </w:rPr>
        <w:t xml:space="preserve">内管27*64*1.2mm扁圆冷轧钢管，椅底脚采用37*74*1.2mm扁圆冷轧钢管，连接横档采用25*54*1.3mm坐板下面加两根20*20*1.3方管使其更加牢固经自动弯管机弯曲成型靠背管采用≥15*30mm*厚1.5mm扁圆管。塑料置物篮：290×360mmm，高度100mm。左右各1个U型扣，分别用4枚螺丝固定，增加学生的储物空间。椅脚两端配置塑料外套，具备防滑、防移动从而避免产生噪音或刮伤地板板面的功能。椅腿和椅脚成直角焊接，牢固可靠。正常使用过程中，使用者接触到的部位无锐边、尖角、毛刺和翘边。</w:t>
      </w:r>
      <w:r/>
    </w:p>
    <w:p>
      <w:pPr>
        <w:pStyle w:val="722"/>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（4）外观:人性化设计，美观大方，边缘平整圆滑。</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（5）着地平稳性:桌脚着地平稳，无摇摆现象。如遇不平整地面，可通过桌脚自由调节器进行桌脚调整，确保桌面平衡。</w:t>
      </w:r>
      <w:r/>
    </w:p>
    <w:p>
      <w:pPr>
        <w:pStyle w:val="722"/>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（6）涂装:桌腿、桌脚、等金属部件经过先进喷丸工艺处理和静电喷塑，使涂层与金属表面的附着力更强，不易腐蚀，不易脱落，课桌椅颜色以图片为准不能任意更改。</w:t>
      </w:r>
      <w:r/>
    </w:p>
    <w:p>
      <w:pPr>
        <w:pStyle w:val="722"/>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（7）零部件安装:各种零部件安装严密、平整、牢固，各结合处紧密、平整，无明显间缝。</w:t>
      </w:r>
      <w:r/>
    </w:p>
    <w:p>
      <w:pPr>
        <w:pStyle w:val="723"/>
        <w:rPr>
          <w:rFonts w:hint="eastAsia"/>
        </w:rPr>
      </w:pPr>
      <w:r>
        <w:rPr>
          <w:rFonts w:hint="eastAsia"/>
        </w:rPr>
      </w:r>
      <w:r/>
    </w:p>
    <w:p>
      <w:pPr>
        <w:pStyle w:val="722"/>
        <w:jc w:val="center"/>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课桌椅（蓝色）参考图片</w:t>
      </w:r>
      <w:r/>
    </w:p>
    <w:p>
      <w:pPr>
        <w:pStyle w:val="723"/>
      </w:pPr>
      <w:r/>
      <w:r/>
    </w:p>
    <w:p>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1891665" cy="2176145"/>
                <wp:effectExtent l="0" t="0" r="13335" b="14604"/>
                <wp:docPr id="3" name="图片 7" descr="f0fc944d08504ce20edf13633654df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0fc944d08504ce20edf13633654df43"/>
                        <pic:cNvPicPr>
                          <a:picLocks noChangeAspect="1"/>
                        </pic:cNvPicPr>
                        <pic:nvPr/>
                      </pic:nvPicPr>
                      <pic:blipFill>
                        <a:blip r:embed="rId13"/>
                        <a:stretch/>
                      </pic:blipFill>
                      <pic:spPr bwMode="auto">
                        <a:xfrm>
                          <a:off x="0" y="0"/>
                          <a:ext cx="1891665" cy="2176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9pt;height:171.3pt;mso-wrap-distance-left:0.0pt;mso-wrap-distance-top:0.0pt;mso-wrap-distance-right:0.0pt;mso-wrap-distance-bottom:0.0pt;" stroked="false">
                <v:path textboxrect="0,0,0,0"/>
                <v:imagedata r:id="rId13" o:title=""/>
              </v:shape>
            </w:pict>
          </mc:Fallback>
        </mc:AlternateContent>
      </w:r>
      <w:r>
        <w:rPr>
          <w:rFonts w:hint="eastAsia" w:asciiTheme="minorEastAsia" w:hAnsiTheme="minorEastAsia" w:eastAsiaTheme="minorEastAsia" w:cstheme="minorEastAsia"/>
          <w:sz w:val="24"/>
          <w:szCs w:val="24"/>
        </w:rPr>
        <w:t xml:space="preserve">   </w:t>
      </w:r>
      <w:r>
        <w:rPr>
          <w:rFonts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1818640" cy="2200910"/>
                <wp:effectExtent l="0" t="0" r="10160" b="8890"/>
                <wp:docPr id="4" name="图片 8" descr="9fa0391ae76abfb009d97d4674610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fa0391ae76abfb009d97d4674610971"/>
                        <pic:cNvPicPr>
                          <a:picLocks noChangeAspect="1"/>
                        </pic:cNvPicPr>
                        <pic:nvPr/>
                      </pic:nvPicPr>
                      <pic:blipFill>
                        <a:blip r:embed="rId14"/>
                        <a:stretch/>
                      </pic:blipFill>
                      <pic:spPr bwMode="auto">
                        <a:xfrm>
                          <a:off x="0" y="0"/>
                          <a:ext cx="1818640" cy="2200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3.2pt;height:173.3pt;mso-wrap-distance-left:0.0pt;mso-wrap-distance-top:0.0pt;mso-wrap-distance-right:0.0pt;mso-wrap-distance-bottom:0.0pt;" stroked="false">
                <v:path textboxrect="0,0,0,0"/>
                <v:imagedata r:id="rId14" o:title=""/>
              </v:shape>
            </w:pict>
          </mc:Fallback>
        </mc:AlternateContent>
      </w:r>
      <w:r/>
    </w:p>
    <w:p>
      <w:pPr>
        <w:pStyle w:val="722"/>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23"/>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spacing w:line="480" w:lineRule="exact"/>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2.理化生实验室凳子（各部分细节须与学校确认后再供货）</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规格：≥Φ320*450-500mm</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凳面：采用双色圆形面板，面板采用PP材料一体注塑成型，面板直径≥320mm，厚度≥4mm；中间有内弧造型，深度≥5mm，表面防滑不发光，凳面中间镶嵌有≥3mm厚，直径≥280mm的PP材料一体注塑成型的圆形面板，并采用榫卯连接结构与凳面组合，表面平整、无凹凸，整体协调、美观。</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2.凳脚材质及形状：椭圆形无缝钢管，尺寸:≥20×40×1.2mm。凳脚配置塑料外套，具备防滑、防移动从而避免产生噪音或刮伤地板板面的功能。</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3.全圆满焊接完成，结构牢固，经高温粉体烤漆处理，长时间使用也不会产生表面烤漆剥落现象。</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4.脚垫材质：采用PP加耐磨纤维质材料。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5.实验凳由螺旋螺杆带动升降，升降范围为450mm-500mm。</w:t>
      </w:r>
      <w:r/>
    </w:p>
    <w:p>
      <w:pPr>
        <w:pStyle w:val="722"/>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6.零部件安装:各种零部件安装严密、平整、牢固，各结合处紧密、平整，无明显间缝。</w:t>
      </w:r>
      <w:r/>
    </w:p>
    <w:p>
      <w:pPr>
        <w:pStyle w:val="723"/>
        <w:rPr>
          <w:rFonts w:hint="eastAsia"/>
        </w:rPr>
      </w:pPr>
      <w:r>
        <w:rPr>
          <w:rFonts w:hint="eastAsia"/>
        </w:rPr>
      </w:r>
      <w:r/>
    </w:p>
    <w:p>
      <w:pPr>
        <w:pStyle w:val="723"/>
        <w:jc w:val="cente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理化生实验室凳子参考图片</w:t>
      </w:r>
      <w:r/>
    </w:p>
    <w:p>
      <w:pPr>
        <w:jc w:val="center"/>
        <w:rPr>
          <w:rFonts w:asciiTheme="minorEastAsia" w:hAnsiTheme="minorEastAsia" w:cstheme="minorEastAsia"/>
          <w:b/>
          <w:bCs/>
          <w:sz w:val="28"/>
          <w:szCs w:val="36"/>
        </w:rPr>
      </w:pPr>
      <w:r>
        <mc:AlternateContent>
          <mc:Choice Requires="wpg">
            <w:drawing>
              <wp:inline xmlns:wp="http://schemas.openxmlformats.org/drawingml/2006/wordprocessingDrawing" distT="0" distB="0" distL="0" distR="0">
                <wp:extent cx="1704975" cy="1803400"/>
                <wp:effectExtent l="0" t="0" r="9525" b="6350"/>
                <wp:docPr id="5" name="图片 4" descr="c9966a7679f43737e2ff2303317ed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9966a7679f43737e2ff2303317ed702"/>
                        <pic:cNvPicPr>
                          <a:picLocks noChangeAspect="1"/>
                        </pic:cNvPicPr>
                        <pic:nvPr/>
                      </pic:nvPicPr>
                      <pic:blipFill>
                        <a:blip r:embed="rId15"/>
                        <a:stretch/>
                      </pic:blipFill>
                      <pic:spPr bwMode="auto">
                        <a:xfrm>
                          <a:off x="0" y="0"/>
                          <a:ext cx="1704975" cy="180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4.2pt;height:142.0pt;mso-wrap-distance-left:0.0pt;mso-wrap-distance-top:0.0pt;mso-wrap-distance-right:0.0pt;mso-wrap-distance-bottom:0.0pt;" stroked="false">
                <v:path textboxrect="0,0,0,0"/>
                <v:imagedata r:id="rId15" o:title=""/>
              </v:shape>
            </w:pict>
          </mc:Fallback>
        </mc:AlternateContent>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3.音乐教室凳子（各部分细节须与学校确认后再供货）</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（1）材质：12mm厚E1级高密度纳米生态板、带ABS包边材料、硬质包角钉制；</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（2）尺寸：≥ 250 x 300 x 400mm含护角部分；</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（3）结构：正方体凳，六面色彩多样化。共8个护角，护角为硬质塑料制成，防滑；</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（4）零部件安装:各种零部件安装严密、平整、牢固，各结合处紧密、平整，无明显间缝；</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（5）其他要求：产品须符合2级力学性能要求。</w:t>
      </w:r>
      <w:r/>
    </w:p>
    <w:p>
      <w:pPr>
        <w:pStyle w:val="718"/>
        <w:rPr>
          <w:rFonts w:hint="eastAsia"/>
          <w:lang w:eastAsia="zh-CN"/>
        </w:rPr>
      </w:pPr>
      <w:r>
        <w:rPr>
          <w:rFonts w:hint="eastAsia"/>
          <w:lang w:eastAsia="zh-CN"/>
        </w:rPr>
      </w:r>
      <w:r/>
    </w:p>
    <w:p>
      <w:pPr>
        <w:pStyle w:val="718"/>
        <w:jc w:val="center"/>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音乐</w:t>
      </w:r>
      <w:r>
        <w:rPr>
          <w:rFonts w:hint="eastAsia" w:ascii="仿宋" w:hAnsi="仿宋" w:eastAsia="仿宋" w:cs="仿宋"/>
          <w:sz w:val="24"/>
          <w:szCs w:val="24"/>
        </w:rPr>
        <w:t xml:space="preserve">教室凳子</w:t>
      </w:r>
      <w:r>
        <w:rPr>
          <w:rFonts w:hint="eastAsia" w:ascii="仿宋" w:hAnsi="仿宋" w:eastAsia="仿宋" w:cs="仿宋"/>
          <w:sz w:val="24"/>
          <w:szCs w:val="24"/>
          <w:lang w:eastAsia="zh-CN"/>
        </w:rPr>
        <w:t xml:space="preserve">参考图片</w:t>
      </w:r>
      <w:r/>
    </w:p>
    <w:p>
      <w:pPr>
        <w:pStyle w:val="723"/>
      </w:pPr>
      <w:r>
        <w:rPr>
          <w:rFonts w:hint="eastAsia"/>
        </w:rPr>
        <w:t xml:space="preserve">     </w:t>
      </w:r>
      <w:r/>
    </w:p>
    <w:p>
      <w:pPr>
        <w:jc w:val="center"/>
      </w:pPr>
      <w:r>
        <w:rPr>
          <w:rFonts w:hint="eastAsia"/>
        </w:rPr>
        <mc:AlternateContent>
          <mc:Choice Requires="wpg">
            <w:drawing>
              <wp:inline xmlns:wp="http://schemas.openxmlformats.org/drawingml/2006/wordprocessingDrawing" distT="0" distB="0" distL="0" distR="0">
                <wp:extent cx="2542540" cy="2629535"/>
                <wp:effectExtent l="0" t="0" r="10160" b="18415"/>
                <wp:docPr id="6" name="图片 5" descr="7ff3f8955c761f0271c58db3fd55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ff3f8955c761f0271c58db3fd553684"/>
                        <pic:cNvPicPr>
                          <a:picLocks noChangeAspect="1"/>
                        </pic:cNvPicPr>
                        <pic:nvPr/>
                      </pic:nvPicPr>
                      <pic:blipFill>
                        <a:blip r:embed="rId16"/>
                        <a:stretch/>
                      </pic:blipFill>
                      <pic:spPr bwMode="auto">
                        <a:xfrm>
                          <a:off x="0" y="0"/>
                          <a:ext cx="2542540" cy="2629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0.2pt;height:207.0pt;mso-wrap-distance-left:0.0pt;mso-wrap-distance-top:0.0pt;mso-wrap-distance-right:0.0pt;mso-wrap-distance-bottom:0.0pt;" stroked="false">
                <v:path textboxrect="0,0,0,0"/>
                <v:imagedata r:id="rId16" o:title=""/>
              </v:shape>
            </w:pict>
          </mc:Fallback>
        </mc:AlternateContent>
      </w:r>
      <w:r/>
    </w:p>
    <w:p>
      <w:pPr>
        <w:pStyle w:val="718"/>
        <w:rPr>
          <w:lang w:eastAsia="zh-CN"/>
        </w:rPr>
      </w:pPr>
      <w:r>
        <w:rPr>
          <w:lang w:eastAsia="zh-CN"/>
        </w:rPr>
      </w:r>
      <w:r/>
    </w:p>
    <w:p>
      <w:pPr>
        <w:rPr>
          <w:rFonts w:hint="eastAsia" w:ascii="仿宋" w:hAnsi="仿宋" w:eastAsia="仿宋" w:cs="仿宋"/>
          <w:b/>
          <w:bCs/>
          <w:sz w:val="24"/>
          <w:szCs w:val="32"/>
        </w:rPr>
      </w:pPr>
      <w:r>
        <w:rPr>
          <w:rFonts w:hint="eastAsia" w:ascii="仿宋" w:hAnsi="仿宋" w:eastAsia="仿宋" w:cs="仿宋"/>
          <w:b/>
          <w:bCs/>
          <w:sz w:val="24"/>
          <w:szCs w:val="32"/>
        </w:rPr>
        <w:br w:type="page" w:clear="all"/>
      </w:r>
      <w:r/>
    </w:p>
    <w:p>
      <w:pPr>
        <w:rPr>
          <w:rFonts w:hint="eastAsia" w:ascii="仿宋" w:hAnsi="仿宋" w:eastAsia="仿宋" w:cs="仿宋"/>
          <w:b/>
          <w:bCs/>
          <w:sz w:val="24"/>
          <w:szCs w:val="32"/>
        </w:rPr>
      </w:pPr>
      <w:r>
        <w:rPr>
          <w:rFonts w:hint="eastAsia" w:ascii="仿宋" w:hAnsi="仿宋" w:eastAsia="仿宋" w:cs="仿宋"/>
          <w:b/>
          <w:bCs/>
          <w:sz w:val="24"/>
          <w:szCs w:val="32"/>
        </w:rPr>
        <w:t xml:space="preserve">4.软质黑板（各部分细节须与学校确认后再供货）</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尺寸：4000mm×1200mm。</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板面：板面:采用环保软木板采用天然橡树树皮为原材料，没有刺激气味，具有良好的抗高温和阻燃功能，氧指数检测超出一般装饰材料的防火要求，厚度&gt;12mm。</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衬板：选用高强度、吸音、防潮、阻燃聚苯乙烯板，厚度≥10mm。</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背板：采用优质镀锌钢板，厚度≥0.25mm，机械化流水线一次成型，设有凹槽加强筋，增加板体强度。</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覆板：采用环保型双组份聚氨酯胶水，自动化流水线覆板作业，确保粘接牢固板面平整，甲醛释放量≤0.025mg/L，符合GB 28231-2011《书写板安全卫生要求》。</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边框：采用高强度银色氧化铝合金型材或者采用高强度香槟色氧化电泳铝合金型材，规格30㎜×27㎜，壁厚≥1mm，型腔结构，增加板体挺度，教学板面采用槽外包角、全包式结构。</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包角：采用高强度、抗老化 PP工程塑料注塑成型。≥R15的圆角包角，无尖角毛刺。</w:t>
      </w:r>
      <w:r/>
    </w:p>
    <w:p>
      <w:pPr>
        <w:spacing w:line="480" w:lineRule="exact"/>
        <w:rPr>
          <w:rFonts w:hint="eastAsia" w:ascii="仿宋" w:hAnsi="仿宋" w:eastAsia="仿宋" w:cs="仿宋"/>
          <w:sz w:val="24"/>
          <w:szCs w:val="18"/>
        </w:rPr>
      </w:pPr>
      <w:r>
        <w:rPr>
          <w:rFonts w:hint="eastAsia" w:ascii="仿宋" w:hAnsi="仿宋" w:eastAsia="仿宋" w:cs="仿宋"/>
          <w:sz w:val="24"/>
          <w:szCs w:val="18"/>
        </w:rPr>
        <w:t xml:space="preserve">安装：配装钢制固定钉安装件，隐形安装、没有外露的挂接件，符合GB 21027-2007《学生用品的安全通用要求》。</w:t>
      </w:r>
      <w:r/>
    </w:p>
    <w:p>
      <w:pPr>
        <w:pStyle w:val="718"/>
        <w:rPr>
          <w:rFonts w:hint="eastAsia"/>
          <w:lang w:eastAsia="zh-CN"/>
        </w:rPr>
      </w:pPr>
      <w:r>
        <w:rPr>
          <w:rFonts w:hint="eastAsia"/>
          <w:lang w:eastAsia="zh-CN"/>
        </w:rPr>
      </w:r>
      <w:r/>
    </w:p>
    <w:p>
      <w:pPr>
        <w:pStyle w:val="718"/>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软质黑板参考图片</w:t>
      </w:r>
      <w:r/>
    </w:p>
    <w:p>
      <w:pPr>
        <w:pStyle w:val="718"/>
        <w:jc w:val="left"/>
        <w:rPr>
          <w:lang w:eastAsia="zh-CN"/>
        </w:rPr>
      </w:pPr>
      <w:r>
        <w:rPr>
          <w:lang w:eastAsia="zh-CN"/>
        </w:rPr>
        <mc:AlternateContent>
          <mc:Choice Requires="wpg">
            <w:drawing>
              <wp:inline xmlns:wp="http://schemas.openxmlformats.org/drawingml/2006/wordprocessingDrawing" distT="0" distB="0" distL="0" distR="0">
                <wp:extent cx="5400040" cy="2516505"/>
                <wp:effectExtent l="0" t="0" r="10160" b="17145"/>
                <wp:docPr id="7" name="图片 22" descr="C:\Users\Administrator\Documents\xwechat_files\wxid_i1ee7pvuzeok22_6fa7\temp\InputTemp\02ea9042-d8e7-4e6f-996c-f32ef9d76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istrator\Documents\xwechat_files\wxid_i1ee7pvuzeok22_6fa7\temp\InputTemp\02ea9042-d8e7-4e6f-996c-f32ef9d76226.png"/>
                        <pic:cNvPicPr>
                          <a:picLocks noChangeAspect="1"/>
                        </pic:cNvPicPr>
                        <pic:nvPr/>
                      </pic:nvPicPr>
                      <pic:blipFill>
                        <a:blip r:embed="rId17"/>
                        <a:stretch/>
                      </pic:blipFill>
                      <pic:spPr bwMode="auto">
                        <a:xfrm>
                          <a:off x="0" y="0"/>
                          <a:ext cx="5400040" cy="251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198.1pt;mso-wrap-distance-left:0.0pt;mso-wrap-distance-top:0.0pt;mso-wrap-distance-right:0.0pt;mso-wrap-distance-bottom:0.0pt;" stroked="f">
                <v:path textboxrect="0,0,0,0"/>
                <v:imagedata r:id="rId17" o:title=""/>
              </v:shape>
            </w:pict>
          </mc:Fallback>
        </mc:AlternateContent>
      </w:r>
      <w:r/>
    </w:p>
    <w:p>
      <w:pPr>
        <w:pStyle w:val="718"/>
        <w:rPr>
          <w:rFonts w:asciiTheme="minorEastAsia" w:hAnsiTheme="minorEastAsia" w:cstheme="minorEastAsia"/>
          <w:b/>
          <w:bCs/>
          <w:sz w:val="28"/>
          <w:szCs w:val="36"/>
          <w:lang w:eastAsia="zh-CN"/>
        </w:rPr>
      </w:pPr>
      <w:r>
        <w:rPr>
          <w:rFonts w:asciiTheme="minorEastAsia" w:hAnsiTheme="minorEastAsia" w:cstheme="minorEastAsia"/>
          <w:b/>
          <w:bCs/>
          <w:sz w:val="28"/>
          <w:szCs w:val="36"/>
          <w:lang w:eastAsia="zh-CN"/>
        </w:rPr>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br w:type="page" w:clear="all"/>
      </w:r>
      <w:r/>
    </w:p>
    <w:p>
      <w:pPr>
        <w:pStyle w:val="718"/>
        <w:ind w:firstLine="0"/>
        <w:keepLines w:val="0"/>
        <w:keepNext w:val="0"/>
        <w:pageBreakBefore w:val="0"/>
        <w:spacing w:line="480" w:lineRule="exact"/>
        <w:widowControl w:val="off"/>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5.讲台（橡胶木）</w:t>
      </w:r>
      <w:r>
        <w:rPr>
          <w:rFonts w:hint="eastAsia" w:ascii="仿宋" w:hAnsi="仿宋" w:eastAsia="仿宋" w:cs="仿宋"/>
          <w:b/>
          <w:bCs/>
          <w:sz w:val="24"/>
          <w:szCs w:val="24"/>
        </w:rPr>
        <w:t xml:space="preserve">（各部分细节须与学校确认后再供货）</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尺寸2000*1000*600mm.</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整体采用18mm厚橡胶木，不做油漆，表面采用三聚氰胺枫木纹贴面，侧边木蜡油收边工艺。</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橡胶木材质质地均匀、韧性充足、承重性能优异，有效提升设备整体稳定性与使用寿命。木材必须经过烘干、杀虫等工艺处理，木材无裂缝、结疤、腐朽、刀痕等瑕疵，含水率≤10%。</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柜体整体分为两层封闭式储物空间，第一层为抽屉层，主要用于存放粉笔、教案、课本、教具等小型教学用品；第二层（底层储物区）用于存放备用物资、清洁工具等杂物。</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零部件安装:各种零部件安装严密、平整、牢固，各结合处紧密、平整，无明显间缝；</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18"/>
        <w:ind w:firstLine="0"/>
        <w:jc w:val="center"/>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讲台（橡胶木）参考图片</w:t>
      </w:r>
      <w:r/>
    </w:p>
    <w:p>
      <w:pPr>
        <w:pStyle w:val="718"/>
        <w:jc w:val="center"/>
        <w:rPr>
          <w:rFonts w:asciiTheme="minorEastAsia" w:hAnsiTheme="minorEastAsia" w:eastAsiaTheme="minorEastAsia" w:cstheme="minorEastAsia"/>
          <w:sz w:val="28"/>
        </w:rPr>
      </w:pPr>
      <w:r>
        <w:rPr>
          <w:rFonts w:ascii="仿宋" w:hAnsi="仿宋" w:eastAsia="仿宋" w:cs="仿宋"/>
          <w:sz w:val="28"/>
          <w:lang w:eastAsia="zh-CN"/>
        </w:rPr>
        <mc:AlternateContent>
          <mc:Choice Requires="wpg">
            <w:drawing>
              <wp:inline xmlns:wp="http://schemas.openxmlformats.org/drawingml/2006/wordprocessingDrawing" distT="0" distB="0" distL="0" distR="0">
                <wp:extent cx="2795270" cy="2994660"/>
                <wp:effectExtent l="0" t="0" r="5080" b="15240"/>
                <wp:docPr id="8" name="图片 3" descr="7377e6aabdd1af342b5f27366d9218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377e6aabdd1af342b5f27366d92182a"/>
                        <pic:cNvPicPr>
                          <a:picLocks noChangeAspect="1"/>
                        </pic:cNvPicPr>
                        <pic:nvPr/>
                      </pic:nvPicPr>
                      <pic:blipFill>
                        <a:blip r:embed="rId18"/>
                        <a:stretch/>
                      </pic:blipFill>
                      <pic:spPr bwMode="auto">
                        <a:xfrm>
                          <a:off x="0" y="0"/>
                          <a:ext cx="2795270" cy="2994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0.1pt;height:235.8pt;mso-wrap-distance-left:0.0pt;mso-wrap-distance-top:0.0pt;mso-wrap-distance-right:0.0pt;mso-wrap-distance-bottom:0.0pt;" stroked="false">
                <v:path textboxrect="0,0,0,0"/>
                <v:imagedata r:id="rId18" o:title=""/>
              </v:shape>
            </w:pict>
          </mc:Fallback>
        </mc:AlternateContent>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br w:type="page" w:clear="all"/>
      </w:r>
      <w:r/>
    </w:p>
    <w:p>
      <w:pPr>
        <w:pStyle w:val="718"/>
        <w:ind w:firstLine="0"/>
        <w:keepLines w:val="0"/>
        <w:keepNext w:val="0"/>
        <w:pageBreakBefore w:val="0"/>
        <w:spacing w:line="480" w:lineRule="exact"/>
        <w:widowControl w:val="off"/>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6.书柜（橡胶木）</w:t>
      </w:r>
      <w:r>
        <w:rPr>
          <w:rFonts w:hint="eastAsia" w:ascii="仿宋" w:hAnsi="仿宋" w:eastAsia="仿宋" w:cs="仿宋"/>
          <w:b/>
          <w:bCs/>
          <w:sz w:val="24"/>
          <w:szCs w:val="24"/>
        </w:rPr>
        <w:t xml:space="preserve">（各部分细节须与学校确认后再供货）</w:t>
      </w:r>
      <w:r/>
    </w:p>
    <w:p>
      <w:pPr>
        <w:pStyle w:val="722"/>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尺寸1200*540*1000mm，整体采用18mm厚橡胶木，不做油漆，表面采用三聚氰胺枫木纹贴面，侧边木蜡油收边工艺。</w:t>
      </w:r>
      <w:r/>
    </w:p>
    <w:p>
      <w:pPr>
        <w:pStyle w:val="722"/>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橡胶木材质质地均匀、韧性充足、承重性能优异，有效提升设备整体稳定性与使用寿命。</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柜体上半部分（柜面以上）共四层，主要用于存放教案、课本、教具等小型教学用品；柜体下半部分（底层储物区）分为两层封闭式储物空间，用于存放备用物资等杂物。</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零部件安装:各种零部件安装严密、平整、牢固，各结合处紧密、平整，无明显间缝；</w:t>
      </w:r>
      <w:r/>
    </w:p>
    <w:p>
      <w:pPr>
        <w:pStyle w:val="718"/>
        <w:ind w:left="0" w:firstLine="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18"/>
        <w:ind w:firstLine="0"/>
        <w:jc w:val="center"/>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书柜（橡胶木）参考图片</w:t>
      </w:r>
      <w:r/>
    </w:p>
    <w:p>
      <w:pPr>
        <w:pStyle w:val="723"/>
        <w:jc w:val="center"/>
        <w:rPr>
          <w:rFonts w:cs="Times New Roman"/>
          <w:b/>
          <w:bCs/>
          <w:color w:val="000000" w:themeColor="text1"/>
          <w:sz w:val="28"/>
          <w:szCs w:val="28"/>
          <w14:textFill>
            <w14:solidFill>
              <w14:schemeClr w14:val="tx1"/>
            </w14:solidFill>
          </w14:textFill>
        </w:rPr>
      </w:pPr>
      <w:r>
        <w:rPr>
          <w:rFonts w:hint="eastAsia"/>
        </w:rPr>
        <mc:AlternateContent>
          <mc:Choice Requires="wpg">
            <w:drawing>
              <wp:inline xmlns:wp="http://schemas.openxmlformats.org/drawingml/2006/wordprocessingDrawing" distT="0" distB="0" distL="0" distR="0">
                <wp:extent cx="2621280" cy="3008630"/>
                <wp:effectExtent l="0" t="0" r="7620" b="1270"/>
                <wp:docPr id="9" name="图片 6" descr="aedeb53db6cf2753b0eef288dc4978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edeb53db6cf2753b0eef288dc4978a2"/>
                        <pic:cNvPicPr>
                          <a:picLocks noChangeAspect="1"/>
                        </pic:cNvPicPr>
                        <pic:nvPr/>
                      </pic:nvPicPr>
                      <pic:blipFill>
                        <a:blip r:embed="rId19"/>
                        <a:stretch/>
                      </pic:blipFill>
                      <pic:spPr bwMode="auto">
                        <a:xfrm>
                          <a:off x="0" y="0"/>
                          <a:ext cx="2621280" cy="3008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6.4pt;height:236.9pt;mso-wrap-distance-left:0.0pt;mso-wrap-distance-top:0.0pt;mso-wrap-distance-right:0.0pt;mso-wrap-distance-bottom:0.0pt;" stroked="false">
                <v:path textboxrect="0,0,0,0"/>
                <v:imagedata r:id="rId19" o:title=""/>
              </v:shape>
            </w:pict>
          </mc:Fallback>
        </mc:AlternateContent>
      </w:r>
      <w:r/>
    </w:p>
    <w:p>
      <w:pPr>
        <w:jc w:val="left"/>
        <w:spacing w:line="480" w:lineRule="exact"/>
        <w:widowControl/>
        <w:rPr>
          <w:rFonts w:ascii="宋体" w:hAnsi="宋体"/>
          <w:b/>
          <w:bCs/>
          <w:sz w:val="24"/>
          <w:szCs w:val="24"/>
        </w:rPr>
      </w:pPr>
      <w:r>
        <w:rPr>
          <w:rFonts w:ascii="宋体" w:hAnsi="宋体"/>
          <w:b/>
          <w:bCs/>
          <w:sz w:val="24"/>
          <w:szCs w:val="24"/>
        </w:rPr>
      </w:r>
      <w:r/>
    </w:p>
    <w:p>
      <w:pPr>
        <w:numPr>
          <w:ilvl w:val="0"/>
          <w:numId w:val="0"/>
        </w:numPr>
        <w:keepLines w:val="0"/>
        <w:keepNext w:val="0"/>
        <w:pageBreakBefore w:val="0"/>
        <w:spacing w:line="480" w:lineRule="exact"/>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480" w:lineRule="exact"/>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rPr>
          <w:rFonts w:hint="eastAsia" w:ascii="宋体" w:hAnsi="宋体" w:eastAsia="宋体" w:cs="Times New Roman"/>
          <w:b/>
          <w:sz w:val="28"/>
          <w:szCs w:val="20"/>
          <w:highlight w:val="none"/>
        </w:rPr>
      </w:pPr>
      <w:r>
        <w:rPr>
          <w:rFonts w:hint="eastAsia" w:ascii="宋体" w:hAnsi="宋体" w:eastAsia="宋体" w:cs="Times New Roman"/>
          <w:b/>
          <w:sz w:val="28"/>
          <w:szCs w:val="20"/>
          <w:highlight w:val="none"/>
          <w:lang w:val="en-US" w:eastAsia="zh-CN" w:bidi="ar-SA"/>
        </w:rPr>
        <w:br w:type="page" w:clear="all"/>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t xml:space="preserve">1.标的数量：详见采购标的清单</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t xml:space="preserve">2.供货周期：合同签订后15个日历天内完成交付，并通过初步验收。</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t xml:space="preserve">3.交货地点：江苏省南通中学附属实验学校（南通市崇川区崇州大道2号），</w:t>
      </w:r>
      <w:r>
        <w:rPr>
          <w:rFonts w:hint="eastAsia" w:ascii="仿宋_GB2312" w:hAnsi="Times New Roman" w:eastAsia="仿宋_GB2312" w:cs="Times New Roman"/>
          <w:b w:val="0"/>
          <w:bCs w:val="0"/>
          <w:color w:val="000000" w:themeColor="text1"/>
          <w:sz w:val="24"/>
          <w:szCs w:val="24"/>
          <w:lang w:val="en-US" w:eastAsia="zh-CN"/>
          <w14:textFill>
            <w14:solidFill>
              <w14:schemeClr w14:val="tx1"/>
            </w14:solidFill>
          </w14:textFill>
        </w:rPr>
        <w:t xml:space="preserve">送货、安装具体按学校指定地点</w:t>
      </w:r>
      <w:r>
        <w:rPr>
          <w:rFonts w:hint="eastAsia" w:ascii="仿宋_GB2312" w:eastAsia="仿宋_GB2312" w:cs="Times New Roman"/>
          <w:b w:val="0"/>
          <w:bCs w:val="0"/>
          <w:color w:val="000000" w:themeColor="text1"/>
          <w:sz w:val="24"/>
          <w:szCs w:val="24"/>
          <w:lang w:val="en-US"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4"/>
          <w:szCs w:val="24"/>
          <w:lang w:val="en-US" w:eastAsia="zh-CN"/>
          <w14:textFill>
            <w14:solidFill>
              <w14:schemeClr w14:val="tx1"/>
            </w14:solidFill>
          </w14:textFill>
        </w:rPr>
      </w:pPr>
      <w:r>
        <w:rPr>
          <w:rFonts w:hint="eastAsia" w:ascii="仿宋_GB2312" w:eastAsia="仿宋_GB2312" w:cs="Times New Roman"/>
          <w:b/>
          <w:bCs/>
          <w:color w:val="000000" w:themeColor="text1"/>
          <w:sz w:val="24"/>
          <w:szCs w:val="24"/>
          <w:lang w:val="en-US" w:eastAsia="zh-CN"/>
          <w14:textFill>
            <w14:solidFill>
              <w14:schemeClr w14:val="tx1"/>
            </w14:solidFill>
          </w14:textFill>
        </w:rPr>
        <w:t xml:space="preserve">注：</w:t>
      </w:r>
      <w:r>
        <w:rPr>
          <w:rFonts w:hint="eastAsia" w:ascii="仿宋_GB2312" w:hAnsi="Times New Roman" w:eastAsia="仿宋_GB2312" w:cs="Times New Roman"/>
          <w:b/>
          <w:bCs/>
          <w:color w:val="000000" w:themeColor="text1"/>
          <w:sz w:val="24"/>
          <w:szCs w:val="24"/>
          <w:lang w:val="en-US" w:eastAsia="zh-CN"/>
          <w14:textFill>
            <w14:solidFill>
              <w14:schemeClr w14:val="tx1"/>
            </w14:solidFill>
          </w14:textFill>
        </w:rPr>
        <w:t xml:space="preserve">涉及产品颜色、功能细节须与学校沟通确认后方可供货。</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（1）整体</w:t>
      </w:r>
      <w:r>
        <w:rPr>
          <w:rFonts w:hint="eastAsia" w:ascii="仿宋_GB2312" w:eastAsia="仿宋_GB2312"/>
          <w:b/>
          <w:bCs/>
          <w:color w:val="000000" w:themeColor="text1"/>
          <w:sz w:val="24"/>
          <w:szCs w:val="24"/>
          <w:lang w:val="en-US" w:eastAsia="zh-CN"/>
          <w14:textFill>
            <w14:solidFill>
              <w14:schemeClr w14:val="tx1"/>
            </w14:solidFill>
          </w14:textFill>
        </w:rPr>
        <w:t xml:space="preserve">免费质保期为叁年</w:t>
      </w: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。时间自该批次最终验收合格并交付学校使用之日起算。（因检测不合格导致退货或整改的，该批次质保期自整改后重新验收合格并交付使用之日起计算）</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2）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（3）在保修期外，成交供应商应提供终身维修服务。维修配件仅收取材料采购成本及合理运输费用，且免收上门服务费。</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（4）成交供应商须在安装完成后，对各校管理人员进行现场操作培训，演示家具的正确使用方法、日常保养要点及简单故障排查，确保管理人员具备基本的维护常识。</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hint="eastAsia"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2）在接到供应商以书面形式提出验收申请后，学校在3个工作日内及时组织相关专业技术人员，按国家制造和安装的标准要求执行，必要时邀请第三方质检等部门共同参与验收，并出具验收报告，作为支付货款的依据。检查成品外观，不合格件当场标记，供应商须在3日（库存更换）或7日（重新生产）内无条件撤换。</w:t>
      </w:r>
      <w:r/>
    </w:p>
    <w:p>
      <w:pPr>
        <w:keepLines w:val="0"/>
        <w:keepNext w:val="0"/>
        <w:pageBreakBefore w:val="0"/>
        <w:spacing w:line="480" w:lineRule="exact"/>
        <w:widowControl w:val="off"/>
        <w:rPr>
          <w:rFonts w:hint="eastAsia"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外观接收准则：</w:t>
      </w:r>
      <w:r/>
    </w:p>
    <w:p>
      <w:pPr>
        <w:keepLines w:val="0"/>
        <w:keepNext w:val="0"/>
        <w:pageBreakBefore w:val="0"/>
        <w:spacing w:line="480" w:lineRule="exact"/>
        <w:widowControl w:val="off"/>
        <w:rPr>
          <w:rFonts w:hint="eastAsia" w:ascii="仿宋_GB2312" w:eastAsia="仿宋_GB2312"/>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 xml:space="preserve">①</w:t>
      </w:r>
      <w:r>
        <w:rPr>
          <w:rFonts w:hint="eastAsia" w:ascii="仿宋_GB2312" w:eastAsia="仿宋_GB2312"/>
          <w:color w:val="000000" w:themeColor="text1"/>
          <w:sz w:val="24"/>
          <w:szCs w:val="24"/>
          <w:lang w:val="en-US" w:eastAsia="zh-CN"/>
          <w14:textFill>
            <w14:solidFill>
              <w14:schemeClr w14:val="tx1"/>
            </w14:solidFill>
          </w14:textFill>
        </w:rPr>
        <w:t xml:space="preserve">涂层表面：应平整光滑、色泽均匀，不允许有露底、剥落、鼓泡、流挂、明显色差、划痕等缺陷。</w:t>
      </w:r>
      <w:r/>
    </w:p>
    <w:p>
      <w:pPr>
        <w:keepLines w:val="0"/>
        <w:keepNext w:val="0"/>
        <w:pageBreakBefore w:val="0"/>
        <w:spacing w:line="480" w:lineRule="exact"/>
        <w:widowControl w:val="off"/>
        <w:rPr>
          <w:rFonts w:hint="eastAsia" w:ascii="仿宋_GB2312" w:eastAsia="仿宋_GB2312"/>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 xml:space="preserve">②</w:t>
      </w:r>
      <w:r>
        <w:rPr>
          <w:rFonts w:hint="eastAsia" w:ascii="仿宋_GB2312" w:eastAsia="仿宋_GB2312"/>
          <w:color w:val="000000" w:themeColor="text1"/>
          <w:sz w:val="24"/>
          <w:szCs w:val="24"/>
          <w:lang w:val="en-US" w:eastAsia="zh-CN"/>
          <w14:textFill>
            <w14:solidFill>
              <w14:schemeClr w14:val="tx1"/>
            </w14:solidFill>
          </w14:textFill>
        </w:rPr>
        <w:t xml:space="preserve">封边处理：应牢固、平整、无脱胶、无溢胶，过渡圆滑。</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 xml:space="preserve">③</w:t>
      </w:r>
      <w:r>
        <w:rPr>
          <w:rFonts w:hint="eastAsia" w:ascii="仿宋_GB2312" w:eastAsia="仿宋_GB2312"/>
          <w:color w:val="000000" w:themeColor="text1"/>
          <w:sz w:val="24"/>
          <w:szCs w:val="24"/>
          <w:lang w:val="en-US" w:eastAsia="zh-CN"/>
          <w14:textFill>
            <w14:solidFill>
              <w14:schemeClr w14:val="tx1"/>
            </w14:solidFill>
          </w14:textFill>
        </w:rPr>
        <w:t xml:space="preserve">边角及外露部位：均应做倒角或圆滑处理，无毛刺、锐角和锋边。</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（4）成交供应商必须负责所采购产品的运输，并派有经验的技术人员到现场进行卸货、安装，经调试、检测合格后交付使用，其费用由成交供应商承担，包含在报价中。 </w:t>
      </w:r>
      <w:r/>
    </w:p>
    <w:p>
      <w:pPr>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80" w:lineRule="exact"/>
        <w:widowControl w:val="off"/>
        <w:rPr>
          <w:rFonts w:hint="default"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w:t>
      </w:r>
      <w:r>
        <w:rPr>
          <w:rFonts w:hint="default" w:ascii="仿宋" w:hAnsi="仿宋" w:eastAsia="仿宋" w:cs="仿宋"/>
          <w:caps/>
          <w:color w:val="auto"/>
          <w:sz w:val="24"/>
          <w:szCs w:val="24"/>
          <w:highlight w:val="none"/>
          <w:lang w:val="en-US" w:eastAsia="zh-CN" w:bidi="ar-SA"/>
        </w:rPr>
        <w:t xml:space="preserve">合同签订后，成交供应商完成供货及安装调试，经采购人验收合格后，一次性支付合同总价的100%。</w:t>
      </w:r>
      <w:r/>
    </w:p>
    <w:p>
      <w:pPr>
        <w:pStyle w:val="718"/>
        <w:ind w:left="0" w:firstLine="0"/>
        <w:keepLines w:val="0"/>
        <w:keepNext w:val="0"/>
        <w:pageBreakBefore w:val="0"/>
        <w:spacing w:line="480" w:lineRule="exact"/>
        <w:widowControl w:val="off"/>
        <w:rPr>
          <w:rFonts w:hint="eastAsia"/>
          <w:lang w:val="en-US" w:eastAsia="zh-CN"/>
        </w:rPr>
      </w:pPr>
      <w:r>
        <w:rPr>
          <w:rFonts w:hint="eastAsia" w:ascii="仿宋" w:hAnsi="仿宋" w:eastAsia="仿宋" w:cs="仿宋"/>
          <w:caps/>
          <w:color w:val="auto"/>
          <w:sz w:val="24"/>
          <w:szCs w:val="24"/>
          <w:highlight w:val="none"/>
          <w:lang w:val="en-US" w:eastAsia="zh-CN" w:bidi="ar-SA"/>
        </w:rPr>
        <w:t xml:space="preserve">（2）在买方支付合同价款前，卖方应当先向甲方开具等额合法有效的发票；否则，买方有权拒绝或迟延支付相应款项，且不影响卖方继续履行本合同项下义务。</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pPr>
      <w:r>
        <w:rPr>
          <w:rFonts w:ascii="仿宋" w:hAnsi="仿宋" w:eastAsia="仿宋" w:cs="仿宋"/>
          <w:color w:val="000000"/>
          <w:sz w:val="24"/>
        </w:rPr>
        <w:t xml:space="preserve">1.</w:t>
      </w:r>
      <w:r>
        <w:rPr>
          <w:rFonts w:ascii="仿宋" w:hAnsi="仿宋" w:eastAsia="仿宋" w:cs="仿宋"/>
          <w:b/>
          <w:color w:val="000000"/>
          <w:sz w:val="24"/>
        </w:rPr>
        <w:t xml:space="preserve">本项目履约保证金为项目成交价的10%</w:t>
      </w:r>
      <w:r>
        <w:rPr>
          <w:rFonts w:ascii="仿宋" w:hAnsi="仿宋" w:eastAsia="仿宋" w:cs="仿宋"/>
          <w:color w:val="000000"/>
          <w:sz w:val="24"/>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供应商所投产品的总报价不得高于总限价，若发现超出限价的，视为无效报价。</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2.1必须完全响应采购需求中列明的所有技术参数、材质、尺寸、工艺等要求。任何负偏离（不满足）都将导致响应无效。</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3.</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718"/>
        <w:ind w:left="0" w:firstLine="0"/>
        <w:keepLines w:val="0"/>
        <w:keepNext w:val="0"/>
        <w:pageBreakBefore w:val="0"/>
        <w:spacing w:line="48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3.1本项目须在合同签订后15个日历天内完成交付，供应商须提供书面承诺函，加盖投标单位公章，格式自拟。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1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1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uiPriority w:val="0"/>
    <w:qFormat/>
    <w:pPr>
      <w:ind w:left="0" w:firstLine="420"/>
      <w:spacing w:after="0" w:line="360" w:lineRule="auto"/>
    </w:pPr>
    <w:rPr>
      <w:rFonts w:ascii="宋体" w:hAnsi="宋体"/>
      <w:sz w:val="20"/>
      <w:szCs w:val="20"/>
      <w:lang w:val="en-US" w:eastAsia="en-US"/>
    </w:rPr>
  </w:style>
  <w:style w:type="paragraph" w:styleId="719" w:customStyle="1">
    <w:name w:val="正文文本缩进1"/>
    <w:basedOn w:val="706"/>
    <w:next w:val="718"/>
    <w:uiPriority w:val="0"/>
    <w:unhideWhenUsed/>
    <w:qFormat/>
    <w:pPr>
      <w:ind w:left="420"/>
      <w:spacing w:after="1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next w:val="723"/>
    <w:uiPriority w:val="99"/>
    <w:qFormat/>
    <w:rPr>
      <w:rFonts w:ascii="楷体_GB2312" w:hAnsi="Arial" w:eastAsia="楷体_GB2312"/>
      <w:sz w:val="28"/>
      <w:szCs w:val="28"/>
    </w:rPr>
  </w:style>
  <w:style w:type="paragraph" w:styleId="723"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6"/>
    <w:next w:val="706"/>
    <w:uiPriority w:val="0"/>
    <w:qFormat/>
    <w:pPr>
      <w:ind w:firstLine="403"/>
      <w:spacing w:line="440" w:lineRule="exact"/>
    </w:pPr>
    <w:rPr>
      <w:rFonts w:ascii="宋体" w:hAnsi="宋体"/>
      <w:sz w:val="20"/>
      <w:szCs w:val="21"/>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3"/>
    <w:uiPriority w:val="99"/>
    <w:semiHidden/>
    <w:unhideWhenUsed/>
    <w:qFormat/>
    <w:pPr>
      <w:spacing w:after="0" w:line="240" w:lineRule="auto"/>
    </w:pPr>
    <w:rPr>
      <w:sz w:val="20"/>
    </w:rPr>
  </w:style>
  <w:style w:type="paragraph" w:styleId="729">
    <w:name w:val="Footer"/>
    <w:basedOn w:val="706"/>
    <w:link w:val="766"/>
    <w:uiPriority w:val="99"/>
    <w:unhideWhenUsed/>
    <w:qFormat/>
    <w:pPr>
      <w:spacing w:after="0" w:line="240" w:lineRule="auto"/>
      <w:tabs>
        <w:tab w:val="center" w:pos="7143" w:leader="none"/>
        <w:tab w:val="right" w:pos="14287" w:leader="none"/>
      </w:tabs>
    </w:pPr>
  </w:style>
  <w:style w:type="paragraph" w:styleId="730">
    <w:name w:val="Header"/>
    <w:basedOn w:val="706"/>
    <w:link w:val="764"/>
    <w:uiPriority w:val="99"/>
    <w:unhideWhenUsed/>
    <w:qFormat/>
    <w:pPr>
      <w:spacing w:after="0" w:line="240" w:lineRule="auto"/>
      <w:tabs>
        <w:tab w:val="center" w:pos="7143" w:leader="none"/>
        <w:tab w:val="right" w:pos="14287" w:leader="none"/>
      </w:tabs>
    </w:pPr>
  </w:style>
  <w:style w:type="paragraph" w:styleId="731">
    <w:name w:val="toc 1"/>
    <w:basedOn w:val="706"/>
    <w:next w:val="706"/>
    <w:uiPriority w:val="39"/>
    <w:unhideWhenUsed/>
    <w:qFormat/>
    <w:pPr>
      <w:ind w:left="0" w:right="0" w:firstLine="0"/>
      <w:spacing w:after="57"/>
    </w:pPr>
  </w:style>
  <w:style w:type="paragraph" w:styleId="732">
    <w:name w:val="toc 4"/>
    <w:basedOn w:val="706"/>
    <w:next w:val="706"/>
    <w:uiPriority w:val="39"/>
    <w:unhideWhenUsed/>
    <w:qFormat/>
    <w:pPr>
      <w:ind w:left="850" w:right="0" w:firstLine="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line="240" w:lineRule="auto"/>
    </w:pPr>
    <w:rPr>
      <w:sz w:val="18"/>
    </w:rPr>
  </w:style>
  <w:style w:type="paragraph" w:styleId="735">
    <w:name w:val="toc 6"/>
    <w:basedOn w:val="706"/>
    <w:next w:val="706"/>
    <w:uiPriority w:val="39"/>
    <w:unhideWhenUsed/>
    <w:qFormat/>
    <w:pPr>
      <w:ind w:left="1417" w:right="0" w:firstLine="0"/>
      <w:spacing w:after="57"/>
    </w:pPr>
  </w:style>
  <w:style w:type="paragraph" w:styleId="736">
    <w:name w:val="table of figures"/>
    <w:basedOn w:val="706"/>
    <w:next w:val="706"/>
    <w:uiPriority w:val="99"/>
    <w:unhideWhenUsed/>
    <w:qFormat/>
    <w:pPr>
      <w:spacing w:after="0" w:afterAutospacing="0"/>
    </w:pPr>
  </w:style>
  <w:style w:type="paragraph" w:styleId="737">
    <w:name w:val="toc 2"/>
    <w:basedOn w:val="706"/>
    <w:next w:val="706"/>
    <w:uiPriority w:val="39"/>
    <w:unhideWhenUsed/>
    <w:qFormat/>
    <w:pPr>
      <w:ind w:left="283" w:right="0" w:firstLine="0"/>
      <w:spacing w:after="57"/>
    </w:pPr>
  </w:style>
  <w:style w:type="paragraph" w:styleId="738">
    <w:name w:val="toc 9"/>
    <w:basedOn w:val="706"/>
    <w:next w:val="706"/>
    <w:uiPriority w:val="39"/>
    <w:unhideWhenUsed/>
    <w:qFormat/>
    <w:pPr>
      <w:ind w:left="2268" w:right="0" w:firstLine="0"/>
      <w:spacing w:after="57"/>
    </w:pPr>
  </w:style>
  <w:style w:type="paragraph" w:styleId="739">
    <w:name w:val="Normal (Web)"/>
    <w:basedOn w:val="706"/>
    <w:uiPriority w:val="0"/>
    <w:qFormat/>
    <w:pPr>
      <w:jc w:val="left"/>
      <w:spacing w:beforeAutospacing="1" w:afterAutospacing="1"/>
    </w:pPr>
    <w:rPr>
      <w:sz w:val="24"/>
    </w:rPr>
  </w:style>
  <w:style w:type="paragraph" w:styleId="740">
    <w:name w:val="Title"/>
    <w:basedOn w:val="706"/>
    <w:next w:val="706"/>
    <w:link w:val="758"/>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0"/>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d2b66274-7dcb-471b-92ee-41d5c096b3f0</errorID>
      <errorWord>日支付合同</errorWord>
      <group>L1_Word</group>
      <groupName>字词问题</groupName>
      <ability>L2_Typo</ability>
      <abilityName>字词错误</abilityName>
      <candidateList>
        <item>日内支付合同</item>
      </candidateList>
      <explain/>
      <paraID>794DF97F</paraID>
      <start>4</start>
      <end>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CC5F76F-EB3D-4417-A2B0-3F68AE3715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25</cp:revision>
  <dcterms:created xsi:type="dcterms:W3CDTF">2023-12-07T03:32:00Z</dcterms:created>
  <dcterms:modified xsi:type="dcterms:W3CDTF">2026-08-04T03:30:59Z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AA4D5A685F834D9A8D7199A9B4B5072E_13</vt:lpwstr>
  </property>
  <property fmtid="{D5CDD505-2E9C-101B-9397-08002B2CF9AE}" pid="4" name="KSOTemplateDocerSaveRecord">
    <vt:lpwstr>eyJoZGlkIjoiYzA5YWY4M2MwNGRhODk4ZjM0ZWM5YjZlMDk5M2I4YjQiLCJ1c2VySWQiOiIxNjU1OTQ5OTg4In0=</vt:lpwstr>
  </property>
</Properties>
</file>