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BFC02B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762500" cy="4762500"/>
            <wp:effectExtent l="0" t="0" r="0" b="0"/>
            <wp:docPr id="1" name="图片 1" descr="公平竞争审查情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公平竞争审查情况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6BF3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2026-08-17T09:30:59Z</dcterms:created>
  <dc:creator>user</dc:creator>
  <cp:lastModifiedBy>张蓉蓉</cp:lastModifiedBy>
  <dcterms:modified xsi:type="dcterms:W3CDTF">2026-08-17T09:31:11Z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eyJoZGlkIjoiNDc0YTlhZTljMGJiZjFkYTBkYWU0ZDZkZTk5OGViZWEiLCJ1c2VySWQiOiIxNjI3MzIxMzk0In0=</vt:lpwstr>
  </property>
  <property fmtid="{D5CDD505-2E9C-101B-9397-08002B2CF9AE}" pid="4" name="ICV">
    <vt:lpwstr>FAAD0DFD0FCC42A1B5D587A22CE2BAAA_12</vt:lpwstr>
  </property>
</Properties>
</file>