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color w:val="auto"/>
          <w:sz w:val="36"/>
          <w:highlight w:val="none"/>
        </w:rPr>
      </w:pPr>
      <w:r/>
      <w:bookmarkStart w:id="130" w:name="_GoBack"/>
      <w:r/>
      <w:bookmarkEnd w:id="130"/>
      <w:r/>
      <w:r/>
    </w:p>
    <w:p>
      <w:pPr>
        <w:jc w:val="right"/>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JSZC-320000-SWGC-G2026-0096</w:t>
      </w:r>
      <w:r>
        <w:rPr>
          <w:rFonts w:hint="eastAsia" w:ascii="宋体" w:hAnsi="宋体" w:cs="宋体"/>
          <w:b/>
          <w:bCs/>
          <w:color w:val="auto"/>
          <w:sz w:val="36"/>
          <w:highlight w:val="none"/>
        </w:rPr>
        <w:t xml:space="preserve">号</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扬州工业职业技术学院复合材料智能制造实训中心高分子加工采购项目招标文件</w:t>
      </w:r>
      <w:r/>
    </w:p>
    <w:p>
      <w:pPr>
        <w:pStyle w:val="915"/>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5265420" cy="3050540"/>
                <wp:effectExtent l="0" t="0" r="1143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265420" cy="305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6pt;height:240.2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2026年07月</w:t>
      </w:r>
      <w:r>
        <w:rPr>
          <w:rFonts w:hint="eastAsia" w:ascii="宋体" w:hAnsi="宋体" w:cs="宋体"/>
          <w:b/>
          <w:bCs/>
          <w:color w:val="auto"/>
          <w:sz w:val="36"/>
          <w:highlight w:val="none"/>
          <w:lang w:val="en-US" w:eastAsia="zh-CN"/>
        </w:rPr>
        <w:t xml:space="preserve">24</w:t>
      </w:r>
      <w:r>
        <w:rPr>
          <w:rFonts w:hint="eastAsia" w:ascii="宋体" w:hAnsi="宋体" w:cs="宋体"/>
          <w:b/>
          <w:bCs/>
          <w:color w:val="auto"/>
          <w:sz w:val="36"/>
          <w:highlight w:val="none"/>
        </w:rPr>
        <w:t xml:space="preserve">日</w:t>
      </w:r>
      <w:r/>
    </w:p>
    <w:p>
      <w:pPr>
        <w:jc w:val="center"/>
        <w:spacing w:line="360" w:lineRule="auto"/>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25"/>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b/>
          <w:bCs/>
          <w:color w:val="auto"/>
          <w:sz w:val="44"/>
          <w:szCs w:val="44"/>
          <w:highlight w:val="none"/>
        </w:rPr>
        <w:outlineLvl w:val="0"/>
      </w:pPr>
      <w:r>
        <w:rPr>
          <w:rFonts w:hint="eastAsia" w:ascii="宋体" w:hAnsi="宋体" w:cs="宋体"/>
          <w:b/>
          <w:bCs/>
          <w:color w:val="auto"/>
          <w:sz w:val="44"/>
          <w:szCs w:val="44"/>
          <w:highlight w:val="none"/>
        </w:rPr>
        <w:t xml:space="preserve">目录</w:t>
      </w:r>
      <w:r/>
    </w:p>
    <w:p>
      <w:pPr>
        <w:pStyle w:val="707"/>
        <w:spacing w:line="480" w:lineRule="auto"/>
        <w:tabs>
          <w:tab w:val="right" w:pos="8306"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"_Toc27131" </w:instrText>
      </w:r>
      <w:r>
        <w:rPr>
          <w:color w:val="auto"/>
          <w:highlight w:val="none"/>
        </w:rPr>
        <w:fldChar w:fldCharType="separate"/>
      </w:r>
      <w:r>
        <w:rPr>
          <w:rFonts w:hint="eastAsia" w:ascii="宋体" w:hAnsi="宋体" w:cs="宋体"/>
          <w:color w:val="auto"/>
          <w:sz w:val="32"/>
          <w:szCs w:val="32"/>
          <w:highlight w:val="none"/>
        </w:rPr>
        <w:t xml:space="preserve">第一章 采购公告</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_Toc27131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1</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07"/>
        <w:spacing w:line="480" w:lineRule="auto"/>
        <w:tabs>
          <w:tab w:val="right" w:pos="8306"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"_Toc8455" </w:instrText>
      </w:r>
      <w:r>
        <w:rPr>
          <w:color w:val="auto"/>
          <w:highlight w:val="none"/>
        </w:rPr>
        <w:fldChar w:fldCharType="separate"/>
      </w:r>
      <w:r>
        <w:rPr>
          <w:rFonts w:hint="eastAsia" w:ascii="宋体" w:hAnsi="宋体" w:cs="宋体"/>
          <w:color w:val="auto"/>
          <w:sz w:val="32"/>
          <w:szCs w:val="32"/>
          <w:highlight w:val="none"/>
        </w:rPr>
        <w:t xml:space="preserve">第二章 投标人须知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_Toc8455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07"/>
        <w:spacing w:line="480" w:lineRule="auto"/>
        <w:tabs>
          <w:tab w:val="right" w:pos="8306"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"_Toc30440" </w:instrText>
      </w:r>
      <w:r>
        <w:rPr>
          <w:color w:val="auto"/>
          <w:highlight w:val="none"/>
        </w:rPr>
        <w:fldChar w:fldCharType="separate"/>
      </w:r>
      <w:r>
        <w:rPr>
          <w:rFonts w:hint="eastAsia" w:ascii="宋体" w:hAnsi="宋体" w:cs="宋体"/>
          <w:color w:val="auto"/>
          <w:sz w:val="32"/>
          <w:szCs w:val="32"/>
          <w:highlight w:val="none"/>
        </w:rPr>
        <w:t xml:space="preserve">第三章 合同条款及格式</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_Toc30440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17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07"/>
        <w:spacing w:line="480" w:lineRule="auto"/>
        <w:tabs>
          <w:tab w:val="right" w:pos="8306"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"_Toc3819" </w:instrText>
      </w:r>
      <w:r>
        <w:rPr>
          <w:color w:val="auto"/>
          <w:highlight w:val="none"/>
        </w:rPr>
        <w:fldChar w:fldCharType="separate"/>
      </w:r>
      <w:r>
        <w:rPr>
          <w:rFonts w:hint="eastAsia" w:ascii="宋体" w:hAnsi="宋体" w:cs="宋体"/>
          <w:color w:val="auto"/>
          <w:sz w:val="32"/>
          <w:szCs w:val="32"/>
          <w:highlight w:val="none"/>
        </w:rPr>
        <w:t xml:space="preserve">第四章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_Toc3819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24</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07"/>
        <w:spacing w:line="480" w:lineRule="auto"/>
        <w:tabs>
          <w:tab w:val="right" w:pos="8306"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"_Toc6620" </w:instrText>
      </w:r>
      <w:r>
        <w:rPr>
          <w:color w:val="auto"/>
          <w:highlight w:val="none"/>
        </w:rPr>
        <w:fldChar w:fldCharType="separate"/>
      </w:r>
      <w:r>
        <w:rPr>
          <w:rFonts w:hint="eastAsia" w:ascii="宋体" w:hAnsi="宋体" w:cs="宋体"/>
          <w:color w:val="auto"/>
          <w:sz w:val="32"/>
          <w:szCs w:val="32"/>
          <w:highlight w:val="none"/>
        </w:rPr>
        <w:t xml:space="preserve">第五章 评标方法及评标标准</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_Toc6620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6</w:t>
      </w:r>
      <w:r>
        <w:rPr>
          <w:rFonts w:hint="eastAsia" w:ascii="宋体" w:hAnsi="宋体" w:cs="宋体"/>
          <w:color w:val="auto"/>
          <w:sz w:val="32"/>
          <w:szCs w:val="32"/>
          <w:highlight w:val="none"/>
          <w:lang w:val="en-US" w:eastAsia="zh-CN"/>
        </w:rPr>
        <w:t xml:space="preserve">0</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707"/>
        <w:spacing w:line="480" w:lineRule="auto"/>
        <w:tabs>
          <w:tab w:val="right" w:pos="8306"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"_Toc24650" </w:instrText>
      </w:r>
      <w:r>
        <w:rPr>
          <w:color w:val="auto"/>
          <w:highlight w:val="none"/>
        </w:rPr>
        <w:fldChar w:fldCharType="separate"/>
      </w:r>
      <w:r>
        <w:rPr>
          <w:rFonts w:hint="eastAsia" w:ascii="宋体" w:hAnsi="宋体" w:cs="宋体"/>
          <w:color w:val="auto"/>
          <w:sz w:val="32"/>
          <w:szCs w:val="32"/>
          <w:highlight w:val="none"/>
        </w:rPr>
        <w:t xml:space="preserve">第六章 投标文件格式</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_Toc24650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6</w:t>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spacing w:line="480" w:lineRule="auto"/>
        <w:rPr>
          <w:rFonts w:hint="eastAsia" w:ascii="宋体" w:hAnsi="宋体" w:cs="宋体"/>
          <w:color w:val="auto"/>
          <w:szCs w:val="21"/>
          <w:highlight w:val="none"/>
        </w:rPr>
      </w:pPr>
      <w:r>
        <w:rPr>
          <w:rFonts w:hint="eastAsia" w:ascii="宋体" w:hAnsi="宋体" w:cs="宋体"/>
          <w:color w:val="auto"/>
          <w:sz w:val="32"/>
          <w:szCs w:val="32"/>
          <w:highlight w:val="none"/>
        </w:rPr>
        <w:fldChar w:fldCharType="end"/>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681"/>
        <w:rPr>
          <w:rFonts w:hint="eastAsia" w:ascii="宋体" w:hAnsi="宋体" w:cs="宋体"/>
          <w:color w:val="auto"/>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bookmarkStart w:id="0" w:name="_Toc3619"/>
      <w:r/>
      <w:bookmarkStart w:id="1" w:name="_Toc62"/>
      <w:r/>
      <w:bookmarkStart w:id="2" w:name="_Toc55204177"/>
      <w:r/>
      <w:r/>
    </w:p>
    <w:p>
      <w:pPr>
        <w:pStyle w:val="681"/>
        <w:rPr>
          <w:rFonts w:hint="eastAsia" w:ascii="宋体" w:hAnsi="宋体" w:cs="宋体"/>
          <w:color w:val="auto"/>
          <w:highlight w:val="none"/>
        </w:rPr>
      </w:pPr>
      <w:r/>
      <w:bookmarkStart w:id="3" w:name="_Toc27131"/>
      <w:r>
        <w:rPr>
          <w:rFonts w:hint="eastAsia" w:ascii="宋体" w:hAnsi="宋体" w:cs="宋体"/>
          <w:color w:val="auto"/>
          <w:highlight w:val="none"/>
        </w:rPr>
        <w:t xml:space="preserve">第一章 </w:t>
      </w:r>
      <w:bookmarkEnd w:id="0"/>
      <w:r/>
      <w:bookmarkEnd w:id="1"/>
      <w:r/>
      <w:bookmarkStart w:id="4" w:name="_Toc28446"/>
      <w:r/>
      <w:bookmarkStart w:id="5" w:name="_Toc27417"/>
      <w:r>
        <w:rPr>
          <w:rFonts w:hint="eastAsia" w:ascii="宋体" w:hAnsi="宋体" w:cs="宋体"/>
          <w:color w:val="auto"/>
          <w:highlight w:val="none"/>
        </w:rPr>
        <w:t xml:space="preserve">采购公告</w:t>
      </w:r>
      <w:bookmarkEnd w:id="2"/>
      <w:r/>
      <w:bookmarkEnd w:id="3"/>
      <w:r/>
      <w:bookmarkEnd w:id="4"/>
      <w:r/>
      <w:bookmarkEnd w:id="5"/>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受扬州工业职业技术学院的委托，江苏苏维工程管理有限公司就</w:t>
      </w:r>
      <w:r>
        <w:rPr>
          <w:rFonts w:hint="eastAsia" w:ascii="宋体" w:hAnsi="宋体" w:cs="宋体"/>
          <w:color w:val="auto"/>
          <w:highlight w:val="none"/>
        </w:rPr>
        <w:t xml:space="preserve">扬州工业职业技术学院复合材料智能制造实训中心高分子加工采购项目</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JSZC-320000-SWGC-G2026-0096</w:t>
      </w:r>
      <w:r>
        <w:rPr>
          <w:rFonts w:hint="eastAsia" w:ascii="宋体" w:hAnsi="宋体" w:cs="宋体"/>
          <w:color w:val="auto"/>
          <w:szCs w:val="21"/>
          <w:highlight w:val="none"/>
        </w:rPr>
        <w:t xml:space="preserve">号</w:t>
      </w:r>
      <w:r>
        <w:rPr>
          <w:rFonts w:hint="eastAsia" w:ascii="宋体" w:hAnsi="宋体" w:cs="宋体"/>
          <w:color w:val="auto"/>
          <w:szCs w:val="21"/>
          <w:highlight w:val="none"/>
        </w:rPr>
        <w:t xml:space="preserve">）</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扬州工业职业技术学院复合材料智能制造实训中心高分子加工采购项目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“江苏省政府采购网”和“中国政府采购网”自行免费下载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2026年0</w:t>
      </w:r>
      <w:r>
        <w:rPr>
          <w:rFonts w:hint="eastAsia" w:ascii="宋体" w:hAnsi="宋体" w:cs="宋体"/>
          <w:bCs/>
          <w:color w:val="auto"/>
          <w:highlight w:val="none"/>
          <w:u w:val="single"/>
          <w:lang w:val="en-US" w:eastAsia="zh-CN"/>
        </w:rPr>
        <w:t xml:space="preserve">8</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17</w:t>
      </w:r>
      <w:r>
        <w:rPr>
          <w:rFonts w:hint="eastAsia" w:ascii="宋体" w:hAnsi="宋体" w:cs="宋体"/>
          <w:bCs/>
          <w:color w:val="auto"/>
          <w:highlight w:val="none"/>
          <w:u w:val="single"/>
        </w:rPr>
        <w:t xml:space="preserve">日</w:t>
      </w:r>
      <w:r>
        <w:rPr>
          <w:rFonts w:hint="eastAsia" w:ascii="宋体" w:hAnsi="宋体" w:cs="宋体"/>
          <w:bCs/>
          <w:color w:val="auto"/>
          <w:highlight w:val="none"/>
          <w:u w:val="single"/>
          <w:lang w:val="en-US" w:eastAsia="zh-CN"/>
        </w:rPr>
        <w:t xml:space="preserve">15</w:t>
      </w:r>
      <w:r>
        <w:rPr>
          <w:rFonts w:hint="eastAsia" w:ascii="宋体" w:hAnsi="宋体" w:cs="宋体"/>
          <w:bCs/>
          <w:color w:val="auto"/>
          <w:highlight w:val="none"/>
          <w:u w:val="single"/>
        </w:rPr>
        <w:t xml:space="preserve">:</w:t>
      </w:r>
      <w:r>
        <w:rPr>
          <w:rFonts w:hint="eastAsia" w:ascii="宋体" w:hAnsi="宋体" w:cs="宋体"/>
          <w:bCs/>
          <w:color w:val="auto"/>
          <w:highlight w:val="none"/>
          <w:u w:val="single"/>
          <w:lang w:val="en-US" w:eastAsia="zh-CN"/>
        </w:rPr>
        <w:t xml:space="preserve">00</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outlineLvl w:val="1"/>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ascii="宋体" w:hAnsi="宋体" w:cs="宋体"/>
          <w:b/>
          <w:bCs/>
          <w:color w:val="auto"/>
          <w:highlight w:val="none"/>
        </w:rPr>
        <w:t xml:space="preserve">一、项目基本情况</w:t>
      </w:r>
      <w:bookmarkEnd w:id="6"/>
      <w:r/>
      <w:bookmarkEnd w:id="7"/>
      <w:r/>
      <w:bookmarkEnd w:id="8"/>
      <w:r/>
      <w:bookmarkEnd w:id="9"/>
      <w:r/>
      <w:bookmarkEnd w:id="10"/>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项目编号：</w:t>
      </w:r>
      <w:r>
        <w:rPr>
          <w:rFonts w:hint="eastAsia" w:ascii="宋体" w:hAnsi="宋体" w:cs="宋体"/>
          <w:color w:val="auto"/>
          <w:szCs w:val="21"/>
          <w:highlight w:val="none"/>
          <w:lang w:eastAsia="zh-CN"/>
        </w:rPr>
        <w:t xml:space="preserve">JSZC-320000-SWGC-G2026-0096</w:t>
      </w:r>
      <w:r>
        <w:rPr>
          <w:rFonts w:hint="eastAsia" w:ascii="宋体" w:hAnsi="宋体" w:cs="宋体"/>
          <w:color w:val="auto"/>
          <w:szCs w:val="21"/>
          <w:highlight w:val="none"/>
        </w:rPr>
        <w:t xml:space="preserve">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项目名称：</w:t>
      </w:r>
      <w:bookmarkEnd w:id="11"/>
      <w:r>
        <w:rPr>
          <w:rFonts w:hint="eastAsia" w:ascii="宋体" w:hAnsi="宋体" w:cs="宋体"/>
          <w:color w:val="auto"/>
          <w:highlight w:val="none"/>
        </w:rPr>
        <w:t xml:space="preserve">扬州工业职业技术学院复合材料智能制造实训中心高分子加工采购项目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570</w:t>
      </w:r>
      <w:r>
        <w:rPr>
          <w:rFonts w:hint="eastAsia" w:ascii="宋体" w:hAnsi="宋体" w:cs="宋体"/>
          <w:color w:val="auto"/>
          <w:szCs w:val="21"/>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最高限价：</w:t>
      </w:r>
      <w:r>
        <w:rPr>
          <w:rFonts w:hint="eastAsia" w:ascii="宋体" w:hAnsi="宋体" w:cs="宋体"/>
          <w:color w:val="auto"/>
          <w:highlight w:val="none"/>
        </w:rPr>
        <w:t xml:space="preserve">562万元，报价超过最高限价的为无效投标文件。</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采购需求：</w:t>
      </w:r>
      <w:r>
        <w:rPr>
          <w:rFonts w:hint="eastAsia" w:ascii="宋体" w:hAnsi="宋体" w:cs="宋体"/>
          <w:color w:val="auto"/>
          <w:highlight w:val="none"/>
        </w:rPr>
        <w:t xml:space="preserve">本项目招标人拟采购一批设备，包含：</w:t>
      </w:r>
      <w:r>
        <w:rPr>
          <w:rFonts w:hint="eastAsia" w:ascii="宋体" w:hAnsi="宋体" w:cs="宋体"/>
          <w:color w:val="auto"/>
          <w:sz w:val="21"/>
          <w:highlight w:val="none"/>
          <w:lang w:bidi="ar"/>
        </w:rPr>
        <w:t xml:space="preserve">双螺杆挤出机、自动称量系统、实验室粉碎机、小型液压注塑机、流延膜一体机</w:t>
      </w:r>
      <w:r>
        <w:rPr>
          <w:rFonts w:hint="eastAsia" w:ascii="宋体" w:hAnsi="宋体" w:cs="宋体"/>
          <w:color w:val="auto"/>
          <w:highlight w:val="none"/>
        </w:rPr>
        <w:t xml:space="preserve">等用于高分子</w:t>
      </w:r>
      <w:bookmarkStart w:id="12" w:name="OLE_LINK18"/>
      <w:r>
        <w:rPr>
          <w:rFonts w:hint="eastAsia" w:ascii="宋体" w:hAnsi="宋体" w:cs="宋体"/>
          <w:color w:val="auto"/>
          <w:highlight w:val="none"/>
        </w:rPr>
        <w:t xml:space="preserve">加工等</w:t>
      </w:r>
      <w:bookmarkEnd w:id="12"/>
      <w:r>
        <w:rPr>
          <w:rFonts w:hint="eastAsia" w:ascii="宋体" w:hAnsi="宋体" w:cs="宋体"/>
          <w:color w:val="auto"/>
          <w:highlight w:val="none"/>
        </w:rPr>
        <w:t xml:space="preserve">领域的科学研究的相关设备（详见招标文件第四章项目需求）</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合同履行期限：</w:t>
      </w:r>
      <w:r>
        <w:rPr>
          <w:rFonts w:hint="eastAsia" w:ascii="宋体" w:hAnsi="宋体" w:cs="宋体"/>
          <w:bCs/>
          <w:color w:val="auto"/>
          <w:highlight w:val="none"/>
        </w:rPr>
        <w:t xml:space="preserve">合同签订后</w:t>
      </w:r>
      <w:r>
        <w:rPr>
          <w:rFonts w:hint="eastAsia" w:ascii="宋体" w:hAnsi="宋体" w:cs="宋体"/>
          <w:bCs/>
          <w:color w:val="auto"/>
          <w:highlight w:val="none"/>
          <w:lang w:val="en-US" w:eastAsia="zh-CN"/>
        </w:rPr>
        <w:t xml:space="preserve">70</w:t>
      </w:r>
      <w:r>
        <w:rPr>
          <w:rFonts w:hint="eastAsia" w:ascii="宋体" w:hAnsi="宋体" w:cs="宋体"/>
          <w:bCs/>
          <w:color w:val="auto"/>
          <w:highlight w:val="none"/>
        </w:rPr>
        <w:t xml:space="preserve">日历</w:t>
      </w:r>
      <w:r>
        <w:rPr>
          <w:rFonts w:hint="eastAsia" w:ascii="宋体" w:hAnsi="宋体" w:cs="宋体"/>
          <w:bCs/>
          <w:color w:val="auto"/>
          <w:highlight w:val="none"/>
          <w:lang w:val="en-US" w:eastAsia="zh-CN"/>
        </w:rPr>
        <w:t xml:space="preserve">天</w:t>
      </w:r>
      <w:r>
        <w:rPr>
          <w:rFonts w:hint="eastAsia" w:ascii="宋体" w:hAnsi="宋体" w:cs="宋体"/>
          <w:bCs/>
          <w:color w:val="auto"/>
          <w:highlight w:val="none"/>
        </w:rPr>
        <w:t xml:space="preserve">内完成到货安装调试并验收合格</w:t>
      </w:r>
      <w:r>
        <w:rPr>
          <w:rFonts w:hint="eastAsia" w:ascii="宋体" w:hAnsi="宋体" w:cs="宋体"/>
          <w:bCs/>
          <w:color w:val="auto"/>
          <w:highlight w:val="none"/>
          <w:lang w:eastAsia="zh-CN"/>
        </w:rPr>
        <w:t xml:space="preserve">。</w:t>
      </w:r>
      <w:r>
        <w:rPr>
          <w:rFonts w:hint="eastAsia" w:ascii="宋体" w:hAnsi="宋体" w:cs="宋体"/>
          <w:color w:val="auto"/>
          <w:highlight w:val="none"/>
        </w:rPr>
        <w:t xml:space="preserve"> </w:t>
      </w:r>
      <w:r/>
    </w:p>
    <w:p>
      <w:pPr>
        <w:ind w:firstLine="420"/>
        <w:spacing w:line="348" w:lineRule="auto"/>
        <w:rPr>
          <w:rFonts w:hint="eastAsia" w:ascii="宋体" w:hAnsi="宋体" w:cs="宋体"/>
          <w:color w:val="auto"/>
          <w:highlight w:val="none"/>
        </w:rPr>
      </w:pPr>
      <w:r>
        <w:rPr>
          <w:rFonts w:hint="eastAsia" w:ascii="宋体" w:hAnsi="宋体" w:cs="宋体"/>
          <w:color w:val="auto"/>
          <w:szCs w:val="21"/>
          <w:highlight w:val="none"/>
        </w:rPr>
        <w:t xml:space="preserve">本项目（是/否）接受联合体投标：否</w:t>
      </w:r>
      <w:r/>
    </w:p>
    <w:p>
      <w:pPr>
        <w:spacing w:line="360" w:lineRule="auto"/>
        <w:tabs>
          <w:tab w:val="left" w:pos="266" w:leader="none"/>
        </w:tabs>
        <w:rPr>
          <w:rFonts w:hint="eastAsia" w:ascii="宋体" w:hAnsi="宋体" w:cs="宋体"/>
          <w:b/>
          <w:bCs/>
          <w:color w:val="auto"/>
          <w:highlight w:val="none"/>
        </w:rPr>
        <w:outlineLvl w:val="1"/>
      </w:pPr>
      <w:r/>
      <w:bookmarkStart w:id="13" w:name="_Toc35393622"/>
      <w:r/>
      <w:bookmarkStart w:id="14" w:name="_Toc38985264"/>
      <w:r/>
      <w:bookmarkStart w:id="15" w:name="_Toc35393791"/>
      <w:r/>
      <w:bookmarkStart w:id="16" w:name="_Toc28359080"/>
      <w:r/>
      <w:bookmarkStart w:id="17" w:name="_Toc28359003"/>
      <w:r>
        <w:rPr>
          <w:rFonts w:hint="eastAsia" w:ascii="宋体" w:hAnsi="宋体" w:cs="宋体"/>
          <w:b/>
          <w:bCs/>
          <w:color w:val="auto"/>
          <w:highlight w:val="none"/>
        </w:rPr>
        <w:t xml:space="preserve">二、申请人的资格要求：</w:t>
      </w:r>
      <w:bookmarkEnd w:id="13"/>
      <w:r/>
      <w:bookmarkEnd w:id="14"/>
      <w:r/>
      <w:bookmarkEnd w:id="15"/>
      <w:r/>
      <w:bookmarkEnd w:id="16"/>
      <w:r/>
      <w:bookmarkEnd w:id="1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（一）通用资格要求</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bookmarkStart w:id="18" w:name="_Toc38985265"/>
      <w:r/>
      <w:bookmarkStart w:id="19" w:name="_Toc35393623"/>
      <w:r/>
      <w:bookmarkStart w:id="20" w:name="_Toc28359081"/>
      <w:r/>
      <w:bookmarkStart w:id="21" w:name="_Toc28359004"/>
      <w:r/>
      <w:bookmarkStart w:id="22" w:name="_Toc35393792"/>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上一年度的财务报告情况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（二）落实政府采购政策需满足的资格要求：</w:t>
      </w:r>
      <w:r>
        <w:rPr>
          <w:rFonts w:hint="eastAsia" w:ascii="宋体" w:hAnsi="宋体" w:cs="宋体"/>
          <w:i/>
          <w:color w:val="auto"/>
          <w:szCs w:val="21"/>
          <w:highlight w:val="none"/>
          <w:u w:val="single"/>
        </w:rPr>
        <w:t xml:space="preserve">无</w:t>
      </w:r>
      <w:r/>
    </w:p>
    <w:p>
      <w:pPr>
        <w:ind w:firstLine="420"/>
        <w:spacing w:line="360" w:lineRule="auto"/>
        <w:tabs>
          <w:tab w:val="left" w:pos="266" w:leader="none"/>
        </w:tabs>
        <w:rPr>
          <w:rFonts w:hint="eastAsia" w:ascii="宋体" w:hAnsi="宋体" w:cs="宋体"/>
          <w:b/>
          <w:bCs/>
          <w:color w:val="auto"/>
          <w:highlight w:val="none"/>
        </w:rPr>
        <w:outlineLvl w:val="1"/>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cs="宋体"/>
          <w:i/>
          <w:color w:val="auto"/>
          <w:szCs w:val="21"/>
          <w:highlight w:val="none"/>
          <w:u w:val="single"/>
        </w:rPr>
        <w:t xml:space="preserve">无</w:t>
      </w:r>
      <w:r/>
    </w:p>
    <w:p>
      <w:pPr>
        <w:spacing w:line="360" w:lineRule="auto"/>
        <w:tabs>
          <w:tab w:val="left" w:pos="266" w:leader="none"/>
        </w:tabs>
        <w:rPr>
          <w:rFonts w:hint="eastAsia" w:ascii="宋体" w:hAnsi="宋体" w:cs="宋体"/>
          <w:b/>
          <w:bCs/>
          <w:color w:val="auto"/>
          <w:highlight w:val="none"/>
        </w:rPr>
        <w:outlineLvl w:val="1"/>
      </w:pPr>
      <w:r>
        <w:rPr>
          <w:rFonts w:hint="eastAsia" w:ascii="宋体" w:hAnsi="宋体" w:cs="宋体"/>
          <w:b/>
          <w:bCs/>
          <w:color w:val="auto"/>
          <w:highlight w:val="none"/>
        </w:rPr>
        <w:t xml:space="preserve">三、获取招标文件</w:t>
      </w:r>
      <w:bookmarkEnd w:id="18"/>
      <w:r/>
      <w:bookmarkEnd w:id="19"/>
      <w:r/>
      <w:bookmarkEnd w:id="20"/>
      <w:r/>
      <w:bookmarkEnd w:id="21"/>
      <w:r/>
      <w:bookmarkEnd w:id="22"/>
      <w:r/>
      <w:r/>
    </w:p>
    <w:p>
      <w:pPr>
        <w:ind w:firstLine="420"/>
        <w:spacing w:line="360" w:lineRule="auto"/>
        <w:rPr>
          <w:rFonts w:hint="eastAsia" w:ascii="宋体" w:hAnsi="宋体" w:cs="宋体"/>
          <w:color w:val="auto"/>
          <w:highlight w:val="none"/>
        </w:rPr>
      </w:pPr>
      <w:r/>
      <w:bookmarkStart w:id="23" w:name="_Toc35393624"/>
      <w:r/>
      <w:bookmarkStart w:id="24" w:name="_Toc38985266"/>
      <w:r/>
      <w:bookmarkStart w:id="25" w:name="_Toc28359005"/>
      <w:r/>
      <w:bookmarkStart w:id="26" w:name="_Toc35393793"/>
      <w:r/>
      <w:bookmarkStart w:id="27" w:name="_Toc28359082"/>
      <w:r>
        <w:rPr>
          <w:rFonts w:hint="eastAsia" w:ascii="宋体" w:hAnsi="宋体" w:cs="宋体"/>
          <w:color w:val="auto"/>
          <w:highlight w:val="none"/>
        </w:rPr>
        <w:t xml:space="preserve">时间：自招标文件公告发布之日起5个工作日。5个工作日后仍可下载招标文件，但不作为供应商权益受到损害的证明材料和依据。</w:t>
      </w:r>
      <w:r/>
    </w:p>
    <w:p>
      <w:pPr>
        <w:ind w:firstLine="420"/>
        <w:spacing w:line="348" w:lineRule="auto"/>
        <w:rPr>
          <w:rFonts w:hint="eastAsia" w:ascii="宋体" w:hAnsi="宋体" w:cs="宋体"/>
          <w:color w:val="auto"/>
          <w:highlight w:val="none"/>
        </w:rPr>
      </w:pPr>
      <w:r>
        <w:rPr>
          <w:rFonts w:hint="eastAsia" w:ascii="宋体" w:hAnsi="宋体" w:cs="宋体"/>
          <w:color w:val="auto"/>
          <w:highlight w:val="none"/>
        </w:rPr>
        <w:t xml:space="preserve">地点：“江苏省政府采购网”、“中国政府采购网”</w:t>
      </w:r>
      <w:r/>
    </w:p>
    <w:p>
      <w:pPr>
        <w:ind w:firstLine="420"/>
        <w:spacing w:line="348" w:lineRule="auto"/>
        <w:rPr>
          <w:rFonts w:hint="eastAsia" w:ascii="宋体" w:hAnsi="宋体" w:cs="宋体"/>
          <w:color w:val="auto"/>
          <w:highlight w:val="none"/>
        </w:rPr>
      </w:pPr>
      <w:r>
        <w:rPr>
          <w:rFonts w:hint="eastAsia" w:ascii="宋体" w:hAnsi="宋体" w:cs="宋体"/>
          <w:color w:val="auto"/>
          <w:highlight w:val="none"/>
        </w:rPr>
        <w:t xml:space="preserve">方式：本项目采用网上注册登记方式</w:t>
      </w:r>
      <w:r/>
    </w:p>
    <w:p>
      <w:pPr>
        <w:ind w:firstLine="422"/>
        <w:spacing w:line="360" w:lineRule="auto"/>
        <w:tabs>
          <w:tab w:val="left" w:pos="266" w:leader="none"/>
        </w:tabs>
        <w:rPr>
          <w:rFonts w:hint="eastAsia" w:ascii="宋体" w:hAnsi="宋体" w:cs="宋体"/>
          <w:color w:val="auto"/>
          <w:highlight w:val="none"/>
        </w:rPr>
      </w:pPr>
      <w:r>
        <w:rPr>
          <w:rFonts w:hint="eastAsia" w:ascii="宋体" w:hAnsi="宋体" w:cs="宋体"/>
          <w:color w:val="auto"/>
          <w:highlight w:val="none"/>
        </w:rPr>
        <w:t xml:space="preserve">售价：0.00元</w:t>
      </w:r>
      <w:r/>
    </w:p>
    <w:p>
      <w:pPr>
        <w:spacing w:line="360" w:lineRule="auto"/>
        <w:tabs>
          <w:tab w:val="left" w:pos="266" w:leader="none"/>
        </w:tabs>
        <w:rPr>
          <w:rFonts w:hint="eastAsia" w:ascii="宋体" w:hAnsi="宋体" w:cs="宋体"/>
          <w:b/>
          <w:bCs/>
          <w:color w:val="auto"/>
          <w:highlight w:val="none"/>
        </w:rPr>
        <w:outlineLvl w:val="1"/>
      </w:pPr>
      <w:r>
        <w:rPr>
          <w:rFonts w:hint="eastAsia" w:ascii="宋体" w:hAnsi="宋体" w:cs="宋体"/>
          <w:b/>
          <w:bCs/>
          <w:color w:val="auto"/>
          <w:highlight w:val="none"/>
        </w:rPr>
        <w:t xml:space="preserve">四、提交投标文件截止时间、开标时间和地点</w:t>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时间：</w:t>
      </w:r>
      <w:r>
        <w:rPr>
          <w:rFonts w:hint="eastAsia" w:ascii="宋体" w:hAnsi="宋体" w:cs="宋体"/>
          <w:bCs/>
          <w:color w:val="auto"/>
          <w:highlight w:val="none"/>
          <w:u w:val="single"/>
        </w:rPr>
        <w:t xml:space="preserve">2026年0</w:t>
      </w:r>
      <w:r>
        <w:rPr>
          <w:rFonts w:hint="eastAsia" w:ascii="宋体" w:hAnsi="宋体" w:cs="宋体"/>
          <w:bCs/>
          <w:color w:val="auto"/>
          <w:highlight w:val="none"/>
          <w:u w:val="single"/>
          <w:lang w:val="en-US" w:eastAsia="zh-CN"/>
        </w:rPr>
        <w:t xml:space="preserve">8</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17</w:t>
      </w:r>
      <w:r>
        <w:rPr>
          <w:rFonts w:hint="eastAsia" w:ascii="宋体" w:hAnsi="宋体" w:cs="宋体"/>
          <w:bCs/>
          <w:color w:val="auto"/>
          <w:highlight w:val="none"/>
          <w:u w:val="single"/>
        </w:rPr>
        <w:t xml:space="preserve">日</w:t>
      </w:r>
      <w:r>
        <w:rPr>
          <w:rFonts w:hint="eastAsia" w:ascii="宋体" w:hAnsi="宋体" w:cs="宋体"/>
          <w:bCs/>
          <w:color w:val="auto"/>
          <w:highlight w:val="none"/>
          <w:u w:val="single"/>
          <w:lang w:val="en-US" w:eastAsia="zh-CN"/>
        </w:rPr>
        <w:t xml:space="preserve">15</w:t>
      </w:r>
      <w:r>
        <w:rPr>
          <w:rFonts w:hint="eastAsia" w:ascii="宋体" w:hAnsi="宋体" w:cs="宋体"/>
          <w:bCs/>
          <w:color w:val="auto"/>
          <w:highlight w:val="none"/>
          <w:u w:val="single"/>
        </w:rPr>
        <w:t xml:space="preserve">:</w:t>
      </w:r>
      <w:r>
        <w:rPr>
          <w:rFonts w:hint="eastAsia" w:ascii="宋体" w:hAnsi="宋体" w:cs="宋体"/>
          <w:bCs/>
          <w:color w:val="auto"/>
          <w:highlight w:val="none"/>
          <w:u w:val="single"/>
          <w:lang w:val="en-US" w:eastAsia="zh-CN"/>
        </w:rPr>
        <w:t xml:space="preserve">00</w:t>
      </w:r>
      <w:r>
        <w:rPr>
          <w:rFonts w:hint="eastAsia" w:ascii="宋体" w:hAnsi="宋体" w:cs="宋体"/>
          <w:bCs/>
          <w:color w:val="auto"/>
          <w:highlight w:val="none"/>
          <w:u w:val="single"/>
        </w:rPr>
        <w:t xml:space="preserve">  </w:t>
      </w:r>
      <w:r>
        <w:rPr>
          <w:rFonts w:hint="eastAsia" w:ascii="宋体" w:hAnsi="宋体" w:cs="宋体"/>
          <w:color w:val="auto"/>
          <w:highlight w:val="none"/>
        </w:rPr>
        <w:t xml:space="preserve">（北京时间）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地点：</w:t>
      </w:r>
      <w:r>
        <w:rPr>
          <w:rFonts w:hint="eastAsia" w:ascii="宋体" w:hAnsi="宋体" w:cs="宋体"/>
          <w:color w:val="auto"/>
          <w:szCs w:val="21"/>
          <w:highlight w:val="none"/>
        </w:rPr>
        <w:t xml:space="preserve">“苏采云”系统（网址：http://jszfcg.jsczt.cn/）</w:t>
      </w:r>
      <w:r/>
    </w:p>
    <w:p>
      <w:pPr>
        <w:spacing w:line="360" w:lineRule="auto"/>
        <w:tabs>
          <w:tab w:val="left" w:pos="266" w:leader="none"/>
        </w:tabs>
        <w:rPr>
          <w:rFonts w:hint="eastAsia" w:ascii="宋体" w:hAnsi="宋体" w:cs="宋体"/>
          <w:b/>
          <w:bCs/>
          <w:color w:val="auto"/>
          <w:highlight w:val="none"/>
        </w:rPr>
        <w:outlineLvl w:val="1"/>
      </w:pPr>
      <w:r>
        <w:rPr>
          <w:rFonts w:hint="eastAsia" w:ascii="宋体" w:hAnsi="宋体" w:cs="宋体"/>
          <w:b/>
          <w:bCs/>
          <w:color w:val="auto"/>
          <w:highlight w:val="none"/>
        </w:rPr>
        <w:t xml:space="preserve">五、公告期限</w:t>
      </w:r>
      <w:r/>
    </w:p>
    <w:p>
      <w:pPr>
        <w:ind w:firstLine="420"/>
        <w:jc w:val="left"/>
        <w:spacing w:line="348"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jc w:val="left"/>
        <w:spacing w:line="348"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六、其他补充事宜</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pStyle w:val="715"/>
        <w:ind w:firstLine="600"/>
        <w:jc w:val="both"/>
        <w:spacing w:beforeAutospacing="0" w:afterAutospacing="0" w:line="360" w:lineRule="auto"/>
        <w:rPr>
          <w:rFonts w:hint="eastAsia" w:ascii="宋体" w:hAnsi="宋体" w:cs="宋体"/>
          <w:color w:val="auto"/>
          <w:highlight w:val="none"/>
        </w:rPr>
      </w:pPr>
      <w:r>
        <w:rPr>
          <w:rFonts w:hint="eastAsia" w:ascii="宋体" w:hAnsi="宋体" w:cs="宋体"/>
          <w:b/>
          <w:bCs/>
          <w:color w:val="auto"/>
          <w:sz w:val="21"/>
          <w:szCs w:val="21"/>
          <w:highlight w:val="none"/>
          <w:shd w:val="clear" w:color="auto" w:fill="ffffff"/>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（7）苏采云系统使用谷歌浏览器参与不见面开标。</w:t>
      </w:r>
      <w:bookmarkEnd w:id="23"/>
      <w:bookmarkEnd w:id="24"/>
      <w:bookmarkEnd w:id="25"/>
      <w:bookmarkEnd w:id="26"/>
      <w:bookmarkEnd w:id="27"/>
      <w:r/>
    </w:p>
    <w:p>
      <w:pPr>
        <w:ind w:firstLine="422"/>
        <w:spacing w:line="360" w:lineRule="auto"/>
        <w:rPr>
          <w:rFonts w:hint="eastAsia" w:ascii="宋体" w:hAnsi="宋体" w:cs="宋体"/>
          <w:b/>
          <w:bCs/>
          <w:color w:val="auto"/>
          <w:highlight w:val="none"/>
        </w:rPr>
      </w:pPr>
      <w:r/>
      <w:bookmarkStart w:id="28" w:name="_Toc28359085"/>
      <w:r/>
      <w:bookmarkStart w:id="29" w:name="_Toc28359008"/>
      <w:r/>
      <w:bookmarkStart w:id="30" w:name="_Toc35393627"/>
      <w:r/>
      <w:bookmarkStart w:id="31" w:name="_Toc35393796"/>
      <w:r/>
      <w:bookmarkStart w:id="32" w:name="_Toc38985269"/>
      <w:r>
        <w:rPr>
          <w:rFonts w:hint="eastAsia" w:ascii="宋体" w:hAnsi="宋体" w:cs="宋体"/>
          <w:b/>
          <w:bCs/>
          <w:color w:val="auto"/>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4.</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 </w:t>
      </w:r>
      <w:r>
        <w:rPr>
          <w:rFonts w:hint="eastAsia" w:ascii="宋体" w:hAnsi="宋体" w:cs="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5.</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“江苏省政府采购网”和“中国政府采购网”</w:t>
      </w:r>
      <w:r>
        <w:rPr>
          <w:rFonts w:hint="eastAsia" w:ascii="宋体" w:hAnsi="宋体" w:cs="宋体"/>
          <w:bCs/>
          <w:color w:val="auto"/>
          <w:highlight w:val="none"/>
        </w:rPr>
        <w:t xml:space="preserve">发布的信息。</w:t>
      </w:r>
      <w:r/>
    </w:p>
    <w:p>
      <w:pPr>
        <w:ind w:firstLine="422"/>
        <w:spacing w:line="348" w:lineRule="auto"/>
        <w:rPr>
          <w:rFonts w:hint="eastAsia" w:ascii="宋体" w:hAnsi="宋体" w:cs="宋体"/>
          <w:b/>
          <w:bCs/>
          <w:color w:val="auto"/>
          <w:highlight w:val="none"/>
        </w:rPr>
      </w:pPr>
      <w:r>
        <w:rPr>
          <w:rFonts w:hint="eastAsia" w:ascii="宋体" w:hAnsi="宋体" w:cs="宋体"/>
          <w:b/>
          <w:bCs/>
          <w:color w:val="auto"/>
          <w:highlight w:val="none"/>
        </w:rPr>
        <w:t xml:space="preserve">6.拒绝下述供应商参加本次采购活动：</w:t>
      </w:r>
      <w:r/>
    </w:p>
    <w:p>
      <w:pPr>
        <w:ind w:firstLine="422"/>
        <w:spacing w:line="348" w:lineRule="auto"/>
        <w:rPr>
          <w:rFonts w:hint="eastAsia" w:ascii="宋体" w:hAnsi="宋体" w:cs="宋体"/>
          <w:b/>
          <w:bCs/>
          <w:color w:val="auto"/>
          <w:highlight w:val="none"/>
        </w:rPr>
      </w:pPr>
      <w:r>
        <w:rPr>
          <w:rFonts w:hint="eastAsia" w:ascii="宋体" w:hAnsi="宋体" w:cs="宋体"/>
          <w:b/>
          <w:bCs/>
          <w:color w:val="auto"/>
          <w:highlight w:val="none"/>
        </w:rPr>
        <w:t xml:space="preserve">（1）供应商单位负责人为同一人或者存在直接控股、管理关系的不同供应商，不得参加同一合同项下的政府采购活动。</w:t>
      </w:r>
      <w:r/>
    </w:p>
    <w:p>
      <w:pPr>
        <w:ind w:firstLine="422"/>
        <w:spacing w:line="348" w:lineRule="auto"/>
        <w:rPr>
          <w:rFonts w:hint="eastAsia" w:ascii="宋体" w:hAnsi="宋体" w:cs="宋体"/>
          <w:b/>
          <w:bCs/>
          <w:color w:val="auto"/>
          <w:highlight w:val="none"/>
        </w:rPr>
      </w:pPr>
      <w:r>
        <w:rPr>
          <w:rFonts w:hint="eastAsia" w:ascii="宋体" w:hAnsi="宋体" w:cs="宋体"/>
          <w:b/>
          <w:bCs/>
          <w:color w:val="auto"/>
          <w:highlight w:val="none"/>
        </w:rPr>
        <w:t xml:space="preserve">（2）凡为采购项目提供整体设计、规范编制或者项目管理、监理、检测等服务的供应商，不得再参加该项目的其他采购活动。</w:t>
      </w:r>
      <w:r/>
    </w:p>
    <w:p>
      <w:pPr>
        <w:ind w:firstLine="422"/>
        <w:spacing w:line="348" w:lineRule="auto"/>
        <w:rPr>
          <w:color w:val="auto"/>
          <w:highlight w:val="none"/>
        </w:rPr>
      </w:pPr>
      <w:r>
        <w:rPr>
          <w:rFonts w:hint="eastAsia" w:ascii="宋体" w:hAnsi="宋体" w:cs="宋体"/>
          <w:b/>
          <w:bCs/>
          <w:color w:val="auto"/>
          <w:highlight w:val="none"/>
        </w:rPr>
        <w:t xml:space="preserve">（3）供应商被“信用中国”网站（www.creditchina.gov.cn）、“中国政府采购网”(www.ccgp.gov.cn)列入失信被执行人、重大税收违法案件当事人名单、政府采购严重违法失信行为记录名单。</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10.本项目严格执行政府采购关于支持节能产品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11.供应商对于所投产品的包装应按照“财办库〔2020〕123号《关于印发《商品包装政府采购需求标准（试行）》《快递包装政府采购需求标准（试行）》的通知》”执行。</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12.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hint="eastAsia" w:ascii="宋体" w:hAnsi="宋体" w:cs="宋体"/>
          <w:b/>
          <w:bCs/>
          <w:color w:val="auto"/>
          <w:highlight w:val="none"/>
        </w:rPr>
        <w:outlineLvl w:val="1"/>
      </w:pPr>
      <w:r>
        <w:rPr>
          <w:rFonts w:hint="eastAsia" w:ascii="宋体" w:hAnsi="宋体" w:cs="宋体"/>
          <w:b/>
          <w:bCs/>
          <w:color w:val="auto"/>
          <w:highlight w:val="none"/>
        </w:rPr>
        <w:t xml:space="preserve">七、本次招标联系方式</w:t>
      </w:r>
      <w:bookmarkEnd w:id="28"/>
      <w:r/>
      <w:bookmarkEnd w:id="29"/>
      <w:r/>
      <w:bookmarkEnd w:id="30"/>
      <w:r/>
      <w:bookmarkEnd w:id="31"/>
      <w:r/>
      <w:bookmarkEnd w:id="32"/>
      <w:r/>
      <w:r/>
    </w:p>
    <w:p>
      <w:pPr>
        <w:ind w:firstLine="420"/>
        <w:jc w:val="left"/>
        <w:spacing w:line="360" w:lineRule="auto"/>
        <w:widowControl/>
        <w:rPr>
          <w:rFonts w:hint="eastAsia" w:ascii="宋体" w:hAnsi="宋体" w:cs="宋体"/>
          <w:color w:val="auto"/>
          <w:szCs w:val="21"/>
          <w:highlight w:val="none"/>
        </w:rPr>
      </w:pPr>
      <w:r/>
      <w:bookmarkStart w:id="33" w:name="_Toc28359087"/>
      <w:r/>
      <w:bookmarkStart w:id="34"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扬州工业职业技术学院</w:t>
      </w:r>
      <w:r/>
    </w:p>
    <w:p>
      <w:pPr>
        <w:ind w:firstLine="420"/>
        <w:jc w:val="left"/>
        <w:spacing w:line="360" w:lineRule="auto"/>
        <w:rPr>
          <w:rFonts w:hint="eastAsia" w:ascii="宋体" w:hAnsi="宋体" w:cs="宋体"/>
          <w:color w:val="auto"/>
          <w:highlight w:val="none"/>
        </w:rPr>
      </w:pPr>
      <w:r/>
      <w:bookmarkStart w:id="35" w:name="_Toc28359009"/>
      <w:r/>
      <w:bookmarkStart w:id="36" w:name="_Toc28359086"/>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扬州市邗江区华扬西路199号</w:t>
      </w:r>
      <w:r>
        <w:rPr>
          <w:rFonts w:hint="eastAsia" w:ascii="宋体" w:hAnsi="宋体" w:cs="宋体"/>
          <w:color w:val="auto"/>
          <w:highlight w:val="none"/>
        </w:rPr>
        <w:t xml:space="preserve">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联系人：杜彬</w:t>
      </w:r>
      <w:r>
        <w:rPr>
          <w:rFonts w:ascii="宋体" w:hAnsi="宋体" w:cs="宋体"/>
          <w:color w:val="auto"/>
          <w:highlight w:val="none"/>
        </w:rPr>
        <w:tab/>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联系方式：13645252044</w:t>
      </w:r>
      <w:bookmarkEnd w:id="33"/>
      <w:bookmarkEnd w:id="34"/>
      <w:bookmarkEnd w:id="35"/>
      <w:bookmarkEnd w:id="36"/>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址：扬州市邗江区翠岗路48号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联系人：缪晓庆、颜耀</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联系方式：0514-87982240、</w:t>
      </w:r>
      <w:r>
        <w:rPr>
          <w:rFonts w:hint="eastAsia" w:ascii="宋体" w:hAnsi="宋体" w:cs="宋体"/>
          <w:color w:val="auto"/>
          <w:szCs w:val="21"/>
          <w:highlight w:val="none"/>
        </w:rPr>
        <w:t xml:space="preserve">0514-82129526</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3.项目联系方式</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项目联系人：</w:t>
      </w:r>
      <w:r>
        <w:rPr>
          <w:rFonts w:hint="eastAsia" w:ascii="宋体" w:hAnsi="宋体" w:cs="宋体"/>
          <w:color w:val="auto"/>
          <w:highlight w:val="none"/>
        </w:rPr>
        <w:t xml:space="preserve">缪晓庆、颜耀</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lang w:val="zh-CN"/>
        </w:rPr>
        <w:t xml:space="preserve">电　　 话：</w:t>
      </w:r>
      <w:r>
        <w:rPr>
          <w:rFonts w:hint="eastAsia" w:ascii="宋体" w:hAnsi="宋体" w:cs="宋体"/>
          <w:color w:val="auto"/>
          <w:highlight w:val="none"/>
        </w:rPr>
        <w:t xml:space="preserve">0514-87982240、</w:t>
      </w:r>
      <w:r>
        <w:rPr>
          <w:rFonts w:hint="eastAsia" w:ascii="宋体" w:hAnsi="宋体" w:cs="宋体"/>
          <w:color w:val="auto"/>
          <w:szCs w:val="21"/>
          <w:highlight w:val="none"/>
        </w:rPr>
        <w:t xml:space="preserve">0514-82129526</w:t>
      </w:r>
      <w:r/>
    </w:p>
    <w:p>
      <w:pPr>
        <w:spacing w:line="360" w:lineRule="auto"/>
        <w:rPr>
          <w:rFonts w:hint="eastAsia" w:ascii="宋体" w:hAnsi="宋体" w:cs="宋体"/>
          <w:color w:val="auto"/>
          <w:highlight w:val="none"/>
        </w:rPr>
      </w:pPr>
      <w:r/>
      <w:bookmarkStart w:id="37" w:name="_Toc13371"/>
      <w:r/>
      <w:bookmarkStart w:id="38" w:name="_Toc55204178"/>
      <w:r>
        <w:rPr>
          <w:rFonts w:hint="eastAsia" w:ascii="宋体" w:hAnsi="宋体" w:cs="宋体"/>
          <w:color w:val="auto"/>
          <w:highlight w:val="none"/>
        </w:rPr>
        <w:br w:type="page" w:clear="all"/>
      </w:r>
      <w:r/>
    </w:p>
    <w:p>
      <w:pPr>
        <w:pStyle w:val="681"/>
        <w:rPr>
          <w:rFonts w:hint="eastAsia" w:ascii="宋体" w:hAnsi="宋体" w:cs="宋体"/>
          <w:color w:val="auto"/>
          <w:highlight w:val="none"/>
        </w:rPr>
      </w:pPr>
      <w:r/>
      <w:bookmarkStart w:id="39" w:name="_Toc8455"/>
      <w:r>
        <w:rPr>
          <w:rFonts w:hint="eastAsia" w:ascii="宋体" w:hAnsi="宋体" w:cs="宋体"/>
          <w:color w:val="auto"/>
          <w:highlight w:val="none"/>
        </w:rPr>
        <w:t xml:space="preserve">第二章 投标人须知</w:t>
      </w:r>
      <w:bookmarkEnd w:id="37"/>
      <w:r/>
      <w:bookmarkEnd w:id="38"/>
      <w:r/>
      <w:bookmarkEnd w:id="39"/>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1.招标方式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JSZC-320000-SWGC-G2026-0096</w:t>
      </w:r>
      <w:r>
        <w:rPr>
          <w:rFonts w:hint="eastAsia" w:ascii="宋体" w:hAnsi="宋体" w:cs="宋体"/>
          <w:bCs/>
          <w:color w:val="auto"/>
          <w:szCs w:val="21"/>
          <w:highlight w:val="none"/>
        </w:rPr>
        <w:t xml:space="preserve">号项目。</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2.投标人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3.适用法律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4.2本次采购由中标人在领取中标通知书前一次性支付给招标代理机构代理服务费（具体计算方式详见下表）。</w:t>
      </w:r>
      <w:r/>
    </w:p>
    <w:tbl>
      <w:tblPr>
        <w:tblStyle w:val="691"/>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t xml:space="preserve">项目</w:t>
            </w:r>
            <w:r/>
          </w:p>
          <w:p>
            <w:pPr>
              <w:ind w:left="160"/>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ind w:firstLine="105"/>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u w:val="single"/>
              </w:rPr>
              <w:t xml:space="preserve">36</w:t>
            </w:r>
            <w:r>
              <w:rPr>
                <w:rFonts w:hint="eastAsia" w:ascii="宋体" w:hAnsi="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25000元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基准费率表</w:t>
      </w:r>
      <w:r/>
    </w:p>
    <w:tbl>
      <w:tblPr>
        <w:tblStyle w:val="691"/>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50以下</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固定价2000元</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500以上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0.55％</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（2）代理服务费支付方式：一次性以电汇或转账形式支付。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（3）代理服务费不在响应报价中单列，包含在响应总价中，由成交人支付给代理机构。</w:t>
      </w:r>
      <w:r/>
    </w:p>
    <w:p>
      <w:pPr>
        <w:ind w:firstLine="63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代理服务费开户银行：中国工商银行扬州雍华府支行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开户帐号：1108020819100000612</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4.5专家评审费按照《关于规范江苏省政府采购专家评审费标准的通知》（苏财购〔2016〕48号）执行，由采购人支付。</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（1）采购公告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outlineLvl w:val="1"/>
      </w:pPr>
      <w:r/>
      <w:bookmarkStart w:id="40" w:name="_Toc20823297"/>
      <w:r/>
      <w:bookmarkStart w:id="41" w:name="_Toc16938541"/>
      <w:r/>
      <w:bookmarkStart w:id="42" w:name="_Toc513029225"/>
      <w:r/>
      <w:bookmarkStart w:id="43" w:name="_Toc462564084"/>
      <w:r>
        <w:rPr>
          <w:rFonts w:hint="eastAsia" w:ascii="宋体" w:hAnsi="宋体" w:cs="宋体"/>
          <w:b/>
          <w:color w:val="auto"/>
          <w:szCs w:val="21"/>
          <w:highlight w:val="none"/>
        </w:rPr>
        <w:t xml:space="preserve">17.投标文件</w:t>
      </w:r>
      <w:bookmarkEnd w:id="40"/>
      <w:r/>
      <w:bookmarkEnd w:id="41"/>
      <w:r/>
      <w:bookmarkEnd w:id="42"/>
      <w:r/>
      <w:bookmarkEnd w:id="43"/>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18.投标截止日期</w:t>
      </w:r>
      <w:bookmarkEnd w:id="44"/>
      <w:r/>
      <w:bookmarkEnd w:id="45"/>
      <w:r/>
      <w:bookmarkEnd w:id="46"/>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outlineLvl w:val="1"/>
      </w:pPr>
      <w:r/>
      <w:bookmarkStart w:id="47" w:name="_Toc20823299"/>
      <w:r/>
      <w:bookmarkStart w:id="48" w:name="_Toc513029227"/>
      <w:r/>
      <w:bookmarkStart w:id="49" w:name="_Toc16938543"/>
      <w:r>
        <w:rPr>
          <w:rFonts w:hint="eastAsia" w:ascii="宋体" w:hAnsi="宋体" w:cs="宋体"/>
          <w:b/>
          <w:color w:val="auto"/>
          <w:szCs w:val="21"/>
          <w:highlight w:val="none"/>
        </w:rPr>
        <w:t xml:space="preserve">19.投标文件</w:t>
      </w:r>
      <w:bookmarkEnd w:id="47"/>
      <w:r/>
      <w:bookmarkEnd w:id="48"/>
      <w:r/>
      <w:bookmarkEnd w:id="49"/>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outlineLvl w:val="1"/>
      </w:pPr>
      <w:r/>
      <w:bookmarkStart w:id="50" w:name="_Toc513029228"/>
      <w:r/>
      <w:bookmarkStart w:id="51" w:name="_Toc20823300"/>
      <w:r/>
      <w:bookmarkStart w:id="52" w:name="_Toc16938544"/>
      <w:r>
        <w:rPr>
          <w:rFonts w:hint="eastAsia" w:ascii="宋体" w:hAnsi="宋体" w:cs="宋体"/>
          <w:b/>
          <w:color w:val="auto"/>
          <w:szCs w:val="21"/>
          <w:highlight w:val="none"/>
        </w:rPr>
        <w:t xml:space="preserve">20.投标文件的撤回和修改</w:t>
      </w:r>
      <w:bookmarkEnd w:id="50"/>
      <w:r/>
      <w:bookmarkEnd w:id="51"/>
      <w:r/>
      <w:bookmarkEnd w:id="52"/>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21.3投标人在开标过程中涉及的投标文件解密、开标结果确认等工作，应按照《操作手册》规定执行。</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接到评委会澄清要求的投标人如未按规定作出澄清，其风险由投标人自行承担。</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w:t>
      </w:r>
      <w:r>
        <w:rPr>
          <w:rFonts w:hint="eastAsia" w:ascii="宋体" w:hAnsi="宋体" w:cs="宋体"/>
          <w:b/>
          <w:bCs/>
          <w:color w:val="auto"/>
          <w:szCs w:val="21"/>
          <w:highlight w:val="none"/>
          <w:u w:val="single"/>
        </w:rPr>
        <w:t xml:space="preserve">（本项目的核心产品为“</w:t>
      </w:r>
      <w:r>
        <w:rPr>
          <w:rFonts w:hint="eastAsia" w:ascii="宋体" w:hAnsi="宋体" w:cs="宋体"/>
          <w:b/>
          <w:bCs/>
          <w:color w:val="auto"/>
          <w:szCs w:val="21"/>
          <w:highlight w:val="none"/>
          <w:u w:val="single"/>
        </w:rPr>
        <w:t xml:space="preserve">双螺杆挤出机</w:t>
      </w:r>
      <w:r>
        <w:rPr>
          <w:rFonts w:hint="eastAsia" w:ascii="宋体" w:hAnsi="宋体" w:cs="宋体"/>
          <w:b/>
          <w:bCs/>
          <w:color w:val="auto"/>
          <w:szCs w:val="21"/>
          <w:highlight w:val="none"/>
          <w:u w:val="single"/>
        </w:rPr>
        <w:t xml:space="preserve">”）</w:t>
      </w:r>
      <w:r>
        <w:rPr>
          <w:rFonts w:hint="eastAsia" w:ascii="宋体" w:hAnsi="宋体" w:cs="宋体"/>
          <w:bCs/>
          <w:color w:val="auto"/>
          <w:szCs w:val="21"/>
          <w:highlight w:val="none"/>
        </w:rPr>
        <w:t xml:space="preserve">。多家投标人提供的核心产品品牌相同的，按前两款规定处理。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投标人在开、评标全过程中应保持通信畅通，并安排专人与代理机构及评委会联系。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 异常低价投标审查</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25.9.1评标过程中出现下列情形之一的，评标委员会应当启动异常低价投标审查程序: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3.投标（响应)报价低于采购项目最高限价45%的，即投标（响应)报价&lt;采购项目最高限价X45%；</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26.1.13 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27.3代理机构将在“江苏省政府采购网”和“中国政府采购网”发布中标公告，公告期限为1个工作日。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采购人及代理机构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29.2中标人可在“政府采购管理交易系统（苏采云）”中标通知书下载模块中自行下载中标通知书。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31、货物（包含与货物相关的服务）的追加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33、电子投标文件要求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t xml:space="preserve">34、其他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681"/>
        <w:rPr>
          <w:rFonts w:hint="eastAsia" w:ascii="宋体" w:hAnsi="宋体" w:cs="宋体"/>
          <w:color w:val="auto"/>
          <w:highlight w:val="none"/>
        </w:rPr>
      </w:pPr>
      <w:r/>
      <w:bookmarkStart w:id="53" w:name="_Toc23141"/>
      <w:r/>
      <w:bookmarkStart w:id="54" w:name="_Toc55204179"/>
      <w:r/>
      <w:bookmarkStart w:id="55" w:name="_Toc30440"/>
      <w:r/>
      <w:bookmarkStart w:id="56" w:name="_Hlk69392822"/>
      <w:r>
        <w:rPr>
          <w:rFonts w:hint="eastAsia" w:ascii="宋体" w:hAnsi="宋体" w:cs="宋体"/>
          <w:color w:val="auto"/>
          <w:highlight w:val="none"/>
        </w:rPr>
        <w:t xml:space="preserve">第三章 合同条款及格式</w:t>
      </w:r>
      <w:bookmarkEnd w:id="53"/>
      <w:r/>
      <w:bookmarkEnd w:id="54"/>
      <w:r/>
      <w:bookmarkEnd w:id="55"/>
      <w:r/>
      <w:r/>
    </w:p>
    <w:p>
      <w:pPr>
        <w:pStyle w:val="921"/>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21"/>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r>
      <w:bookmarkEnd w:id="56"/>
      <w:r/>
    </w:p>
    <w:p>
      <w:pPr>
        <w:jc w:val="center"/>
        <w:spacing w:line="360" w:lineRule="auto"/>
        <w:rPr>
          <w:rFonts w:hint="eastAsia" w:ascii="宋体" w:hAnsi="宋体" w:cs="宋体"/>
          <w:bCs/>
          <w:color w:val="auto"/>
          <w:szCs w:val="21"/>
          <w:highlight w:val="none"/>
          <w:lang w:val="zh-CN"/>
        </w:rPr>
      </w:pPr>
      <w:r>
        <w:rPr>
          <w:rFonts w:hint="eastAsia" w:ascii="宋体" w:hAnsi="宋体" w:cs="宋体"/>
          <w:b/>
          <w:color w:val="auto"/>
          <w:szCs w:val="21"/>
          <w:highlight w:val="none"/>
        </w:rPr>
        <w:t xml:space="preserve">扬州工业职业技术学院采购合同（货物）</w:t>
      </w:r>
      <w:r/>
    </w:p>
    <w:p>
      <w:pPr>
        <w:pStyle w:val="70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项目名称：</w:t>
      </w:r>
      <w:r/>
    </w:p>
    <w:p>
      <w:pPr>
        <w:pStyle w:val="70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项目编号： </w:t>
      </w:r>
      <w:r/>
    </w:p>
    <w:p>
      <w:pPr>
        <w:pStyle w:val="701"/>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甲方（采购人/买方）：</w:t>
      </w:r>
      <w:r>
        <w:rPr>
          <w:rFonts w:hint="eastAsia" w:hAnsi="宋体" w:cs="宋体"/>
          <w:color w:val="auto"/>
          <w:sz w:val="21"/>
          <w:highlight w:val="none"/>
          <w:u w:val="single"/>
        </w:rPr>
        <w:t xml:space="preserve">              </w:t>
      </w:r>
      <w:r/>
    </w:p>
    <w:p>
      <w:pPr>
        <w:pStyle w:val="701"/>
        <w:spacing w:before="120" w:after="120" w:line="360" w:lineRule="auto"/>
        <w:rPr>
          <w:rFonts w:hint="eastAsia" w:hAnsi="宋体" w:cs="宋体"/>
          <w:color w:val="auto"/>
          <w:sz w:val="21"/>
          <w:highlight w:val="none"/>
          <w:u w:val="singl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w:t>
      </w:r>
      <w:r>
        <w:rPr>
          <w:rFonts w:hint="eastAsia" w:hAnsi="宋体" w:cs="宋体"/>
          <w:color w:val="auto"/>
          <w:sz w:val="21"/>
          <w:highlight w:val="none"/>
          <w:u w:val="single"/>
        </w:rPr>
        <w:t xml:space="preserve">                         </w:t>
      </w:r>
      <w:r>
        <w:rPr>
          <w:rFonts w:hint="eastAsia" w:hAnsi="宋体" w:cs="宋体"/>
          <w:color w:val="auto"/>
          <w:sz w:val="21"/>
          <w:highlight w:val="none"/>
        </w:rPr>
        <w:t xml:space="preserve">项目招标结果签订本合同。</w:t>
      </w:r>
      <w:r/>
    </w:p>
    <w:p>
      <w:pPr>
        <w:pStyle w:val="701"/>
        <w:ind w:firstLine="422"/>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1、合同标的</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701"/>
        <w:ind w:firstLine="420"/>
        <w:spacing w:before="120" w:after="120" w:line="360" w:lineRule="auto"/>
        <w:rPr>
          <w:rFonts w:hint="eastAsia" w:hAnsi="宋体" w:cs="宋体"/>
          <w:b/>
          <w:color w:val="auto"/>
          <w:sz w:val="21"/>
          <w:highlight w:val="none"/>
        </w:rPr>
      </w:pPr>
      <w:r>
        <w:rPr>
          <w:rFonts w:hint="eastAsia" w:hAnsi="宋体" w:cs="宋体"/>
          <w:color w:val="auto"/>
          <w:sz w:val="21"/>
          <w:highlight w:val="none"/>
        </w:rPr>
        <w:t xml:space="preserve">货物名称、规格及数量等要求详见本合同附件、采购文件（包括招标文件、询价文件、谈判文件或投标文件等，下同）及响应文件（包括中标成交单位投标文件或报价文件等，下同）。</w:t>
      </w:r>
      <w:r/>
    </w:p>
    <w:p>
      <w:pPr>
        <w:pStyle w:val="701"/>
        <w:ind w:firstLine="422"/>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2、合同总金额</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  ___元人民币（¥_____元）。</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2.2 本合同总金额包括所乙方提供货物的产品费用、安装调试费、测试验收费、培训费、 运行维护费用、税金及其他有关的为完成本项目发生的所有费用，</w:t>
      </w:r>
      <w:r>
        <w:rPr>
          <w:rFonts w:hint="eastAsia" w:hAnsi="宋体" w:cs="宋体"/>
          <w:color w:val="auto"/>
          <w:sz w:val="21"/>
          <w:highlight w:val="none"/>
        </w:rPr>
        <w:t xml:space="preserve">除该费用外，甲方不需要为本合同项下的交易向乙方支付任何其他费用，</w:t>
      </w:r>
      <w:r>
        <w:rPr>
          <w:rFonts w:hint="eastAsia" w:hAnsi="宋体" w:cs="宋体"/>
          <w:color w:val="auto"/>
          <w:sz w:val="21"/>
          <w:highlight w:val="none"/>
        </w:rPr>
        <w:t xml:space="preserve">招标文件中另有规定的除外。</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701"/>
        <w:ind w:firstLine="422"/>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3、组成本合同的有关文件</w:t>
      </w:r>
      <w:r/>
    </w:p>
    <w:p>
      <w:pPr>
        <w:pStyle w:val="701"/>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3.3 关于本项目的采购文件、响应文件或与本次采购活动方式相适应的文件及有关附件是本合同不可分割的组成部分，这些文件包括但不限于：</w:t>
      </w:r>
      <w:r/>
    </w:p>
    <w:p>
      <w:pPr>
        <w:pStyle w:val="701"/>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（1）采购文件；                   （2）投标产品配置与报价文件；</w:t>
      </w:r>
      <w:r/>
    </w:p>
    <w:p>
      <w:pPr>
        <w:pStyle w:val="701"/>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（3）供货一览表；                 （4）技术参数响应表；</w:t>
      </w:r>
      <w:r/>
    </w:p>
    <w:p>
      <w:pPr>
        <w:pStyle w:val="701"/>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（5）服务承诺；                   （6）中标通知书/成交通知书；</w:t>
      </w:r>
      <w:r/>
    </w:p>
    <w:p>
      <w:pPr>
        <w:pStyle w:val="701"/>
        <w:ind w:left="359" w:hanging="35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（7）甲乙双方补充协议；           （8）中标成交单位的响应文件。</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提供产品未侵犯第三人专利权、版权、商标权、著作权和工业设计权或者其他知识产权，并保证甲方在使用、接受本合同货物和服务或其任何一部分时，不受第三方提出侵犯其专利权、版权、商标权和工业设计权等知识产权的起诉。一旦出现侵权，由乙方负全部责任。</w:t>
      </w:r>
      <w:r/>
    </w:p>
    <w:p>
      <w:pPr>
        <w:pStyle w:val="701"/>
        <w:ind w:firstLine="422"/>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乙方保证对所交付的货物拥有合法和完整的所有权，无任何抵押、查封等权利瑕疵</w:t>
      </w:r>
      <w:r>
        <w:rPr>
          <w:rFonts w:hint="eastAsia" w:ascii="宋体" w:hAnsi="宋体" w:cs="宋体"/>
          <w:color w:val="auto"/>
          <w:szCs w:val="21"/>
          <w:highlight w:val="none"/>
        </w:rPr>
        <w:t xml:space="preserve">，并保证第三人不能就该货物向甲方主张任何权利</w:t>
      </w:r>
      <w:r>
        <w:rPr>
          <w:rFonts w:hint="eastAsia" w:ascii="宋体" w:hAnsi="宋体" w:cs="宋体"/>
          <w:color w:val="auto"/>
          <w:szCs w:val="21"/>
          <w:highlight w:val="none"/>
        </w:rPr>
        <w:t xml:space="preserve">。</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6、履约保证金</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6.1 签订合同时，中标人应向招标人支付合同总价10%的履约保证金。履约保证金应当采用支票、汇票、本票、网上银行支付或者金融机构、担保机构出具的保函等非现金形式交纳。中标人在合同履行时因自身原因无故不履行合同的或转包给其他单位的，缴纳履约保证金将不予退还，以及弥补合同履行中由于中标人自身行为可能给招标人带来的各种损失；若履约保证金额不足以弥补中标人违约造成招标人损失的，招标人可继续向中标人主张索赔。质保期满无质量相关问题，招标人无息退还履约保证金。</w:t>
      </w:r>
      <w:r/>
    </w:p>
    <w:p>
      <w:pPr>
        <w:pStyle w:val="701"/>
        <w:ind w:firstLine="422"/>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7、转包或分包</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7.1 本合同禁止转包，本合同范围的货物，应由乙方直接供应，不得转让他人供应。</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7.2 经甲方书面同意，乙方可以依法采取分包方式履行合同，但是分包方式履行的，乙方应就采购项目向甲方负全责。</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8、质保期</w:t>
      </w:r>
      <w:r/>
    </w:p>
    <w:p>
      <w:pPr>
        <w:pStyle w:val="701"/>
        <w:ind w:left="315" w:firstLine="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8.1 质保期</w:t>
      </w:r>
      <w:r>
        <w:rPr>
          <w:rFonts w:hint="eastAsia" w:hAnsi="宋体" w:cs="宋体"/>
          <w:color w:val="auto"/>
          <w:sz w:val="21"/>
          <w:highlight w:val="none"/>
          <w:u w:val="single"/>
        </w:rPr>
        <w:t xml:space="preserve">     </w:t>
      </w:r>
      <w:r>
        <w:rPr>
          <w:rFonts w:hint="eastAsia" w:hAnsi="宋体" w:cs="宋体"/>
          <w:color w:val="auto"/>
          <w:sz w:val="21"/>
          <w:highlight w:val="none"/>
        </w:rPr>
        <w:t xml:space="preserve">年。（自交货验收合格之日起计）</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9、通讯地址</w:t>
      </w:r>
      <w:r/>
    </w:p>
    <w:p>
      <w:pPr>
        <w:pStyle w:val="701"/>
        <w:ind w:left="315" w:firstLine="105"/>
        <w:spacing w:before="120" w:after="120" w:line="360" w:lineRule="auto"/>
        <w:rPr>
          <w:rFonts w:hint="eastAsia" w:hAnsi="宋体" w:cs="宋体"/>
          <w:b/>
          <w:bCs/>
          <w:color w:val="auto"/>
          <w:sz w:val="21"/>
          <w:highlight w:val="none"/>
        </w:rPr>
      </w:pPr>
      <w:r>
        <w:rPr>
          <w:rFonts w:hint="eastAsia" w:hAnsi="宋体" w:cs="宋体"/>
          <w:bCs/>
          <w:color w:val="auto"/>
          <w:sz w:val="21"/>
          <w:highlight w:val="none"/>
        </w:rPr>
        <w:t xml:space="preserve">乙方确定发货单位的通讯地址为：</w:t>
      </w:r>
      <w:r>
        <w:rPr>
          <w:rFonts w:hint="eastAsia" w:hAnsi="宋体" w:cs="宋体"/>
          <w:color w:val="auto"/>
          <w:sz w:val="21"/>
          <w:highlight w:val="none"/>
        </w:rPr>
        <w:t xml:space="preserve">     </w:t>
      </w:r>
      <w:r>
        <w:rPr>
          <w:rFonts w:hint="eastAsia" w:hAnsi="宋体" w:cs="宋体"/>
          <w:bCs/>
          <w:color w:val="auto"/>
          <w:sz w:val="21"/>
          <w:highlight w:val="none"/>
        </w:rPr>
        <w:t xml:space="preserve">     </w:t>
      </w:r>
      <w:r>
        <w:rPr>
          <w:rFonts w:hint="eastAsia" w:hAnsi="宋体" w:cs="宋体"/>
          <w:b/>
          <w:bCs/>
          <w:color w:val="auto"/>
          <w:sz w:val="21"/>
          <w:highlight w:val="none"/>
        </w:rPr>
        <w:t xml:space="preserve">                              </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10、货款支付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spacing w:line="360" w:lineRule="auto"/>
        <w:rPr>
          <w:rFonts w:hint="eastAsia" w:ascii="宋体" w:hAnsi="宋体" w:cs="宋体"/>
          <w:b/>
          <w:bCs/>
          <w:color w:val="auto"/>
          <w:szCs w:val="21"/>
          <w:highlight w:val="none"/>
          <w:u w:val="single"/>
        </w:rPr>
      </w:pPr>
      <w:r>
        <w:rPr>
          <w:rFonts w:hint="eastAsia" w:ascii="宋体" w:hAnsi="宋体" w:eastAsia="宋体" w:cs="宋体"/>
          <w:color w:val="auto"/>
          <w:szCs w:val="21"/>
          <w:highlight w:val="none"/>
        </w:rPr>
        <w:t xml:space="preserve">10.3 付款方式：</w:t>
      </w:r>
      <w:r>
        <w:rPr>
          <w:rFonts w:hint="eastAsia" w:ascii="宋体" w:hAnsi="宋体" w:eastAsia="宋体" w:cs="宋体"/>
          <w:b/>
          <w:bCs/>
          <w:color w:val="auto"/>
          <w:szCs w:val="21"/>
          <w:highlight w:val="none"/>
          <w:lang w:val="en-US" w:eastAsia="zh-CN"/>
        </w:rPr>
        <w:t xml:space="preserve">本项目分两次验收，合</w:t>
      </w:r>
      <w:r>
        <w:rPr>
          <w:rFonts w:hint="eastAsia" w:ascii="宋体" w:hAnsi="宋体" w:eastAsia="宋体" w:cs="宋体"/>
          <w:b/>
          <w:bCs/>
          <w:color w:val="auto"/>
          <w:szCs w:val="21"/>
          <w:highlight w:val="none"/>
        </w:rPr>
        <w:t xml:space="preserve">同签订后，支付合同价40%的预付款；到货并完成安装调试经甲方</w:t>
      </w:r>
      <w:r>
        <w:rPr>
          <w:rFonts w:hint="eastAsia" w:ascii="宋体" w:hAnsi="宋体" w:eastAsia="宋体" w:cs="宋体"/>
          <w:b/>
          <w:bCs/>
          <w:color w:val="auto"/>
          <w:szCs w:val="21"/>
          <w:highlight w:val="none"/>
          <w:lang w:val="en-US" w:eastAsia="zh-CN"/>
        </w:rPr>
        <w:t xml:space="preserve">初次</w:t>
      </w:r>
      <w:r>
        <w:rPr>
          <w:rFonts w:hint="eastAsia" w:ascii="宋体" w:hAnsi="宋体" w:eastAsia="宋体" w:cs="宋体"/>
          <w:b/>
          <w:bCs/>
          <w:color w:val="auto"/>
          <w:szCs w:val="21"/>
          <w:highlight w:val="none"/>
        </w:rPr>
        <w:t xml:space="preserve">验收合格后</w:t>
      </w:r>
      <w:r>
        <w:rPr>
          <w:rFonts w:hint="eastAsia" w:ascii="宋体" w:hAnsi="宋体" w:eastAsia="宋体" w:cs="宋体"/>
          <w:b/>
          <w:bCs/>
          <w:color w:val="auto"/>
          <w:szCs w:val="21"/>
          <w:highlight w:val="none"/>
          <w:lang w:val="en-US" w:eastAsia="zh-CN"/>
        </w:rPr>
        <w:t xml:space="preserve">付至合同价的60%</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初次验收满一年后，根据实际使用情况进行全面验收，验收合格后付清余款</w:t>
      </w:r>
      <w:r>
        <w:rPr>
          <w:rFonts w:hint="eastAsia" w:ascii="宋体" w:hAnsi="宋体" w:eastAsia="宋体" w:cs="宋体"/>
          <w:b/>
          <w:bCs/>
          <w:color w:val="auto"/>
          <w:szCs w:val="21"/>
          <w:highlight w:val="none"/>
        </w:rPr>
        <w:t xml:space="preserve">。（以上所有款项在满足时间节点后，甲方自收到乙方发票之日起10个工作日内付款）</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11、税费</w:t>
      </w:r>
      <w:r/>
    </w:p>
    <w:p>
      <w:pPr>
        <w:pStyle w:val="701"/>
        <w:ind w:firstLine="420"/>
        <w:spacing w:before="120" w:after="120" w:line="360" w:lineRule="auto"/>
        <w:rPr>
          <w:rFonts w:hint="eastAsia"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12、质量保证及售后服务</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 乙方提供的货物在质保期内因货物本身的质量问题发生故障，乙方应负责免费更换。对达不到技术要求者，根据实际情况，经双方协商，可按以下办法处理：</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12.3.1更换：由乙方承担所发生的全部费用。</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12.3.2贬值处理：由甲乙双方合议定价。</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12.3.3退货处理：乙方应退还甲方支付的合同款，同时应承担该货物的直接费用（运输、保险、检验、货款利息及银行手续费等）。</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 如在使用过程中发生质量问题，乙方在接到甲方通知后在_________小时内到达甲方现场，如逾期到达，则每逾期1小时，需向甲方支付违约金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 在质保期内，乙方应对货物出现的质量及安全问题负责处理解决并承担一切费用。</w:t>
      </w:r>
      <w:r/>
    </w:p>
    <w:p>
      <w:pPr>
        <w:ind w:firstLine="420"/>
        <w:spacing w:before="143" w:after="143"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13、交货、调试和验收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13.1乙方应当在本合同签订后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当乙方不能按时交付全部或部分的产品，或者存在这种可能性时，乙方应及时将原因及预定交付日期通知给甲方，并按照甲方的指示，迅速制定必要的对策，同时乙方需按照本合同总金额每日万分之五向甲方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13.2交货地点由甲方指定，招标文件有约定的，从其约定。在发货前，乙方应对产品作出全面检查和对验收文件进行整理，并列出清单，作为甲方收货初验收和使用的技术条件依据，检验的结果应随货物交甲方。</w:t>
      </w:r>
      <w:r/>
    </w:p>
    <w:p>
      <w:pPr>
        <w:pStyle w:val="701"/>
        <w:ind w:firstLine="420"/>
        <w:spacing w:before="120" w:after="120" w:line="360" w:lineRule="auto"/>
        <w:rPr>
          <w:rFonts w:hint="eastAsia" w:hAnsi="宋体" w:cs="宋体"/>
          <w:bCs/>
          <w:color w:val="auto"/>
          <w:sz w:val="21"/>
          <w:highlight w:val="none"/>
        </w:rPr>
      </w:pPr>
      <w:r>
        <w:rPr>
          <w:rFonts w:hint="eastAsia" w:hAnsi="宋体" w:cs="宋体"/>
          <w:color w:val="auto"/>
          <w:sz w:val="21"/>
          <w:highlight w:val="none"/>
        </w:rPr>
        <w:t xml:space="preserve">13.3</w:t>
      </w:r>
      <w:r>
        <w:rPr>
          <w:rFonts w:hint="eastAsia" w:hAnsi="宋体" w:cs="宋体"/>
          <w:bCs/>
          <w:color w:val="auto"/>
          <w:sz w:val="21"/>
          <w:highlight w:val="none"/>
        </w:rPr>
        <w:t xml:space="preserve">交货方式：</w:t>
      </w:r>
      <w:r>
        <w:rPr>
          <w:rFonts w:hint="eastAsia" w:hAnsi="宋体" w:cs="宋体"/>
          <w:color w:val="auto"/>
          <w:sz w:val="21"/>
          <w:highlight w:val="none"/>
          <w:u w:val="single"/>
        </w:rPr>
        <w:t xml:space="preserve">_送货上门</w:t>
      </w:r>
      <w:r>
        <w:rPr>
          <w:rFonts w:hint="eastAsia" w:hAnsi="宋体" w:cs="宋体"/>
          <w:color w:val="auto"/>
          <w:sz w:val="21"/>
          <w:highlight w:val="none"/>
        </w:rPr>
        <w:t xml:space="preserve">，_本合同产品在交付甲方之前的运输由乙方负责，所需运输费用亦由乙方全部承担。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13.4货到甲方后，甲乙双方须在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工作日内初验收，甲方对乙方提交的货物依据招标文件上的技术规格要求和国家有关质量标准进行现场初步验收，外观、说明书、包装符合招标文件技术要求的，给予签收，初步验收不合格的不予签收，甲方指定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为甲方代表，对产品进行验收并签收发货单据。</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13.5 乙方按照招标文件要求负责产品安装并培训甲方的使用操作人员，乙方在甲方使用前进行调试，调试直到符合技术要求的甲方才做最终验收。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13.6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13.7 甲乙双方关于调试和验收的其他约定：</w:t>
      </w:r>
      <w:r>
        <w:rPr>
          <w:rFonts w:hint="eastAsia" w:ascii="宋体" w:hAnsi="宋体" w:cs="宋体"/>
          <w:color w:val="auto"/>
          <w:szCs w:val="21"/>
          <w:highlight w:val="none"/>
          <w:u w:val="single"/>
        </w:rPr>
        <w:t xml:space="preserve">          。 </w:t>
      </w:r>
      <w:r/>
    </w:p>
    <w:p>
      <w:pPr>
        <w:ind w:left="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13.8乙方指定本合同项下的发货人为：              电话：</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乙方提出变更发货人的，应书面通知甲方变更后的发货人姓名、联系方式（通讯地址、固定联系电话和邮政编码等），甲方在收到前述乙方书面通知之前有权向原发货人提示交货。</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14、货物包装、发运及运输</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15、违约责任</w:t>
      </w:r>
      <w:r/>
    </w:p>
    <w:p>
      <w:pPr>
        <w:ind w:firstLine="100"/>
        <w:spacing w:before="120" w:after="120"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乙方提供的货物存在权属保证不实、侵犯他人知识产权或产品存在质量问题的，甲方可以选择要求乙方支付合同总价5%作为违约金，或者要求乙方赔偿甲方因此遭受的以及甲方因使用乙方所提供产品构成侵权的赔偿等直接和间接的所有损失，并应承担甲方为此支出的包括但不限于律师代理、调查取证、差旅等一切相关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15.2乙方</w:t>
      </w:r>
      <w:r>
        <w:rPr>
          <w:rFonts w:hint="eastAsia" w:ascii="宋体" w:hAnsi="宋体" w:cs="宋体"/>
          <w:color w:val="auto"/>
          <w:szCs w:val="21"/>
          <w:highlight w:val="none"/>
        </w:rPr>
        <w:t xml:space="preserve">发生逾期交货等</w:t>
      </w:r>
      <w:r>
        <w:rPr>
          <w:rFonts w:hint="eastAsia" w:ascii="宋体" w:hAnsi="宋体" w:cs="宋体"/>
          <w:color w:val="auto"/>
          <w:szCs w:val="21"/>
          <w:highlight w:val="none"/>
        </w:rPr>
        <w:t xml:space="preserve">违约情形时，在消除违约情形前，应按货款总额每日万分之五向甲方支付违约金，甲方可以从待付货款中扣除。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15.3乙方发生逾期交货</w:t>
      </w:r>
      <w:r>
        <w:rPr>
          <w:rFonts w:hint="eastAsia" w:ascii="宋体" w:hAnsi="宋体" w:cs="宋体"/>
          <w:color w:val="auto"/>
          <w:szCs w:val="21"/>
          <w:highlight w:val="none"/>
        </w:rPr>
        <w:t xml:space="preserve">15日以上、权属保证不实、侵犯他人知识产权或产品存在质量问题等</w:t>
      </w:r>
      <w:r>
        <w:rPr>
          <w:rFonts w:hint="eastAsia" w:ascii="宋体" w:hAnsi="宋体" w:cs="宋体"/>
          <w:color w:val="auto"/>
          <w:szCs w:val="21"/>
          <w:highlight w:val="none"/>
        </w:rPr>
        <w:t xml:space="preserve">违约行为，甲方有权单方解除合同，乙方应向甲方支付合同总值5%的违约金，如造成甲方损失超过违约金的，超出部分由乙方继续承担赔偿责任。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15.5合同生效后，发现乙方投标属虚假承诺，或经权威部门监测提供的货物不能满足招标文件要求，造成合同无法继续履行的，乙方供应商将承担相关风险（被列入黑名单，3年内不得参加采购人的任何采购项目），并向甲方支付不少于合同总价 50%赔偿金。</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16、不可抗力事件处理</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17、争议解决</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 1 ）</w:t>
      </w:r>
      <w:r>
        <w:rPr>
          <w:rFonts w:hint="eastAsia" w:hAnsi="宋体" w:cs="宋体"/>
          <w:color w:val="auto"/>
          <w:sz w:val="21"/>
          <w:highlight w:val="none"/>
        </w:rPr>
        <w:t xml:space="preserve">种方式解决争议：</w:t>
      </w:r>
      <w:r/>
    </w:p>
    <w:p>
      <w:pPr>
        <w:pStyle w:val="701"/>
        <w:ind w:firstLine="31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701"/>
        <w:ind w:left="420" w:hanging="105"/>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701"/>
        <w:ind w:left="315" w:firstLine="105"/>
        <w:spacing w:before="120" w:after="120" w:line="360" w:lineRule="auto"/>
        <w:rPr>
          <w:rFonts w:hint="eastAsia" w:hAnsi="宋体" w:cs="宋体"/>
          <w:b/>
          <w:bCs/>
          <w:color w:val="auto"/>
          <w:sz w:val="21"/>
          <w:highlight w:val="none"/>
        </w:rPr>
        <w:outlineLvl w:val="1"/>
      </w:pPr>
      <w:r>
        <w:rPr>
          <w:rFonts w:hint="eastAsia" w:hAnsi="宋体" w:cs="宋体"/>
          <w:b/>
          <w:bCs/>
          <w:color w:val="auto"/>
          <w:sz w:val="21"/>
          <w:highlight w:val="none"/>
        </w:rPr>
        <w:t xml:space="preserve">18、合同其它</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18.2 合同经双方法定代表人或授权代表签字并加盖单位公章，并经江苏苏维工程管理有限公司见证盖章后生效。</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w:t>
      </w:r>
      <w:r>
        <w:rPr>
          <w:rFonts w:hint="eastAsia" w:hAnsi="宋体" w:cs="宋体"/>
          <w:color w:val="auto"/>
          <w:sz w:val="21"/>
          <w:highlight w:val="none"/>
          <w:lang w:val="en-US" w:eastAsia="zh-CN"/>
        </w:rPr>
        <w:t xml:space="preserve">3</w:t>
      </w:r>
      <w:r>
        <w:rPr>
          <w:rFonts w:hint="eastAsia" w:hAnsi="宋体" w:cs="宋体"/>
          <w:color w:val="auto"/>
          <w:sz w:val="21"/>
          <w:highlight w:val="none"/>
        </w:rPr>
        <w:t xml:space="preserve"> 本合同未尽事宜，遵照《中华人民共和国民法典》有关条文执行。</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w:t>
      </w:r>
      <w:r>
        <w:rPr>
          <w:rFonts w:hint="eastAsia" w:hAnsi="宋体" w:cs="宋体"/>
          <w:color w:val="auto"/>
          <w:sz w:val="21"/>
          <w:highlight w:val="none"/>
          <w:lang w:val="en-US" w:eastAsia="zh-CN"/>
        </w:rPr>
        <w:t xml:space="preserve">4</w:t>
      </w:r>
      <w:r>
        <w:rPr>
          <w:rFonts w:hint="eastAsia" w:hAnsi="宋体" w:cs="宋体"/>
          <w:color w:val="auto"/>
          <w:sz w:val="21"/>
          <w:highlight w:val="none"/>
        </w:rPr>
        <w:t xml:space="preserve"> 本合同正本一式捌份，具有同等法律效力，甲方执陆份、乙方执贰份。</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701"/>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甲方：                </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乙方： </w:t>
      </w:r>
      <w:r/>
    </w:p>
    <w:p>
      <w:pPr>
        <w:pStyle w:val="70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70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701"/>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联系电话：                               联系电话：</w:t>
      </w:r>
      <w:r/>
    </w:p>
    <w:p>
      <w:pPr>
        <w:pStyle w:val="701"/>
        <w:ind w:firstLine="21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               日期：      年    月    日</w:t>
      </w:r>
      <w:r/>
    </w:p>
    <w:tbl>
      <w:tblPr>
        <w:tblStyle w:val="691"/>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8522"/>
      </w:tblGrid>
      <w:tr>
        <w:trPr/>
        <w:tc>
          <w:tcPr>
            <w:tcBorders>
              <w:top w:val="none" w:color="000000" w:sz="4" w:space="0"/>
              <w:left w:val="none" w:color="000000" w:sz="4" w:space="0"/>
              <w:bottom w:val="none" w:color="000000" w:sz="4" w:space="0"/>
              <w:right w:val="none" w:color="000000" w:sz="4" w:space="0"/>
            </w:tcBorders>
            <w:tcW w:w="8522" w:type="dxa"/>
            <w:textDirection w:val="lrTb"/>
            <w:noWrap w:val="false"/>
          </w:tcPr>
          <w:p>
            <w:pPr>
              <w:pStyle w:val="969"/>
              <w:ind w:firstLine="21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见证方：</w:t>
            </w:r>
            <w:r/>
          </w:p>
        </w:tc>
      </w:tr>
      <w:tr>
        <w:trPr/>
        <w:tc>
          <w:tcPr>
            <w:tcBorders>
              <w:top w:val="none" w:color="000000" w:sz="4" w:space="0"/>
              <w:left w:val="none" w:color="000000" w:sz="4" w:space="0"/>
              <w:bottom w:val="none" w:color="000000" w:sz="4" w:space="0"/>
              <w:right w:val="none" w:color="000000" w:sz="4" w:space="0"/>
            </w:tcBorders>
            <w:tcW w:w="8522" w:type="dxa"/>
            <w:textDirection w:val="lrTb"/>
            <w:noWrap w:val="false"/>
          </w:tcPr>
          <w:p>
            <w:pPr>
              <w:pStyle w:val="969"/>
              <w:ind w:firstLine="21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日期：      年    月    日 </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p>
    <w:p>
      <w:pPr>
        <w:pStyle w:val="701"/>
        <w:jc w:val="center"/>
        <w:spacing w:before="120" w:after="120" w:line="360" w:lineRule="auto"/>
        <w:rPr>
          <w:rFonts w:hint="eastAsia" w:hAnsi="宋体" w:cs="宋体"/>
          <w:b/>
          <w:bCs/>
          <w:color w:val="auto"/>
          <w:sz w:val="24"/>
          <w:szCs w:val="24"/>
          <w:highlight w:val="none"/>
        </w:rPr>
        <w:outlineLvl w:val="1"/>
      </w:pPr>
      <w:r/>
      <w:bookmarkStart w:id="57" w:name="_Toc15982"/>
      <w:r/>
      <w:bookmarkStart w:id="58" w:name="_Toc15957"/>
      <w:r>
        <w:rPr>
          <w:rFonts w:hint="eastAsia" w:hAnsi="宋体" w:cs="宋体"/>
          <w:b/>
          <w:bCs/>
          <w:color w:val="auto"/>
          <w:sz w:val="24"/>
          <w:szCs w:val="24"/>
          <w:highlight w:val="none"/>
        </w:rPr>
        <w:t xml:space="preserve">乙方廉政承诺书</w:t>
      </w:r>
      <w:bookmarkEnd w:id="57"/>
      <w:r/>
      <w:r/>
    </w:p>
    <w:p>
      <w:pPr>
        <w:pStyle w:val="701"/>
        <w:spacing w:before="120" w:after="120" w:line="360" w:lineRule="auto"/>
        <w:rPr>
          <w:rFonts w:hint="eastAsia" w:hAnsi="宋体" w:cs="宋体"/>
          <w:b/>
          <w:bCs/>
          <w:color w:val="auto"/>
          <w:highlight w:val="none"/>
        </w:rPr>
      </w:pPr>
      <w:r>
        <w:rPr>
          <w:rFonts w:hint="eastAsia" w:hAnsi="宋体" w:cs="宋体"/>
          <w:b/>
          <w:bCs/>
          <w:color w:val="auto"/>
          <w:highlight w:val="none"/>
        </w:rPr>
      </w:r>
      <w:r/>
    </w:p>
    <w:p>
      <w:pPr>
        <w:pStyle w:val="701"/>
        <w:spacing w:before="120" w:after="120" w:line="360" w:lineRule="auto"/>
        <w:rPr>
          <w:rFonts w:hint="eastAsia" w:hAnsi="宋体" w:cs="宋体"/>
          <w:b/>
          <w:bCs/>
          <w:color w:val="auto"/>
          <w:sz w:val="21"/>
          <w:highlight w:val="none"/>
        </w:rPr>
      </w:pPr>
      <w:r>
        <w:rPr>
          <w:rFonts w:hint="eastAsia" w:hAnsi="宋体" w:cs="宋体"/>
          <w:b/>
          <w:bCs/>
          <w:color w:val="auto"/>
          <w:sz w:val="21"/>
          <w:highlight w:val="none"/>
        </w:rPr>
        <w:t xml:space="preserve">扬州工业职业技术学院：</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为规范</w:t>
      </w:r>
      <w:r>
        <w:rPr>
          <w:rFonts w:hint="eastAsia" w:hAnsi="宋体" w:cs="宋体"/>
          <w:color w:val="auto"/>
          <w:sz w:val="21"/>
          <w:highlight w:val="none"/>
          <w:u w:val="single"/>
        </w:rPr>
        <w:t xml:space="preserve">             </w:t>
      </w:r>
      <w:r>
        <w:rPr>
          <w:rFonts w:hint="eastAsia" w:hAnsi="宋体" w:cs="宋体"/>
          <w:color w:val="auto"/>
          <w:sz w:val="21"/>
          <w:highlight w:val="none"/>
        </w:rPr>
        <w:t xml:space="preserve">（采购项目名称） 项目的实施过程，确保采购项目质量和效率，防止发生各种谋取不正当利益的违法违纪行为，切实维护合同双方合法权益，根据国家有关法律法规和廉政建设责任规定，乙方特向甲方作出如下廉政承诺：</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一、不以任何理由向甲方单位及其工作人员赠送礼金、有价证券、贵重物品和回扣、好处费、感谢费等。</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二、不以任何理由为甲方单位及其工作人员报销应由甲方单位或个人支付的费用。</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三、不以任何理由为甲方单位及其工作人员装修住房、婚丧嫁娶、配偶子女的工作安排以及出国（境）、旅游等提供方便。</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四、不以任何理由为甲方单位及其工作人员安排宴请、健身、娱乐等活动。</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五、以上廉政承诺，如有违反，乙方愿意承担如下责任：乙方工作人员有违反以上廉政承诺行为的，按照管理权限和有关规定，给予党纪、政纪处分或组织处理；涉嫌犯罪的，移交司法机关追究刑事责任；甲方有权视情中止合同执行，给甲方造成直接经济损失的，乙方应给予全额赔偿，并在项目验收或决算时扣除。</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六、本《廉政承诺书》作为《合同》的附件，与《合同》具有同等法律效力。《廉政承诺书》的有效期为双方签署《合同》之日起至该项目验收合格并决算完毕时止。</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七、本《廉政承诺书》除了作为《合同》的附件，还应递交双方的监督部门各一份。           </w:t>
      </w:r>
      <w:r/>
    </w:p>
    <w:p>
      <w:pPr>
        <w:pStyle w:val="701"/>
        <w:ind w:firstLine="420"/>
        <w:spacing w:before="120" w:after="120" w:line="360" w:lineRule="auto"/>
        <w:rPr>
          <w:rFonts w:hint="eastAsia" w:hAnsi="宋体" w:cs="宋体"/>
          <w:color w:val="auto"/>
          <w:sz w:val="21"/>
          <w:highlight w:val="none"/>
        </w:rPr>
      </w:pPr>
      <w:r>
        <w:rPr>
          <w:rFonts w:hint="eastAsia" w:hAnsi="宋体" w:cs="宋体"/>
          <w:color w:val="auto"/>
          <w:spacing w:val="0"/>
          <w:sz w:val="21"/>
          <w:highlight w:val="none"/>
        </w:rPr>
        <w:t xml:space="preserve">乙方单位（盖章）：</w:t>
      </w:r>
      <w:r/>
    </w:p>
    <w:p>
      <w:pPr>
        <w:pStyle w:val="701"/>
        <w:ind w:firstLine="420"/>
        <w:spacing w:before="120" w:after="120" w:line="360" w:lineRule="auto"/>
        <w:rPr>
          <w:color w:val="auto"/>
          <w:highlight w:val="none"/>
        </w:rPr>
      </w:pPr>
      <w:r>
        <w:rPr>
          <w:rFonts w:hint="eastAsia" w:hAnsi="宋体" w:cs="宋体"/>
          <w:color w:val="auto"/>
          <w:sz w:val="21"/>
          <w:highlight w:val="none"/>
        </w:rPr>
        <w:t xml:space="preserve">法定代表人（签字）：</w:t>
      </w:r>
      <w:r/>
    </w:p>
    <w:p>
      <w:pPr>
        <w:pStyle w:val="701"/>
        <w:ind w:firstLine="420"/>
        <w:spacing w:before="120" w:after="120" w:line="360" w:lineRule="auto"/>
        <w:rPr>
          <w:rFonts w:hint="eastAsia" w:hAnsi="宋体" w:cs="宋体"/>
          <w:color w:val="auto"/>
          <w:sz w:val="21"/>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cs="宋体"/>
          <w:color w:val="auto"/>
          <w:sz w:val="21"/>
          <w:highlight w:val="none"/>
          <w:lang w:val="en-US" w:eastAsia="zh-CN"/>
        </w:rPr>
        <w:t xml:space="preserve">日期：</w:t>
      </w:r>
      <w:r/>
    </w:p>
    <w:p>
      <w:pPr>
        <w:pStyle w:val="681"/>
        <w:rPr>
          <w:rFonts w:hint="eastAsia" w:ascii="宋体" w:hAnsi="宋体" w:cs="宋体"/>
          <w:color w:val="auto"/>
          <w:highlight w:val="none"/>
        </w:rPr>
      </w:pPr>
      <w:r/>
      <w:bookmarkStart w:id="59" w:name="_Toc3819"/>
      <w:r>
        <w:rPr>
          <w:rFonts w:hint="eastAsia" w:ascii="宋体" w:hAnsi="宋体" w:cs="宋体"/>
          <w:color w:val="auto"/>
          <w:highlight w:val="none"/>
        </w:rPr>
        <w:t xml:space="preserve">第四章 项目需求</w:t>
      </w:r>
      <w:bookmarkEnd w:id="58"/>
      <w:r/>
      <w:bookmarkEnd w:id="59"/>
      <w:r/>
      <w:r/>
    </w:p>
    <w:p>
      <w:pPr>
        <w:ind w:firstLine="422"/>
        <w:spacing w:line="360" w:lineRule="auto"/>
        <w:rPr>
          <w:rFonts w:hint="eastAsia" w:ascii="宋体" w:hAnsi="宋体" w:cs="宋体"/>
          <w:b/>
          <w:bCs/>
          <w:color w:val="auto"/>
          <w:highlight w:val="none"/>
        </w:rPr>
      </w:pPr>
      <w:r/>
      <w:bookmarkStart w:id="60" w:name="_Toc319408306"/>
      <w:r>
        <w:rPr>
          <w:rFonts w:hint="eastAsia" w:ascii="宋体" w:hAnsi="宋体" w:cs="宋体"/>
          <w:b/>
          <w:bCs/>
          <w:color w:val="auto"/>
          <w:highlight w:val="none"/>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项目属性:货物类项目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本项目所属行业：工业</w:t>
      </w:r>
      <w:r/>
    </w:p>
    <w:p>
      <w:pPr>
        <w:pStyle w:val="697"/>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核心产品：</w:t>
      </w:r>
      <w:r/>
    </w:p>
    <w:tbl>
      <w:tblPr>
        <w:tblStyle w:val="69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423"/>
      </w:tblGrid>
      <w:tr>
        <w:trPr/>
        <w:tc>
          <w:tcPr>
            <w:tcW w:w="12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W w:w="342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核心产品</w:t>
            </w:r>
            <w:r/>
          </w:p>
        </w:tc>
      </w:tr>
      <w:tr>
        <w:trPr>
          <w:trHeight w:val="553"/>
        </w:trPr>
        <w:tc>
          <w:tcPr>
            <w:tcW w:w="12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23" w:type="dxa"/>
            <w:vAlign w:val="center"/>
            <w:textDirection w:val="lrTb"/>
            <w:noWrap w:val="false"/>
          </w:tcPr>
          <w:p>
            <w:pPr>
              <w:jc w:val="center"/>
              <w:spacing w:line="360" w:lineRule="auto"/>
              <w:rPr>
                <w:rFonts w:hint="eastAsia" w:ascii="宋体" w:hAnsi="宋体" w:cs="宋体"/>
                <w:color w:val="auto"/>
                <w:szCs w:val="21"/>
                <w:highlight w:val="none"/>
              </w:rPr>
            </w:pPr>
            <w:r/>
            <w:bookmarkStart w:id="61" w:name="OLE_LINK4"/>
            <w:r>
              <w:rPr>
                <w:rFonts w:ascii="宋体" w:hAnsi="宋体" w:cs="宋体"/>
                <w:color w:val="auto"/>
                <w:szCs w:val="21"/>
                <w:highlight w:val="none"/>
              </w:rPr>
              <w:t xml:space="preserve">双螺杆挤出机</w:t>
            </w:r>
            <w:bookmarkEnd w:id="61"/>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进口产品投标：</w:t>
      </w:r>
      <w:r/>
    </w:p>
    <w:tbl>
      <w:tblPr>
        <w:tblStyle w:val="691"/>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3411"/>
      </w:tblGrid>
      <w:tr>
        <w:trPr/>
        <w:tc>
          <w:tcPr>
            <w:tcW w:w="12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W w:w="341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是否接受进口产品投标</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w:t>
            </w:r>
            <w:r/>
          </w:p>
        </w:tc>
      </w:tr>
      <w:tr>
        <w:trPr>
          <w:trHeight w:val="610"/>
        </w:trPr>
        <w:tc>
          <w:tcPr>
            <w:tcW w:w="12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1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bl>
    <w:p>
      <w:pPr>
        <w:ind w:firstLine="422"/>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一、政府采购中实施本国产品标准及相关政策</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1.本项目对采购本国产品给予政策支持，具体内容见招标文件“第五章 评标方法与评标标准”。</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rPr>
          <w:rFonts w:hint="eastAsia" w:ascii="宋体" w:hAnsi="宋体" w:cs="宋体"/>
          <w:b/>
          <w:bCs/>
          <w:color w:val="auto"/>
          <w:highlight w:val="none"/>
        </w:rPr>
        <w:outlineLvl w:val="1"/>
      </w:pPr>
      <w:r/>
      <w:bookmarkStart w:id="62" w:name="_Toc156293246"/>
      <w:r>
        <w:rPr>
          <w:rFonts w:hint="eastAsia" w:ascii="宋体" w:hAnsi="宋体" w:cs="宋体"/>
          <w:b/>
          <w:bCs/>
          <w:color w:val="auto"/>
          <w:highlight w:val="none"/>
        </w:rPr>
        <w:t xml:space="preserve">二、</w:t>
      </w:r>
      <w:bookmarkStart w:id="63" w:name="_Hlk205296615"/>
      <w:r>
        <w:rPr>
          <w:rFonts w:hint="eastAsia" w:ascii="宋体" w:hAnsi="宋体" w:cs="宋体"/>
          <w:b/>
          <w:bCs/>
          <w:color w:val="auto"/>
          <w:highlight w:val="none"/>
        </w:rPr>
        <w:t xml:space="preserve">采购清单</w:t>
      </w:r>
      <w:bookmarkEnd w:id="62"/>
      <w:r/>
      <w:bookmarkEnd w:id="63"/>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4380"/>
        <w:gridCol w:w="996"/>
        <w:gridCol w:w="908"/>
        <w:gridCol w:w="1023"/>
      </w:tblGrid>
      <w:tr>
        <w:trPr>
          <w:jc w:val="center"/>
        </w:trPr>
        <w:tc>
          <w:tcPr>
            <w:tcW w:w="793" w:type="dxa"/>
            <w:vAlign w:val="center"/>
            <w:textDirection w:val="lrTb"/>
            <w:noWrap/>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序号</w:t>
            </w:r>
            <w:r/>
          </w:p>
        </w:tc>
        <w:tc>
          <w:tcPr>
            <w:tcW w:w="4380" w:type="dxa"/>
            <w:vAlign w:val="center"/>
            <w:textDirection w:val="lrTb"/>
            <w:noWrap/>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标的名称</w:t>
            </w:r>
            <w:r/>
          </w:p>
        </w:tc>
        <w:tc>
          <w:tcPr>
            <w:tcW w:w="996" w:type="dxa"/>
            <w:vAlign w:val="center"/>
            <w:textDirection w:val="lrTb"/>
            <w:noWrap/>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数量</w:t>
            </w:r>
            <w:r/>
          </w:p>
        </w:tc>
        <w:tc>
          <w:tcPr>
            <w:tcW w:w="908" w:type="dxa"/>
            <w:vAlign w:val="center"/>
            <w:textDirection w:val="lrTb"/>
            <w:noWrap/>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单位</w:t>
            </w:r>
            <w:r/>
          </w:p>
        </w:tc>
        <w:tc>
          <w:tcPr>
            <w:tcW w:w="1023" w:type="dxa"/>
            <w:vAlign w:val="center"/>
            <w:textDirection w:val="lrTb"/>
            <w:noWrap/>
          </w:tcPr>
          <w:p>
            <w:pPr>
              <w:jc w:val="center"/>
              <w:widowControl/>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备注</w:t>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双螺杆挤出机</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2个头配方自动称量系统</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实验室粉碎机</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实训桌椅（水电）</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工具柜</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通风设备</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堆叠凳</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8</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AGV小车</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小型液压注塑机</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大注塑机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配机械手</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移动式摇臂起重机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冷水机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空压机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简支梁冲击试验机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悬臂梁冲击试验机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熔体流动速率仪</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马弗炉</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低温脆性冲击试验机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全自动缺口制样机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热变形维卡软化点测定仪</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2</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水分仪</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3</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密度计</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4</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开炼机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5</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密炼机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6</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平板硫化机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7</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万能试验机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rPr>
                <w:rFonts w:ascii="宋体" w:hAnsi="宋体" w:cs="宋体"/>
                <w:color w:val="auto"/>
                <w:szCs w:val="21"/>
                <w:highlight w:val="none"/>
                <w:lang w:bidi="ar"/>
              </w:rPr>
              <w:t xml:space="preserve">8</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置物桌</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张</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ascii="宋体" w:hAnsi="宋体" w:cs="宋体"/>
                <w:color w:val="auto"/>
                <w:szCs w:val="21"/>
                <w:highlight w:val="none"/>
                <w:lang w:bidi="ar"/>
              </w:rPr>
              <w:t xml:space="preserve">29</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负压干燥机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0</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注拉吹一体成型机</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1</w:t>
            </w:r>
            <w:r/>
          </w:p>
        </w:tc>
        <w:tc>
          <w:tcPr>
            <w:tcW w:w="438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注吹拉配套设备</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2</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喷丝试验机(FDY)</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3</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烘箱（实验室用）</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4</w:t>
            </w:r>
            <w:r/>
          </w:p>
        </w:tc>
        <w:tc>
          <w:tcPr>
            <w:tcW w:w="4380" w:type="dxa"/>
            <w:vAlign w:val="center"/>
            <w:textDirection w:val="lrTb"/>
            <w:noWrap w:val="false"/>
          </w:tcPr>
          <w:p>
            <w:pPr>
              <w:jc w:val="center"/>
              <w:widowControl/>
              <w:rPr>
                <w:rFonts w:hint="eastAsia" w:ascii="宋体" w:hAnsi="宋体" w:cs="宋体"/>
                <w:color w:val="auto"/>
                <w:szCs w:val="21"/>
                <w:highlight w:val="none"/>
              </w:rPr>
            </w:pPr>
            <w:r/>
            <w:bookmarkStart w:id="64" w:name="OLE_LINK3"/>
            <w:r>
              <w:rPr>
                <w:rFonts w:hint="eastAsia" w:ascii="宋体" w:hAnsi="宋体" w:cs="宋体"/>
                <w:color w:val="auto"/>
                <w:szCs w:val="21"/>
                <w:highlight w:val="none"/>
                <w:lang w:bidi="ar"/>
              </w:rPr>
              <w:t xml:space="preserve">流延膜一体机</w:t>
            </w:r>
            <w:bookmarkEnd w:id="64"/>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5</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高分子实验室制造执行智能系统（MES系统）</w:t>
            </w:r>
            <w:r/>
          </w:p>
        </w:tc>
        <w:tc>
          <w:tcPr>
            <w:tcW w:w="99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6</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高分子实验室数字孪生监控系统</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9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rPr>
                <w:rFonts w:ascii="宋体" w:hAnsi="宋体" w:cs="宋体"/>
                <w:color w:val="auto"/>
                <w:szCs w:val="21"/>
                <w:highlight w:val="none"/>
                <w:lang w:bidi="ar"/>
              </w:rPr>
              <w:t xml:space="preserve">7</w:t>
            </w:r>
            <w:r/>
          </w:p>
        </w:tc>
        <w:tc>
          <w:tcPr>
            <w:tcW w:w="438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智能安全行为监控系统</w:t>
            </w:r>
            <w:r/>
          </w:p>
        </w:tc>
        <w:tc>
          <w:tcPr>
            <w:tcW w:w="9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W w:w="908"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023"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0"/>
        <w:ind w:firstLine="422"/>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三、技术参数及要求（以下1.1~37.7项技术参数，技术参数后有要求的，按要求提供相关证明材料；无要求的，仅需在技术要求响应及偏离表中如实填写。）</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一、双螺杆挤出机</w:t>
      </w:r>
      <w:r/>
    </w:p>
    <w:p>
      <w:pPr>
        <w:ind w:firstLine="420"/>
        <w:spacing w:line="360" w:lineRule="auto"/>
        <w:tabs>
          <w:tab w:val="left" w:pos="93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功能：用于PE、PP、色母粒等塑料的混炼、造粒，产出圆柱形粒子。</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 生产能力：≥5 kg/hr</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 螺杆组合：积木式设计，可更换，支持不同工艺组合。</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 机筒结构：积木式，可独立加热冷却，带不锈钢防护罩</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切粒机头：可快速打开，带熔体压力传感器（超压报警）</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 电气安全：具备过电流、欠压、缺相、过热、堵转保护</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1.6 人机界面：PLC人机界面（彩色触摸屏）</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1.7 数据通讯：具备以太网通讯接口，支持Modbus TCP/IP 及 OPC UA 协议，开放所有过程数据变量（温度、压力、速度、位置等）供第三方MES系统采集；</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1.8材质要求：与物料接触部分均为304不锈钢或更高耐腐蚀材料。</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1.9 螺杆直径：≥22 mm</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1.10 中心距：≥18.4 mm</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1.11 长径比（L/D）：≥42:1</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1.12 螺杆最高转速：≥600 rpm</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1.13 主电机功率：≥5.5 kW（交流电机）</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1.14 变频器：变频调速</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1.15 传动箱：高扭矩分配箱，齿轮精度≥6级</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1.16 螺杆材质：W6Mo5Cr4V2高速工具钢或38CrMoAlA氮化钢或同等性能材质，硬度HRC57-60 及以上</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1.17 机筒材质：45合金钢内嵌Ni-Cr合金衬套 或 38CrMoAlA氮化钢或同等性能材质</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1.18 类型：体积式双螺杆主喂料机</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1.19 驱动电机功率≥0.37 kW</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1.20 冷却水槽长度≥1500 mm，304不锈钢或同等性能材质</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1.21 吹干机功率≥0.55 kW</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1.22 切粒机功率≥0.75 kW，变频调速</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1.23 切粒机类型：直连龙门式，快速打开设计</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1.24 最大切粒条数≥6根</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1.25 刀具材质：硬质合金钢或同等性能材质</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1.26 真空泵功率≥0.37 kW</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1.27 最大真空度≤ -0.095 MPa</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1.28 配置：水环式真空泵+冷凝罐+排气室带视窗</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1.29 人机控制：PLC控制、支持以太网</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1.30 触摸屏：≥9英寸，图形界面</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1.31 温控器：PID双通道</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1.32 联锁保护：主机与喂料机、润滑油泵、电机风机、熔体压力联动</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1.33 加热总功率≥11 kW</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1.34 冷却方式：软水循环冷却，各段独立温控</w:t>
      </w:r>
      <w:r/>
    </w:p>
    <w:p>
      <w:pPr>
        <w:ind w:firstLine="420"/>
        <w:spacing w:line="360" w:lineRule="auto"/>
        <w:tabs>
          <w:tab w:val="left" w:pos="93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1.35 冷却水泵功率≥0.55 kW</w:t>
      </w:r>
      <w:r/>
    </w:p>
    <w:p>
      <w:pPr>
        <w:ind w:firstLine="422"/>
        <w:spacing w:line="360" w:lineRule="auto"/>
        <w:tabs>
          <w:tab w:val="left" w:pos="930" w:leader="none"/>
        </w:tabs>
        <w:rPr>
          <w:rFonts w:hint="eastAsia" w:ascii="宋体" w:hAnsi="宋体" w:cs="宋体"/>
          <w:i/>
          <w:iCs/>
          <w:color w:val="auto"/>
          <w:szCs w:val="21"/>
          <w:highlight w:val="none"/>
          <w:u w:val="single"/>
        </w:rPr>
      </w:pPr>
      <w:r>
        <w:rPr>
          <w:rFonts w:hint="eastAsia" w:ascii="宋体" w:hAnsi="宋体" w:cs="宋体"/>
          <w:b/>
          <w:bCs/>
          <w:i/>
          <w:iCs/>
          <w:color w:val="auto"/>
          <w:szCs w:val="21"/>
          <w:highlight w:val="none"/>
          <w:u w:val="single"/>
        </w:rPr>
        <w:t xml:space="preserve">★1.36 投标人需提供此设备的实训指导书（包括但不限于设备的实训目的、实训原理、设备参数及使用说明书、安全操作规程、实训操作步骤、实训记录数据与报告内容）。</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二、2个头配方自动称量系统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功能：按照预设配方自动、精准地称量和配比多种原料，，从而保障高分子材料生产的稳定性、一致性和可追溯性。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组分数量：≥4组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 闸刀计量阀数量：≥2+1R</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 最大产量：≥100KG/HR</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 批次最大处理量：≥1KG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 压缩空气：≥5kgf/cm³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 称重斗容量：≥2L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 控制精度：原料配比≤5%时控制精度小于等于±0.1%，原料配比＞5%时控制精度小于等于±0.3%</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 校准功能：具备自动重复校准功能，每次称重后自动校准程序，保证最佳配料精度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 配方功能：具备配方自动存储功能，可存储≥100种以上配方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 数据功能：具备报警历史记录功能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结构设计：可拆卸式结构设计、方便清洁</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2.12 自动补偿：具有回收料自动补偿功能（回收料斗配备低料位开关），可根据回收料下料量的多少自动计算色差补偿</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三、实验室粉碎机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功能：将注塑、挤出实验产生的边角料或失败样品快速粉碎，重新用于挤出或注塑实验，模拟工业回收流程。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刀头材质：刀头采用高强度合金材质或同等性能材质。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 刀头数量：定刀数量≥4，动刀数量≥3.</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 粉碎能力：≥15~30KG/H.</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 出料细度：≤10mm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 安全联锁：须配备机械锁+电子锁双重保护，开盖即停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 </w:t>
      </w:r>
      <w:r>
        <w:rPr>
          <w:rFonts w:hint="eastAsia" w:ascii="宋体" w:hAnsi="宋体" w:cs="宋体"/>
          <w:color w:val="auto"/>
          <w:szCs w:val="21"/>
          <w:highlight w:val="none"/>
          <w:lang w:val="zh-CN"/>
        </w:rPr>
        <w:t xml:space="preserve">电机功率：</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2.2KW</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四、实训桌椅（水电）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4.1尺寸：≥L2400*W700*H850mm</w:t>
      </w:r>
      <w:r/>
    </w:p>
    <w:p>
      <w:pPr>
        <w:ind w:firstLine="422"/>
        <w:spacing w:line="360" w:lineRule="auto"/>
        <w:rPr>
          <w:rFonts w:hint="eastAsia" w:ascii="宋体" w:hAnsi="宋体" w:eastAsia="宋体" w:cs="宋体"/>
          <w:b/>
          <w:bCs/>
          <w:color w:val="auto"/>
          <w:szCs w:val="21"/>
          <w:highlight w:val="none"/>
          <w:lang w:eastAsia="zh-CN"/>
        </w:rPr>
      </w:pPr>
      <w:r/>
      <w:bookmarkStart w:id="65" w:name="OLE_LINK6"/>
      <w:r>
        <w:rPr>
          <w:rFonts w:hint="eastAsia" w:ascii="宋体" w:hAnsi="宋体" w:cs="宋体"/>
          <w:b/>
          <w:bCs/>
          <w:color w:val="auto"/>
          <w:szCs w:val="21"/>
          <w:highlight w:val="none"/>
        </w:rPr>
        <w:t xml:space="preserve">▲</w:t>
      </w:r>
      <w:bookmarkEnd w:id="65"/>
      <w:r/>
      <w:bookmarkStart w:id="66" w:name="OLE_LINK16"/>
      <w:r>
        <w:rPr>
          <w:rFonts w:hint="eastAsia" w:ascii="宋体" w:hAnsi="宋体" w:cs="宋体"/>
          <w:b/>
          <w:bCs/>
          <w:color w:val="auto"/>
          <w:szCs w:val="21"/>
          <w:highlight w:val="none"/>
        </w:rPr>
        <w:t xml:space="preserve">4.2</w:t>
      </w:r>
      <w:bookmarkEnd w:id="66"/>
      <w:r>
        <w:rPr>
          <w:rFonts w:hint="eastAsia" w:ascii="宋体" w:hAnsi="宋体" w:cs="宋体"/>
          <w:b/>
          <w:bCs/>
          <w:color w:val="auto"/>
          <w:szCs w:val="21"/>
          <w:highlight w:val="none"/>
        </w:rPr>
        <w:t xml:space="preserve"> 台面</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以下要求有一项不满足，此参数评分项不得分</w:t>
      </w:r>
      <w:r>
        <w:rPr>
          <w:rFonts w:hint="eastAsia" w:ascii="宋体" w:hAnsi="宋体" w:cs="宋体"/>
          <w:b/>
          <w:bCs/>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台面采用≥13mm厚实芯双面理化膜优抗板台面，用CNC机械加工而成。</w:t>
      </w:r>
      <w:r/>
    </w:p>
    <w:p>
      <w:pPr>
        <w:ind w:firstLine="420"/>
        <w:spacing w:line="360" w:lineRule="auto"/>
        <w:rPr>
          <w:rFonts w:hint="eastAsia" w:ascii="宋体" w:hAnsi="宋体" w:cs="宋体"/>
          <w:color w:val="auto"/>
          <w:szCs w:val="21"/>
          <w:highlight w:val="none"/>
        </w:rPr>
      </w:pPr>
      <w:r/>
      <w:bookmarkStart w:id="67" w:name="OLE_LINK17"/>
      <w:r>
        <w:rPr>
          <w:rFonts w:hint="eastAsia" w:ascii="宋体" w:hAnsi="宋体" w:cs="宋体"/>
          <w:color w:val="auto"/>
          <w:szCs w:val="21"/>
          <w:highlight w:val="none"/>
        </w:rPr>
        <w:t xml:space="preserve">台面</w:t>
      </w:r>
      <w:bookmarkEnd w:id="67"/>
      <w:r>
        <w:rPr>
          <w:rFonts w:hint="eastAsia" w:ascii="宋体" w:hAnsi="宋体" w:cs="宋体"/>
          <w:color w:val="auto"/>
          <w:szCs w:val="21"/>
          <w:highlight w:val="none"/>
        </w:rPr>
        <w:t xml:space="preserve">板材正反两面参照GB/T 17657-2022标准进行不少于140项化学试剂及有机溶液检测，硫酸（98%）、硫酸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77%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、氢氟酸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、硝酸（65%）、四氯化碳、氢氧化钠（40%）、乙基苯、饱和氯化锌等检验结果均为无明显变化，分级结果为“5级”。</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甲醛释放量按照GB/T39600-2021标准检测，检验结果为≤0.006mg/m³；燃烧性能项目检测符合GB 8624-2012标准，达到B1（C-s1,d0,t1）级，烟气毒性等级为ZA3级；检测依据GB/T 2408-2021标准水平燃烧符合HB级、垂直燃符合V-0级。</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按照 GB/T 17657-2022等标准</w:t>
      </w:r>
      <w:r>
        <w:rPr>
          <w:rFonts w:hint="eastAsia" w:ascii="宋体" w:hAnsi="宋体" w:cs="宋体"/>
          <w:color w:val="auto"/>
          <w:szCs w:val="21"/>
          <w:highlight w:val="none"/>
        </w:rPr>
        <w:t xml:space="preserve">进行不少于27项检测，结果为：密度≥1.44g/㎝³；24h吸水率≤0.2%；静曲强度大于138MPa；弹性模量≥9890MPa；顺纹抗压强度大于176MPa；耐沸水性能：质量增加百分率≤0.01%、厚度增加百分率≤0.06%，表面质量等级：5级：无变化，边缘质量等级：5级：无明显变化；漆膜硬度：≥9H；耐臭氧（72h）；外观无明显变化；表面耐磨性能：≥1550r，未出现磨损；尺寸稳定性检测结果：纵向≤0.04%、横向≤0.05%；漆膜附着力：六级：切割边缘完全平滑，网格内无脱落；负荷变形温度：＞200℃。</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抗霉性：长枝木霉、出芽短梗霉等7种霉抗霉性能为0级，抗菌性：大肠埃希氏菌、金黄色葡萄球菌、海氏肠球菌等不少于17种的菌种检测结果抗菌率≥99.99%。</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符合《建筑材料放射性核素限量》GB6566-2010检测标准，放射性内、外照射检测值≤0.1。</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台面参照GB/T16422.2-2022标准进行1450小时以上氙灯老化试验，检测结果为样品无变色、发粘、裂纹等异常。</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 桌体：采用1.0mm优质镀锌钢板，CO2保护焊焊接，打磨处理，表面经耐酸碱粉末经过喷塑后高温处理而成。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 滑轨：三节重型滚珠滑轨，承重性强，滑动性能良好，无噪音，开合十万次不变形。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 铰链：采用自动型110°大伸展角度，锌合金铰链，开合五万次不变形。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 拉手：采用C型不锈钢拉手，造型独特美观。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 脚垫：采用柜体内置可调ABS脚垫，保证桌面平整，防水防潮，延长设备使用寿命。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▲4.8、实验台技术性能需满足以下要求</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以下要求有一项不满足，此参数评分项不得分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外观：台面不应有裂缝、渗透现象，检测结果符合要求；台面不应有污物、杂质，检测结果符合要求；金属件外观：焊接处应无脱焊、虚焊、焊穿、错位，检测结果符合要求。</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理化性能：物理、化学实验台面耐高温，应无裂纹，检测结果符合要求。</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力学性能：力学性能：水平静载荷试验，加载600N，10次（最大平衡载荷100kg），检测结果符合要求；垂直加载稳定性试验，主台面加载1000N，检测结果符合要求；跌落试验，高150mm，10次，检测结果符合要求；水平耐久性试验，力300N，最大平衡载荷100kg，10000次，检测结果符合要求。</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耐腐蚀-中性盐雾：喷雾周期：50h，检测结果：镀（涂）层对基体的保护等级不小于 10 级；镀（涂）层本身的耐腐蚀等级不小于 10 级。</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4.8.5 抗拉强度Rm（N/mm²）：≥375；断后伸长率A（%）：≤40。</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抗菌性能：大肠杆菌，抑菌率&gt;99.9%；抗菌防霉性能：黑曲霉，防霉性能达到最高等级：0级。</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2"/>
        <w:spacing w:line="360" w:lineRule="auto"/>
        <w:rPr>
          <w:rFonts w:hint="eastAsia" w:ascii="宋体" w:hAnsi="宋体" w:cs="宋体"/>
          <w:b/>
          <w:bCs/>
          <w:color w:val="auto"/>
          <w:szCs w:val="21"/>
          <w:highlight w:val="none"/>
        </w:rPr>
      </w:pPr>
      <w:r/>
      <w:bookmarkStart w:id="68" w:name="OLE_LINK15"/>
      <w:r>
        <w:rPr>
          <w:rFonts w:hint="eastAsia" w:ascii="宋体" w:hAnsi="宋体" w:cs="宋体"/>
          <w:b/>
          <w:bCs/>
          <w:color w:val="auto"/>
          <w:szCs w:val="21"/>
          <w:highlight w:val="none"/>
        </w:rPr>
        <w:t xml:space="preserve">▲</w:t>
      </w:r>
      <w:bookmarkEnd w:id="68"/>
      <w:r>
        <w:rPr>
          <w:rFonts w:hint="eastAsia" w:ascii="宋体" w:hAnsi="宋体" w:cs="宋体"/>
          <w:b/>
          <w:bCs/>
          <w:color w:val="auto"/>
          <w:szCs w:val="21"/>
          <w:highlight w:val="none"/>
        </w:rPr>
        <w:t xml:space="preserve">4.9 PP水槽技术性能需满足以下要求</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以下要求有一项不满足，此参数评分项不得分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水盆底部的强度：检测结果合格。</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水盆的水漏：检测结果合格。</w:t>
      </w:r>
      <w:r>
        <w:rPr>
          <w:rFonts w:hint="eastAsia" w:ascii="宋体" w:hAnsi="宋体" w:cs="宋体"/>
          <w:b/>
          <w:bCs/>
          <w:color w:val="auto"/>
          <w:szCs w:val="21"/>
          <w:highlight w:val="none"/>
        </w:rPr>
        <w:t xml:space="preserve">（提供第三方检测机构出具的有CMA标志检测报告原件扫描上传，加盖投标人公章）</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4.10 水嘴</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鹅颈式实验室专用优质化验水嘴：要求防酸碱、防锈、防虹吸、防阻塞，表面环氧树脂喷涂。出水嘴为陶瓷阀芯，可90°旋转，高头便于多用途使用，可拆卸清洗阻塞。</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rPr>
        <w:t xml:space="preserve">4.11 </w:t>
      </w:r>
      <w:r>
        <w:rPr>
          <w:rFonts w:hint="eastAsia" w:ascii="宋体" w:hAnsi="宋体" w:cs="宋体"/>
          <w:color w:val="auto"/>
          <w:szCs w:val="21"/>
          <w:highlight w:val="none"/>
          <w:lang w:bidi="ar"/>
        </w:rPr>
        <w:t xml:space="preserve">斜面电源</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铝合金外壳，两侧塑料堵头，两个五孔10A插座模块，220V交流输出，插座带防尘盖。</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五、工具柜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5.1 柜体：全钢结构，上下双开门设计，采用≥1.0mm高强度镀锌钢板，切割折弯成型焊接打磨平整，表面经环氧树脂喷涂处理。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5.2 柜门：上门为钢制整板开孔门框，内嵌玻璃；下门组装式设计，保证单层钢板双面都喷涂处理，减少关门时产生的噪音。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5.3 拉手：采用不锈钢拉手。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5.4 隔板：采用≥1.0mm高强度镀锌钢板，一体成型，柜体内带调节孔，上下可以调节。</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六、通风设备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材质：采用铝合金材质或同等性能材质，表面环氧树脂粉末静电喷涂，经过氧化处理，具有耐腐蚀、耐酸碱效果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关节：高密度PP材质，可360°旋转调节方向，易拆卸、重组及清洗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 关节密封圈：不易老化之高密度橡胶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 关节连接杆：304不锈钢或同等性能材质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6.5 关节松紧旋钮：全铜材质，内嵌不锈钢轴承，与关节连接杆锁合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6.6 气流调节阀：手动调节外部阀门旋钮，控制进入之气流量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6.7 拱形/杯形集气罩：高密度PP/PC材质或同等性能材质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6.8 伸缩导管：≥75mm合金管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6.9 独有360°旋转装置：以固定架为中心最大活动半径可达1600mm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6.10 固定自作：非粘接而成，模具注塑一体成型，牢度高，不脱底。</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6.11 轴流风机：排出废气至室外，通风主管道采用优质国标PVC材料，根据实际通风需要设计规格，主管φ不低于160MM。</w:t>
      </w:r>
      <w:r/>
    </w:p>
    <w:p>
      <w:pPr>
        <w:ind w:firstLine="422"/>
        <w:spacing w:line="360" w:lineRule="auto"/>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 xml:space="preserve">▲6.12</w:t>
      </w:r>
      <w:r>
        <w:rPr>
          <w:rFonts w:ascii="宋体" w:hAnsi="宋体" w:cs="宋体"/>
          <w:b/>
          <w:bCs/>
          <w:color w:val="auto"/>
          <w:szCs w:val="21"/>
          <w:highlight w:val="none"/>
          <w:lang w:bidi="ar"/>
        </w:rPr>
        <w:t xml:space="preserve">每个吸风口需可移动伸缩（根据实际设备需求和现场情况提供通风风口布置设计平面图加盖投标人公章）</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七、堆叠凳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尺寸：≥48*50*80CM（长*宽*打开高度）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 性能要求：座椅可折叠，带靠背，采用高强度塑料材质，座椅最小称重不低于150KG</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八、AGV小车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旋转直径：≥780mm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举升高度：≥60mm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地盘离地间隙：≥30mm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8.4 举升台面尺寸：≥724*504mm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8.5 举升类型：电动举升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8.6 额定负载：≥30KG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8.7 额定运行速度：≥2M/S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8.8 导航方式：支持二维码、LSLAM、VSLAM等多种导航方式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8.9 交互方式：液晶控制屏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8.10 配件：包含充电桩及配套搬运货架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8.11 额定续航：≥6小时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8.12 系统支持：配套可永久免费使用的系统部署及调度平台</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九、小型液压注塑机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功能：标准测试样条制备、微量/贵重材料成型、工艺参数教学与研究、微型精密零件试制等功能。</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9.1、喂料方式：体积式喂料 ，手动调节</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、人机界面：PLC人机界面（彩色触摸屏）</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、通讯接口；具备以太网通讯接口，支持Modbus TCP/IP 及 OPC UA 协议，开放所有过程数据变量（温度、压力、速度、位置等）供第三方MES系统采集；</w:t>
      </w:r>
      <w:r/>
    </w:p>
    <w:p>
      <w:pPr>
        <w:pStyle w:val="790"/>
        <w:ind w:left="0"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、开合模：采用机械加电子双重保护装置，保障安全；</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lang w:bidi="ar"/>
        </w:rPr>
        <w:t xml:space="preserve">▲9.</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shd w:val="clear" w:color="auto" w:fill="ffffff"/>
        </w:rPr>
        <w:t xml:space="preserve">整机需要提供鉴定合格的第三方计量检定证书。</w:t>
      </w:r>
      <w:r>
        <w:rPr>
          <w:rFonts w:ascii="宋体" w:hAnsi="宋体" w:cs="宋体"/>
          <w:b/>
          <w:bCs/>
          <w:color w:val="auto"/>
          <w:szCs w:val="21"/>
          <w:highlight w:val="none"/>
          <w:shd w:val="clear" w:color="auto" w:fill="ffffff"/>
        </w:rPr>
        <w:t xml:space="preserve">（提供有效的第三方检测机构出具的计量检定证书原件扫描上传，加盖投标人公章）</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i/>
          <w:iCs/>
          <w:color w:val="auto"/>
          <w:szCs w:val="21"/>
          <w:highlight w:val="none"/>
          <w:u w:val="single"/>
        </w:rPr>
        <w:t xml:space="preserve">★9.</w:t>
      </w:r>
      <w:r>
        <w:rPr>
          <w:rFonts w:hint="eastAsia" w:ascii="宋体" w:hAnsi="宋体" w:cs="宋体"/>
          <w:b/>
          <w:bCs/>
          <w:i/>
          <w:iCs/>
          <w:color w:val="auto"/>
          <w:szCs w:val="21"/>
          <w:highlight w:val="none"/>
          <w:u w:val="single"/>
          <w:lang w:val="en-US" w:eastAsia="zh-CN"/>
        </w:rPr>
        <w:t xml:space="preserve">6</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、螺杆直径：≥20mm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、螺杆长径比：≥20:1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、注塑速率：≥0~53.3cm3/s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、分段注射：最大3段可设置/压力位置时间控制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、加料扭矩：≥215N.m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、射胶量范围：≥0-90mm可调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、射胶量解析度：≤0.1mm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、料斗容量：≥3L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、加料转速：1-≥136rpm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、定模圈外径：≥50mm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17</w:t>
      </w:r>
      <w:r>
        <w:rPr>
          <w:rFonts w:hint="eastAsia" w:ascii="宋体" w:hAnsi="宋体" w:cs="宋体"/>
          <w:color w:val="auto"/>
          <w:szCs w:val="21"/>
          <w:highlight w:val="none"/>
        </w:rPr>
        <w:t xml:space="preserve">、哥林柱间距：≥300*226mm（中心距）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、模具尺寸：≥280*90*72mm(长*宽*厚)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、最大开模行程：≥120mm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、注射压力：≥0~178Mpa可调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、锁模力：≥0~150kN可调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、顶出压力：≥0~8kN可调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、顶出行程：≥30mm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、背压：≥0.5-6Mpa可调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：内置配方：不小于12组（可保存可调用）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、料筒温度：一/二/三区，≥室温~360℃可调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、电源：三相五线AC 380v±10%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、适用材质：PP, PE, PA, ABS, PBT, PLA，PET，PGA等</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十、大注塑机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功能：复杂结构件与功能件试制、中试生产（小批量验证）、多组分/特殊工艺研究、教学与技能培训等功能。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锁模单元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10.1</w:t>
      </w:r>
      <w:r>
        <w:rPr>
          <w:rFonts w:hint="eastAsia" w:ascii="宋体" w:hAnsi="宋体" w:cs="宋体"/>
          <w:color w:val="auto"/>
          <w:szCs w:val="21"/>
          <w:highlight w:val="none"/>
        </w:rPr>
        <w:t xml:space="preserve">合模力：≥1600KN；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移模行程：≥480mm;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拉杆内间距：470*470mm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10.4 最大模厚：≥530mm；最小模厚：≤200mm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10.5 顶出行程：≥150mm;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10.6 顶出力：≥45KN;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10.7 顶出杆根数：不小于5根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10.8 模板开距：≤1010mm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10.9 最小模具尺寸：≤329*329mm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10.10 模板尺寸：≥700*700mm</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注射单元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 螺杆直径：≥45mm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 螺杆长径比：≥20.0L/D</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理论容量：≥329 cm³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 注射重量：≥300g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5 注射压力：≥185Mpa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6 对空注射速率：≥163g/s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7 螺杆转速：≥238rpm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8 最大注射速度：113mm/s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9 注射行程：≥207mm</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最大油泵压力：≥17.5Mpa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 料斗容积：≥50KG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 油箱容积：≥190L</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en-US" w:eastAsia="zh-CN"/>
        </w:rPr>
        <w:t xml:space="preserve">23</w:t>
      </w:r>
      <w:r>
        <w:rPr>
          <w:rFonts w:hint="eastAsia" w:ascii="宋体" w:hAnsi="宋体" w:cs="宋体"/>
          <w:b/>
          <w:bCs/>
          <w:color w:val="auto"/>
          <w:szCs w:val="21"/>
          <w:highlight w:val="none"/>
        </w:rPr>
        <w:t xml:space="preserve"> 产品能耗指标：根据GB/T 15320-2001《节能产品评价导则》，产品整机能效等级达到2级及以上；（提供第三方检测机构出具的有CMA标志检测报告原件扫描上传，加盖投标人公章）</w:t>
      </w:r>
      <w:r/>
    </w:p>
    <w:p>
      <w:pPr>
        <w:ind w:firstLine="422"/>
        <w:spacing w:line="360" w:lineRule="auto"/>
        <w:tabs>
          <w:tab w:val="left" w:pos="292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en-US" w:eastAsia="zh-CN"/>
        </w:rPr>
        <w:t xml:space="preserve">24</w:t>
      </w:r>
      <w:r>
        <w:rPr>
          <w:rFonts w:hint="eastAsia" w:ascii="宋体" w:hAnsi="宋体" w:cs="宋体"/>
          <w:b/>
          <w:bCs/>
          <w:color w:val="auto"/>
          <w:szCs w:val="21"/>
          <w:highlight w:val="none"/>
        </w:rPr>
        <w:t xml:space="preserve"> 注塑产品：投标人需提供</w:t>
      </w:r>
      <w:r>
        <w:rPr>
          <w:rFonts w:hint="eastAsia" w:ascii="宋体" w:hAnsi="宋体" w:cs="宋体"/>
          <w:b/>
          <w:bCs/>
          <w:color w:val="auto"/>
          <w:szCs w:val="21"/>
          <w:highlight w:val="none"/>
        </w:rPr>
        <w:t xml:space="preserve">符合扬州当地旅游文化定位的产品外观设计方案及3D模型（需明确体现扬州文旅元素，如地标建筑、非遗纹样等），并提供基于该外观方案的可量产注塑模具结构设计方案及</w:t>
      </w:r>
      <w:bookmarkStart w:id="69" w:name="OLE_LINK10"/>
      <w:r>
        <w:rPr>
          <w:rFonts w:hint="eastAsia" w:ascii="宋体" w:hAnsi="宋体" w:cs="宋体"/>
          <w:b/>
          <w:bCs/>
          <w:color w:val="auto"/>
          <w:szCs w:val="21"/>
          <w:highlight w:val="none"/>
        </w:rPr>
        <w:t xml:space="preserve">3D结构图</w:t>
      </w:r>
      <w:bookmarkEnd w:id="69"/>
      <w:r>
        <w:rPr>
          <w:rFonts w:hint="eastAsia" w:ascii="宋体" w:hAnsi="宋体" w:cs="宋体"/>
          <w:b/>
          <w:bCs/>
          <w:color w:val="auto"/>
          <w:szCs w:val="21"/>
          <w:highlight w:val="none"/>
        </w:rPr>
        <w:t xml:space="preserve">。</w:t>
      </w:r>
      <w:r>
        <w:rPr>
          <w:rFonts w:hint="eastAsia"/>
          <w:b/>
          <w:bCs/>
          <w:color w:val="auto"/>
          <w:highlight w:val="none"/>
        </w:rPr>
        <w:t xml:space="preserve">（提供设计方案及</w:t>
      </w:r>
      <w:r>
        <w:rPr>
          <w:rFonts w:hint="eastAsia" w:ascii="宋体" w:hAnsi="宋体" w:cs="宋体"/>
          <w:b/>
          <w:bCs/>
          <w:color w:val="auto"/>
          <w:szCs w:val="21"/>
          <w:highlight w:val="none"/>
        </w:rPr>
        <w:t xml:space="preserve">3D结构图</w:t>
      </w:r>
      <w:r>
        <w:rPr>
          <w:rFonts w:hint="eastAsia"/>
          <w:b/>
          <w:bCs/>
          <w:color w:val="auto"/>
          <w:highlight w:val="none"/>
        </w:rPr>
        <w:t xml:space="preserve">加盖投标人公章）</w:t>
      </w:r>
      <w:r/>
    </w:p>
    <w:p>
      <w:pPr>
        <w:ind w:firstLine="422"/>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★10.</w:t>
      </w:r>
      <w:r>
        <w:rPr>
          <w:rFonts w:hint="eastAsia" w:ascii="宋体" w:hAnsi="宋体" w:cs="宋体"/>
          <w:b/>
          <w:bCs/>
          <w:i/>
          <w:iCs/>
          <w:color w:val="auto"/>
          <w:szCs w:val="21"/>
          <w:highlight w:val="none"/>
          <w:u w:val="single"/>
          <w:lang w:val="en-US" w:eastAsia="zh-CN"/>
        </w:rPr>
        <w:t xml:space="preserve">25</w:t>
      </w:r>
      <w:r>
        <w:rPr>
          <w:rFonts w:hint="eastAsia" w:ascii="宋体" w:hAnsi="宋体" w:cs="宋体"/>
          <w:b/>
          <w:bCs/>
          <w:i/>
          <w:iCs/>
          <w:color w:val="auto"/>
          <w:szCs w:val="21"/>
          <w:highlight w:val="none"/>
          <w:u w:val="single"/>
        </w:rPr>
        <w:t xml:space="preserve"> 投标人需提供此设备的实训指导书（包括但不限于设备的实训目的、实训原理、设备参数及使用说明书、安全操作规程、实训操作步骤、实训记录数据与报告内容）。</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十一、配机械手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功能：在注塑机开模后，迅速进入模具区域，利用真空吸盘或气动夹爪将高温制品取出。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机械结构：五轴机械手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 手臂形式：双截（倍速式）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11.3 适用成型机负载：≥160T</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11.4 上下有效行程：≥900mm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11.5 前后最大行程：≥915mm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11.6 双臂前后有效行程：≥700mm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11.7 单臂前后有效行程：≥910mm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11.8 横行有效行程：≥1540mm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11.9 姿势角度：≥90°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11.10 最大荷重（含治具）：≥6KG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11.11 最小取出时间：1.5S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11.12 驱动方式：X、Y、Z轴伺服马达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11.13 手控器功能：交互触控屏控制，具有手动、停止、自动三个档位可以选择， 配置状态指示灯显示当前系统的状态， 配置急停开关， 可控制系统运行的启动、停止、找原点、复归功能、调节机器运行速度、控制对应的轴的运动，配置微动旋钮从而实现轴的微动功能。</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十二、移动式摇臂起重机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功能：重型模具的更换与维护、大型设备与原料的辅助搬运、局部工位吊装。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额定起重量：≥0.25 ~ 1.5T</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 悬臂长度（回转半径）：≥1.5m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 起升高度：≥1.5米 ~ 4米（可调）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 表面处理：采用静电喷塑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12.5 自锁与制动：电动葫芦需具备断电自锁功能；摇臂旋转需有摩擦片制动或机械限位。</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十三、冷水机</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13.1 结构参数：≥5HP</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13.2 制冷量≥15Kcal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13.3 制冷剂：R22</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十四、空压机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气罐容积≥90L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 转速≥1020rpm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14.3 排气量≥0.36m³/min</w:t>
      </w:r>
      <w:r/>
    </w:p>
    <w:p>
      <w:pPr>
        <w:pStyle w:val="790"/>
        <w:ind w:left="0"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十五、简支梁冲击试验机</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功能：材料韧性与脆性评价功能、配方与工艺优化验证、质量控制与进料检验、缺口敏感性分析</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15.1高精度智能控制器，并配备液晶显示器，能直观，准确的读取数据</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15.2采用进口高分辨率的数字编码器，角度测试精度更高更稳定</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15.3符合空气动力学原理的冲击锤和高品质滚珠轴承，减少机械带来的摩擦损</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15.4使用高强度摆杆，提高材料的刚性，将冲击质量最大集中在摆锤质心上，做到无震动冲击试验，增长使用寿命</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15.5自动计算最终结果，试验数据可保存不少于12组数据且求平均值</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15.6可连接微型打印机打印出测试数据</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15.7测试结果可选择 J/m,KJ/㎡，kg-cm/cm,ft-ib/in 等单位；</w:t>
      </w:r>
      <w:r/>
    </w:p>
    <w:p>
      <w:pPr>
        <w:ind w:firstLine="422"/>
        <w:spacing w:line="360" w:lineRule="auto"/>
        <w:rPr>
          <w:rFonts w:hint="eastAsia" w:ascii="宋体" w:hAnsi="宋体" w:cs="宋体"/>
          <w:i/>
          <w:iCs/>
          <w:color w:val="auto"/>
          <w:szCs w:val="21"/>
          <w:highlight w:val="none"/>
          <w:u w:val="single"/>
        </w:rPr>
      </w:pPr>
      <w:r>
        <w:rPr>
          <w:rFonts w:hint="eastAsia" w:ascii="宋体" w:hAnsi="宋体" w:cs="宋体"/>
          <w:b/>
          <w:bCs/>
          <w:i/>
          <w:iCs/>
          <w:color w:val="auto"/>
          <w:szCs w:val="21"/>
          <w:highlight w:val="none"/>
          <w:u w:val="single"/>
        </w:rPr>
        <w:t xml:space="preserve">★15.8 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15.9 摆锤能量：包含1J, 2J, 4J, 5J</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15.10 能量显示精度：0.01J</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15.11 摆锤预扬角：150°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15.12 冲击速度：2.9m/s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15.13 摆锤中心至试样中心距离：230mm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15.14 钳口支承间距：40mm,60mm（62mm）,70mm,95mm等间距可调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15.15 支承刀刃圆角半径：R=1mm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15.16 冲击刀刃夹角：30°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15.17 冲击刀刃圆角半径：R=2mm</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十六、悬臂梁冲击试验机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功能：测定材料的缺口敏感性（核心功能）、区分脆性与韧性断裂、质量控制与进料检验</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高精度智能控制器，并配备液晶显示器，能直观，准确的读取数据</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 采用进口高分辨率的数字编码器，角度测试精度更高更稳定</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16.3 符合空气动力学原理的冲击锤和高品质滚珠轴承，减少机械带来的摩擦损</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 使用高强度摆杆，提高材料的刚性，将冲击质量最大集中在摆锤质心上，做到无震动冲击试验，增长使用寿命</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16.5 自动计算最终结果，试验数据可保存不少于12组数据且求平均值</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16.6 可连接微型打印机打印出测试数据</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16.7 测试结果可选择 J/m,KJ/㎡，kg-cm/cm,ft-ib/in 等单位；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16.8 摆锤能量：包含2.75J, 5.5J</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16.9 摆锤预扬角：150゜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16.10 冲击速度：3.5m/s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16.11 摆锤中心至冲击刀刃距离：335mm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16.12 冲击刀刃至钳口上平面距离：22mm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16.13 冲击刀刃圆角半径：R=0.8mm</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十七、熔体流动速率仪</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功能：通过模拟聚合物加工过程中的受热和受压情况，测定材料在特定条件下的流动速率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高精度触摸屏彩色控制器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 内置微型打印机，可打印测试数据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 双温度控制系统，采用双加热圈，PT100铂或同等性能材质电阻传感器，上下段独立控温，提高测试精度以及温度的稳定度</w:t>
      </w:r>
      <w:r/>
    </w:p>
    <w:p>
      <w:pPr>
        <w:ind w:firstLine="422"/>
        <w:spacing w:line="360" w:lineRule="auto"/>
        <w:rPr>
          <w:rFonts w:hint="eastAsia" w:ascii="宋体" w:hAnsi="宋体" w:cs="宋体"/>
          <w:i/>
          <w:iCs/>
          <w:color w:val="auto"/>
          <w:szCs w:val="21"/>
          <w:highlight w:val="none"/>
        </w:rPr>
      </w:pPr>
      <w:r>
        <w:rPr>
          <w:rFonts w:hint="eastAsia" w:ascii="宋体" w:hAnsi="宋体" w:cs="宋体"/>
          <w:b/>
          <w:bCs/>
          <w:i/>
          <w:iCs/>
          <w:color w:val="auto"/>
          <w:szCs w:val="21"/>
          <w:highlight w:val="none"/>
          <w:u w:val="single"/>
        </w:rPr>
        <w:t xml:space="preserve">★17.4 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17.5 温度范围：室温-≥400℃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17.6 温度波动度：±0.2℃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17.7 温度均匀度：±1℃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17.8 测试范围：质量法：≥0.1-150g/10min；体积法：≥50-5000cm³/10min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17.9 温度显示分辨率：≥0.1℃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17.10 时间显示分辨率：0.1S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17.11 料筒直径：≥Φ2.095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17.12 出料口长度：≥8.000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17.13 装料筒直径：≥Φ9.550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17.14 砝码精度：±0.5%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17.15 输出方式：微型自动打印输出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17.16 试验负荷：8级砝码</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十八、马弗炉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 显示模式：液晶数字显示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炉膛尺寸：≥300×200×200mm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18.3 炉膛材质：采用陶瓷纤维耐高温材质或同等性能材质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 极限温度：≥1100℃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18.5 工作温度：不小于1000℃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18.6 升温速率：≥0-25℃/min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18.7 控制模式：智能PID</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18.8 采集精度：≤1℃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18.9 温度均匀性：±5%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18.10 温度波动：±1℃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18.11 测温元件：K型热电偶</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十九、低温脆性冲击试验机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 控温范围：-70℃~0℃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19.2 降温速度：大约2小时左右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19.3 使用环境在室温（23—25℃）下使用，工作时保持压缩机散温效果，可将侧门全部打开。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19.4 恒温后，试验3min时间内温度波动：≤±0.5℃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19.5 冷浴容积：≥200*140*100mm（长×高×宽）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19.6 冷却介质：乙醇或其他不冻液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19.7 冲击速度：冲击时试验速度应达到200cm/s±20cm/s，冲头行程至少达5.0mm</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二十、全自动缺口制样机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工作台行程：≥160mm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进刀速度：0-30mm/min可调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试样类型：1型、2型、3型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缺口类型：A型</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二十一、热变形维卡软化点测定仪</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功能：用于测定塑料、橡胶、尼龙及复合材料在受热和受力双重作用下的变形温度。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采用高频率、低功耗的微处理器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 采用高性能单片机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 具有大容量闪存、大容量SRAM、丰富的IO端口资源以及其他外设组件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 高度集成的测控系统，要求实时性好、速度快、稳定性高的特点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21.5 采用无误码数据的芯片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21.6 采用先进的PID控制算法，使控制平稳可靠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21.7 基于带CRC校验的主从通讯模式，数据安全可靠，并在</w:t>
      </w:r>
      <w:r>
        <w:rPr>
          <w:rFonts w:hint="eastAsia" w:ascii="宋体" w:hAnsi="宋体" w:cs="宋体"/>
          <w:color w:val="auto"/>
          <w:szCs w:val="21"/>
          <w:highlight w:val="none"/>
        </w:rPr>
        <w:t xml:space="preserve">试验过程中可时实监控试验温度和变形量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rPr>
        <w:t xml:space="preserve">8 试验结束时系统自动停止加热，并可打印试验报告和试验曲线。</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rPr>
        <w:t xml:space="preserve">21.</w:t>
      </w:r>
      <w:r>
        <w:rPr>
          <w:rFonts w:hint="eastAsia" w:ascii="宋体" w:hAnsi="宋体" w:cs="宋体"/>
          <w:b/>
          <w:bCs/>
          <w:color w:val="auto"/>
          <w:szCs w:val="21"/>
          <w:highlight w:val="none"/>
        </w:rPr>
        <w:t xml:space="preserve">9</w:t>
      </w:r>
      <w:r>
        <w:rPr>
          <w:rFonts w:ascii="宋体" w:hAnsi="宋体" w:cs="宋体"/>
          <w:b/>
          <w:bCs/>
          <w:color w:val="auto"/>
          <w:szCs w:val="21"/>
          <w:highlight w:val="none"/>
          <w:shd w:val="clear" w:color="auto" w:fill="ffffff"/>
        </w:rPr>
        <w:t xml:space="preserve">整机需要提供鉴定合格的第三方计量检定证书（提供有效的第三方检测机构出具的计量检定证书原件扫描上传，加盖投标人公章）</w:t>
      </w:r>
      <w:r/>
    </w:p>
    <w:p>
      <w:pPr>
        <w:ind w:firstLine="422"/>
        <w:spacing w:line="360" w:lineRule="auto"/>
        <w:rPr>
          <w:rFonts w:hint="eastAsia" w:ascii="宋体" w:hAnsi="宋体" w:cs="宋体"/>
          <w:b/>
          <w:bCs/>
          <w:i/>
          <w:iCs/>
          <w:color w:val="auto"/>
          <w:szCs w:val="21"/>
          <w:highlight w:val="none"/>
          <w:u w:val="single"/>
          <w:shd w:val="clear" w:color="auto" w:fill="ffffff"/>
        </w:rPr>
      </w:pPr>
      <w:r>
        <w:rPr>
          <w:rFonts w:hint="eastAsia" w:ascii="宋体" w:hAnsi="宋体" w:cs="宋体"/>
          <w:b/>
          <w:bCs/>
          <w:i/>
          <w:iCs/>
          <w:color w:val="auto"/>
          <w:szCs w:val="21"/>
          <w:highlight w:val="none"/>
          <w:u w:val="single"/>
        </w:rPr>
        <w:t xml:space="preserve">★21.10 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21.11 温度控制范围：环境温度—≥300℃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21.12 升温速率：包含(120±10)℃/h、(12±1)℃/6min、(50±5)℃/h、(5±0.5)℃/6min四种可调速率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21.13 温度示值误差：≤0.1℃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21.14 温度控制精度：≤±0.5℃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21.15 最大形变示值误差：≤±0.001mm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21.16 变形测量范围：≥0—2mm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21.17 试样架个数：≥3个</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21.18 负载杆及托盘质量：≥68g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21.19 试样支承跨距：≥64mm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21.20 油箱容积：≥25L左右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21.21 加热介质：甲基硅油或变压器油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21.22 冷却方式：150℃以上自然冷却，150℃以下水冷或自然冷却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21.23 配件：包含砝码1000g（12个）、20g（6个）、932g（3个）、10g（3个）、500g（3个）、5g（3个）、200g(6个)、2g（3个）、100g（3个）、1g（3个）、50g（3个）、68gLoad Rod负载杆（3个）</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二十二、水分仪</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采用测量精度高、使用寿命长久、性能稳定的精密称重传感器（镀金陶瓷、电磁力或同等性能材质）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防风罩设计，使得仪器称重系统更稳定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 环形卤素灯加热方式，为样品提供均匀的加热环境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22.4 先进湿度控制系统，避免游离水分造成干扰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22.5 设计优良稳定的温控加热系统，保证结果精准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22.6 实时曲线图显示，直观观察水分变化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22.7 数据显示丰富，可显示曲线图、时间、实时温度、水分、固含量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22.8 全自动测定，测定过程无需看管，测量完毕报警提醒；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22.9 加热腔采用纯不锈钢或同等性能材质腔罩，耐高温、便于清洁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22.10 配备RS232通讯接口，可以连接打印机和电脑等其它外围设备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22.11 称重范围：≥0.001~≥120g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22.12 测量精度（可读性）≤0.01%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22.13 测量范围：≥0.01%-100%水分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22.14 结果显示：可显示水分含量、固含量、百分比比值、实时温度、水分含量曲线图等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22.15 关机模式：可选择自动、定时、手动任意一种操作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22.16 调温范围：≥40-200℃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22.17 时间设定：1-99分钟(间隔1分钟)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22.18 加热源：环形卤素灯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22.19 秤盘尺寸：≥Φ102mm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22.20 校正砝码：≥100g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22.21 传感器：电磁力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22.22 加热功率：≥600W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22.23 传感器：电磁力传感器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22.24 显示器：LCD液晶显示器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22.25 通讯接口：热敏打印（直接打印出水分值  固含量）、标配RS232通讯接口，可连接打印机、PC和其他外围设备</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二十三、密度计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 采用一体注塑成型测量架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 采用一体注塑成型透明水槽，组装方便，耐磨耐摔，防腐蚀，可清楚观察样品在介质中情况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水中吊线采用不锈钢或同等性能材质材料，不弯不变形、与吊栏垂直，不碰触水槽，保证测量精确性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称重范围：≥0.005~300g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23.5 密度精度：≤0.001g/cm3</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23.6 密度范围：≥0.001~99.999g/cm3</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23.7 测量种类：包含固体、颗粒、块状、浮体等种类形式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23.8 测量时间：约10秒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23.9 设定功能：可进行温度补偿设定、溶液补偿设定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23.10 测量功能：重量、密度、体积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23.11 水槽尺寸：≥165*115*85mm</w:t>
      </w:r>
      <w:r/>
    </w:p>
    <w:p>
      <w:pPr>
        <w:pStyle w:val="790"/>
        <w:ind w:left="0"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二十四、开炼机</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24.1、PLC人机界面（彩色触摸屏），一键式操作系统，操作简单，维护方便</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 数据通讯接口：具备以太网通讯接口，支持Modbus TCP/IP 及 OPC UA 协议；开放所有过程数据变量（温度、压力、速度、位置等）供第三方MES系统采集</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color w:val="auto"/>
          <w:szCs w:val="21"/>
          <w:highlight w:val="none"/>
        </w:rPr>
        <w:t xml:space="preserve">3 采用高硬度镀铬或同等性能材质辊筒，耐高温，导热快，防腐蚀</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color w:val="auto"/>
          <w:szCs w:val="21"/>
          <w:highlight w:val="none"/>
        </w:rPr>
        <w:t xml:space="preserve">4 滚筒表面处理工艺：粗加工、钻孔、预磨、热处理、精磨、电镀、研磨、抛光</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color w:val="auto"/>
          <w:szCs w:val="21"/>
          <w:highlight w:val="none"/>
        </w:rPr>
        <w:t xml:space="preserve">5 高性能发热棒，具备自动补偿以及</w:t>
      </w:r>
      <w:r>
        <w:rPr>
          <w:rFonts w:hint="eastAsia" w:ascii="宋体" w:hAnsi="宋体" w:cs="宋体"/>
          <w:color w:val="auto"/>
          <w:spacing w:val="-60"/>
          <w:szCs w:val="21"/>
          <w:highlight w:val="none"/>
        </w:rPr>
        <w:t xml:space="preserve"> </w:t>
      </w:r>
      <w:r>
        <w:rPr>
          <w:rFonts w:hint="eastAsia" w:ascii="宋体" w:hAnsi="宋体" w:cs="宋体"/>
          <w:color w:val="auto"/>
          <w:szCs w:val="21"/>
          <w:highlight w:val="none"/>
        </w:rPr>
        <w:t xml:space="preserve">PID</w:t>
      </w:r>
      <w:r>
        <w:rPr>
          <w:rFonts w:hint="eastAsia" w:ascii="宋体" w:hAnsi="宋体" w:cs="宋体"/>
          <w:color w:val="auto"/>
          <w:spacing w:val="-60"/>
          <w:szCs w:val="21"/>
          <w:highlight w:val="none"/>
        </w:rPr>
        <w:t xml:space="preserve"> </w:t>
      </w:r>
      <w:r>
        <w:rPr>
          <w:rFonts w:hint="eastAsia" w:ascii="宋体" w:hAnsi="宋体" w:cs="宋体"/>
          <w:color w:val="auto"/>
          <w:szCs w:val="21"/>
          <w:highlight w:val="none"/>
        </w:rPr>
        <w:t xml:space="preserve">自整定功能，确保温度均衡</w:t>
      </w:r>
      <w:r/>
    </w:p>
    <w:p>
      <w:pPr>
        <w:pStyle w:val="790"/>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color w:val="auto"/>
          <w:szCs w:val="21"/>
          <w:highlight w:val="none"/>
        </w:rPr>
        <w:t xml:space="preserve">6</w:t>
      </w:r>
      <w:r>
        <w:rPr>
          <w:rFonts w:hint="eastAsia" w:ascii="宋体" w:hAnsi="宋体" w:cs="宋体"/>
          <w:color w:val="auto"/>
          <w:sz w:val="18"/>
          <w:szCs w:val="18"/>
          <w:highlight w:val="none"/>
        </w:rPr>
        <w:t xml:space="preserve"> </w:t>
      </w:r>
      <w:r>
        <w:rPr>
          <w:rFonts w:hint="eastAsia" w:ascii="宋体" w:hAnsi="宋体" w:cs="宋体"/>
          <w:color w:val="auto"/>
          <w:szCs w:val="21"/>
          <w:highlight w:val="none"/>
        </w:rPr>
        <w:t xml:space="preserve">完善的紧急停车设置：箱体前安装安全反转门装置；在辊筒上方加装安全拉杆；可在操作台任意位置加装安全急停装置；能最大限度保证人员以及设备的安全使用</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lang w:bidi="ar"/>
        </w:rPr>
        <w:t xml:space="preserve">▲</w:t>
      </w:r>
      <w:r>
        <w:rPr>
          <w:rFonts w:hint="eastAsia" w:ascii="宋体" w:hAnsi="宋体" w:cs="宋体"/>
          <w:color w:val="auto"/>
          <w:szCs w:val="21"/>
          <w:highlight w:val="none"/>
        </w:rPr>
        <w:t xml:space="preserve">24.</w:t>
      </w:r>
      <w:r>
        <w:rPr>
          <w:rFonts w:hint="eastAsia" w:ascii="宋体" w:hAnsi="宋体" w:cs="宋体"/>
          <w:b/>
          <w:bCs/>
          <w:color w:val="auto"/>
          <w:szCs w:val="21"/>
          <w:highlight w:val="none"/>
          <w:lang w:bidi="ar"/>
        </w:rPr>
        <w:t xml:space="preserve">7</w:t>
      </w:r>
      <w:r>
        <w:rPr>
          <w:rFonts w:hint="eastAsia" w:ascii="宋体" w:hAnsi="宋体" w:cs="宋体"/>
          <w:b/>
          <w:bCs/>
          <w:color w:val="auto"/>
          <w:szCs w:val="21"/>
          <w:highlight w:val="none"/>
        </w:rPr>
        <w:t xml:space="preserve">、</w:t>
      </w:r>
      <w:r>
        <w:rPr>
          <w:rFonts w:ascii="宋体" w:hAnsi="宋体" w:cs="宋体"/>
          <w:b/>
          <w:bCs/>
          <w:color w:val="auto"/>
          <w:szCs w:val="21"/>
          <w:highlight w:val="none"/>
          <w:shd w:val="clear" w:color="auto" w:fill="ffffff"/>
        </w:rPr>
        <w:t xml:space="preserve">整机需要提供鉴定合格的第三方计量检定证书（提供有效的第三方检测机构出具的计量检定证书原件扫描上传，加盖投标人公章）</w:t>
      </w:r>
      <w:r/>
    </w:p>
    <w:p>
      <w:pPr>
        <w:ind w:firstLine="422"/>
        <w:spacing w:line="360" w:lineRule="auto"/>
        <w:rPr>
          <w:rFonts w:hint="eastAsia" w:ascii="宋体" w:hAnsi="宋体" w:cs="宋体"/>
          <w:b/>
          <w:bCs/>
          <w:i/>
          <w:iCs/>
          <w:color w:val="auto"/>
          <w:szCs w:val="21"/>
          <w:highlight w:val="none"/>
          <w:u w:val="single"/>
          <w:shd w:val="clear" w:color="auto" w:fill="ffffff"/>
        </w:rPr>
      </w:pPr>
      <w:r>
        <w:rPr>
          <w:rFonts w:hint="eastAsia" w:ascii="宋体" w:hAnsi="宋体" w:cs="宋体"/>
          <w:b/>
          <w:bCs/>
          <w:i/>
          <w:iCs/>
          <w:color w:val="auto"/>
          <w:szCs w:val="21"/>
          <w:highlight w:val="none"/>
          <w:u w:val="single"/>
        </w:rPr>
        <w:t xml:space="preserve">★</w:t>
      </w:r>
      <w:r>
        <w:rPr>
          <w:rFonts w:hint="eastAsia" w:ascii="宋体" w:hAnsi="宋体" w:cs="宋体"/>
          <w:i/>
          <w:iCs/>
          <w:color w:val="auto"/>
          <w:szCs w:val="21"/>
          <w:highlight w:val="none"/>
          <w:u w:val="single"/>
        </w:rPr>
        <w:t xml:space="preserve">24.8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24.9 温度范围：≥RT～300℃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24.10 升温时间：≤常温~200℃约需25min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24.11 辊筒尺寸：≥Φ150×L320mm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24.12 有效使用长度：≥100~280mm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24.13 一次装料：≥80g~1kg</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24.14 控制方式：PLC控制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24.15 温度精度：±5℃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24.16 加热模式：电热管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24.17 冷却模式：自然冷却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24.18 转数比：≥1：1.27</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24.19 辊筒转速：≥0~35r/min可调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24.20 辊筒间距：≥0.05～8mm可调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24.21 辊筒材质：采用高硬度SKD铬钼合金或同等性能材质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24.22 安全保护：配置拉杆急停装置，膝顶安全门装置（膝盖触碰式前后门板急停并反转1/3圈，保障操作人员安全）、急停按钮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24.23 配件：割料刮刀和盛料盘各1只、油枪1只</w:t>
      </w:r>
      <w:r/>
    </w:p>
    <w:p>
      <w:pPr>
        <w:pStyle w:val="790"/>
        <w:ind w:left="0"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二十五、密炼机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 密炼室采用电加热，水冷却方式，加热升温快，控温精确，环保节能，低维修率，高生产率，分撒性能及稳定的混炼效果及佳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 清料：采用打开密炼室设计，抽屉式打开，物料下落式出料，清料无死角，零残留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 转子：采用可拆式，可以实现轻松拆卸，操作简单，维护方便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 密封：采用的是带自润滑的干式机械迫紧轴封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加热方式：采用的是镶嵌式发热管，发热效率高，温度控制稳定，升温快</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 密炼腔体材质：选用 S136或同等性能钢材，经抛光加硬处理，硬度不小于 HRC60℃-62℃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25.7 软件：可设置温度，时间，配方管理，并实时显示温度、时间、扭距关系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25.8 可连接USB，数据存储，打印，任意查找实时数据，自动生成excel文件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25.9 操作可分为自动、手动功能，手动状况下为一般普通混炼；自动混炼可最多分6段，设备自动启停，正转反转自由选择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25.10 混炼时间，停留时间自由设定，混炼完毕自动停机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 PLC人机界面（彩色触摸屏）一键式操作系统，操作简单，维护方便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 </w:t>
      </w:r>
      <w:r>
        <w:rPr>
          <w:rFonts w:hint="eastAsia" w:ascii="宋体" w:hAnsi="宋体" w:cs="宋体"/>
          <w:color w:val="auto"/>
          <w:szCs w:val="21"/>
          <w:highlight w:val="none"/>
        </w:rPr>
        <w:t xml:space="preserve">数据通讯接口：具备以太网通讯接口，支持Modbus TCP/IP 及 OPC UA 协议；开放所有过程数据变量（温度、压力、速度、位置等）供第三方MES系统采集</w:t>
      </w:r>
      <w:r/>
    </w:p>
    <w:p>
      <w:pPr>
        <w:ind w:firstLine="422"/>
        <w:spacing w:line="360" w:lineRule="auto"/>
        <w:rPr>
          <w:rFonts w:hint="eastAsia" w:ascii="宋体" w:hAnsi="宋体" w:cs="宋体"/>
          <w:i/>
          <w:iCs/>
          <w:color w:val="auto"/>
          <w:szCs w:val="21"/>
          <w:highlight w:val="none"/>
          <w:u w:val="single"/>
        </w:rPr>
      </w:pPr>
      <w:r>
        <w:rPr>
          <w:rFonts w:hint="eastAsia" w:ascii="宋体" w:hAnsi="宋体" w:cs="宋体"/>
          <w:b/>
          <w:bCs/>
          <w:i/>
          <w:iCs/>
          <w:color w:val="auto"/>
          <w:szCs w:val="21"/>
          <w:highlight w:val="none"/>
          <w:u w:val="single"/>
        </w:rPr>
        <w:t xml:space="preserve">★</w:t>
      </w:r>
      <w:r>
        <w:rPr>
          <w:rFonts w:hint="eastAsia" w:ascii="宋体" w:hAnsi="宋体" w:cs="宋体"/>
          <w:i/>
          <w:iCs/>
          <w:color w:val="auto"/>
          <w:szCs w:val="21"/>
          <w:highlight w:val="none"/>
          <w:u w:val="single"/>
        </w:rPr>
        <w:t xml:space="preserve">25.13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25.14 有效容量：≥1L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25.15 温度范围：≥RT~300℃（常温升至200℃约需25min）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25.16 加热方式：电加热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25.17 控制器：PLC可编程式彩色触摸屏，人机操作界面，包含手动、自动功能，可显示温度、转速、正转，反转等实时参数，具备配方管理功能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25.18 加热功率：≥3.2KW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25.19 转子速比：≥1：1.27</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25.20 转子转速：≥0-50 rpm变频器调速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25.21 密炼仓体：液压式开合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25.22 转子材质：S136电镀抛光或同等性能材质，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25.23 转子硬度：≥HRC58℃-62℃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25.24 转子类型：Banbury</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25.25 混炼室结构：M-W加压式与SKD11铬钼合金混合槽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25.26 上压砣：全压力气动，气源压力≥0.5～0.8Mpa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25.27 密封：轴密封，高温耐磨O型圈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25.28 冷却方式：自来水冷却</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二十六、平板硫化机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 配置PLC程式控制彩色触摸屏，人机界面操作系统，可设定压力、温度、时间和排气次数，硫化过程显示及监控，所设模压程式全自动完成。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原料放于铸模内，置于电热平板间，在额定温度下施加压力，使原料成型，以供试验，作为工厂大量生产配料的依据。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26.3 PLC款采用更精准的线性调压模块，使输出电压与控制电压（电流）成比例线性调节，升温过程不再有超温现象。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26.4 加热装置采用Y形结构（星形方式），加热过程通断维持供电方式，延长加热装置寿命以及提高精度。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26.5 </w:t>
      </w:r>
      <w:r>
        <w:rPr>
          <w:rFonts w:hint="eastAsia" w:ascii="宋体" w:hAnsi="宋体" w:cs="宋体"/>
          <w:color w:val="auto"/>
          <w:szCs w:val="21"/>
          <w:highlight w:val="none"/>
        </w:rPr>
        <w:t xml:space="preserve">数据通讯接口：具备以太网通讯接口，支持Modbus TCP/IP 及 OPC UA 协议；开放所有过程数据变量（温度、压力、速度、位置等）供第三方MES系统采集</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rPr>
        <w:t xml:space="preserve">26.</w:t>
      </w:r>
      <w:r>
        <w:rPr>
          <w:rFonts w:hint="eastAsia" w:ascii="宋体" w:hAnsi="宋体" w:cs="宋体"/>
          <w:b/>
          <w:bCs/>
          <w:color w:val="auto"/>
          <w:szCs w:val="21"/>
          <w:highlight w:val="none"/>
          <w:lang w:bidi="ar"/>
        </w:rPr>
        <w:t xml:space="preserve">6</w:t>
      </w:r>
      <w:r>
        <w:rPr>
          <w:rFonts w:hint="eastAsia" w:ascii="宋体" w:hAnsi="宋体" w:cs="宋体"/>
          <w:b/>
          <w:bCs/>
          <w:color w:val="auto"/>
          <w:szCs w:val="21"/>
          <w:highlight w:val="none"/>
        </w:rPr>
        <w:t xml:space="preserve"> </w:t>
      </w:r>
      <w:r>
        <w:rPr>
          <w:rFonts w:ascii="宋体" w:hAnsi="宋体" w:cs="宋体"/>
          <w:b/>
          <w:bCs/>
          <w:color w:val="auto"/>
          <w:szCs w:val="21"/>
          <w:highlight w:val="none"/>
          <w:shd w:val="clear" w:color="auto" w:fill="ffffff"/>
        </w:rPr>
        <w:t xml:space="preserve">整机需要提供鉴定合格的第三方计量检定证书（提供有效的第三方检测机构出具的计量检定证书原件扫描上传，加盖投标人公章）</w:t>
      </w:r>
      <w:r/>
    </w:p>
    <w:p>
      <w:pPr>
        <w:ind w:firstLine="422"/>
        <w:spacing w:line="360" w:lineRule="auto"/>
        <w:rPr>
          <w:rFonts w:hint="eastAsia" w:ascii="宋体" w:hAnsi="宋体" w:cs="宋体"/>
          <w:b/>
          <w:bCs/>
          <w:i/>
          <w:iCs/>
          <w:color w:val="auto"/>
          <w:szCs w:val="21"/>
          <w:highlight w:val="none"/>
          <w:u w:val="single"/>
          <w:shd w:val="clear" w:color="auto" w:fill="ffffff"/>
        </w:rPr>
      </w:pPr>
      <w:r>
        <w:rPr>
          <w:rFonts w:hint="eastAsia" w:ascii="宋体" w:hAnsi="宋体" w:cs="宋体"/>
          <w:b/>
          <w:bCs/>
          <w:i/>
          <w:iCs/>
          <w:color w:val="auto"/>
          <w:szCs w:val="21"/>
          <w:highlight w:val="none"/>
          <w:u w:val="single"/>
        </w:rPr>
        <w:t xml:space="preserve">★26.7</w:t>
      </w:r>
      <w:r>
        <w:rPr>
          <w:rFonts w:hint="eastAsia" w:ascii="宋体" w:hAnsi="宋体" w:cs="宋体"/>
          <w:i/>
          <w:iCs/>
          <w:color w:val="auto"/>
          <w:szCs w:val="21"/>
          <w:highlight w:val="none"/>
          <w:u w:val="single"/>
        </w:rPr>
        <w:t xml:space="preserve">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26.8 容量：≥30T</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26.9 压力控制范围：≥5~16.6Mpa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26.10 压力控制精度：≤±10%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温度范围：≥RT～300℃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26.12 控温精度：≤±2℃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控制方式：PLC控制，温度、时间均可在触控面板中设置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26.14 压力调节：压力表控制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26.15 工作空间：双空间，上空间加热，下空间冷却，每个空间各两块压板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26.16 开口距离：≥150mm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26.17 冷却方式：自来水冷却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26.18 压板尺寸：≥300*300mm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26.19 压板材质：合金钢（表面镀硬铬，精磨）或同等性能材质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26.20 隔热板：高品质隔热板或同等性能材质，耐温≥500℃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 活塞直径：≥Φ150mm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 最大活塞行程：≥150mm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26.23 排气次数：≥0～99次可设定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26.24 油压系统：闭环液压控制系统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26.25 油压介质：抗磨液压油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26.26 安全保护：配置安全可视门罩，打开立刻切断运行指令</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二十七、万能试验机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 适用对各种金属、非金属材料进行拉伸、压缩、弯曲、剪切、撕裂、剥离、穿刺等力学性能的</w:t>
      </w:r>
      <w:r>
        <w:rPr>
          <w:rFonts w:hint="eastAsia" w:ascii="宋体" w:hAnsi="宋体" w:cs="宋体"/>
          <w:color w:val="auto"/>
          <w:szCs w:val="21"/>
          <w:highlight w:val="none"/>
        </w:rPr>
        <w:t xml:space="preserve">测试，</w:t>
      </w:r>
      <w:r>
        <w:rPr>
          <w:rFonts w:hint="eastAsia" w:ascii="宋体" w:hAnsi="宋体" w:cs="宋体"/>
          <w:color w:val="auto"/>
          <w:szCs w:val="21"/>
          <w:highlight w:val="none"/>
        </w:rPr>
        <w:t xml:space="preserve">还可以进行等速加载、等速变形、等速位移的自动控制试验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具备低周载荷循环、变形循环、位移循环的功能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满足求取伸长率、拉伸强度、弯曲模量、弹性模量、屈服强度、净能量、折返能量、总能量、保持力试验等指标。</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rPr>
        <w:t xml:space="preserve">27.</w:t>
      </w:r>
      <w:r>
        <w:rPr>
          <w:rFonts w:hint="eastAsia" w:ascii="宋体" w:hAnsi="宋体" w:cs="宋体"/>
          <w:b/>
          <w:bCs/>
          <w:color w:val="auto"/>
          <w:szCs w:val="21"/>
          <w:highlight w:val="none"/>
          <w:lang w:bidi="ar"/>
        </w:rPr>
        <w:t xml:space="preserve">4</w:t>
      </w:r>
      <w:r>
        <w:rPr>
          <w:rFonts w:ascii="宋体" w:hAnsi="宋体" w:cs="宋体"/>
          <w:b/>
          <w:bCs/>
          <w:color w:val="auto"/>
          <w:szCs w:val="21"/>
          <w:highlight w:val="none"/>
          <w:shd w:val="clear" w:color="auto" w:fill="ffffff"/>
        </w:rPr>
        <w:t xml:space="preserve">整机需要提供鉴定合格的第三方计量检定证书（提供有效的第三方检测机构出具的计量检定证书原件扫描上传，加盖投标人公章）</w:t>
      </w:r>
      <w:r/>
    </w:p>
    <w:p>
      <w:pPr>
        <w:ind w:firstLine="422"/>
        <w:spacing w:line="360" w:lineRule="auto"/>
        <w:rPr>
          <w:rFonts w:hint="eastAsia" w:ascii="宋体" w:hAnsi="宋体" w:cs="宋体"/>
          <w:b/>
          <w:bCs/>
          <w:i/>
          <w:iCs/>
          <w:color w:val="auto"/>
          <w:szCs w:val="21"/>
          <w:highlight w:val="none"/>
          <w:u w:val="single"/>
          <w:shd w:val="clear" w:color="auto" w:fill="ffffff"/>
        </w:rPr>
      </w:pPr>
      <w:r>
        <w:rPr>
          <w:rFonts w:hint="eastAsia" w:ascii="宋体" w:hAnsi="宋体" w:cs="宋体"/>
          <w:b/>
          <w:bCs/>
          <w:i/>
          <w:iCs/>
          <w:color w:val="auto"/>
          <w:szCs w:val="21"/>
          <w:highlight w:val="none"/>
          <w:u w:val="single"/>
        </w:rPr>
        <w:t xml:space="preserve">★</w:t>
      </w:r>
      <w:r>
        <w:rPr>
          <w:rFonts w:hint="eastAsia" w:ascii="宋体" w:hAnsi="宋体" w:cs="宋体"/>
          <w:b/>
          <w:bCs/>
          <w:i/>
          <w:iCs/>
          <w:color w:val="auto"/>
          <w:szCs w:val="21"/>
          <w:highlight w:val="none"/>
          <w:u w:val="single"/>
        </w:rPr>
        <w:t xml:space="preserve">27.5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27.6 </w:t>
      </w:r>
      <w:r>
        <w:rPr>
          <w:rFonts w:hint="eastAsia" w:ascii="宋体" w:hAnsi="宋体" w:cs="宋体"/>
          <w:color w:val="auto"/>
          <w:szCs w:val="21"/>
          <w:highlight w:val="none"/>
        </w:rPr>
        <w:t xml:space="preserve">传感器量程：≥10KN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27.7 </w:t>
      </w:r>
      <w:r>
        <w:rPr>
          <w:rFonts w:hint="eastAsia" w:ascii="宋体" w:hAnsi="宋体" w:cs="宋体"/>
          <w:color w:val="auto"/>
          <w:szCs w:val="21"/>
          <w:highlight w:val="none"/>
        </w:rPr>
        <w:t xml:space="preserve">单位切换：满足Kg, lb, N, kN单位切换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27.8 </w:t>
      </w:r>
      <w:r>
        <w:rPr>
          <w:rFonts w:hint="eastAsia" w:ascii="宋体" w:hAnsi="宋体" w:cs="宋体"/>
          <w:color w:val="auto"/>
          <w:szCs w:val="21"/>
          <w:highlight w:val="none"/>
        </w:rPr>
        <w:t xml:space="preserve">精度等级：≥0.5级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27.9 </w:t>
      </w:r>
      <w:r>
        <w:rPr>
          <w:rFonts w:hint="eastAsia" w:ascii="宋体" w:hAnsi="宋体" w:cs="宋体"/>
          <w:color w:val="auto"/>
          <w:szCs w:val="21"/>
          <w:highlight w:val="none"/>
        </w:rPr>
        <w:t xml:space="preserve">荷重解析度：≤</w:t>
      </w:r>
      <w:r>
        <w:rPr>
          <w:rFonts w:hint="eastAsia" w:ascii="宋体" w:hAnsi="宋体" w:cs="宋体"/>
          <w:color w:val="auto"/>
          <w:szCs w:val="21"/>
          <w:highlight w:val="none"/>
        </w:rPr>
        <w:tab/>
      </w:r>
      <w:r>
        <w:rPr>
          <w:rFonts w:hint="eastAsia" w:ascii="宋体" w:hAnsi="宋体" w:cs="宋体"/>
          <w:color w:val="auto"/>
          <w:szCs w:val="21"/>
          <w:highlight w:val="none"/>
        </w:rPr>
        <w:t xml:space="preserve">1/500000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27.10 </w:t>
      </w:r>
      <w:r>
        <w:rPr>
          <w:rFonts w:hint="eastAsia" w:ascii="宋体" w:hAnsi="宋体" w:cs="宋体"/>
          <w:color w:val="auto"/>
          <w:szCs w:val="21"/>
          <w:highlight w:val="none"/>
        </w:rPr>
        <w:t xml:space="preserve">试验力测量范围：0.4%—100%FS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w:t>
      </w:r>
      <w:r>
        <w:rPr>
          <w:rFonts w:hint="eastAsia" w:ascii="宋体" w:hAnsi="宋体" w:cs="宋体"/>
          <w:color w:val="auto"/>
          <w:szCs w:val="21"/>
          <w:highlight w:val="none"/>
        </w:rPr>
        <w:t xml:space="preserve">变形测量范围：0.2%-100%FS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27.12 </w:t>
      </w:r>
      <w:r>
        <w:rPr>
          <w:rFonts w:hint="eastAsia" w:ascii="宋体" w:hAnsi="宋体" w:cs="宋体"/>
          <w:color w:val="auto"/>
          <w:szCs w:val="21"/>
          <w:highlight w:val="none"/>
        </w:rPr>
        <w:t xml:space="preserve">力控速率调节范围：0.01-5%FS/S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w:t>
      </w:r>
      <w:r>
        <w:rPr>
          <w:rFonts w:hint="eastAsia" w:ascii="宋体" w:hAnsi="宋体" w:cs="宋体"/>
          <w:color w:val="auto"/>
          <w:szCs w:val="21"/>
          <w:highlight w:val="none"/>
        </w:rPr>
        <w:t xml:space="preserve">力控速率相对误差：设定值的±1%以内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w:t>
      </w:r>
      <w:r>
        <w:rPr>
          <w:rFonts w:hint="eastAsia" w:ascii="宋体" w:hAnsi="宋体" w:cs="宋体"/>
          <w:color w:val="auto"/>
          <w:szCs w:val="21"/>
          <w:highlight w:val="none"/>
        </w:rPr>
        <w:t xml:space="preserve">变形速率调节范围：0.02—5%FS/S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rPr>
        <w:t xml:space="preserve">变形控制速率相对误差：设定值的±1%以内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w:t>
      </w:r>
      <w:r>
        <w:rPr>
          <w:rFonts w:hint="eastAsia" w:ascii="宋体" w:hAnsi="宋体" w:cs="宋体"/>
          <w:color w:val="auto"/>
          <w:szCs w:val="21"/>
          <w:highlight w:val="none"/>
        </w:rPr>
        <w:t xml:space="preserve">恒力、恒变形、恒位移控制范围：0.5%--100%FS</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27.17 </w:t>
      </w:r>
      <w:r>
        <w:rPr>
          <w:rFonts w:hint="eastAsia" w:ascii="宋体" w:hAnsi="宋体" w:cs="宋体"/>
          <w:color w:val="auto"/>
          <w:szCs w:val="21"/>
          <w:highlight w:val="none"/>
        </w:rPr>
        <w:t xml:space="preserve">最大行程（未减去夹具行程）：≥1000mm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w:t>
      </w:r>
      <w:r>
        <w:rPr>
          <w:rFonts w:hint="eastAsia" w:ascii="宋体" w:hAnsi="宋体" w:cs="宋体"/>
          <w:color w:val="auto"/>
          <w:szCs w:val="21"/>
          <w:highlight w:val="none"/>
        </w:rPr>
        <w:t xml:space="preserve">有效宽度：≥420mm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w:t>
      </w:r>
      <w:r>
        <w:rPr>
          <w:rFonts w:hint="eastAsia" w:ascii="宋体" w:hAnsi="宋体" w:cs="宋体"/>
          <w:color w:val="auto"/>
          <w:szCs w:val="21"/>
          <w:highlight w:val="none"/>
        </w:rPr>
        <w:t xml:space="preserve">测试速度：0.001~1000mm/min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27.20 </w:t>
      </w:r>
      <w:r>
        <w:rPr>
          <w:rFonts w:hint="eastAsia" w:ascii="宋体" w:hAnsi="宋体" w:cs="宋体"/>
          <w:color w:val="auto"/>
          <w:szCs w:val="21"/>
          <w:highlight w:val="none"/>
        </w:rPr>
        <w:t xml:space="preserve">速度精度：≤±0.3%</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w:t>
      </w:r>
      <w:r>
        <w:rPr>
          <w:rFonts w:hint="eastAsia" w:ascii="宋体" w:hAnsi="宋体" w:cs="宋体"/>
          <w:color w:val="auto"/>
          <w:szCs w:val="21"/>
          <w:highlight w:val="none"/>
        </w:rPr>
        <w:t xml:space="preserve">位移分解度：≤0.01mm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w:t>
      </w:r>
      <w:r>
        <w:rPr>
          <w:rFonts w:hint="eastAsia" w:ascii="宋体" w:hAnsi="宋体" w:cs="宋体"/>
          <w:color w:val="auto"/>
          <w:szCs w:val="21"/>
          <w:highlight w:val="none"/>
        </w:rPr>
        <w:t xml:space="preserve">控制方式：伺服控制</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二十八、置物桌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尺寸按照现场实际尺寸定制，采用环保板材，桌体结构稳固，可满足各类检测设备摆放的承重要求。</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二十九、负压干燥机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 温度采用模糊PID控制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 温度分辨率0.1/1C可切换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29.3 具有预约运行功能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 定时方式正计时/倒计时可切换，定时单位分钟/小时可切换，定时结束后有蜂鸣提示（提示时间可设置）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具备温度自整定功能，有两个区间PID控制，有3段温度斜率修正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具有手自动锁屏功能，可选择密码解锁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29.7 具有超温报警、超温断电功能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29.8 控温范围：≥RT+20～250℃范围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29.9 温度分辨率：≤0.1℃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29.10 温度波动度：±1℃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29.11 消耗功率：＜1400W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29.12 真空度：＜133Pa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29.13 真空表：机械指针式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29.14 配件：真空泵</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三十、注拉吹一体成型机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 </w:t>
      </w:r>
      <w:r>
        <w:rPr>
          <w:rFonts w:hint="eastAsia" w:ascii="宋体" w:hAnsi="宋体" w:cs="宋体"/>
          <w:color w:val="auto"/>
          <w:szCs w:val="21"/>
          <w:highlight w:val="none"/>
        </w:rPr>
        <w:t xml:space="preserve">设备机构：主体机架、设于主体机架上面一侧的注塑装置、固定于主题机架上面另一侧的机器工作工位、主体机架两侧为电箱体、主机架内为油箱和主体机架后方的主机马达构成，机器工作工位含： 第一注塑工位、第二调温工位、第三吹塑工位、第四顶出工位。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2 工位一：注塑瓶胚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原料：PET/PP/PC 等颗粒，除湿干燥（水分≤0.005%）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注塑：270–290℃熔融，注入芯棒与模腔，形成带精确螺纹的瓶胚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冷却：模内预冷至100–120℃（可吹温度），瓶口保持低温防变形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精度：壁厚公差 ±0.05mm，瓶口尺寸稳定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3 工位二：温度调控 / 预吹分区控温：瓶身加热（105–115℃）、瓶口冷却（≤50℃），内外均匀加热。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4 工位三：拉伸 + 吹塑成型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合模：瓶胚进入吹模，口部密封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轴向拉伸：拉伸杆伺服推进（速度≥ 0.5–1.2m/s范围），拉伸比 1.5–3.0×分子纵向定向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径向吹胀：预吹：0.8–1.2MPa，初步定型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高压吹：2.5–4.0MPa，贴紧模腔，复制表面与纹理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冷却：模内水冷 3–5 秒，定型、降低内应力。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5 工位四：自动取出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开模、顶出或吹气脱模，成品落入输送 / 检测线。</w:t>
      </w:r>
      <w:r/>
    </w:p>
    <w:p>
      <w:pPr>
        <w:ind w:firstLine="422"/>
        <w:spacing w:line="360" w:lineRule="auto"/>
        <w:rPr>
          <w:rFonts w:hint="eastAsia" w:ascii="宋体" w:hAnsi="宋体" w:cs="宋体"/>
          <w:i/>
          <w:iCs/>
          <w:color w:val="auto"/>
          <w:szCs w:val="21"/>
          <w:highlight w:val="none"/>
          <w:u w:val="single"/>
        </w:rPr>
      </w:pPr>
      <w:r>
        <w:rPr>
          <w:rFonts w:hint="eastAsia" w:ascii="宋体" w:hAnsi="宋体" w:cs="宋体"/>
          <w:b/>
          <w:bCs/>
          <w:i/>
          <w:iCs/>
          <w:color w:val="auto"/>
          <w:szCs w:val="21"/>
          <w:highlight w:val="none"/>
          <w:u w:val="single"/>
        </w:rPr>
        <w:t xml:space="preserve">★</w:t>
      </w:r>
      <w:r>
        <w:rPr>
          <w:rFonts w:hint="eastAsia" w:ascii="宋体" w:hAnsi="宋体" w:cs="宋体"/>
          <w:b/>
          <w:bCs/>
          <w:i/>
          <w:iCs/>
          <w:color w:val="auto"/>
          <w:szCs w:val="21"/>
          <w:highlight w:val="none"/>
          <w:u w:val="single"/>
        </w:rPr>
        <w:t xml:space="preserve">30.6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 注模高度：≥470mm，吹模高度：≥415mm，成型腔数：≥1～8腔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 注射系统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螺杆直径：≥40mm，最大理论注射容量：≥200 cm3，螺杆长径比：≥（L/D）24，螺杆转速：≥10～245 r/min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30.9 注塑工位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上模具合模力：≥135KN，上模具行程：≥240mm，下模具合模力：≥135KN，下模具行程：≥240mm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30.10 </w:t>
      </w:r>
      <w:r>
        <w:rPr>
          <w:rFonts w:hint="eastAsia" w:ascii="宋体" w:hAnsi="宋体" w:cs="宋体"/>
          <w:color w:val="auto"/>
          <w:szCs w:val="21"/>
          <w:highlight w:val="none"/>
        </w:rPr>
        <w:t xml:space="preserve">调温工位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热芯行程：≥270mm，热罐行程：≥170mm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30.11 </w:t>
      </w:r>
      <w:r>
        <w:rPr>
          <w:rFonts w:hint="eastAsia" w:ascii="宋体" w:hAnsi="宋体" w:cs="宋体"/>
          <w:color w:val="auto"/>
          <w:szCs w:val="21"/>
          <w:highlight w:val="none"/>
        </w:rPr>
        <w:t xml:space="preserve">吹塑拉伸工位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吹模合模力：≥100KN，吹模行程：≥130mm，拉伸力：≥1.9KN，拉伸行程：≥200mm，吹芯合模力：≥7.6KN，吹芯行程：≥250mm，底堵压力：≥22KN，底堵行程：≥10mm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30.12 </w:t>
      </w:r>
      <w:r>
        <w:rPr>
          <w:rFonts w:hint="eastAsia" w:ascii="宋体" w:hAnsi="宋体" w:cs="宋体"/>
          <w:color w:val="auto"/>
          <w:szCs w:val="21"/>
          <w:highlight w:val="none"/>
        </w:rPr>
        <w:t xml:space="preserve">脱模工位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脱模行程：≥125mm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30.13 </w:t>
      </w:r>
      <w:r>
        <w:rPr>
          <w:rFonts w:hint="eastAsia" w:ascii="宋体" w:hAnsi="宋体" w:cs="宋体"/>
          <w:color w:val="auto"/>
          <w:szCs w:val="21"/>
          <w:highlight w:val="none"/>
        </w:rPr>
        <w:t xml:space="preserve">液压系统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系统压力：≥16MPa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油箱容积：≥300L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30.14 </w:t>
      </w:r>
      <w:r>
        <w:rPr>
          <w:rFonts w:hint="eastAsia" w:ascii="宋体" w:hAnsi="宋体" w:cs="宋体"/>
          <w:color w:val="auto"/>
          <w:szCs w:val="21"/>
          <w:highlight w:val="none"/>
        </w:rPr>
        <w:t xml:space="preserve">气动装置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气缸驱动压力：≥0.9 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气缸驱动流量：≥0. 5m3/min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高压吹瓶压力：≥3.0MPa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高压吹瓶流量：≥0.5m3/min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30.15 </w:t>
      </w:r>
      <w:r>
        <w:rPr>
          <w:rFonts w:hint="eastAsia" w:ascii="宋体" w:hAnsi="宋体" w:cs="宋体"/>
          <w:color w:val="auto"/>
          <w:szCs w:val="21"/>
          <w:highlight w:val="none"/>
        </w:rPr>
        <w:t xml:space="preserve">电气系统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电机功率：≥15KW+11KW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伺服电机功率：≥1.5KW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加热功率：≥16KW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总功率：≥45KW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设备控温区：≥4</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模具控温区：≥8+12+4</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30.16 </w:t>
      </w:r>
      <w:r>
        <w:rPr>
          <w:rFonts w:hint="eastAsia" w:ascii="宋体" w:hAnsi="宋体" w:cs="宋体"/>
          <w:color w:val="auto"/>
          <w:szCs w:val="21"/>
          <w:highlight w:val="none"/>
        </w:rPr>
        <w:t xml:space="preserve">冷却系统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冷却水流量：≥4.0T/h</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冷却水压力：≥</w:t>
      </w:r>
      <w:r>
        <w:rPr>
          <w:rFonts w:hint="eastAsia" w:ascii="宋体" w:hAnsi="宋体" w:cs="宋体"/>
          <w:color w:val="auto"/>
          <w:szCs w:val="21"/>
          <w:highlight w:val="none"/>
        </w:rPr>
        <w:tab/>
      </w:r>
      <w:r>
        <w:rPr>
          <w:rFonts w:hint="eastAsia" w:ascii="宋体" w:hAnsi="宋体" w:cs="宋体"/>
          <w:color w:val="auto"/>
          <w:szCs w:val="21"/>
          <w:highlight w:val="none"/>
        </w:rPr>
        <w:t xml:space="preserve">0.3～0.5MPa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冷冻水流量：≥4.0T/h</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冷冻水压力：≥0.3～0.5MPa</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30.17 </w:t>
      </w:r>
      <w:r>
        <w:rPr>
          <w:rFonts w:hint="eastAsia" w:ascii="宋体" w:hAnsi="宋体" w:cs="宋体"/>
          <w:color w:val="auto"/>
          <w:szCs w:val="21"/>
          <w:highlight w:val="none"/>
        </w:rPr>
        <w:t xml:space="preserve">数据通讯接口：具备以太网通讯接口，支持Modbus TCP/IP 及 OPC UA 协议；开放所有过程数据变量（温度、压力、速度、位置等）供第三方MES系统采集</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三十一、注吹拉配套设备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 配套模具一套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热流道系统模具，采用优质材料,加工精度高。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注射芯棒：9Cr18或等同材质要求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注射腔：采用4Cr2NiMnMo、S136或2083材质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热槽热芯：采用合金材料或同等性能材质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吹塑型腔：铝制或同等性能材质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吹塑芯：9Cr18或同等性能材质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其他材料大多为3Cr13不锈钢材或同等性能材质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模温机（≥6KW)一套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 冷水机≥5HP一套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 空压机≥30KG、≥2cbm/min、≥4.0Mpa一套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31.5 配套运输带一台（尺寸与注吹拉设备配套）</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三十二、喷丝试验机(FDY)</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 设备包括单螺杆挤出机，纺丝计量泵系统，冷却单元，拉伸辊组，收丝装置和控制系统</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 单螺杆挤出机：螺杆直径：≤20mm；长径比：L/D=28/1；螺杆材质：42CrMo；表面粗糙度：≤0.8um；机筒内表面硬度 HRC65±2，内表面粗糙度≤0.8um；温度控制:精确温控范围常温~350℃；温控精度±1℃；机筒加热段≥3 段，功率≥1.2kW/段；机筒冷却段≥3 段，功率≥10W/段；机筒入料段为冷却水循环套结构，冷却水 2Kg/㎡；挤出机电机功率≥ 3KW</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 纺丝计量泵系统：排量：≤0.6CC，伺服电机，电机功率 ≥0.4kW，熔体泵转速：6-60rpm</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 成型单元：纺丝板孔直径：0.25mm，纺丝板孔长度：0.75mm，纺丝板孔入射角：90 度，纺丝板：12孔、24孔各一件</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 冷却单元：冷却方式：风冷；热甬道长度≥1m ；下方设置上油装置</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32.6 拉伸辊组：3组拉伸辊，辊直径≥ 100mm，辊面宽≥130mm，辊表面表面镀硬铬处理，牵伸辊温度范围为室温～200℃，辊筒驱动：电机功率 ≥0.75KW；最大牵伸速度≥ 900m/min</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32.7 收丝装置：单工位卷绕头，纸芯收卷；最大收卷速度不低于900m/min</w:t>
      </w:r>
      <w:r/>
    </w:p>
    <w:p>
      <w:pPr>
        <w:ind w:firstLine="422"/>
        <w:jc w:val="left"/>
        <w:spacing w:line="360" w:lineRule="auto"/>
        <w:tabs>
          <w:tab w:val="left" w:pos="68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32.</w:t>
      </w:r>
      <w:r>
        <w:rPr>
          <w:rFonts w:hint="eastAsia" w:ascii="宋体" w:hAnsi="宋体" w:cs="宋体"/>
          <w:b/>
          <w:bCs/>
          <w:color w:val="auto"/>
          <w:szCs w:val="21"/>
          <w:highlight w:val="none"/>
        </w:rPr>
        <w:t xml:space="preserve">8 控制系统：控制柜内置式：主操</w:t>
      </w:r>
      <w:r>
        <w:rPr>
          <w:rFonts w:hint="eastAsia" w:ascii="宋体" w:hAnsi="宋体" w:cs="宋体"/>
          <w:b/>
          <w:bCs/>
          <w:color w:val="auto"/>
          <w:szCs w:val="21"/>
          <w:highlight w:val="none"/>
        </w:rPr>
        <w:t xml:space="preserve">作显示屏触摸屏；可显示/设定：螺杆转速</w:t>
      </w:r>
      <w:r>
        <w:rPr>
          <w:rFonts w:hint="eastAsia" w:ascii="宋体" w:hAnsi="宋体" w:cs="宋体"/>
          <w:b/>
          <w:bCs/>
          <w:color w:val="auto"/>
          <w:szCs w:val="21"/>
          <w:highlight w:val="none"/>
        </w:rPr>
        <w:t xml:space="preserve">，各区温度，牵引/收卷速度，显示“机头料温—时间”曲线，“机头压力－时间”曲线、故障查询，配方保存功能。（投标人需要提供相应的操作界面截图</w:t>
      </w:r>
      <w:r>
        <w:rPr>
          <w:rFonts w:ascii="宋体" w:hAnsi="宋体" w:cs="宋体"/>
          <w:b/>
          <w:bCs/>
          <w:color w:val="auto"/>
          <w:szCs w:val="21"/>
          <w:highlight w:val="none"/>
        </w:rPr>
        <w:t xml:space="preserve">加盖投标人公章</w:t>
      </w:r>
      <w:r>
        <w:rPr>
          <w:rFonts w:hint="eastAsia" w:ascii="宋体" w:hAnsi="宋体" w:cs="宋体"/>
          <w:b/>
          <w:bCs/>
          <w:color w:val="auto"/>
          <w:szCs w:val="21"/>
          <w:highlight w:val="none"/>
        </w:rPr>
        <w:t xml:space="preserve">）</w:t>
      </w:r>
      <w:r/>
    </w:p>
    <w:p>
      <w:pPr>
        <w:ind w:firstLine="420"/>
        <w:jc w:val="left"/>
        <w:spacing w:line="360" w:lineRule="auto"/>
        <w:tabs>
          <w:tab w:val="left" w:pos="68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32.9 安全报警功能:各区超低温独立报警，各区加热器断线独立报警，过电流保护，熔体超压报警，电机过热过载保护。屏下需加装启停开关，急停开关</w:t>
      </w:r>
      <w:r/>
    </w:p>
    <w:p>
      <w:pPr>
        <w:ind w:firstLine="422"/>
        <w:spacing w:line="360" w:lineRule="auto"/>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32.</w:t>
      </w:r>
      <w:r>
        <w:rPr>
          <w:rFonts w:hint="eastAsia" w:ascii="宋体" w:hAnsi="宋体" w:cs="宋体"/>
          <w:color w:val="auto"/>
          <w:szCs w:val="21"/>
          <w:highlight w:val="none"/>
        </w:rPr>
        <w:t xml:space="preserve">10</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shd w:val="clear" w:color="auto" w:fill="ffffff"/>
        </w:rPr>
        <w:t xml:space="preserve">热电偶提供仪器技术指标及鉴定合格的第三方计量检定证书；</w:t>
      </w:r>
      <w:r>
        <w:rPr>
          <w:rFonts w:ascii="宋体" w:hAnsi="宋体" w:cs="宋体"/>
          <w:b/>
          <w:bCs/>
          <w:color w:val="auto"/>
          <w:szCs w:val="21"/>
          <w:highlight w:val="none"/>
          <w:shd w:val="clear" w:color="auto" w:fill="ffffff"/>
        </w:rPr>
        <w:t xml:space="preserve">（提供有效的第三方检测机构出具的计量检定证书原件扫描上传，加盖投标人公章）</w:t>
      </w:r>
      <w:r/>
    </w:p>
    <w:p>
      <w:pPr>
        <w:ind w:firstLine="422"/>
        <w:spacing w:line="360" w:lineRule="auto"/>
        <w:rPr>
          <w:rFonts w:hint="eastAsia" w:ascii="宋体" w:hAnsi="宋体" w:cs="宋体"/>
          <w:b/>
          <w:bCs/>
          <w:i/>
          <w:iCs/>
          <w:color w:val="auto"/>
          <w:szCs w:val="21"/>
          <w:highlight w:val="none"/>
          <w:u w:val="single"/>
          <w:shd w:val="clear" w:color="auto" w:fill="ffffff"/>
        </w:rPr>
      </w:pPr>
      <w:r>
        <w:rPr>
          <w:rFonts w:hint="eastAsia" w:ascii="宋体" w:hAnsi="宋体" w:cs="宋体"/>
          <w:b/>
          <w:bCs/>
          <w:i/>
          <w:iCs/>
          <w:color w:val="auto"/>
          <w:szCs w:val="21"/>
          <w:highlight w:val="none"/>
          <w:u w:val="single"/>
        </w:rPr>
        <w:t xml:space="preserve">★</w:t>
      </w:r>
      <w:r>
        <w:rPr>
          <w:rFonts w:hint="eastAsia" w:ascii="宋体" w:hAnsi="宋体" w:cs="宋体"/>
          <w:i/>
          <w:iCs/>
          <w:color w:val="auto"/>
          <w:szCs w:val="21"/>
          <w:highlight w:val="none"/>
          <w:u w:val="single"/>
        </w:rPr>
        <w:t xml:space="preserve">32.11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三十三、烘箱（实验室用）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控温范围：≥RT+10-250℃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 温度波动度：≤</w:t>
      </w:r>
      <w:r>
        <w:rPr>
          <w:rFonts w:hint="eastAsia" w:ascii="宋体" w:hAnsi="宋体" w:cs="宋体"/>
          <w:color w:val="auto"/>
          <w:szCs w:val="21"/>
          <w:highlight w:val="none"/>
        </w:rPr>
        <w:tab/>
      </w:r>
      <w:r>
        <w:rPr>
          <w:rFonts w:hint="eastAsia" w:ascii="宋体" w:hAnsi="宋体" w:cs="宋体"/>
          <w:color w:val="auto"/>
          <w:szCs w:val="21"/>
          <w:highlight w:val="none"/>
        </w:rPr>
        <w:t xml:space="preserve">±1℃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输入功率：≥1500W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载物托架：≥2层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 定时范围：≥1～9999min</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三十四、流延膜一体机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功能：将实验室合成的聚合物或改性配方（如添加纳米填料、色母粒、生物降解材料PLA/PBAT）制备成标准薄膜。研究挤出温度、螺杆转速、流延速度（牵引比）对薄膜质量的影响。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 流延膜实验线由驱动系统、挤出系统、流延模头、流延辊系统、牵引系统、收卷系统和电气控制系统组成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 挤出机采用高品质电机驱动，要求塑化稳定、一致性好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 选用高性能熔体压力、温度传感器，测试数据精度高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 软件测控系统操作界面友好，操控方便、功能完备、具备配方存取功能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34.5 紧急停机装置与各种安全保护，保障操作人员安全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34.6 配置一键故障查询功能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34.7 屏下另加装启停开关，急停开关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34.8 报警功能：各区超低温独立报警，各区加热器断线独立报警，过电流保护，熔体超压报警，电机过热过载保护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34.9 </w:t>
      </w:r>
      <w:r>
        <w:rPr>
          <w:rFonts w:hint="eastAsia" w:ascii="宋体" w:hAnsi="宋体" w:cs="宋体"/>
          <w:color w:val="auto"/>
          <w:szCs w:val="21"/>
          <w:highlight w:val="none"/>
        </w:rPr>
        <w:t xml:space="preserve">数据通讯接口：具备以太网通讯接口，支持Modbus TCP/IP 及 OPC UA 协议；开放所有过程数据变量（温度、压力、速度、位置等）供第三方MES系统采集</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★34.10 </w:t>
      </w:r>
      <w:r>
        <w:rPr>
          <w:rFonts w:hint="eastAsia" w:ascii="宋体" w:hAnsi="宋体" w:cs="宋体"/>
          <w:b/>
          <w:bCs/>
          <w:i/>
          <w:iCs/>
          <w:color w:val="auto"/>
          <w:szCs w:val="21"/>
          <w:highlight w:val="none"/>
          <w:u w:val="single"/>
        </w:rPr>
        <w:t xml:space="preserve">投标人需提供此设备的实训指导书（包括但不限于设备的实训目的、实训原理、设备参数及使用说明书、安全操作规程、实训操作步骤、实训记录数据与报告内容）。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34.11 适用材料：PP、PE、PA等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34.12螺杆直径：≥20mm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34.13 螺杆长径比：≥1:28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34.14 电机功率：≥4.0kW</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34.15 最大产量：≥0.5-5kg/h</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34.16 制品厚度范围：≥0.02-0.1mm</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34.17 线速度：≥0～30m/min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34.18 最高操作温度：≥360℃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34.19 温度控制精度：≥±1℃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34.20 控制方式：PLC 控制</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34.21 模头有效宽度：≥</w:t>
      </w:r>
      <w:r>
        <w:rPr>
          <w:rFonts w:hint="eastAsia" w:ascii="宋体" w:hAnsi="宋体" w:cs="宋体"/>
          <w:color w:val="auto"/>
          <w:szCs w:val="21"/>
          <w:highlight w:val="none"/>
          <w:lang w:bidi="ar"/>
        </w:rPr>
        <w:t xml:space="preserve">150mm，开口</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1.2mm</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34.22 </w:t>
      </w:r>
      <w:r>
        <w:rPr>
          <w:rFonts w:hint="eastAsia" w:ascii="宋体" w:hAnsi="宋体" w:cs="宋体"/>
          <w:color w:val="auto"/>
          <w:szCs w:val="21"/>
          <w:highlight w:val="none"/>
          <w:lang w:bidi="ar"/>
        </w:rPr>
        <w:t xml:space="preserve">挤出厚度：</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0.02mm-0.1mm的范围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34.23 </w:t>
      </w:r>
      <w:r>
        <w:rPr>
          <w:rFonts w:hint="eastAsia" w:ascii="宋体" w:hAnsi="宋体" w:cs="宋体"/>
          <w:color w:val="auto"/>
          <w:szCs w:val="21"/>
          <w:highlight w:val="none"/>
          <w:lang w:bidi="ar"/>
        </w:rPr>
        <w:t xml:space="preserve">流延辊：直径</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200mm，辊面宽度</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160mm，钢辊表面镀 硬铬并镜面抛光处理，防粘并使材料充分冷却定型， 获得光滑的表面，可通水或通热油控温</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34.24 </w:t>
      </w:r>
      <w:r>
        <w:rPr>
          <w:rFonts w:hint="eastAsia" w:ascii="宋体" w:hAnsi="宋体" w:cs="宋体"/>
          <w:color w:val="auto"/>
          <w:szCs w:val="21"/>
          <w:highlight w:val="none"/>
          <w:lang w:bidi="ar"/>
        </w:rPr>
        <w:t xml:space="preserve">流延辊驱动：采用不小于0.75kW 电机，变频调速，可确保在低速度的情况下无级调节钢辊转速和高扭矩，钢辊转速和电机输出功率可在控制面板上数显 输出</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34.25 </w:t>
      </w:r>
      <w:r>
        <w:rPr>
          <w:rFonts w:hint="eastAsia" w:ascii="宋体" w:hAnsi="宋体" w:cs="宋体"/>
          <w:color w:val="auto"/>
          <w:szCs w:val="21"/>
          <w:highlight w:val="none"/>
          <w:lang w:bidi="ar"/>
        </w:rPr>
        <w:t xml:space="preserve">手动调节流延辊与模唇距离，增大包角</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34.26 </w:t>
      </w:r>
      <w:r>
        <w:rPr>
          <w:rFonts w:hint="eastAsia" w:ascii="宋体" w:hAnsi="宋体" w:cs="宋体"/>
          <w:color w:val="auto"/>
          <w:szCs w:val="21"/>
          <w:highlight w:val="none"/>
          <w:lang w:bidi="ar"/>
        </w:rPr>
        <w:t xml:space="preserve">牵引辊：直径</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60mm，辊面宽度</w:t>
      </w:r>
      <w:r>
        <w:rPr>
          <w:rFonts w:hint="eastAsia" w:ascii="宋体" w:hAnsi="宋体" w:cs="宋体"/>
          <w:color w:val="auto"/>
          <w:szCs w:val="21"/>
          <w:highlight w:val="none"/>
        </w:rPr>
        <w:t xml:space="preserve">≥</w:t>
      </w:r>
      <w:r>
        <w:rPr>
          <w:rFonts w:hint="eastAsia" w:ascii="宋体" w:hAnsi="宋体" w:cs="宋体"/>
          <w:color w:val="auto"/>
          <w:szCs w:val="21"/>
          <w:highlight w:val="none"/>
          <w:lang w:bidi="ar"/>
        </w:rPr>
        <w:t xml:space="preserve">160mm，提供持续的牵引力，使材料获得足够的冷却时间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34.27 </w:t>
      </w:r>
      <w:r>
        <w:rPr>
          <w:rFonts w:hint="eastAsia" w:ascii="宋体" w:hAnsi="宋体" w:cs="宋体"/>
          <w:color w:val="auto"/>
          <w:szCs w:val="21"/>
          <w:highlight w:val="none"/>
          <w:lang w:bidi="ar"/>
        </w:rPr>
        <w:t xml:space="preserve">切边装置：被动式切刀，切除废边</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34.28 </w:t>
      </w:r>
      <w:r>
        <w:rPr>
          <w:rFonts w:hint="eastAsia" w:ascii="宋体" w:hAnsi="宋体" w:cs="宋体"/>
          <w:color w:val="auto"/>
          <w:szCs w:val="21"/>
          <w:highlight w:val="none"/>
          <w:lang w:bidi="ar"/>
        </w:rPr>
        <w:t xml:space="preserve">收卷：恒张力收卷，3 寸纸芯，收卷最大获得直径 250mm</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34.29 </w:t>
      </w:r>
      <w:r>
        <w:rPr>
          <w:rFonts w:hint="eastAsia" w:ascii="宋体" w:hAnsi="宋体" w:cs="宋体"/>
          <w:color w:val="auto"/>
          <w:szCs w:val="21"/>
          <w:highlight w:val="none"/>
          <w:lang w:bidi="ar"/>
        </w:rPr>
        <w:t xml:space="preserve">控制柜:内置式，简洁，节省占地</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34.30 </w:t>
      </w:r>
      <w:r>
        <w:rPr>
          <w:rFonts w:hint="eastAsia" w:ascii="宋体" w:hAnsi="宋体" w:cs="宋体"/>
          <w:color w:val="auto"/>
          <w:szCs w:val="21"/>
          <w:highlight w:val="none"/>
          <w:lang w:bidi="ar"/>
        </w:rPr>
        <w:t xml:space="preserve">主操作显示屏：配置电容触摸屏，显示/设定、螺杆</w:t>
      </w:r>
      <w:r>
        <w:rPr>
          <w:rFonts w:hint="eastAsia" w:ascii="宋体" w:hAnsi="宋体" w:cs="宋体"/>
          <w:color w:val="auto"/>
          <w:szCs w:val="21"/>
          <w:highlight w:val="none"/>
          <w:lang w:bidi="ar"/>
        </w:rPr>
        <w:t xml:space="preserve">转速、筒机温度、显示“机头料温—时间 ”曲线、“机头压力- 时间 ”曲线、熔体压力/温度、故障查询</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34.31 </w:t>
      </w:r>
      <w:r>
        <w:rPr>
          <w:rFonts w:hint="eastAsia" w:ascii="宋体" w:hAnsi="宋体" w:cs="宋体"/>
          <w:color w:val="auto"/>
          <w:szCs w:val="21"/>
          <w:highlight w:val="none"/>
          <w:lang w:bidi="ar"/>
        </w:rPr>
        <w:t xml:space="preserve">温度显示器，与置于压力传感器内的温度传感器连 接，可显示精确的熔体温度</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34.32 </w:t>
      </w:r>
      <w:r>
        <w:rPr>
          <w:rFonts w:hint="eastAsia" w:ascii="宋体" w:hAnsi="宋体" w:cs="宋体"/>
          <w:color w:val="auto"/>
          <w:szCs w:val="21"/>
          <w:highlight w:val="none"/>
          <w:lang w:bidi="ar"/>
        </w:rPr>
        <w:t xml:space="preserve">温度控制：精确温控范围常温～350℃; 温度控制区 段共6区；温控方式采用PID 智能温控仪，温控精度 ±1℃</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34.33 </w:t>
      </w:r>
      <w:r>
        <w:rPr>
          <w:rFonts w:hint="eastAsia" w:ascii="宋体" w:hAnsi="宋体" w:cs="宋体"/>
          <w:color w:val="auto"/>
          <w:szCs w:val="21"/>
          <w:highlight w:val="none"/>
          <w:lang w:bidi="ar"/>
        </w:rPr>
        <w:t xml:space="preserve">安全报警功能：各区超低温独立报警，各区加热器断 线独立报警，过电流保护，熔体超压报警，电机过 热过载保护；</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三十五、高分子实验室制造执行智能系统（MES系统）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高分子实验室制造执行智能系统（MES系统）基于高分子材料研发与制备的典型工艺流程，结合高分子专</w:t>
      </w:r>
      <w:r>
        <w:rPr>
          <w:rFonts w:hint="eastAsia" w:ascii="宋体" w:hAnsi="宋体" w:cs="宋体"/>
          <w:color w:val="auto"/>
          <w:szCs w:val="21"/>
          <w:highlight w:val="none"/>
        </w:rPr>
        <w:t xml:space="preserve">业实验室的真实实验装置与虚拟仿真软件设计。系统须覆盖共混改性实验室、注塑实验室、吹塑实验室、拉膜实验室、喷丝实验室、检测实验室等六个专业实验室的实验管理需求。系统建设内容包括：配方与实验方案管理、实验计划与调度、设备管理、产物质量监测、物料管理、实验人员管理、工艺模型管理、数据综合展示等八大核心模块。制造执行智能系统（MES系统）建成后可以完成从工单创建、工单派发、工单执行到工单结案的全流程数字化管理，建立"工单创建→工单派发→工单执行（三核对与SOP操作）→工单验收→工单结案→数据分析"完整闭环工作流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通过统一平台实现工单全流程信息发布，确保所有实验操作以工单为载体进行追溯、可考核，实现对实验工艺参数、过程指标的严格控制，保证产物质量与实验数据的可靠性，实现设备高效运行、物料精准管控等核心管理目标，最终构建一个面向高分子材料研发与制备的智能化实验室管理场景，满足科研、企业研发及项目化教学的综合性需求。</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▲35.1 投标人须提供高分子实验室制造执行智能系统（MES系统）功能模块的软件主界面及功能界面截图，覆盖配方与实验方案管理、实验计划与调度、设备管理、产物质量监测、物料管理、实验人员管理、工艺模型管理、数据综合展示等八大核心模块，包括但不限于配方库列表界面、配方详情界面（组分表、工艺曲线、安全须知）、工单执行界面、设备台账界面、质量检测界面、物料库存界面、人员管理界面、工艺模型界面、数据大屏界面等不少于15张系统界面截图。</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提供功能界面截图加盖投标人公章</w:t>
      </w:r>
      <w:r>
        <w:rPr>
          <w:rFonts w:hint="eastAsia" w:ascii="宋体" w:hAnsi="宋体" w:cs="宋体"/>
          <w:b/>
          <w:bCs/>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配方与实验方案管理模块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配方</w:t>
      </w:r>
      <w:r>
        <w:rPr>
          <w:rFonts w:hint="eastAsia" w:ascii="宋体" w:hAnsi="宋体" w:cs="宋体"/>
          <w:color w:val="auto"/>
          <w:szCs w:val="21"/>
          <w:highlight w:val="none"/>
        </w:rPr>
        <w:t xml:space="preserve">与实验方案管理模块实现高分子材料配方的数字化设计、管理与工单创建的无缝衔接。该模块旨在培养学生或研发人员进行科学、严谨的配方设计与工单创建的"懂原理、会设计"能力。模块可对高分子配方（包括基体树脂、填料、助剂等的精确配比）、合成或加工工艺路线、关键工艺参数窗口等进行结构化定义与管理，并支持基于配方快速生成实验工单，自动填充工单中的物料清单（BOM）、作业指导书（SOP）及关键工艺参数（温度、压力等）。模块包含配方库列表、配方详情（包括组分表、工艺曲线、安全须知）、配方-工单关联关系及版本历史对比等功能区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（1）要求支持配方库管理功能，包含配方库列表、配方详情（包括组分表、工艺曲线、安全须知）、配方-工单关联关系及版本历史对比等功能区域；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配方的新建、编辑、复制、删除等基本操作，配方信息包含但不限于配方名称、配方编号、适用材料类型、基体树脂种类及配比、填料种类及配比、助剂种类及配比、工艺路线、关键工艺参数窗口（温度范围、压力范围、转速范围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（3）要求支持基于配方快速生成实验工单，自动填充工单中的物料清单（BOM）、作业指导书（SOP）及关键工艺参数（温度、压力、转速等）；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 实验计划与调度模块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实验计划与调度模块是实验室工单派发与资源协调的中枢指挥系统，用于实现基于七个专业实验室资源约束的智能化实验排程与动态调度。该模块培养学生或管理人员利</w:t>
      </w:r>
      <w:r>
        <w:rPr>
          <w:rFonts w:hint="eastAsia" w:ascii="宋体" w:hAnsi="宋体" w:cs="宋体"/>
          <w:color w:val="auto"/>
          <w:szCs w:val="21"/>
          <w:highlight w:val="none"/>
        </w:rPr>
        <w:t xml:space="preserve">用信息化工具进行多项目、多资源协调管理，优化实验流程的"会管理、能优化"能力。模块可对七个实验室的设备、人员、物料及时间窗口进行统一调度，支持工单的智能派发与接收确认。学生（操作员角色）接收工单后需进行"三核对"（核对实验任务、核对物料设备、核对工艺要求），确认无误后签收。系统能够实时监控各实验室的工单执行进度、设备状态，并根据实际情况（如设备突发故障、紧急实验插入）动态调整调度指令，支持生成可视化的工单执行甘特图与资源负荷看板。模块支持工单进度实时更新（如"已完成投料"、"反应进行中"等）及异常反馈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（1）要求支持工单的全流程管理，包含工单创建、工单派发、工单执行、工单验收、工单结案等完整流程；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（2）要求支持工单的智能派发与接收确认，学生（操作员角色）接收工单后需进行"三核对"（核对实验任务、核对物料设备、核对工艺要求），确认无误后签收；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（3）要求支持基于七个实验室的设备、人员、物料及时间窗口进行统一调度与智能排程，实现资源的最优配置；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（4）要求能够实时监控各实验室的工单执行进度、设备状态，并根据实际情况（如设备突发故障、紧急实验插入）动态调整调度指令；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（5）要求支持生成可视化的工单执行甘特图与资源负荷看板，直观展示工单执行状态和资源利用情况；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（6）要求支持工单进度实时更新（如"已完成投料"、"反应进行中"等状态）及异常反馈功能；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（7）要求支持工单优先级设置、工单挂起、工单转派等特殊操作，满足灵活的调度需求。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设备管理模块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设备管理模块是保障</w:t>
      </w:r>
      <w:r>
        <w:rPr>
          <w:rFonts w:hint="eastAsia" w:ascii="宋体" w:hAnsi="宋体" w:cs="宋体"/>
          <w:color w:val="auto"/>
          <w:szCs w:val="21"/>
          <w:highlight w:val="none"/>
        </w:rPr>
        <w:t xml:space="preserve">实验室安全、高效运行及工单规范执行的基础。该模块旨在培养学生及实验员进行规范化设备操作、日常维护及初步故障诊断的"精操作、懂维护"能力。模块不仅对高分子实验室关键设备（如双螺杆挤出机、注塑机、万能试验机、喷丝试验机、流延膜一体机等）的静态信息进行管理，更与工单执行深度绑定——学生需在工单执行前按SOP完成设备点检，系统根据工单类型自动提示所需设备及其状态。系统支持设备异常的自动报警与报警记录功能，工单执行过程中如遇到设备故障可即时触发工单暂停或转单流程，确保设备始终处于良好状态，为实验数据的可靠性提供保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（1）要求支持设备台账管理功能，记录设备的基本信息，包括但不限于：设备位号、设备名称、型号、供应商、设备状态、所在实验室、设备描述、投入使用时间、关联检修任务等；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（2）要求支持与工单执行深度绑定，学生需在工单执行前按SOP完成设备点检，系统根据工单类型自动提示所需设备及其状态；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（3）要求支持设备检修管理功能，记录并显示设备检修情况，包含但不限于：检查点、检查时间、检查要求、设备位号、检查情况、责任人等内容；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（4）要求支持设备异常报修管理功能，记录并显示设备异常报修情况，包含但不限于：设备位号、故障设备、故障类型、处理状态、报修人、报修时间等内容；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（5）要求支持设备运行参数监控，关键重点设备监测数量不少于10个，覆盖双螺杆挤出机、注塑机、注拉吹一体成型机、流延膜一体机、喷丝试验机、开炼机、密炼机、平板硫化机、万能试验机等核心设备。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产物质量监测模块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产物质量监测模块致力于实现实验产物从在线监测到离线分析的工单验收级质量管控。</w:t>
      </w:r>
      <w:r>
        <w:rPr>
          <w:rFonts w:hint="eastAsia" w:ascii="宋体" w:hAnsi="宋体" w:cs="宋体"/>
          <w:color w:val="auto"/>
          <w:szCs w:val="21"/>
          <w:highlight w:val="none"/>
        </w:rPr>
        <w:t xml:space="preserve">该模块培养学生建立全面质量意识，掌握质量数据统计分析方法的"重质量、会分析"能力。模块可对实验过程的关键中间指标（如反应转化率、熔体粘度）进行监控与记录，并对最终产物按预设质量指标体系（如分子量及其分布、力学性能、热性能、形貌等）进行结果录入与管理。系统支持基于工单的产物质量验收流程：教师（质检员角色）通过系统核验学生提交的最终产物和实验数据，符合要求则"验收通过"，存在缺陷则"驳回返工"。系统生成与工单批次强关联的产物检测报告，构建完整的"工单工艺参数-产物性能"关系数据库，为配方与工艺优化提供数据支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（1）要求支持基于工单的产物质量验收流程：教师（质检员角色）通过系统核验学生提交的最终产物和实验数据，符合要求则"验收通过"，存在缺陷则"驳回返工"；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（2）要求支持对实验过程的关键中间指标（如反应转化率、熔体粘度等）进行监控与记录；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（3）要求支持对最终产物按预设质量指标体系（如分子量及其分布、力学性能、热性能、形貌等）进行结果录入与管理；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（4）要求支持质量检测标准管理功能，能够新增、查看、编辑质量检测指标，支持设置检测指标的标准值、允许偏差范围；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（5）要求生成与工单批次强关联的产物检测报告，构建完整的"工单工艺参数-产物性能"关系数据库；</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（6）要求支持质量数据统计分析功能，包括质量趋势分析、合格率统计、不合格原因分析等，为配方与工艺优化提供数据支撑。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 物料管理模块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物料管理</w:t>
      </w:r>
      <w:r>
        <w:rPr>
          <w:rFonts w:hint="eastAsia" w:ascii="宋体" w:hAnsi="宋体" w:cs="宋体"/>
          <w:color w:val="auto"/>
          <w:szCs w:val="21"/>
          <w:highlight w:val="none"/>
        </w:rPr>
        <w:t xml:space="preserve">模块实现了对实验室所有物料（包括原料、助剂、中间品、产物、废料）从采购入库、库存盘点、工单BOM关联领用到废物处置的精细化、可追溯管理。该模块培养学生规范化的物料管理意识与成本控制理念，具备"明流程、控成本"的能力。模块包含供应商管理、智能仓库、工单物料领用与消耗管理、库存预警等子功能。工单接收阶段的"三核对"自动关联物料管理模块，实时比对物料齐套性；工单执行过程中所有物料消耗自动归集至具体工单批次，实现成本的精确核算。模块能够展示各类物料的实时库存位置、数量、批次及效期状态，并高亮显示低库存或近效期预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（1）要求支持供应商管理功能，记录供应商基本信息、供应物料目录、联系方式等；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（2）要求支持智能仓库管理功能，展示各类物料的实时库存位置、数量、批次及效期状态，并高亮显示低库存或近效期预警；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（3）要求支持工单BOM关联领用功能，工单接收阶段的"三核对"自动关联物料管理模块，实时比对物料齐套性；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（4）要求支持工单物料领用与消耗管理功能，工单执行过程中所有物料消耗自动归集至具体工单批次，实现成本的精确核算；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（5）要求支持物料入库、出库、盘点、调拨等基本库存操作，支持物料批次管理和效期管理；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（6）要求支持库存预警功能，当物料库存低于安全库存或接近有效期时自动预警，支持自定义预警阈值。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 实验人员管理模块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验人员管理模块实现了对进入实验室的教师、研究员、学生及访客的数字化管理，是实验室工单执行的人员保障与安全基础。该模块通过信息化手段，使管理人员能够精准掌握人员实验活动记录，提升安全管理水平。模块支持与工单系统的角色权限联动：教师作为"计划员/质检员"具备工单创建、派发、验收权限；学生作为"班组/操作员"具备工单接收、执行、报工权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（1）要求支持与工单系统的角色权限联动：教师作为"计划员/质检员"具备工单创建、派发、验收权限；学生作为"班组/操作员"具备工单接收、执行、报工权限；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（2）要求支持录入学员详细的个人档案，主要包含：工号/学号、姓名、性别、年龄（或工龄）、岗位、部门、所属实验室等；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（3）要求支持人员实验活动记录，记录人员与工单的关联关系，可追溯人员在实验室的活动轨迹；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 工艺模型管理模块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工艺模型管理模块是实验室知识沉淀与工单工艺优化的核心，用于构建、管理和</w:t>
      </w:r>
      <w:r>
        <w:rPr>
          <w:rFonts w:hint="eastAsia" w:ascii="宋体" w:hAnsi="宋体" w:cs="宋体"/>
          <w:color w:val="auto"/>
          <w:szCs w:val="21"/>
          <w:highlight w:val="none"/>
        </w:rPr>
        <w:t xml:space="preserve">应用各类高分子材料工艺模型。该模块旨在培养学生和研究者理解工艺机理，并利用模型进行虚拟实验与工艺优化的"建模型、能创新"能力。模块允许教师或专家创建、导入和管理针对不同高分子体系或工艺（如聚合反应动力学模型、挤出流变模型、注塑填充模拟模型、纤维成形模型等）的数字化模型。系统支持工艺模型与工单的关联应用——在工单执行前可进行虚拟工艺验证，在工单执行过程中可基于实时数据进行工艺参数优化建议，在工单结案后可基于历史工单数据迭代优化工艺模型。工艺模型管理包含模型库列表管理、模型参数配置面板、工单工艺模拟记录等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（1）要求支持工艺模型库管理功能，包含模型库列表管理、模型参数配置面板、工单工艺模拟记录等功能；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（2）要求支持针对不同高分子体系或工艺（如聚合反应动力学模型、挤出流变模型、注塑填充模拟模型、纤维成形模型等）的数字化模型创建、导入和管理；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（3）要求支持工艺模型与工单的关联应用——在工单执行前可进行虚拟工艺验证，在工单执行过程中可基于实时数据进行工艺参数优化建议，在工单结案后可基于历史工单数据迭代优化工艺模型；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（4）要求支持模型文件的上传、下载管理功能，支持多种常见模型文件格式。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 数据综合展示模块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数据综合展示模块是整个系统数据价值的集中呈现窗口，通过实验室综合指挥大屏与个</w:t>
      </w:r>
      <w:r>
        <w:rPr>
          <w:rFonts w:hint="eastAsia" w:ascii="宋体" w:hAnsi="宋体" w:cs="宋体"/>
          <w:color w:val="auto"/>
          <w:szCs w:val="21"/>
          <w:highlight w:val="none"/>
        </w:rPr>
        <w:t xml:space="preserve">性化数据看板，将多维度数据以直观、实时的方式展现。该模块帮助学生和研究人员快速洞察实验室整体运行态势、工单执行进展及资源消耗情况，培养其数据驱动的决策思维与全局意识。大屏集中展示七个实验室的实时工单执行状态（待派发、执行中、待验收、已结案）、关键设备运行状态、今日工单完成率等宏观信息。能够点击关键设备跳转到高分子实验室数字孪生监控系统，查看当前设备数字孪生监控数据及关联工单的实时执行参数，满足实验室管理需要。模块包含工单执行状态追踪看板、核心KPI指标卡片（工单准时完成率、物料消耗趋势）、报警滚动条等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（1）要求大屏集中展示六个实验室的实时工单执行状态（待派发、执行中、待验收、已结案）、关键设备运行状态、今日工单完成率等宏观信息；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（2）要求支持工单执行状态追踪看板，实时展示各实验室工单执行进度和状态分布；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（3）要求支持核心KPI指标卡片展示，包括但不限于工单准时完成率、物料消耗趋势、设备完好率等；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（4）要求支持报警滚动条功能，实时展示系统异常与报警信息，支持报警分级显示；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（5）要求支持点击关键设备跳转到高分子实验室数字孪生监控系统，查看当前设备数字孪生监控数据及关联工单的实时执行参数。</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▲35.1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rPr>
        <w:t xml:space="preserve"> </w:t>
      </w:r>
      <w:bookmarkStart w:id="70" w:name="OLE_LINK11"/>
      <w:r>
        <w:rPr>
          <w:rFonts w:hint="eastAsia" w:ascii="宋体" w:hAnsi="宋体" w:cs="宋体"/>
          <w:b/>
          <w:bCs/>
          <w:color w:val="auto"/>
          <w:szCs w:val="21"/>
          <w:highlight w:val="none"/>
        </w:rPr>
        <w:t xml:space="preserve">投标人须提供</w:t>
      </w:r>
      <w:bookmarkEnd w:id="70"/>
      <w:r>
        <w:rPr>
          <w:rFonts w:ascii="宋体" w:hAnsi="宋体" w:cs="宋体"/>
          <w:b/>
          <w:bCs/>
          <w:color w:val="auto"/>
          <w:szCs w:val="21"/>
          <w:highlight w:val="none"/>
        </w:rPr>
        <w:t xml:space="preserve">含API接口或数据导出工具，支持将MES系统中的计划数据、调度数据、设备数据、物料数据、人员数据以标准格式（JSON/Excel）导出，支持与其他教学管理系统对接。</w:t>
      </w:r>
      <w:bookmarkStart w:id="71" w:name="OLE_LINK23"/>
      <w:r>
        <w:rPr>
          <w:rFonts w:ascii="宋体" w:hAnsi="宋体" w:cs="宋体"/>
          <w:b/>
          <w:bCs/>
          <w:color w:val="auto"/>
          <w:szCs w:val="21"/>
          <w:highlight w:val="none"/>
        </w:rPr>
        <w:t xml:space="preserve">（</w:t>
      </w:r>
      <w:bookmarkStart w:id="72" w:name="OLE_LINK22"/>
      <w:r>
        <w:rPr>
          <w:rFonts w:ascii="宋体" w:hAnsi="宋体" w:cs="宋体"/>
          <w:b/>
          <w:bCs/>
          <w:color w:val="auto"/>
          <w:szCs w:val="21"/>
          <w:highlight w:val="none"/>
        </w:rPr>
        <w:t xml:space="preserve">提</w:t>
      </w:r>
      <w:bookmarkStart w:id="73" w:name="OLE_LINK19"/>
      <w:r/>
      <w:bookmarkStart w:id="74" w:name="OLE_LINK20"/>
      <w:r>
        <w:rPr>
          <w:rFonts w:ascii="宋体" w:hAnsi="宋体" w:cs="宋体"/>
          <w:b/>
          <w:bCs/>
          <w:color w:val="auto"/>
          <w:szCs w:val="21"/>
          <w:highlight w:val="none"/>
        </w:rPr>
        <w:t xml:space="preserve">供完</w:t>
      </w:r>
      <w:bookmarkEnd w:id="72"/>
      <w:r>
        <w:rPr>
          <w:rFonts w:ascii="宋体" w:hAnsi="宋体" w:cs="宋体"/>
          <w:b/>
          <w:bCs/>
          <w:color w:val="auto"/>
          <w:szCs w:val="21"/>
          <w:highlight w:val="none"/>
        </w:rPr>
        <w:t xml:space="preserve">整的接</w:t>
      </w:r>
      <w:bookmarkEnd w:id="73"/>
      <w:r>
        <w:rPr>
          <w:rFonts w:ascii="宋体" w:hAnsi="宋体" w:cs="宋体"/>
          <w:b/>
          <w:bCs/>
          <w:color w:val="auto"/>
          <w:szCs w:val="21"/>
          <w:highlight w:val="none"/>
        </w:rPr>
        <w:t xml:space="preserve">口文档及不</w:t>
      </w:r>
      <w:bookmarkEnd w:id="74"/>
      <w:r>
        <w:rPr>
          <w:rFonts w:ascii="宋体" w:hAnsi="宋体" w:cs="宋体"/>
          <w:b/>
          <w:bCs/>
          <w:color w:val="auto"/>
          <w:szCs w:val="21"/>
          <w:highlight w:val="none"/>
        </w:rPr>
        <w:t xml:space="preserve">少于3个调用示例，加盖投标人公章</w:t>
      </w:r>
      <w:r>
        <w:rPr>
          <w:rFonts w:hint="eastAsia" w:ascii="宋体" w:hAnsi="宋体" w:cs="宋体"/>
          <w:b/>
          <w:bCs/>
          <w:color w:val="auto"/>
          <w:szCs w:val="21"/>
          <w:highlight w:val="none"/>
        </w:rPr>
        <w:t xml:space="preserve">, </w:t>
      </w:r>
      <w:bookmarkStart w:id="75" w:name="OLE_LINK21"/>
      <w:r>
        <w:rPr>
          <w:rFonts w:ascii="宋体" w:hAnsi="宋体" w:cs="宋体"/>
          <w:b/>
          <w:bCs/>
          <w:color w:val="auto"/>
          <w:szCs w:val="21"/>
          <w:highlight w:val="none"/>
        </w:rPr>
        <w:t xml:space="preserve">证明文</w:t>
      </w:r>
      <w:bookmarkEnd w:id="75"/>
      <w:r>
        <w:rPr>
          <w:rFonts w:ascii="宋体" w:hAnsi="宋体" w:cs="宋体"/>
          <w:b/>
          <w:bCs/>
          <w:color w:val="auto"/>
          <w:szCs w:val="21"/>
          <w:highlight w:val="none"/>
        </w:rPr>
        <w:t xml:space="preserve">件以图片或文件形式体现）</w:t>
      </w:r>
      <w:bookmarkEnd w:id="71"/>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▲35.1</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 要求投标人提供MES系统与数字孪生监控系统相结合的</w:t>
      </w:r>
      <w:bookmarkStart w:id="76" w:name="OLE_LINK25"/>
      <w:r>
        <w:rPr>
          <w:rFonts w:hint="eastAsia" w:ascii="宋体" w:hAnsi="宋体" w:cs="宋体"/>
          <w:b/>
          <w:bCs/>
          <w:color w:val="auto"/>
          <w:szCs w:val="21"/>
          <w:highlight w:val="none"/>
        </w:rPr>
        <w:t xml:space="preserve">联合操作业</w:t>
      </w:r>
      <w:bookmarkStart w:id="77" w:name="OLE_LINK24"/>
      <w:r>
        <w:rPr>
          <w:rFonts w:hint="eastAsia" w:ascii="宋体" w:hAnsi="宋体" w:cs="宋体"/>
          <w:b/>
          <w:bCs/>
          <w:color w:val="auto"/>
          <w:szCs w:val="21"/>
          <w:highlight w:val="none"/>
        </w:rPr>
        <w:t xml:space="preserve">务</w:t>
      </w:r>
      <w:bookmarkStart w:id="78" w:name="OLE_LINK26"/>
      <w:r>
        <w:rPr>
          <w:rFonts w:hint="eastAsia" w:ascii="宋体" w:hAnsi="宋体" w:cs="宋体"/>
          <w:b/>
          <w:bCs/>
          <w:color w:val="auto"/>
          <w:szCs w:val="21"/>
          <w:highlight w:val="none"/>
        </w:rPr>
        <w:t xml:space="preserve">流程</w:t>
      </w:r>
      <w:bookmarkEnd w:id="77"/>
      <w:r>
        <w:rPr>
          <w:rFonts w:hint="eastAsia" w:ascii="宋体" w:hAnsi="宋体" w:cs="宋体"/>
          <w:b/>
          <w:bCs/>
          <w:color w:val="auto"/>
          <w:szCs w:val="21"/>
          <w:highlight w:val="none"/>
        </w:rPr>
        <w:t xml:space="preserve">图、数据交互方案的详细技术方案文档</w:t>
      </w:r>
      <w:bookmarkEnd w:id="76"/>
      <w:r>
        <w:rPr>
          <w:rFonts w:hint="eastAsia" w:ascii="宋体" w:hAnsi="宋体" w:cs="宋体"/>
          <w:b/>
          <w:bCs/>
          <w:color w:val="auto"/>
          <w:szCs w:val="21"/>
          <w:highlight w:val="none"/>
        </w:rPr>
        <w:t xml:space="preserve">。</w:t>
      </w:r>
      <w:bookmarkEnd w:id="78"/>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流程图及详细技术方案文档</w:t>
      </w:r>
      <w:r>
        <w:rPr>
          <w:rFonts w:ascii="宋体" w:hAnsi="宋体" w:cs="宋体"/>
          <w:b/>
          <w:bCs/>
          <w:color w:val="auto"/>
          <w:szCs w:val="21"/>
          <w:highlight w:val="none"/>
        </w:rPr>
        <w:t xml:space="preserve">以图片或文件形式体现，加盖投标人公章）</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▲35.1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 要求投标人提供高分子实验室MES系统、数字孪生监控系统、智能安全行为监控系统三个系统之间的数据</w:t>
      </w:r>
      <w:bookmarkStart w:id="79" w:name="OLE_LINK27"/>
      <w:r>
        <w:rPr>
          <w:rFonts w:hint="eastAsia" w:ascii="宋体" w:hAnsi="宋体" w:cs="宋体"/>
          <w:b/>
          <w:bCs/>
          <w:color w:val="auto"/>
          <w:szCs w:val="21"/>
          <w:highlight w:val="none"/>
        </w:rPr>
        <w:t xml:space="preserve">联动方案文档</w:t>
      </w:r>
      <w:bookmarkEnd w:id="79"/>
      <w:r>
        <w:rPr>
          <w:rFonts w:hint="eastAsia" w:ascii="宋体" w:hAnsi="宋体" w:cs="宋体"/>
          <w:b/>
          <w:bCs/>
          <w:color w:val="auto"/>
          <w:szCs w:val="21"/>
          <w:highlight w:val="none"/>
        </w:rPr>
        <w:t xml:space="preserve">，明确系统间数据交互方式、数据同步机制及联动应用场景，须说明MES工单执行状态如何驱动数字孪生设备监控数据切换等具体联动逻辑。</w:t>
      </w:r>
      <w:r>
        <w:rPr>
          <w:rFonts w:ascii="宋体" w:hAnsi="宋体" w:cs="宋体"/>
          <w:b/>
          <w:bCs/>
          <w:color w:val="auto"/>
          <w:szCs w:val="21"/>
          <w:highlight w:val="none"/>
        </w:rPr>
        <w:t xml:space="preserve">（</w:t>
      </w:r>
      <w:r>
        <w:rPr>
          <w:rFonts w:hint="eastAsia" w:ascii="宋体" w:hAnsi="宋体" w:cs="宋体"/>
          <w:b/>
          <w:bCs/>
          <w:color w:val="auto"/>
          <w:szCs w:val="21"/>
          <w:highlight w:val="none"/>
        </w:rPr>
        <w:t xml:space="preserve">联动方案文档</w:t>
      </w:r>
      <w:r>
        <w:rPr>
          <w:rFonts w:ascii="宋体" w:hAnsi="宋体" w:cs="宋体"/>
          <w:b/>
          <w:bCs/>
          <w:color w:val="auto"/>
          <w:szCs w:val="21"/>
          <w:highlight w:val="none"/>
        </w:rPr>
        <w:t xml:space="preserve">以图片或文件形式体现，</w:t>
      </w:r>
      <w:bookmarkStart w:id="80" w:name="OLE_LINK28"/>
      <w:r>
        <w:rPr>
          <w:rFonts w:ascii="宋体" w:hAnsi="宋体" w:cs="宋体"/>
          <w:b/>
          <w:bCs/>
          <w:color w:val="auto"/>
          <w:szCs w:val="21"/>
          <w:highlight w:val="none"/>
        </w:rPr>
        <w:t xml:space="preserve">加盖投标人公章</w:t>
      </w:r>
      <w:bookmarkEnd w:id="80"/>
      <w:r>
        <w:rPr>
          <w:rFonts w:ascii="宋体" w:hAnsi="宋体" w:cs="宋体"/>
          <w:b/>
          <w:bCs/>
          <w:color w:val="auto"/>
          <w:szCs w:val="21"/>
          <w:highlight w:val="none"/>
        </w:rPr>
        <w:t xml:space="preserve">）</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三十六、高分子实验室数字孪生监控系统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一、功能说明：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设高分子材料研发实验室全流程数字化监控平台，实现实验设备3D可视化、工艺数据实时采集、实验过程数字孪生映射，与MES系统的工单执行过程深度联动，提升研发数据可靠性与实验室管理效率。系统须覆盖共混改性实验室、注塑实验室、吹塑实验室、拉膜实验室、喷丝实验室、检测实验室等七个专业实验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 设备运行数据数字孪生监控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能够对接MES设备智能管理模块及工单执行模块，针对七个实验室的关键设备实现差异化数据采集与监控。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（1）共混改性实验室（双螺杆挤出机）：实时采集物料信息、各段温度、真空度、螺杆转速、主喂料速度、运行状态、报警信息等参数；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（2）注塑实验室（小型液压注塑机、大注塑机）：实时采集物料信息、各段温度、注塑速率、注塑压力、分段压力、保压时间、保压压力、运行状态、报警信息、注塑数量记录等；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（3）吹塑实验室（注拉吹一体成型机）：实时采集拉伸杆位置/行程、拉伸速度、吹气压力、吹气流量、排气/放气时间、各区温度、分段压力、保压时间、保压压力、运行状态、报警信息等；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（4）拉膜实验室（流延膜一体机）：实时采集挤出温度、熔体压力、螺杆转速、流延温度、挤出速度、牵引速度等相关参数；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（5）喷丝实验室（喷丝试验机FDY）：实时采集螺杆转速、各区温度、压力、运行状态、报警信息等参数；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（6）检测实验室（开炼机、密炼机、平板硫化机等）：实时采集辊筒/热板温度、压力（预压、热压、冷压）、转子/辊筒转速、运行状态等参数。</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▲36.2 数字孪生监控系统设备运行数据数字孪生监控应包含但不限于以下内容：共混改性实验室双螺杆挤出机各段温度、真空度、螺杆转速、主喂料速度、运行状态、报警信息；注塑实验室小型液压注塑机及大注塑机各段温度、注塑速率、注塑压力、分段压力、保压时间、保压压力、运行状态、报警信息、注塑数量记录；吹塑实验室注拉吹一体成型机拉伸杆位置/行程、拉伸速度、吹气压力、吹气流量、排气/放气时间、各区温度、分段</w:t>
      </w:r>
      <w:r>
        <w:rPr>
          <w:rFonts w:hint="eastAsia" w:ascii="宋体" w:hAnsi="宋体" w:cs="宋体"/>
          <w:b/>
          <w:bCs/>
          <w:color w:val="auto"/>
          <w:szCs w:val="21"/>
          <w:highlight w:val="none"/>
        </w:rPr>
        <w:t xml:space="preserve">压力、保压时间、保压压力、运行状态、报警信息；拉膜实验室流延膜一体机挤出温度、熔体压力、螺杆转速、流延温度、挤出速度、牵引速度；喷丝实验室喷丝试验机FDY螺杆转速、各区温度、压力、运行状态、报警信息；检测实验室开炼机/密炼机/平板硫化机辊筒/热板温度、压力（预压、热压、冷压）、转子/辊筒转速、运行状态等参数实时采集与监控。（提供数字孪生监控系统数字孪生对接内容说明文档，需要包含对接设备名称、参数名称、参数说明、参数范围、参数单位，加盖投标人公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36.3 实验设备3D数字孪生可视化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建立实验室及核心设备的高精度3D模型，实现设备状态实时映射。3D模型与MES工单系统联动，可直观展示当前设备正在执行的工单编号、执行进度及关键工艺参数。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（1）要求建立实验室及核心设备的高精度3D模型，包括但不限于双螺杆挤出机、注塑机（小型/大型）、注拉吹一体成型机、流延膜一体机、喷丝试验机、开炼机、密炼机、平板硫化机、万能试验机等；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（2）要求3D模型与MES工单系统联动，可直观展示当前设备正在执行的工单编号、执行进度及关键工艺参数；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（3）要求支持设备外观3D展示缩放、旋转查看，多角度观察设备细节；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（4）要求点击设备模型可查看该设备历史工单执行记录及当前工单的实时工艺曲线；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（5）要求3D模型与设备实际运行状态实时映射，设备运行、停止、报警等状态在3D模型中同步反映。</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▲36.4 要求具备显示实时监控运行状态、设备能耗、产物质量指标、关键点值、设备关键参数监测，最终实现3D可视化呈现功能，让学员掌握系统工作原理与过程。（提供文档或图片证明材料，</w:t>
      </w:r>
      <w:r>
        <w:rPr>
          <w:rFonts w:ascii="宋体" w:hAnsi="宋体" w:cs="宋体"/>
          <w:b/>
          <w:bCs/>
          <w:color w:val="auto"/>
          <w:szCs w:val="21"/>
          <w:highlight w:val="none"/>
        </w:rPr>
        <w:t xml:space="preserve">加盖投标人公章</w:t>
      </w:r>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36.5 智能工艺参数监控报警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基于工艺参数阈值的多级报警（温度超限、压力异常、设备故障等），支持UI动态提示。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（1）要求支持基于工艺参数阈值的多级报警功能，包括温度超限、压力异常、设备故障等报警类型；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（2）要求支持报警等级划分，包括提示（一般偏差）、警告（超出正常范围）、严重（危及安全/质量）等不同等级；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（3）要求支持UI动态提示功能，报警信息实时弹出提示，并在监控画面中高亮显示报警点位；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（4）要求支持报警历史记录查询与导出功能，支持按设备、按时间、按报警类型等多维度查询；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（5）要求支持报警参数阈值自定义设置功能，不同设备可独立配置报警阈值。</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▲36.6</w:t>
      </w:r>
      <w:r>
        <w:rPr>
          <w:rFonts w:ascii="宋体" w:hAnsi="宋体" w:cs="宋体"/>
          <w:b/>
          <w:bCs/>
          <w:color w:val="auto"/>
          <w:szCs w:val="21"/>
          <w:highlight w:val="none"/>
        </w:rPr>
        <w:t xml:space="preserve">含数字孪生监控系统二次开发接口API，支持用户自定义获取设备监控参数（如监控变量、时序数据获取等）。（提供完整的二次开发接口文档及不少于3个示例代码，加盖投标人公章）</w:t>
      </w:r>
      <w:r/>
    </w:p>
    <w:p>
      <w:pPr>
        <w:ind w:firstLine="422"/>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三十七、智能安全行为监控系统</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一、功能说明：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智能安全行为监控系统结合高分子实验室区域，实现对实验室场景安全隐患的实时监控，帮助降低安全事故率、节省安全管理成本，模拟实现对实验过程中人员安全行为的智能监控过程。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智能安全行为监控系统支持对实验室学生的活动行为进行动作跟踪和识别，可以在监控中心及时监控实验室各种突发紧急预警行为，辅助老师高效处理实验室各种安全突发事件，帮助老师对教学过程中的学生行为进行采集和管理，以便对学生的不安全行为及时纠正和帮助，确保学生的安全，为实训教学提供教学安全保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实验室监控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实验室监控模块主要对实验室区域AI摄像头视频流实时采集及人工智能分析。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（1）要求支持对高分子实验室全部七个专业实验室区域进行AI摄像头视频流实时采集，覆盖共混改性实验室、注塑实验室、吹塑实验室、拉膜实验室、喷丝实验室、检测实验室及其他公共区域；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（2）要求支持视频流的实时人工智能分析，实现不安全行为的自动识别与实时预警；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（3）要求支持监控画面的实时展示与历史回放功能，支持多画面分割显示；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（4）要求支持多画面同时监控，覆盖全部实验室区域，支持监控画面轮巡显示。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安全行为采集与分析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基于5G+监控+AI行为分析技术，可以在监控中心及时监控实验室各种突发紧急预警行为。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教师通过智能化监控综合服务，可以实现在监控屏幕上能够按照不安全行为和区域查看画面，当学生发生不安全行为时，能够快速给予提醒，并可按照颜色区分紧急度，涉及生命安全的呼救和火情危险的抽烟行为设置红色，打手机、局部人员聚集过多、攀爬或者跌落等设置黄色。方便教师及时发现不安全行为发生的区域，根据预警等级进行相应的处理，确保实训安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（1）要求支持对学生实验过程中的不安全行为进行实时识别与分析，识别类型包括但不限于：打手机、局部人员聚集过多、攀爬或者跌落等；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（2）要求支持按照不安全行为类型和实验室区域查看监控画面，快速定位问题区域；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（3）要求支持预警紧急度分级显示：涉及生命安全的行为设置红色预警，一般性不安全行为（打手机、人员聚集、攀爬跌落等）设置黄色预警；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（4）要求支持预警信息的实时推送与声音提醒，确保教师能够及时收到预警通知；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（5）要求支持不安全行为发生区域的快速定位，在监控画面中自动跳转并高亮显示报警区域。</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▲37.3 投标人须提供智能安全行为监控系统的AI行为识别功能截图，包括但不限于不安全行为识别结果标注画面、预警信息展示画面、紧急度分级显示画面（红色/黄色分级）、行为统计数据报表画面、结果查看与导出画面等不少于5张功能界面截图。（</w:t>
      </w:r>
      <w:bookmarkStart w:id="81" w:name="OLE_LINK29"/>
      <w:r>
        <w:rPr>
          <w:rFonts w:ascii="宋体" w:hAnsi="宋体" w:cs="宋体"/>
          <w:b/>
          <w:bCs/>
          <w:color w:val="auto"/>
          <w:szCs w:val="21"/>
          <w:highlight w:val="none"/>
        </w:rPr>
        <w:t xml:space="preserve">提供功能截图上传做为佐证材料</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加盖投标人公章</w:t>
      </w:r>
      <w:r>
        <w:rPr>
          <w:rFonts w:ascii="宋体" w:hAnsi="宋体" w:cs="宋体"/>
          <w:b/>
          <w:bCs/>
          <w:color w:val="auto"/>
          <w:szCs w:val="21"/>
          <w:highlight w:val="none"/>
        </w:rPr>
        <w:t xml:space="preserve">）</w:t>
      </w:r>
      <w:bookmarkEnd w:id="8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37.4 结果查看与导出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教师能够按照时间段、不安全行为或者紧急程度去查看系统保存的不安全行为截图或者数据统计，用于课堂展示；课程结束后，能够将这些数据报表导出，用于教学结果展示和汇报。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（1）要求支持按时间段、不安全行为类型、紧急程度等维度进行结果查询和筛选；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（2）要求支持不安全行为截图的查看与保存，截图中标注行为类型、发生时间、所在区域等信息；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（3）要求支持数据统计报表的生成与导出（Excel/PDF格式），报表内容包括不安全行为类型分布、各区域行为发生频率、预警响应时间等统计数据；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（4）要求支持课堂展示模式，方便教师进行教学点评和学生安全教育培训。</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▲37.5 智能安全行为监控系统须支持事件数据下载、AI摄像机管理、网络及系统配置等功能，须对各种安全行为参数及数据可设置，包括但不限于不安全行为识别类型配置、预警阈值设置、监控区域划分、报警联动策略配置。</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提供不少于5张功能界面截图</w:t>
      </w:r>
      <w:r>
        <w:rPr>
          <w:rFonts w:hint="eastAsia" w:ascii="宋体" w:hAnsi="宋体" w:cs="宋体"/>
          <w:b/>
          <w:bCs/>
          <w:color w:val="auto"/>
          <w:szCs w:val="21"/>
          <w:highlight w:val="none"/>
          <w:lang w:eastAsia="zh-CN"/>
        </w:rPr>
        <w:t xml:space="preserve">，</w:t>
      </w:r>
      <w:r>
        <w:rPr>
          <w:rFonts w:ascii="宋体" w:hAnsi="宋体" w:cs="宋体"/>
          <w:b/>
          <w:bCs/>
          <w:color w:val="auto"/>
          <w:szCs w:val="21"/>
          <w:highlight w:val="none"/>
        </w:rPr>
        <w:t xml:space="preserve">功能截图上传做为佐证材料</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加盖投标人公章</w:t>
      </w:r>
      <w:r>
        <w:rPr>
          <w:rFonts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37.6 配套硬件要求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智能安全行为监控系统配套AI安全监控摄像机、AI安全行为分析算法设备、监控展示存储设备、智能安全预警POE供电设备、数据存储及展示设备，结合高分子实验室建设，软硬件联动满足系统使用要求，并可对各种安全行为参数及数据设置，具体包括事件数据下载、AI摄像机管理、网络及系统配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（1）AI安全监控摄像机：要求分辨率不低于200万像素，支持夜视功能，支持H.265编码，防护等级不低于IP66，数量不少于16台，覆盖高分子实验室全部七个专业实验室区域；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（2）AI安全行为分析算法服务器：要求CPU不低于8核16线程，内存不低于32GB，配备独立显卡（显存不低于8GB），支持实时16路视频流AI分析处理，支持不安全行为识别算法运行；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（3）监控展示存储设备：要求存储容量不低于8TB，支持RAID5冗余，支持视频数据存储时间不少于30天，支持循环覆盖存储；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（4）智能安全预警POE供电设备：要求支持16路以上POE供电输出，单端口供电功率不低于15.4W，支持802.3af/at标准，支持统一管理；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（5）数据存储及展示设备：要求配备显示器，尺寸不低于55英寸，支持4K分辨率，用于监控画面实时展示。</w:t>
      </w:r>
      <w:r/>
    </w:p>
    <w:p>
      <w:pPr>
        <w:ind w:firstLine="422"/>
        <w:spacing w:line="360"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▲37.7 投标人须提供智能安全行为监控系统配套硬件的详细技术方案文档，包括AI安全监控摄像机（不少于16台）布置方案、AI安全行为分析算法服务器（不少于1台）配置方案、监控展示存储设备（不少于1台）方案、智能安全预警POE供电设备（不少于1套）方案，结合高分子实验室七个专业实验室建设场景，软硬件联动满足系统使用要求。(</w:t>
      </w:r>
      <w:r>
        <w:rPr>
          <w:rFonts w:ascii="宋体" w:hAnsi="宋体" w:cs="宋体"/>
          <w:b/>
          <w:bCs/>
          <w:color w:val="auto"/>
          <w:szCs w:val="21"/>
          <w:highlight w:val="none"/>
        </w:rPr>
        <w:t xml:space="preserve">提供具体</w:t>
      </w:r>
      <w:r>
        <w:rPr>
          <w:rFonts w:hint="eastAsia" w:ascii="宋体" w:hAnsi="宋体" w:cs="宋体"/>
          <w:b/>
          <w:bCs/>
          <w:color w:val="auto"/>
          <w:szCs w:val="21"/>
          <w:highlight w:val="none"/>
          <w:lang w:val="en-US" w:eastAsia="zh-CN"/>
        </w:rPr>
        <w:t xml:space="preserve">技术方案文档加盖投标人公章</w:t>
      </w:r>
      <w:r>
        <w:rPr>
          <w:rFonts w:hint="eastAsia" w:ascii="宋体" w:hAnsi="宋体" w:cs="宋体"/>
          <w:b/>
          <w:bCs/>
          <w:color w:val="auto"/>
          <w:szCs w:val="21"/>
          <w:highlight w:val="none"/>
        </w:rPr>
        <w:t xml:space="preserve">)。</w:t>
      </w:r>
      <w:r/>
    </w:p>
    <w:p>
      <w:pPr>
        <w:ind w:firstLine="422"/>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四、商务要求</w:t>
      </w:r>
      <w:r/>
    </w:p>
    <w:p>
      <w:pPr>
        <w:pStyle w:val="780"/>
        <w:ind w:firstLine="422"/>
        <w:spacing w:line="360" w:lineRule="auto"/>
        <w:rPr>
          <w:rFonts w:hint="eastAsia" w:hAnsi="宋体"/>
          <w:bCs/>
          <w:color w:val="auto"/>
          <w:szCs w:val="21"/>
          <w:highlight w:val="none"/>
        </w:rPr>
      </w:pPr>
      <w:r>
        <w:rPr>
          <w:rFonts w:hint="eastAsia" w:hAnsi="宋体"/>
          <w:b/>
          <w:color w:val="auto"/>
          <w:szCs w:val="21"/>
          <w:highlight w:val="none"/>
        </w:rPr>
        <w:t xml:space="preserve">1、合同履行期限</w:t>
      </w:r>
      <w:r>
        <w:rPr>
          <w:rFonts w:hint="eastAsia" w:hAnsi="宋体"/>
          <w:bCs/>
          <w:color w:val="auto"/>
          <w:szCs w:val="21"/>
          <w:highlight w:val="none"/>
        </w:rPr>
        <w:t xml:space="preserve">：合</w:t>
      </w:r>
      <w:r>
        <w:rPr>
          <w:rFonts w:hint="eastAsia" w:ascii="宋体" w:hAnsi="宋体" w:eastAsia="宋体" w:cs="宋体"/>
          <w:bCs/>
          <w:color w:val="auto"/>
          <w:szCs w:val="21"/>
          <w:highlight w:val="none"/>
        </w:rPr>
        <w:t xml:space="preserve">同签订后</w:t>
      </w:r>
      <w:r>
        <w:rPr>
          <w:rFonts w:hint="eastAsia" w:ascii="宋体" w:hAnsi="宋体" w:eastAsia="宋体" w:cs="宋体"/>
          <w:bCs/>
          <w:color w:val="auto"/>
          <w:szCs w:val="21"/>
          <w:highlight w:val="none"/>
          <w:lang w:val="en-US" w:eastAsia="zh-CN"/>
        </w:rPr>
        <w:t xml:space="preserve">70</w:t>
      </w:r>
      <w:r>
        <w:rPr>
          <w:rFonts w:hint="eastAsia" w:ascii="宋体" w:hAnsi="宋体" w:eastAsia="宋体" w:cs="宋体"/>
          <w:bCs/>
          <w:color w:val="auto"/>
          <w:szCs w:val="21"/>
          <w:highlight w:val="none"/>
        </w:rPr>
        <w:t xml:space="preserve">日历</w:t>
      </w:r>
      <w:r>
        <w:rPr>
          <w:rFonts w:hint="eastAsia" w:ascii="宋体" w:hAnsi="宋体" w:cs="宋体"/>
          <w:bCs/>
          <w:color w:val="auto"/>
          <w:szCs w:val="21"/>
          <w:highlight w:val="none"/>
          <w:lang w:val="en-US" w:eastAsia="zh-CN"/>
        </w:rPr>
        <w:t xml:space="preserve">天</w:t>
      </w:r>
      <w:r>
        <w:rPr>
          <w:rFonts w:hint="eastAsia" w:ascii="宋体" w:hAnsi="宋体" w:eastAsia="宋体" w:cs="宋体"/>
          <w:bCs/>
          <w:color w:val="auto"/>
          <w:szCs w:val="21"/>
          <w:highlight w:val="none"/>
        </w:rPr>
        <w:t xml:space="preserve">内完成到货安装调试并</w:t>
      </w:r>
      <w:r>
        <w:rPr>
          <w:rFonts w:hint="eastAsia" w:hAnsi="宋体"/>
          <w:bCs/>
          <w:color w:val="auto"/>
          <w:szCs w:val="21"/>
          <w:highlight w:val="none"/>
        </w:rPr>
        <w:t xml:space="preserve">验收合格。</w:t>
      </w:r>
      <w:r/>
    </w:p>
    <w:p>
      <w:pPr>
        <w:pStyle w:val="780"/>
        <w:ind w:firstLine="422"/>
        <w:rPr>
          <w:rFonts w:hint="eastAsia" w:hAnsi="宋体"/>
          <w:b/>
          <w:color w:val="auto"/>
          <w:szCs w:val="21"/>
          <w:highlight w:val="none"/>
        </w:rPr>
      </w:pPr>
      <w:r>
        <w:rPr>
          <w:rFonts w:hint="eastAsia" w:hAnsi="宋体"/>
          <w:b/>
          <w:color w:val="auto"/>
          <w:szCs w:val="21"/>
          <w:highlight w:val="none"/>
        </w:rPr>
        <w:t xml:space="preserve">2、履约保证金：</w:t>
      </w:r>
      <w:r>
        <w:rPr>
          <w:rFonts w:hint="eastAsia" w:hAnsi="宋体"/>
          <w:bCs/>
          <w:color w:val="auto"/>
          <w:szCs w:val="21"/>
          <w:highlight w:val="none"/>
        </w:rPr>
        <w:t xml:space="preserve">签订合同时，中标人应向招标人支付合同总价10%的履约保证金。履约保证金应当采用支票、汇票、本票、网上银行支付或者金融机构、担保机构出具的保函等非现金形式交纳。中标人在合同履行时因自身原因无故不履行合同的或转包给其他单位的，缴纳履约保证金将不予退还，以及弥补合同履行中由于中标人自身行为可能给招标人带来的各种损失；若履约保证金额不足以弥补中标人违约造成招标人损失的，招标人可继续向中标人主张索赔。质保期满无质量相关问题，招标人无息退还履约保证金。</w:t>
      </w:r>
      <w:r/>
    </w:p>
    <w:p>
      <w:pPr>
        <w:pStyle w:val="780"/>
        <w:ind w:firstLine="422"/>
        <w:rPr>
          <w:rFonts w:hint="eastAsia" w:hAnsi="宋体"/>
          <w:bCs/>
          <w:color w:val="auto"/>
          <w:szCs w:val="21"/>
          <w:highlight w:val="none"/>
        </w:rPr>
      </w:pPr>
      <w:r>
        <w:rPr>
          <w:rFonts w:hint="eastAsia" w:hAnsi="宋体"/>
          <w:b/>
          <w:color w:val="auto"/>
          <w:szCs w:val="21"/>
          <w:highlight w:val="none"/>
        </w:rPr>
        <w:t xml:space="preserve">3、付款方式：</w:t>
      </w:r>
      <w:r>
        <w:rPr>
          <w:rFonts w:hint="eastAsia" w:ascii="宋体" w:hAnsi="宋体" w:eastAsia="宋体" w:cs="宋体"/>
          <w:b/>
          <w:bCs/>
          <w:color w:val="auto"/>
          <w:szCs w:val="21"/>
          <w:highlight w:val="none"/>
          <w:lang w:val="en-US" w:eastAsia="zh-CN"/>
        </w:rPr>
        <w:t xml:space="preserve">本项目分两次验收，合</w:t>
      </w:r>
      <w:r>
        <w:rPr>
          <w:rFonts w:hint="eastAsia" w:ascii="宋体" w:hAnsi="宋体" w:eastAsia="宋体" w:cs="宋体"/>
          <w:b/>
          <w:bCs/>
          <w:color w:val="auto"/>
          <w:szCs w:val="21"/>
          <w:highlight w:val="none"/>
        </w:rPr>
        <w:t xml:space="preserve">同签订后，支付合同价40%的预付款；到货并完成安装调试经甲方</w:t>
      </w:r>
      <w:r>
        <w:rPr>
          <w:rFonts w:hint="eastAsia" w:ascii="宋体" w:hAnsi="宋体" w:eastAsia="宋体" w:cs="宋体"/>
          <w:b/>
          <w:bCs/>
          <w:color w:val="auto"/>
          <w:szCs w:val="21"/>
          <w:highlight w:val="none"/>
          <w:lang w:val="en-US" w:eastAsia="zh-CN"/>
        </w:rPr>
        <w:t xml:space="preserve">初次</w:t>
      </w:r>
      <w:r>
        <w:rPr>
          <w:rFonts w:hint="eastAsia" w:ascii="宋体" w:hAnsi="宋体" w:eastAsia="宋体" w:cs="宋体"/>
          <w:b/>
          <w:bCs/>
          <w:color w:val="auto"/>
          <w:szCs w:val="21"/>
          <w:highlight w:val="none"/>
        </w:rPr>
        <w:t xml:space="preserve">验收合格后</w:t>
      </w:r>
      <w:r>
        <w:rPr>
          <w:rFonts w:hint="eastAsia" w:ascii="宋体" w:hAnsi="宋体" w:eastAsia="宋体" w:cs="宋体"/>
          <w:b/>
          <w:bCs/>
          <w:color w:val="auto"/>
          <w:szCs w:val="21"/>
          <w:highlight w:val="none"/>
          <w:lang w:val="en-US" w:eastAsia="zh-CN"/>
        </w:rPr>
        <w:t xml:space="preserve">付至合同价的60%</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初次验收满一年后，根据实际使用情况进行全面验收，验收合格后付清余款</w:t>
      </w:r>
      <w:r>
        <w:rPr>
          <w:rFonts w:hint="eastAsia" w:ascii="宋体" w:hAnsi="宋体" w:eastAsia="宋体" w:cs="宋体"/>
          <w:b/>
          <w:bCs/>
          <w:color w:val="auto"/>
          <w:szCs w:val="21"/>
          <w:highlight w:val="none"/>
        </w:rPr>
        <w:t xml:space="preserve">。（以上所有款项在满足时间节点后，甲方自收到乙方发票之日起10个工作日内付款）</w:t>
      </w:r>
      <w:r/>
    </w:p>
    <w:p>
      <w:pPr>
        <w:pStyle w:val="780"/>
        <w:ind w:firstLine="422"/>
        <w:rPr>
          <w:rFonts w:hint="eastAsia" w:ascii="宋体" w:hAnsi="宋体" w:cs="宋体"/>
          <w:bCs/>
          <w:i/>
          <w:iCs/>
          <w:color w:val="auto"/>
          <w:szCs w:val="21"/>
          <w:highlight w:val="none"/>
          <w:u w:val="single"/>
        </w:rPr>
      </w:pPr>
      <w:r>
        <w:rPr>
          <w:rFonts w:hint="eastAsia" w:ascii="宋体" w:hAnsi="宋体" w:cs="宋体"/>
          <w:b/>
          <w:color w:val="auto"/>
          <w:szCs w:val="21"/>
          <w:highlight w:val="none"/>
        </w:rPr>
        <w:t xml:space="preserve">4、质保期：</w:t>
      </w:r>
      <w:r>
        <w:rPr>
          <w:rFonts w:ascii="宋体" w:hAnsi="宋体" w:cs="宋体"/>
          <w:b/>
          <w:bCs w:val="0"/>
          <w:i/>
          <w:iCs/>
          <w:color w:val="auto"/>
          <w:szCs w:val="21"/>
          <w:highlight w:val="none"/>
          <w:u w:val="single"/>
        </w:rPr>
        <w:t xml:space="preserve">自验收合格交付之日起，采购清单内所有设备及部件提供至少一年免费质保，质保期内全免费上门。（提供承诺函原件</w:t>
      </w:r>
      <w:r>
        <w:rPr>
          <w:rFonts w:hint="eastAsia" w:ascii="宋体" w:hAnsi="宋体" w:cs="宋体"/>
          <w:b/>
          <w:bCs w:val="0"/>
          <w:i/>
          <w:iCs/>
          <w:color w:val="auto"/>
          <w:szCs w:val="21"/>
          <w:highlight w:val="none"/>
          <w:u w:val="single"/>
          <w:lang w:val="en-US" w:eastAsia="zh-CN"/>
        </w:rPr>
        <w:t xml:space="preserve">扫描上传</w:t>
      </w:r>
      <w:r>
        <w:rPr>
          <w:rFonts w:ascii="宋体" w:hAnsi="宋体" w:cs="宋体"/>
          <w:b/>
          <w:bCs w:val="0"/>
          <w:i/>
          <w:iCs/>
          <w:color w:val="auto"/>
          <w:szCs w:val="21"/>
          <w:highlight w:val="none"/>
          <w:u w:val="single"/>
        </w:rPr>
        <w:t xml:space="preserve">，格式自拟）</w:t>
      </w:r>
      <w:r/>
    </w:p>
    <w:p>
      <w:pPr>
        <w:pStyle w:val="780"/>
        <w:rPr>
          <w:rFonts w:hint="eastAsia" w:ascii="宋体" w:hAnsi="宋体" w:cs="宋体"/>
          <w:bCs/>
          <w:color w:val="auto"/>
          <w:szCs w:val="21"/>
          <w:highlight w:val="none"/>
        </w:rPr>
      </w:pPr>
      <w:r>
        <w:rPr>
          <w:rFonts w:hint="eastAsia" w:ascii="宋体" w:hAnsi="宋体" w:cs="宋体"/>
          <w:b/>
          <w:bCs w:val="0"/>
          <w:i/>
          <w:iCs/>
          <w:color w:val="auto"/>
          <w:szCs w:val="21"/>
          <w:highlight w:val="none"/>
          <w:u w:val="single"/>
        </w:rPr>
        <w:t xml:space="preserve">投标人中标后、签订合同前须提供针对本项目的盖章质保函原件。</w:t>
      </w:r>
      <w:r>
        <w:rPr>
          <w:rFonts w:ascii="宋体" w:hAnsi="宋体" w:cs="宋体"/>
          <w:b/>
          <w:bCs w:val="0"/>
          <w:i/>
          <w:iCs/>
          <w:color w:val="auto"/>
          <w:szCs w:val="21"/>
          <w:highlight w:val="none"/>
          <w:u w:val="single"/>
        </w:rPr>
        <w:t xml:space="preserve">（提供承诺函原件</w:t>
      </w:r>
      <w:r>
        <w:rPr>
          <w:rFonts w:hint="eastAsia" w:ascii="宋体" w:hAnsi="宋体" w:cs="宋体"/>
          <w:b/>
          <w:bCs w:val="0"/>
          <w:i/>
          <w:iCs/>
          <w:color w:val="auto"/>
          <w:szCs w:val="21"/>
          <w:highlight w:val="none"/>
          <w:u w:val="single"/>
          <w:lang w:val="en-US" w:eastAsia="zh-CN"/>
        </w:rPr>
        <w:t xml:space="preserve">扫描上传</w:t>
      </w:r>
      <w:r>
        <w:rPr>
          <w:rFonts w:ascii="宋体" w:hAnsi="宋体" w:cs="宋体"/>
          <w:b/>
          <w:bCs w:val="0"/>
          <w:i/>
          <w:iCs/>
          <w:color w:val="auto"/>
          <w:szCs w:val="21"/>
          <w:highlight w:val="none"/>
          <w:u w:val="single"/>
        </w:rPr>
        <w:t xml:space="preserve">，格式自拟</w:t>
      </w:r>
      <w:r>
        <w:rPr>
          <w:rFonts w:ascii="宋体" w:hAnsi="宋体" w:cs="宋体"/>
          <w:bCs/>
          <w:i/>
          <w:iCs/>
          <w:color w:val="auto"/>
          <w:szCs w:val="21"/>
          <w:highlight w:val="none"/>
          <w:u w:val="single"/>
        </w:rPr>
        <w:t xml:space="preserve">）</w:t>
      </w:r>
      <w:r/>
    </w:p>
    <w:p>
      <w:pPr>
        <w:pStyle w:val="780"/>
        <w:rPr>
          <w:rFonts w:hint="eastAsia" w:ascii="宋体" w:hAnsi="宋体" w:cs="宋体"/>
          <w:bCs/>
          <w:color w:val="auto"/>
          <w:szCs w:val="21"/>
          <w:highlight w:val="none"/>
        </w:rPr>
      </w:pPr>
      <w:r>
        <w:rPr>
          <w:rFonts w:hint="eastAsia" w:ascii="宋体" w:hAnsi="宋体" w:cs="宋体"/>
          <w:bCs/>
          <w:color w:val="auto"/>
          <w:szCs w:val="21"/>
          <w:highlight w:val="none"/>
        </w:rPr>
        <w:t xml:space="preserve">质保期内发生的一切质量问题由中标供应商负责免费处理，如所购设备有重大质量问题，由中标供应商负责包换、包退；质保期内因设备故障给招标人造成的一切损失（因招标人原因造成的故障除外）由中标供应商负责赔偿。</w:t>
      </w:r>
      <w:r/>
    </w:p>
    <w:p>
      <w:pPr>
        <w:pStyle w:val="780"/>
        <w:rPr>
          <w:rFonts w:hint="eastAsia" w:ascii="宋体" w:hAnsi="宋体" w:cs="宋体"/>
          <w:bCs/>
          <w:i/>
          <w:iCs/>
          <w:color w:val="auto"/>
          <w:szCs w:val="21"/>
          <w:highlight w:val="none"/>
          <w:u w:val="single"/>
        </w:rPr>
      </w:pPr>
      <w:r>
        <w:rPr>
          <w:rFonts w:hint="eastAsia" w:ascii="宋体" w:hAnsi="宋体" w:cs="宋体"/>
          <w:b/>
          <w:bCs w:val="0"/>
          <w:i/>
          <w:iCs/>
          <w:color w:val="auto"/>
          <w:szCs w:val="21"/>
          <w:highlight w:val="none"/>
          <w:u w:val="single"/>
        </w:rPr>
        <w:t xml:space="preserve">中标供应</w:t>
      </w:r>
      <w:bookmarkStart w:id="82" w:name="OLE_LINK13"/>
      <w:r>
        <w:rPr>
          <w:rFonts w:hint="eastAsia" w:ascii="宋体" w:hAnsi="宋体" w:cs="宋体"/>
          <w:b/>
          <w:bCs w:val="0"/>
          <w:i/>
          <w:iCs/>
          <w:color w:val="auto"/>
          <w:szCs w:val="21"/>
          <w:highlight w:val="none"/>
          <w:u w:val="single"/>
        </w:rPr>
        <w:t xml:space="preserve">商承诺质保期结束后，提供免费各项技术支持和咨询，以优惠价格提供维修服务，提供核心部件的备品备</w:t>
      </w:r>
      <w:bookmarkEnd w:id="82"/>
      <w:r>
        <w:rPr>
          <w:rFonts w:hint="eastAsia" w:ascii="宋体" w:hAnsi="宋体" w:cs="宋体"/>
          <w:b/>
          <w:bCs w:val="0"/>
          <w:i/>
          <w:iCs/>
          <w:color w:val="auto"/>
          <w:szCs w:val="21"/>
          <w:highlight w:val="none"/>
          <w:u w:val="single"/>
        </w:rPr>
        <w:t xml:space="preserve">件，以保证质保到期后及时维修和更换（招标人以不高于同期市场价格购置）。</w:t>
      </w:r>
      <w:r>
        <w:rPr>
          <w:rFonts w:ascii="宋体" w:hAnsi="宋体" w:cs="宋体"/>
          <w:b/>
          <w:bCs w:val="0"/>
          <w:i/>
          <w:iCs/>
          <w:color w:val="auto"/>
          <w:szCs w:val="21"/>
          <w:highlight w:val="none"/>
          <w:u w:val="single"/>
        </w:rPr>
        <w:t xml:space="preserve">（提供承诺函原件</w:t>
      </w:r>
      <w:r>
        <w:rPr>
          <w:rFonts w:hint="eastAsia" w:ascii="宋体" w:hAnsi="宋体" w:cs="宋体"/>
          <w:b/>
          <w:bCs w:val="0"/>
          <w:i/>
          <w:iCs/>
          <w:color w:val="auto"/>
          <w:szCs w:val="21"/>
          <w:highlight w:val="none"/>
          <w:u w:val="single"/>
          <w:lang w:val="en-US" w:eastAsia="zh-CN"/>
        </w:rPr>
        <w:t xml:space="preserve">扫描上传</w:t>
      </w:r>
      <w:r>
        <w:rPr>
          <w:rFonts w:ascii="宋体" w:hAnsi="宋体" w:cs="宋体"/>
          <w:b/>
          <w:bCs w:val="0"/>
          <w:i/>
          <w:iCs/>
          <w:color w:val="auto"/>
          <w:szCs w:val="21"/>
          <w:highlight w:val="none"/>
          <w:u w:val="single"/>
        </w:rPr>
        <w:t xml:space="preserve">，格式自拟</w:t>
      </w:r>
      <w:r>
        <w:rPr>
          <w:rFonts w:ascii="宋体" w:hAnsi="宋体" w:cs="宋体"/>
          <w:bCs/>
          <w:i/>
          <w:iCs/>
          <w:color w:val="auto"/>
          <w:szCs w:val="21"/>
          <w:highlight w:val="none"/>
          <w:u w:val="single"/>
        </w:rPr>
        <w:t xml:space="preserve">）</w:t>
      </w:r>
      <w:r>
        <w:rPr>
          <w:rFonts w:hint="eastAsia" w:ascii="宋体" w:hAnsi="宋体" w:cs="宋体"/>
          <w:b/>
          <w:bCs w:val="0"/>
          <w:i/>
          <w:iCs/>
          <w:color w:val="auto"/>
          <w:szCs w:val="21"/>
          <w:highlight w:val="none"/>
          <w:u w:val="single"/>
        </w:rPr>
        <w:t xml:space="preserve">。 </w:t>
      </w:r>
      <w:r/>
    </w:p>
    <w:p>
      <w:pPr>
        <w:ind w:firstLine="422"/>
        <w:jc w:val="left"/>
        <w:spacing w:line="360" w:lineRule="auto"/>
        <w:rPr>
          <w:rFonts w:hint="eastAsia" w:ascii="宋体" w:hAnsi="宋体" w:cs="宋体"/>
          <w:b/>
          <w:bCs/>
          <w:color w:val="auto"/>
          <w:szCs w:val="21"/>
          <w:highlight w:val="none"/>
        </w:rPr>
      </w:pPr>
      <w:r>
        <w:rPr>
          <w:rFonts w:ascii="宋体" w:hAnsi="宋体" w:cs="宋体"/>
          <w:b/>
          <w:bCs w:val="0"/>
          <w:i/>
          <w:iCs/>
          <w:color w:val="auto"/>
          <w:szCs w:val="21"/>
          <w:highlight w:val="none"/>
          <w:u w:val="single"/>
        </w:rPr>
        <w:t xml:space="preserve">投标人须承诺：保证所提供产品未侵犯第三人专利权、版权、商标权、著作权和工业设计权或者其他知识产权，并保证采购人在使用、接受本合同货物和服务或其任何一部分时，不受第三方提出侵犯其专利权、版权、商标权和工业设计权等知识产权的起诉。一旦出现侵权，由投标人负全部责任，与</w:t>
      </w:r>
      <w:r>
        <w:rPr>
          <w:rFonts w:hint="eastAsia" w:ascii="宋体" w:hAnsi="宋体" w:cs="宋体"/>
          <w:b/>
          <w:bCs w:val="0"/>
          <w:i/>
          <w:iCs/>
          <w:color w:val="auto"/>
          <w:szCs w:val="21"/>
          <w:highlight w:val="none"/>
          <w:u w:val="single"/>
          <w:lang w:val="en-US" w:eastAsia="zh-CN"/>
        </w:rPr>
        <w:t xml:space="preserve">学校</w:t>
      </w:r>
      <w:r>
        <w:rPr>
          <w:rFonts w:ascii="宋体" w:hAnsi="宋体" w:cs="宋体"/>
          <w:b/>
          <w:bCs w:val="0"/>
          <w:i/>
          <w:iCs/>
          <w:color w:val="auto"/>
          <w:szCs w:val="21"/>
          <w:highlight w:val="none"/>
          <w:u w:val="single"/>
        </w:rPr>
        <w:t xml:space="preserve">无关。（提供承诺函原件</w:t>
      </w:r>
      <w:r>
        <w:rPr>
          <w:rFonts w:hint="eastAsia" w:ascii="宋体" w:hAnsi="宋体" w:cs="宋体"/>
          <w:b/>
          <w:bCs w:val="0"/>
          <w:i/>
          <w:iCs/>
          <w:color w:val="auto"/>
          <w:szCs w:val="21"/>
          <w:highlight w:val="none"/>
          <w:u w:val="single"/>
          <w:lang w:val="en-US" w:eastAsia="zh-CN"/>
        </w:rPr>
        <w:t xml:space="preserve">扫描上传</w:t>
      </w:r>
      <w:r>
        <w:rPr>
          <w:rFonts w:ascii="宋体" w:hAnsi="宋体" w:cs="宋体"/>
          <w:b/>
          <w:bCs w:val="0"/>
          <w:i/>
          <w:iCs/>
          <w:color w:val="auto"/>
          <w:szCs w:val="21"/>
          <w:highlight w:val="none"/>
          <w:u w:val="single"/>
        </w:rPr>
        <w:t xml:space="preserve">，格式自拟</w:t>
      </w:r>
      <w:r>
        <w:rPr>
          <w:rFonts w:ascii="宋体" w:hAnsi="宋体" w:cs="宋体"/>
          <w:bCs/>
          <w:i/>
          <w:iCs/>
          <w:color w:val="auto"/>
          <w:szCs w:val="21"/>
          <w:highlight w:val="none"/>
          <w:u w:val="single"/>
        </w:rPr>
        <w:t xml:space="preserve">）</w:t>
      </w:r>
      <w:r/>
    </w:p>
    <w:p>
      <w:pPr>
        <w:ind w:firstLine="422"/>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五、安装调试及验收要求</w:t>
      </w:r>
      <w:r/>
    </w:p>
    <w:p>
      <w:pPr>
        <w:ind w:firstLine="420"/>
        <w:jc w:val="left"/>
        <w:spacing w:line="360" w:lineRule="auto"/>
        <w:rPr>
          <w:rFonts w:hint="eastAsia"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中标人在交付产品时不得更换投标文件所投产品的制造商(生产者)、规格、型号及技术参数；在产品验收时如所交付产品的技术参数不能满足投标文件要求和投标承诺，招标人将作退货处理，由此造成的损失，由投标人自行承担，追究相关的法律责任，并支付招标人合同总价10%的违约赔偿款。不予退货或整改的，招标人有权终止合同，提请财政部门将其列入不良行为名单。</w:t>
      </w:r>
      <w:r>
        <w:rPr>
          <w:rFonts w:ascii="宋体" w:hAnsi="宋体" w:cs="宋体"/>
          <w:b/>
          <w:bCs w:val="0"/>
          <w:i/>
          <w:iCs/>
          <w:color w:val="auto"/>
          <w:szCs w:val="21"/>
          <w:highlight w:val="none"/>
          <w:u w:val="single"/>
        </w:rPr>
        <w:t xml:space="preserve">（提供承诺函原件</w:t>
      </w:r>
      <w:r>
        <w:rPr>
          <w:rFonts w:hint="eastAsia" w:ascii="宋体" w:hAnsi="宋体" w:cs="宋体"/>
          <w:b/>
          <w:bCs w:val="0"/>
          <w:i/>
          <w:iCs/>
          <w:color w:val="auto"/>
          <w:szCs w:val="21"/>
          <w:highlight w:val="none"/>
          <w:u w:val="single"/>
          <w:lang w:val="en-US" w:eastAsia="zh-CN"/>
        </w:rPr>
        <w:t xml:space="preserve">扫描上传</w:t>
      </w:r>
      <w:r>
        <w:rPr>
          <w:rFonts w:ascii="宋体" w:hAnsi="宋体" w:cs="宋体"/>
          <w:b/>
          <w:bCs w:val="0"/>
          <w:i/>
          <w:iCs/>
          <w:color w:val="auto"/>
          <w:szCs w:val="21"/>
          <w:highlight w:val="none"/>
          <w:u w:val="single"/>
        </w:rPr>
        <w:t xml:space="preserve">，格式自拟</w:t>
      </w:r>
      <w:r>
        <w:rPr>
          <w:rFonts w:ascii="宋体" w:hAnsi="宋体" w:cs="宋体"/>
          <w:bCs/>
          <w:i/>
          <w:iCs/>
          <w:color w:val="auto"/>
          <w:szCs w:val="21"/>
          <w:highlight w:val="none"/>
          <w:u w:val="singl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5.1设备交货、验收地点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中标后应按合同中规定的到货时间和地点进行所有设备的到货及设备检验、检测工作。具体交货地点为招标人指定地点。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如在仪器使用过程中，招标人需进行移机，中标人需完成仪器的移机及二次安装服务，且不得收取任何费用。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5.2设备到货验收的基本要求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①中标人必须依合同要求对全部货物的型号、规格、数量、外形、包装及资料、文件（如装箱单、保修单、随箱介质等）进行验收；验收时招标人必须有人员在现场。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②当初验时出现不符合标书和合同要求的严重质量问题时，招标人保留索赔及退货权利；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③当出现设备损坏、数量不全或产品不符等问题时，由中标人负责解决；</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④设备检验、检测通过，由招标人开具设备到货验收合格单。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5.3设备安装实施调试的要求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人负责采购产品的供货、交付与验收，中标人必须安排专人负责，直到本次项目验收结束。设备安装、调试所需的工具、仪表及安装材料由中标人自行解决。实施过程应严格执行相关的强弱电施工规范，并保证施工安全。</w:t>
      </w:r>
      <w:r/>
    </w:p>
    <w:p>
      <w:pPr>
        <w:ind w:firstLine="420"/>
        <w:jc w:val="left"/>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项目实施过程中若发生相关的安全事故由中标人自行负责。</w:t>
      </w:r>
      <w:r/>
    </w:p>
    <w:p>
      <w:pPr>
        <w:ind w:firstLine="420"/>
        <w:jc w:val="left"/>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中标人安装人员、安装机械或在运输装卸途中对其他设备及邻近管线等造成损坏，应由中标人负责修复及承担一切费用。无论安装期间或退换过程中，中标人负责及时清理垃圾。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为“交钥匙工程”项目，所有的线材、辅材、硬件、软件、安装调试等费用投标人需一并考虑在项目的总体报价中，中标后，不得以任何理由向招标人提出增加费用的要求。如遇发生要求增加费用未果，中标人消极怠工或偷工减料的情况，招标人有权单方面终止合同的履行，并拥有对中标人索赔的权利。</w:t>
      </w:r>
      <w:r/>
    </w:p>
    <w:p>
      <w:pPr>
        <w:ind w:firstLine="422"/>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六、服务要求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6.1质量保证期的技术支持与服务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（1）免费质保及系统维护服务期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人应负责设备在实验室的安装、调试工作，协助进行验收工作；免费安装调试至仪器正常运行；验收合格交付之日起计免费质保一年，终身维修，软件终身免费升级。售后服务响应时间2小时，硬件故障48小时上门维修。中标人必须详细列明主要设备的免费质保期及质保服务内容，供货时提供设备免费质保期的相关证明材料，否则被视为违约，并承担所有违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（2）维保服务的质量保障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电话/传真支持：提供7*24小时热线电话，工程师通过电话或传真方式提供技术问题咨询和故障诊断，协助用户解决困难；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电子邮件支持：提供7*24小时电子邮件支援，用户可通过电子邮件提交问题或故障，工程师在线提供技术问题咨询和故障诊断；</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远程协助：在技术条件允许且用户授权的情况下，工程师通过远程登录的方式，直接操作用户方计算机，协助用户排除故障；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现场服务：对于无法通过以上远程方式解决的问题故障，可指派工程师在24小时之内直接到现场提供技术支持和服务。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在质保期内更换的任何零配件必须是原厂商生产的或经原厂商认可的。所有的替代零配件必须是新的未使用和未经修复的,除非招标人提供书面许可，不可使用其他替代配件。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提供设备的终身售后服务，必须保证在设备的设计使用寿命周期内，能及时更换到原厂正宗的零部件，确保设备的正常使用，设备在保修期以后维修所需零配件，按优惠价收费。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.2培训</w:t>
      </w:r>
      <w:r/>
    </w:p>
    <w:p>
      <w:pPr>
        <w:pStyle w:val="719"/>
        <w:ind w:firstLine="420"/>
        <w:spacing w:after="0"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提供免费培训的详细计划，包括培训内容、时间及地点等</w:t>
      </w:r>
      <w:r>
        <w:rPr>
          <w:rFonts w:hint="eastAsia" w:ascii="宋体" w:hAnsi="宋体" w:cs="宋体"/>
          <w:color w:val="auto"/>
          <w:sz w:val="21"/>
          <w:szCs w:val="21"/>
          <w:highlight w:val="none"/>
          <w:lang w:eastAsia="zh-CN"/>
        </w:rPr>
        <w:t xml:space="preserve">。</w:t>
      </w:r>
      <w:r/>
    </w:p>
    <w:p>
      <w:pPr>
        <w:ind w:firstLine="422"/>
        <w:spacing w:line="360" w:lineRule="auto"/>
        <w:rPr>
          <w:rFonts w:hint="eastAsia" w:ascii="宋体" w:hAnsi="宋体" w:cs="宋体"/>
          <w:b/>
          <w:color w:val="auto"/>
          <w:szCs w:val="21"/>
          <w:highlight w:val="none"/>
        </w:rPr>
      </w:pPr>
      <w:r>
        <w:rPr>
          <w:rFonts w:hint="eastAsia" w:ascii="宋体" w:hAnsi="宋体" w:cs="宋体"/>
          <w:b/>
          <w:bCs/>
          <w:color w:val="auto"/>
          <w:sz w:val="21"/>
          <w:szCs w:val="21"/>
          <w:highlight w:val="none"/>
          <w:lang w:val="en-US" w:eastAsia="zh-CN"/>
        </w:rPr>
        <w:t xml:space="preserve">七</w:t>
      </w:r>
      <w:bookmarkEnd w:id="60"/>
      <w:r/>
      <w:bookmarkStart w:id="83" w:name="_Toc55204181"/>
      <w:r>
        <w:rPr>
          <w:rFonts w:hint="eastAsia" w:ascii="宋体" w:hAnsi="宋体" w:cs="宋体"/>
          <w:b/>
          <w:color w:val="auto"/>
          <w:szCs w:val="21"/>
          <w:highlight w:val="none"/>
        </w:rPr>
        <w:t xml:space="preserve">、节能产品要求</w:t>
      </w:r>
      <w:r/>
    </w:p>
    <w:p>
      <w:pPr>
        <w:ind w:firstLine="420"/>
        <w:jc w:val="left"/>
        <w:spacing w:line="360" w:lineRule="auto"/>
        <w:rPr>
          <w:rFonts w:hint="eastAsia" w:ascii="宋体" w:hAnsi="宋体" w:cs="宋体"/>
          <w:color w:val="auto"/>
          <w:szCs w:val="21"/>
          <w:highlight w:val="none"/>
        </w:rPr>
      </w:pPr>
      <w:r>
        <w:rPr>
          <w:rFonts w:hint="eastAsia" w:ascii="宋体" w:hAnsi="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w:t>
      </w:r>
      <w:r>
        <w:rPr>
          <w:rFonts w:hint="eastAsia" w:ascii="宋体" w:hAnsi="宋体" w:cs="宋体"/>
          <w:b/>
          <w:bCs/>
          <w:i/>
          <w:iCs/>
          <w:color w:val="auto"/>
          <w:szCs w:val="21"/>
          <w:highlight w:val="none"/>
          <w:u w:val="single"/>
        </w:rPr>
        <w:t xml:space="preserve">无</w:t>
      </w:r>
      <w:r>
        <w:rPr>
          <w:rFonts w:hint="eastAsia" w:ascii="宋体" w:hAnsi="宋体" w:cs="宋体"/>
          <w:i/>
          <w:iCs/>
          <w:color w:val="auto"/>
          <w:szCs w:val="21"/>
          <w:highlight w:val="none"/>
          <w:u w:val="single"/>
        </w:rPr>
        <w:t xml:space="preserve">）</w:t>
      </w:r>
      <w:r/>
    </w:p>
    <w:p>
      <w:pPr>
        <w:pStyle w:val="910"/>
        <w:jc w:val="center"/>
        <w:spacing w:before="0" w:after="0" w:line="360" w:lineRule="auto"/>
        <w:rPr>
          <w:rFonts w:hint="eastAsia" w:ascii="宋体" w:hAnsi="宋体" w:cs="宋体"/>
          <w:color w:val="auto"/>
          <w:sz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6"/>
          <w:highlight w:val="none"/>
        </w:rPr>
      </w:r>
      <w:r/>
    </w:p>
    <w:p>
      <w:pPr>
        <w:pStyle w:val="681"/>
        <w:rPr>
          <w:rFonts w:hint="eastAsia" w:ascii="宋体" w:hAnsi="宋体" w:cs="宋体"/>
          <w:color w:val="auto"/>
          <w:highlight w:val="none"/>
        </w:rPr>
      </w:pPr>
      <w:r/>
      <w:bookmarkStart w:id="84" w:name="_Toc6620"/>
      <w:r/>
      <w:bookmarkStart w:id="85" w:name="_Toc10862"/>
      <w:r>
        <w:rPr>
          <w:rFonts w:hint="eastAsia" w:ascii="宋体" w:hAnsi="宋体" w:cs="宋体"/>
          <w:color w:val="auto"/>
          <w:highlight w:val="none"/>
        </w:rPr>
        <w:t xml:space="preserve">第五章 评标方法及评标标准</w:t>
      </w:r>
      <w:bookmarkEnd w:id="83"/>
      <w:r/>
      <w:bookmarkEnd w:id="84"/>
      <w:r/>
      <w:bookmarkEnd w:id="85"/>
      <w:r/>
      <w:r/>
    </w:p>
    <w:p>
      <w:pPr>
        <w:pStyle w:val="740"/>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740"/>
        <w:ind w:firstLine="420"/>
        <w:spacing w:before="0" w:after="0"/>
        <w:rPr>
          <w:rFonts w:hint="eastAsia" w:ascii="宋体" w:hAnsi="宋体" w:cs="宋体"/>
          <w:color w:val="auto"/>
          <w:sz w:val="21"/>
          <w:szCs w:val="21"/>
          <w:highlight w:val="none"/>
        </w:rPr>
      </w:pPr>
      <w:r/>
      <w:bookmarkStart w:id="86" w:name="_Toc449016388"/>
      <w:r/>
      <w:bookmarkStart w:id="87"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86"/>
      <w:r/>
      <w:bookmarkEnd w:id="87"/>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（1）本项目对小型和微型企业产品给予10%的扣除价格，用扣除后的价格参与评审。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（1）本项目对残疾人福利性单位视同小型、微型企业，给予10%的价格扣除，用扣除后的价格参与评审。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（1）本项目对监狱和戒毒企业（简称监狱企业）视同小型、微型企业，给予10%的价格扣除，用扣除后的价格参与评审。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6、联合体各方均为小型、微型企业（残疾人福利单位、监狱企业）的，联合体享受10%价格扣除，用扣除后的价格参与评审。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7、大中型企业向小型、微型企业分包的，分包意向协议约定小型、微型企业合同份额占到合同总金额30%以上的，给予4%的价格扣除，用扣除后的价格参与评审。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三、评标标准</w:t>
      </w:r>
      <w:r/>
    </w:p>
    <w:tbl>
      <w:tblPr>
        <w:tblStyle w:val="691"/>
        <w:tblW w:w="5194" w:type="pct"/>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4"/>
        <w:gridCol w:w="7409"/>
      </w:tblGrid>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40</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以满足招标文件要求的最低投标报价为评标基准价，得满分</w:t>
            </w:r>
            <w:r>
              <w:rPr>
                <w:rFonts w:hint="eastAsia" w:ascii="宋体" w:hAnsi="宋体" w:cs="宋体"/>
                <w:color w:val="auto"/>
                <w:szCs w:val="21"/>
                <w:highlight w:val="none"/>
                <w:lang w:eastAsia="zh-CN"/>
              </w:rPr>
              <w:t xml:space="preserve">40</w:t>
            </w:r>
            <w:r>
              <w:rPr>
                <w:rFonts w:hint="eastAsia" w:ascii="宋体" w:hAnsi="宋体" w:cs="宋体"/>
                <w:color w:val="auto"/>
                <w:szCs w:val="21"/>
                <w:highlight w:val="none"/>
              </w:rPr>
              <w:t xml:space="preserve">分，其他投标报价=（评标基准价/其他投标报价）×</w:t>
            </w: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0×100%</w:t>
            </w:r>
            <w:r/>
          </w:p>
        </w:tc>
      </w:tr>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w:t>
            </w:r>
            <w:r/>
          </w:p>
          <w:p>
            <w:pPr>
              <w:jc w:val="center"/>
              <w:spacing w:line="360" w:lineRule="auto"/>
              <w:rPr>
                <w:color w:val="auto"/>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评委根据招标文件第四章项目需求中【三、技术参数及要求】1.1~37.7共</w:t>
            </w:r>
            <w:r>
              <w:rPr>
                <w:rFonts w:hint="eastAsia" w:ascii="宋体" w:hAnsi="宋体" w:cs="宋体"/>
                <w:color w:val="auto"/>
                <w:spacing w:val="-8"/>
                <w:highlight w:val="none"/>
                <w:lang w:val="en-US" w:eastAsia="zh-CN"/>
              </w:rPr>
              <w:t xml:space="preserve">509</w:t>
            </w:r>
            <w:r>
              <w:rPr>
                <w:rFonts w:hint="eastAsia" w:ascii="宋体" w:hAnsi="宋体" w:cs="宋体"/>
                <w:color w:val="auto"/>
                <w:spacing w:val="-8"/>
                <w:highlight w:val="none"/>
              </w:rPr>
              <w:t xml:space="preserve">项参数以及投标文件提供的佐证材料等进行评审：所投产品技术参数全部满足或者优于招标文件要求的得满分</w:t>
            </w:r>
            <w:r>
              <w:rPr>
                <w:rFonts w:hint="eastAsia" w:ascii="宋体" w:hAnsi="宋体" w:cs="宋体"/>
                <w:color w:val="auto"/>
                <w:spacing w:val="-8"/>
                <w:highlight w:val="none"/>
                <w:lang w:val="en-US" w:eastAsia="zh-CN"/>
              </w:rPr>
              <w:t xml:space="preserve">30</w:t>
            </w:r>
            <w:r>
              <w:rPr>
                <w:rFonts w:hint="eastAsia" w:ascii="宋体" w:hAnsi="宋体" w:cs="宋体"/>
                <w:color w:val="auto"/>
                <w:spacing w:val="-8"/>
                <w:highlight w:val="none"/>
              </w:rPr>
              <w:t xml:space="preserve">分。</w:t>
            </w:r>
            <w:r/>
          </w:p>
          <w:p>
            <w:pPr>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标“★”条款共13项内容为实质性要求，需实质性响应，未响应则为无效投标。</w:t>
            </w:r>
            <w:r/>
          </w:p>
          <w:p>
            <w:pPr>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标“▲”条款共23项为重要参数，每有一项负偏离的扣1分，共23分。</w:t>
            </w:r>
            <w:r/>
          </w:p>
          <w:p>
            <w:pPr>
              <w:spacing w:line="360" w:lineRule="auto"/>
              <w:rPr>
                <w:rFonts w:hint="eastAsia" w:ascii="宋体" w:hAnsi="宋体" w:cs="宋体"/>
                <w:color w:val="auto"/>
                <w:spacing w:val="-8"/>
                <w:highlight w:val="none"/>
              </w:rPr>
            </w:pPr>
            <w:r>
              <w:rPr>
                <w:rFonts w:hint="eastAsia" w:ascii="宋体" w:hAnsi="宋体" w:cs="宋体"/>
                <w:color w:val="auto"/>
                <w:spacing w:val="-8"/>
                <w:highlight w:val="none"/>
              </w:rPr>
              <w:t xml:space="preserve">其他为一般参数，共</w:t>
            </w:r>
            <w:r>
              <w:rPr>
                <w:rFonts w:hint="eastAsia" w:ascii="宋体" w:hAnsi="宋体" w:cs="宋体"/>
                <w:color w:val="auto"/>
                <w:spacing w:val="-8"/>
                <w:highlight w:val="none"/>
                <w:lang w:val="en-US" w:eastAsia="zh-CN"/>
              </w:rPr>
              <w:t xml:space="preserve">473</w:t>
            </w:r>
            <w:r>
              <w:rPr>
                <w:rFonts w:hint="eastAsia" w:ascii="宋体" w:hAnsi="宋体" w:cs="宋体"/>
                <w:color w:val="auto"/>
                <w:spacing w:val="-8"/>
                <w:highlight w:val="none"/>
              </w:rPr>
              <w:t xml:space="preserve">项；</w:t>
            </w:r>
            <w:r>
              <w:rPr>
                <w:rFonts w:hint="eastAsia" w:ascii="宋体" w:hAnsi="宋体" w:cs="宋体"/>
                <w:color w:val="auto"/>
                <w:spacing w:val="-8"/>
                <w:highlight w:val="none"/>
                <w:lang w:val="en-US" w:eastAsia="zh-CN"/>
              </w:rPr>
              <w:t xml:space="preserve">1</w:t>
            </w:r>
            <w:r>
              <w:rPr>
                <w:rFonts w:hint="eastAsia" w:ascii="宋体" w:hAnsi="宋体" w:cs="宋体"/>
                <w:color w:val="auto"/>
                <w:spacing w:val="-8"/>
                <w:highlight w:val="none"/>
              </w:rPr>
              <w:t xml:space="preserve">-</w:t>
            </w:r>
            <w:r>
              <w:rPr>
                <w:rFonts w:hint="eastAsia" w:ascii="宋体" w:hAnsi="宋体" w:cs="宋体"/>
                <w:color w:val="auto"/>
                <w:spacing w:val="-8"/>
                <w:highlight w:val="none"/>
                <w:lang w:val="en-US" w:eastAsia="zh-CN"/>
              </w:rPr>
              <w:t xml:space="preserve">9</w:t>
            </w:r>
            <w:r>
              <w:rPr>
                <w:rFonts w:hint="eastAsia" w:ascii="宋体" w:hAnsi="宋体" w:cs="宋体"/>
                <w:color w:val="auto"/>
                <w:spacing w:val="-8"/>
                <w:highlight w:val="none"/>
              </w:rPr>
              <w:t xml:space="preserve">项负偏离的扣</w:t>
            </w:r>
            <w:r>
              <w:rPr>
                <w:rFonts w:hint="eastAsia" w:ascii="宋体" w:hAnsi="宋体" w:cs="宋体"/>
                <w:color w:val="auto"/>
                <w:spacing w:val="-8"/>
                <w:highlight w:val="none"/>
                <w:lang w:val="en-US" w:eastAsia="zh-CN"/>
              </w:rPr>
              <w:t xml:space="preserve">2</w:t>
            </w:r>
            <w:r>
              <w:rPr>
                <w:rFonts w:hint="eastAsia" w:ascii="宋体" w:hAnsi="宋体" w:cs="宋体"/>
                <w:color w:val="auto"/>
                <w:spacing w:val="-8"/>
                <w:highlight w:val="none"/>
              </w:rPr>
              <w:t xml:space="preserve">分，</w:t>
            </w:r>
            <w:r>
              <w:rPr>
                <w:rFonts w:hint="eastAsia" w:ascii="宋体" w:hAnsi="宋体" w:cs="宋体"/>
                <w:color w:val="auto"/>
                <w:spacing w:val="-8"/>
                <w:highlight w:val="none"/>
                <w:lang w:val="en-US" w:eastAsia="zh-CN"/>
              </w:rPr>
              <w:t xml:space="preserve">10</w:t>
            </w:r>
            <w:r>
              <w:rPr>
                <w:rFonts w:hint="eastAsia" w:ascii="宋体" w:hAnsi="宋体" w:cs="宋体"/>
                <w:color w:val="auto"/>
                <w:spacing w:val="-8"/>
                <w:highlight w:val="none"/>
              </w:rPr>
              <w:t xml:space="preserve">-</w:t>
            </w:r>
            <w:r>
              <w:rPr>
                <w:rFonts w:hint="eastAsia" w:ascii="宋体" w:hAnsi="宋体" w:cs="宋体"/>
                <w:color w:val="auto"/>
                <w:spacing w:val="-8"/>
                <w:highlight w:val="none"/>
                <w:lang w:val="en-US" w:eastAsia="zh-CN"/>
              </w:rPr>
              <w:t xml:space="preserve">19</w:t>
            </w:r>
            <w:r>
              <w:rPr>
                <w:rFonts w:hint="eastAsia" w:ascii="宋体" w:hAnsi="宋体" w:cs="宋体"/>
                <w:color w:val="auto"/>
                <w:spacing w:val="-8"/>
                <w:highlight w:val="none"/>
              </w:rPr>
              <w:t xml:space="preserve">项负偏离的扣</w:t>
            </w:r>
            <w:r>
              <w:rPr>
                <w:rFonts w:hint="eastAsia" w:ascii="宋体" w:hAnsi="宋体" w:cs="宋体"/>
                <w:color w:val="auto"/>
                <w:spacing w:val="-8"/>
                <w:highlight w:val="none"/>
                <w:lang w:val="en-US" w:eastAsia="zh-CN"/>
              </w:rPr>
              <w:t xml:space="preserve">4</w:t>
            </w:r>
            <w:r>
              <w:rPr>
                <w:rFonts w:hint="eastAsia" w:ascii="宋体" w:hAnsi="宋体" w:cs="宋体"/>
                <w:color w:val="auto"/>
                <w:spacing w:val="-8"/>
                <w:highlight w:val="none"/>
              </w:rPr>
              <w:t xml:space="preserve">分，</w:t>
            </w:r>
            <w:r>
              <w:rPr>
                <w:rFonts w:hint="eastAsia" w:ascii="宋体" w:hAnsi="宋体" w:cs="宋体"/>
                <w:color w:val="auto"/>
                <w:spacing w:val="-8"/>
                <w:highlight w:val="none"/>
                <w:lang w:val="en-US" w:eastAsia="zh-CN"/>
              </w:rPr>
              <w:t xml:space="preserve">20</w:t>
            </w:r>
            <w:r>
              <w:rPr>
                <w:rFonts w:hint="eastAsia" w:ascii="宋体" w:hAnsi="宋体" w:cs="宋体"/>
                <w:color w:val="auto"/>
                <w:spacing w:val="-8"/>
                <w:highlight w:val="none"/>
              </w:rPr>
              <w:t xml:space="preserve">-</w:t>
            </w:r>
            <w:r>
              <w:rPr>
                <w:rFonts w:hint="eastAsia" w:ascii="宋体" w:hAnsi="宋体" w:cs="宋体"/>
                <w:color w:val="auto"/>
                <w:spacing w:val="-8"/>
                <w:highlight w:val="none"/>
                <w:lang w:val="en-US" w:eastAsia="zh-CN"/>
              </w:rPr>
              <w:t xml:space="preserve">29</w:t>
            </w:r>
            <w:r>
              <w:rPr>
                <w:rFonts w:hint="eastAsia" w:ascii="宋体" w:hAnsi="宋体" w:cs="宋体"/>
                <w:color w:val="auto"/>
                <w:spacing w:val="-8"/>
                <w:highlight w:val="none"/>
              </w:rPr>
              <w:t xml:space="preserve">项负偏离的的扣</w:t>
            </w:r>
            <w:r>
              <w:rPr>
                <w:rFonts w:hint="eastAsia" w:ascii="宋体" w:hAnsi="宋体" w:cs="宋体"/>
                <w:color w:val="auto"/>
                <w:spacing w:val="-8"/>
                <w:highlight w:val="none"/>
                <w:lang w:val="en-US" w:eastAsia="zh-CN"/>
              </w:rPr>
              <w:t xml:space="preserve">6</w:t>
            </w:r>
            <w:r>
              <w:rPr>
                <w:rFonts w:hint="eastAsia" w:ascii="宋体" w:hAnsi="宋体" w:cs="宋体"/>
                <w:color w:val="auto"/>
                <w:spacing w:val="-8"/>
                <w:highlight w:val="none"/>
              </w:rPr>
              <w:t xml:space="preserve">分；≥</w:t>
            </w:r>
            <w:r>
              <w:rPr>
                <w:rFonts w:hint="eastAsia" w:ascii="宋体" w:hAnsi="宋体" w:cs="宋体"/>
                <w:color w:val="auto"/>
                <w:spacing w:val="-8"/>
                <w:highlight w:val="none"/>
                <w:lang w:val="en-US" w:eastAsia="zh-CN"/>
              </w:rPr>
              <w:t xml:space="preserve">30</w:t>
            </w:r>
            <w:r>
              <w:rPr>
                <w:rFonts w:hint="eastAsia" w:ascii="宋体" w:hAnsi="宋体" w:cs="宋体"/>
                <w:color w:val="auto"/>
                <w:spacing w:val="-8"/>
                <w:highlight w:val="none"/>
              </w:rPr>
              <w:t xml:space="preserve">项负偏离的扣</w:t>
            </w:r>
            <w:r>
              <w:rPr>
                <w:rFonts w:hint="eastAsia" w:ascii="宋体" w:hAnsi="宋体" w:cs="宋体"/>
                <w:color w:val="auto"/>
                <w:spacing w:val="-8"/>
                <w:highlight w:val="none"/>
                <w:lang w:val="en-US" w:eastAsia="zh-CN"/>
              </w:rPr>
              <w:t xml:space="preserve">7</w:t>
            </w:r>
            <w:r>
              <w:rPr>
                <w:rFonts w:hint="eastAsia" w:ascii="宋体" w:hAnsi="宋体" w:cs="宋体"/>
                <w:color w:val="auto"/>
                <w:spacing w:val="-8"/>
                <w:highlight w:val="none"/>
              </w:rPr>
              <w:t xml:space="preserve">分，共</w:t>
            </w:r>
            <w:r>
              <w:rPr>
                <w:rFonts w:hint="eastAsia" w:ascii="宋体" w:hAnsi="宋体" w:cs="宋体"/>
                <w:color w:val="auto"/>
                <w:spacing w:val="-8"/>
                <w:highlight w:val="none"/>
                <w:lang w:val="en-US" w:eastAsia="zh-CN"/>
              </w:rPr>
              <w:t xml:space="preserve">7</w:t>
            </w:r>
            <w:r>
              <w:rPr>
                <w:rFonts w:hint="eastAsia" w:ascii="宋体" w:hAnsi="宋体" w:cs="宋体"/>
                <w:color w:val="auto"/>
                <w:spacing w:val="-8"/>
                <w:highlight w:val="none"/>
              </w:rPr>
              <w:t xml:space="preserve">分。</w:t>
            </w:r>
            <w:r/>
          </w:p>
          <w:p>
            <w:pPr>
              <w:spacing w:line="360" w:lineRule="auto"/>
              <w:rPr>
                <w:rFonts w:hint="eastAsia" w:ascii="宋体" w:hAnsi="宋体" w:cs="宋体"/>
                <w:b/>
                <w:bCs/>
                <w:color w:val="auto"/>
                <w:spacing w:val="-8"/>
                <w:highlight w:val="none"/>
              </w:rPr>
            </w:pPr>
            <w:r>
              <w:rPr>
                <w:rFonts w:hint="eastAsia" w:ascii="宋体" w:hAnsi="宋体" w:cs="宋体"/>
                <w:b/>
                <w:bCs/>
                <w:color w:val="auto"/>
                <w:spacing w:val="-8"/>
                <w:highlight w:val="none"/>
              </w:rPr>
              <w:t xml:space="preserve">注：</w:t>
            </w:r>
            <w:r/>
          </w:p>
          <w:p>
            <w:pPr>
              <w:spacing w:line="360" w:lineRule="auto"/>
              <w:rPr>
                <w:rFonts w:hint="eastAsia" w:ascii="宋体" w:hAnsi="宋体" w:cs="宋体"/>
                <w:b/>
                <w:bCs/>
                <w:color w:val="auto"/>
                <w:spacing w:val="-8"/>
                <w:highlight w:val="none"/>
              </w:rPr>
            </w:pPr>
            <w:r>
              <w:rPr>
                <w:rFonts w:hint="eastAsia" w:ascii="宋体" w:hAnsi="宋体" w:cs="宋体"/>
                <w:b/>
                <w:bCs/>
                <w:color w:val="auto"/>
                <w:spacing w:val="-8"/>
                <w:highlight w:val="none"/>
              </w:rPr>
              <w:t xml:space="preserve">1、标“▲”号项指标参数需按参数后要求提供相关证明材料，并同时须在《技术参数响应及偏离表》中逐条应答，未按要求提供证明材料并逐条应答的视为负偏离，</w:t>
            </w:r>
            <w:r>
              <w:rPr>
                <w:rFonts w:hint="eastAsia" w:ascii="宋体" w:hAnsi="宋体" w:cs="宋体"/>
                <w:b/>
                <w:bCs/>
                <w:color w:val="auto"/>
                <w:spacing w:val="-8"/>
                <w:highlight w:val="none"/>
                <w:lang w:val="en-US" w:eastAsia="zh-CN"/>
              </w:rPr>
              <w:t xml:space="preserve">此项参数按负偏离进行评分</w:t>
            </w:r>
            <w:r>
              <w:rPr>
                <w:rFonts w:hint="eastAsia" w:ascii="宋体" w:hAnsi="宋体" w:cs="宋体"/>
                <w:b/>
                <w:bCs/>
                <w:color w:val="auto"/>
                <w:spacing w:val="-8"/>
                <w:highlight w:val="none"/>
              </w:rPr>
              <w:t xml:space="preserve">。</w:t>
            </w:r>
            <w:r/>
          </w:p>
          <w:p>
            <w:pPr>
              <w:spacing w:line="360" w:lineRule="auto"/>
              <w:rPr>
                <w:rFonts w:hint="eastAsia" w:ascii="宋体" w:hAnsi="宋体" w:cs="宋体"/>
                <w:b/>
                <w:bCs/>
                <w:color w:val="auto"/>
                <w:spacing w:val="-8"/>
                <w:highlight w:val="none"/>
              </w:rPr>
            </w:pPr>
            <w:r>
              <w:rPr>
                <w:rFonts w:hint="eastAsia" w:ascii="宋体" w:hAnsi="宋体" w:cs="宋体"/>
                <w:b/>
                <w:bCs/>
                <w:color w:val="auto"/>
                <w:spacing w:val="-8"/>
                <w:highlight w:val="none"/>
              </w:rPr>
              <w:t xml:space="preserve">2、其他项一般参数仅需在《技术参数响应及偏离表》中逐条应答，未按要求逐条应答的视为负偏离</w:t>
            </w:r>
            <w:r>
              <w:rPr>
                <w:rFonts w:hint="eastAsia" w:ascii="宋体" w:hAnsi="宋体" w:cs="宋体"/>
                <w:b/>
                <w:bCs/>
                <w:color w:val="auto"/>
                <w:spacing w:val="-8"/>
                <w:highlight w:val="none"/>
                <w:lang w:eastAsia="zh-CN"/>
              </w:rPr>
              <w:t xml:space="preserve">，</w:t>
            </w:r>
            <w:r>
              <w:rPr>
                <w:rFonts w:hint="eastAsia" w:ascii="宋体" w:hAnsi="宋体" w:cs="宋体"/>
                <w:b/>
                <w:bCs/>
                <w:color w:val="auto"/>
                <w:spacing w:val="-8"/>
                <w:highlight w:val="none"/>
                <w:lang w:val="en-US" w:eastAsia="zh-CN"/>
              </w:rPr>
              <w:t xml:space="preserve">此项参数按负偏离进行评分</w:t>
            </w:r>
            <w:r>
              <w:rPr>
                <w:rFonts w:hint="eastAsia" w:ascii="宋体" w:hAnsi="宋体" w:cs="宋体"/>
                <w:b/>
                <w:bCs/>
                <w:color w:val="auto"/>
                <w:spacing w:val="-8"/>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
                <w:bCs/>
                <w:color w:val="auto"/>
                <w:spacing w:val="-8"/>
                <w:highlight w:val="none"/>
              </w:rPr>
              <w:t xml:space="preserve">3、设备交付验收时，招标人将对技术要求的具体描述进行逐一核实验收，如发现虚假应标，给招标人造成损失的由投标人承担一切责任。</w:t>
            </w:r>
            <w:r/>
          </w:p>
        </w:tc>
      </w:tr>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演示内容</w:t>
            </w:r>
            <w:r/>
          </w:p>
          <w:p>
            <w:pPr>
              <w:jc w:val="cente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w:t>
            </w:r>
            <w:r>
              <w:rPr>
                <w:rFonts w:hint="eastAsia" w:ascii="宋体" w:hAnsi="宋体" w:cs="宋体"/>
                <w:color w:val="auto"/>
                <w:highlight w:val="none"/>
                <w:lang w:val="en-US" w:eastAsia="zh-CN"/>
              </w:rPr>
              <w:t xml:space="preserve">14</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pStyle w:val="790"/>
              <w:ind w:left="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一、双螺杆挤出机（5分）</w:t>
            </w:r>
            <w:r/>
          </w:p>
          <w:p>
            <w:pPr>
              <w:pStyle w:val="790"/>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温控系统演示：视频需清晰展示PLC控制系统对挤出机各加热区的独立控温功能。演示过程中，需直观呈现设备运行时的实时温度数据，验证其温控系统的精准度与稳定性。</w:t>
            </w:r>
            <w:r/>
          </w:p>
          <w:p>
            <w:pPr>
              <w:pStyle w:val="790"/>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螺杆结构演示：展示组合式螺杆的模块化设计结构，并通过实景或仿真动画演示螺杆元件的便捷拆装与灵活组合过程，体现设备针对不同物料工艺的适应性。</w:t>
            </w:r>
            <w:r/>
          </w:p>
          <w:p>
            <w:pPr>
              <w:pStyle w:val="790"/>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核心电控与交互系统演示：视频需展示设备采用的主流品牌PLC控制系统及人机交互界面。要求PLC系统运行稳定、逻辑可靠；人机交互界面（触摸屏）尺寸不小于12寸，具备清晰的参数设定与实时监控功能。</w:t>
            </w:r>
            <w:r/>
          </w:p>
          <w:p>
            <w:pPr>
              <w:pStyle w:val="790"/>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全流程运行状态演示：实景拍摄设备正常开机运行状态，完整展示物料从挤出机头挤出、经过水槽冷却定型，直至进入切粒机完成切粒的全流程工艺，验证设备连续生产的平稳性。</w:t>
            </w:r>
            <w:r/>
          </w:p>
          <w:p>
            <w:pPr>
              <w:pStyle w:val="790"/>
              <w:ind w:left="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5. 真空系统效能演示：演示抽真空系统的实际工作效果。视频需包含系统启动前后的状态对比，并清晰展示真空表读数，以证明其达到工艺要求的真空度。</w:t>
            </w:r>
            <w:r>
              <w:rPr>
                <w:rFonts w:hint="eastAsia" w:ascii="宋体" w:hAnsi="宋体" w:eastAsia="宋体" w:cs="宋体"/>
                <w:b/>
                <w:bCs/>
                <w:color w:val="auto"/>
                <w:szCs w:val="21"/>
                <w:highlight w:val="none"/>
              </w:rPr>
              <w:t xml:space="preserve">投标人提供演示视频需针对以上要求逐条响应，每满足1项应能对应得1分，满分</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分，未提供演示视频或响应不完整此项不得分；</w:t>
            </w:r>
            <w:r/>
          </w:p>
          <w:p>
            <w:pPr>
              <w:pStyle w:val="790"/>
              <w:ind w:left="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rPr>
                <w:rFonts w:hint="eastAsia" w:ascii="宋体" w:hAnsi="宋体" w:cs="宋体"/>
                <w:b/>
                <w:bCs/>
                <w:color w:val="auto"/>
                <w:szCs w:val="21"/>
                <w:highlight w:val="none"/>
                <w:lang w:val="en-US" w:eastAsia="zh-CN"/>
              </w:rPr>
              <w:t xml:space="preserve">小型液压</w:t>
            </w:r>
            <w:r>
              <w:rPr>
                <w:rFonts w:hint="eastAsia" w:ascii="宋体" w:hAnsi="宋体" w:eastAsia="宋体" w:cs="宋体"/>
                <w:b/>
                <w:bCs/>
                <w:color w:val="auto"/>
                <w:szCs w:val="21"/>
                <w:highlight w:val="none"/>
              </w:rPr>
              <w:t xml:space="preserve">注塑机（3分）</w:t>
            </w:r>
            <w:r/>
          </w:p>
          <w:p>
            <w:pPr>
              <w:pStyle w:val="790"/>
              <w:ind w:left="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 进料仓可视化与密封性演示：视频需清晰展示进料仓的透明可视化结构设计，直观呈现内部物料状态及退料操作的便捷性。同时，演示进料仓的密封隔绝空气性能，验证其在特定工艺条件下防止物料吸湿或氧化的功能。</w:t>
            </w:r>
            <w:r/>
          </w:p>
          <w:p>
            <w:pPr>
              <w:pStyle w:val="790"/>
              <w:ind w:left="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 模具安全防护机制演示：演示设备的安全联锁保护功能。视频需展示当模具处安全门被打开时，设备模具动作能够立即停止的响应过程；同时，清晰拍摄设备正面急停开关的位置，并演示触发急停开关后设备迅速停止运行的安全保护机制。</w:t>
            </w:r>
            <w:r/>
          </w:p>
          <w:p>
            <w:pPr>
              <w:pStyle w:val="790"/>
              <w:ind w:left="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 模具更换便捷性演示：展示模具更换的操作流程，验证设备在模具拆装方面的便捷程度。视频需记录单人操作完成模具更换的全过程，并标注实际操作耗时，以体现设备在换模效率方面的性能优势。</w:t>
            </w:r>
            <w:r/>
          </w:p>
          <w:p>
            <w:pPr>
              <w:pStyle w:val="790"/>
              <w:ind w:left="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投标人提供演示视频需针对以上要求逐条响应，每满足1项应能对应得1分，满分</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分，未提供演示视频或响应不完整此项不得分；</w:t>
            </w:r>
            <w:r/>
          </w:p>
          <w:p>
            <w:pPr>
              <w:pStyle w:val="790"/>
              <w:numPr>
                <w:ilvl w:val="0"/>
                <w:numId w:val="0"/>
              </w:numPr>
              <w:ind w:left="0"/>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cs="宋体"/>
                <w:b/>
                <w:bCs/>
                <w:color w:val="auto"/>
                <w:szCs w:val="21"/>
                <w:highlight w:val="none"/>
                <w:lang w:val="en-US" w:eastAsia="zh-CN"/>
              </w:rPr>
              <w:t xml:space="preserve">喷丝试验机（1分）</w:t>
            </w:r>
            <w:r/>
          </w:p>
          <w:p>
            <w:pPr>
              <w:pStyle w:val="790"/>
              <w:numPr>
                <w:ilvl w:val="0"/>
                <w:numId w:val="0"/>
              </w:numPr>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1、核心系统配置与整体运行状态演示：视频需清晰展示单螺杆挤出系统、纺丝计量泵系统、成型单元、冷却单元、热拉伸辊组及收丝装置等核心模块的整体布局与联动运行状态。</w:t>
            </w:r>
            <w:r/>
          </w:p>
          <w:p>
            <w:pPr>
              <w:pStyle w:val="790"/>
              <w:numPr>
                <w:ilvl w:val="0"/>
                <w:numId w:val="0"/>
              </w:numPr>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2、全流程工艺原理演示：视频需清晰演示从高分子切片加温熔融、计量泵稳压输送、喷丝板挤出、侧风冷却固化，到上油、多级热辊牵伸定型及最终恒张力排线收卷的连续纺丝全流程工艺。</w:t>
            </w:r>
            <w:r/>
          </w:p>
          <w:p>
            <w:pPr>
              <w:pStyle w:val="790"/>
              <w:ind w:left="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投标人提供演示视频需针对以上要求逐条响应，每满足1项应能对应得</w:t>
            </w:r>
            <w:r>
              <w:rPr>
                <w:rFonts w:hint="eastAsia" w:ascii="宋体" w:hAnsi="宋体" w:cs="宋体"/>
                <w:b/>
                <w:bCs/>
                <w:color w:val="auto"/>
                <w:szCs w:val="21"/>
                <w:highlight w:val="none"/>
                <w:lang w:val="en-US" w:eastAsia="zh-CN"/>
              </w:rPr>
              <w:t xml:space="preserve">0.5</w:t>
            </w:r>
            <w:r>
              <w:rPr>
                <w:rFonts w:hint="eastAsia" w:ascii="宋体" w:hAnsi="宋体" w:eastAsia="宋体" w:cs="宋体"/>
                <w:b/>
                <w:bCs/>
                <w:color w:val="auto"/>
                <w:szCs w:val="21"/>
                <w:highlight w:val="none"/>
              </w:rPr>
              <w:t xml:space="preserve">分，满分</w:t>
            </w:r>
            <w:r>
              <w:rPr>
                <w:rFonts w:hint="eastAsia" w:ascii="宋体" w:hAnsi="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分，未提供演示视频或响应不完整此项不得分；</w:t>
            </w:r>
            <w:r/>
          </w:p>
          <w:p>
            <w:pPr>
              <w:pStyle w:val="790"/>
              <w:ind w:left="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、高分子实验室制造执行智能系统（MES系统）</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5分</w:t>
            </w:r>
            <w:r>
              <w:rPr>
                <w:rFonts w:hint="eastAsia" w:ascii="宋体" w:hAnsi="宋体" w:cs="宋体"/>
                <w:b/>
                <w:bCs/>
                <w:color w:val="auto"/>
                <w:szCs w:val="21"/>
                <w:highlight w:val="none"/>
                <w:lang w:eastAsia="zh-CN"/>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1、MES数据综合展示演示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2、MES系统配方与实验方案管理操作环节演示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3、MES系统实验计划与调度环节演示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4、MES系统产物质量监测结果查看环节演示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5、MES系统物料管理环节演示</w:t>
            </w:r>
            <w:r/>
          </w:p>
          <w:p>
            <w:pPr>
              <w:spacing w:line="360" w:lineRule="auto"/>
              <w:rPr>
                <w:rFonts w:hint="eastAsia" w:ascii="宋体" w:hAnsi="宋体" w:eastAsia="宋体" w:cs="宋体"/>
                <w:color w:val="auto"/>
                <w:spacing w:val="-8"/>
                <w:highlight w:val="none"/>
                <w:lang w:val="en-US" w:eastAsia="zh-CN"/>
              </w:rPr>
            </w:pPr>
            <w:r>
              <w:rPr>
                <w:rFonts w:hint="eastAsia" w:ascii="宋体" w:hAnsi="宋体" w:eastAsia="宋体" w:cs="宋体"/>
                <w:b/>
                <w:bCs/>
                <w:color w:val="auto"/>
                <w:szCs w:val="21"/>
                <w:highlight w:val="none"/>
              </w:rPr>
              <w:t xml:space="preserve">投标人提供演示视频需针对以上要求逐条响应，共5项功能，每满足1项应能对应得1分，满分5分，未提供演示视频或响应不完整此项不得分</w:t>
            </w:r>
            <w:r>
              <w:rPr>
                <w:rFonts w:hint="eastAsia" w:ascii="宋体" w:hAnsi="宋体" w:cs="宋体"/>
                <w:b/>
                <w:bCs/>
                <w:color w:val="auto"/>
                <w:szCs w:val="21"/>
                <w:highlight w:val="none"/>
                <w:lang w:eastAsia="zh-CN"/>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right="-87"/>
              <w:jc w:val="center"/>
              <w:spacing w:line="360" w:lineRule="auto"/>
              <w:rPr>
                <w:color w:val="auto"/>
                <w:highlight w:val="none"/>
              </w:rPr>
            </w:pPr>
            <w:r>
              <w:rPr>
                <w:rFonts w:hint="eastAsia"/>
                <w:color w:val="auto"/>
                <w:highlight w:val="none"/>
              </w:rPr>
              <w:t xml:space="preserve">类似业绩</w:t>
            </w:r>
            <w:r/>
          </w:p>
          <w:p>
            <w:pPr>
              <w:ind w:right="-87"/>
              <w:jc w:val="center"/>
              <w:spacing w:line="360" w:lineRule="auto"/>
              <w:rPr>
                <w:color w:val="auto"/>
                <w:highlight w:val="none"/>
              </w:rPr>
            </w:pPr>
            <w:r>
              <w:rPr>
                <w:rFonts w:hint="eastAsia" w:ascii="宋体" w:hAnsi="宋体" w:cs="宋体"/>
                <w:color w:val="auto"/>
                <w:szCs w:val="21"/>
                <w:highlight w:val="none"/>
              </w:rPr>
              <w:t xml:space="preserve">（</w:t>
            </w:r>
            <w:r>
              <w:rPr>
                <w:rFonts w:hint="eastAsia" w:ascii="宋体" w:hAnsi="宋体" w:cs="宋体"/>
                <w:color w:val="auto"/>
                <w:highlight w:val="none"/>
              </w:rPr>
              <w:t xml:space="preserve">2</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hint="eastAsia" w:ascii="阿里巴巴普惠体 Light" w:hAnsi="阿里巴巴普惠体 Light" w:eastAsia="阿里巴巴普惠体 Light" w:cs="阿里巴巴普惠体 Light"/>
                <w:b/>
                <w:bCs/>
                <w:color w:val="auto"/>
                <w:szCs w:val="21"/>
                <w:highlight w:val="none"/>
              </w:rPr>
            </w:pPr>
            <w:r>
              <w:rPr>
                <w:rFonts w:hint="eastAsia" w:ascii="宋体" w:hAnsi="宋体" w:cs="宋体"/>
                <w:color w:val="auto"/>
                <w:highlight w:val="none"/>
                <w:lang w:val="en-US" w:eastAsia="zh-CN"/>
              </w:rPr>
              <w:t xml:space="preserve">自</w:t>
            </w:r>
            <w:r>
              <w:rPr>
                <w:rFonts w:hint="eastAsia" w:ascii="宋体" w:hAnsi="宋体" w:cs="宋体"/>
                <w:color w:val="auto"/>
                <w:highlight w:val="none"/>
              </w:rPr>
              <w:t xml:space="preserve">2022年</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1日</w:t>
            </w:r>
            <w:r>
              <w:rPr>
                <w:rFonts w:hint="eastAsia" w:ascii="宋体" w:hAnsi="宋体" w:cs="宋体"/>
                <w:color w:val="auto"/>
                <w:highlight w:val="none"/>
              </w:rPr>
              <w:t xml:space="preserve">至今</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以合同签订时间为准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曾参与过类似项目（成功案例中所投品牌需与投标核心产品品牌一致）的，每提供一个有效合同得0.5分，最多得2分，未提供不得分。</w:t>
            </w:r>
            <w:r>
              <w:rPr>
                <w:rFonts w:hint="eastAsia" w:ascii="宋体" w:hAnsi="宋体" w:cs="宋体"/>
                <w:b/>
                <w:bCs/>
                <w:color w:val="auto"/>
                <w:highlight w:val="none"/>
              </w:rPr>
              <w:t xml:space="preserve">（所提供的合同必须提供合同双方签署页及合同签署双方的完整信息，合同必须能体现产品品牌</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提供合同原件扫描上传，</w:t>
            </w:r>
            <w:r>
              <w:rPr>
                <w:rFonts w:hint="eastAsia" w:ascii="宋体" w:hAnsi="宋体" w:cs="宋体"/>
                <w:b/>
                <w:bCs/>
                <w:color w:val="auto"/>
                <w:highlight w:val="none"/>
              </w:rPr>
              <w:t xml:space="preserve">加盖投标人公章）</w:t>
            </w:r>
            <w:r/>
          </w:p>
        </w:tc>
      </w:tr>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right="-87"/>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质保期</w:t>
            </w:r>
            <w:r/>
          </w:p>
          <w:p>
            <w:pPr>
              <w:ind w:right="-87"/>
              <w:jc w:val="center"/>
              <w:spacing w:line="360" w:lineRule="auto"/>
              <w:rPr>
                <w:color w:val="auto"/>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hint="eastAsia" w:ascii="阿里巴巴普惠体 Light" w:hAnsi="阿里巴巴普惠体 Light" w:eastAsia="阿里巴巴普惠体 Light" w:cs="阿里巴巴普惠体 Light"/>
                <w:b/>
                <w:bCs/>
                <w:color w:val="auto"/>
                <w:szCs w:val="21"/>
                <w:highlight w:val="none"/>
              </w:rPr>
            </w:pPr>
            <w:r>
              <w:rPr>
                <w:rFonts w:hint="eastAsia" w:ascii="宋体" w:hAnsi="宋体" w:cs="宋体"/>
                <w:color w:val="auto"/>
                <w:highlight w:val="none"/>
              </w:rPr>
              <w:t xml:space="preserve">在满足项目需求</w:t>
            </w:r>
            <w:r>
              <w:rPr>
                <w:rFonts w:hint="eastAsia" w:ascii="宋体" w:hAnsi="宋体" w:cs="宋体"/>
                <w:color w:val="auto"/>
                <w:highlight w:val="none"/>
                <w:lang w:val="en-US" w:eastAsia="zh-CN"/>
              </w:rPr>
              <w:t xml:space="preserve">（</w:t>
            </w:r>
            <w:r>
              <w:rPr>
                <w:rFonts w:hint="eastAsia" w:ascii="宋体" w:hAnsi="宋体" w:cs="宋体"/>
                <w:b w:val="0"/>
                <w:color w:val="auto"/>
                <w:szCs w:val="22"/>
                <w:highlight w:val="none"/>
              </w:rPr>
              <w:t xml:space="preserve">质保期：</w:t>
            </w:r>
            <w:r>
              <w:rPr>
                <w:rFonts w:hint="eastAsia" w:ascii="宋体" w:hAnsi="宋体" w:cs="宋体"/>
                <w:b w:val="0"/>
                <w:bCs w:val="0"/>
                <w:i w:val="0"/>
                <w:iCs w:val="0"/>
                <w:color w:val="auto"/>
                <w:szCs w:val="22"/>
                <w:highlight w:val="none"/>
                <w:u w:val="none"/>
              </w:rPr>
              <w:t xml:space="preserve">自验收合格交付之日起，采购清单内所有设备及部件提供至少一年免费质保，质保期内全免费上门</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的基础上，</w:t>
            </w:r>
            <w:r>
              <w:rPr>
                <w:rFonts w:hint="eastAsia" w:ascii="宋体" w:hAnsi="宋体" w:cs="宋体"/>
                <w:color w:val="auto"/>
                <w:highlight w:val="none"/>
                <w:lang w:val="en-US" w:eastAsia="zh-CN"/>
              </w:rPr>
              <w:t xml:space="preserve">每</w:t>
            </w:r>
            <w:r>
              <w:rPr>
                <w:rFonts w:hint="eastAsia" w:ascii="宋体" w:hAnsi="宋体" w:cs="宋体"/>
                <w:color w:val="auto"/>
                <w:highlight w:val="none"/>
              </w:rPr>
              <w:t xml:space="preserve">延长一年质保期加</w:t>
            </w: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分，最多得</w:t>
            </w: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分。</w:t>
            </w:r>
            <w:r>
              <w:rPr>
                <w:rFonts w:hint="eastAsia" w:ascii="宋体" w:hAnsi="宋体" w:cs="宋体"/>
                <w:b/>
                <w:bCs/>
                <w:color w:val="auto"/>
                <w:highlight w:val="none"/>
              </w:rPr>
              <w:t xml:space="preserve">（提供承诺函并加盖投标人公章，格式自拟）</w:t>
            </w:r>
            <w:r/>
          </w:p>
        </w:tc>
      </w:tr>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right="-87"/>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项目实施方案</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评标委员会根据各投标人提供的项目实施方案进行综合评审。方案内容需涵盖：①实验室设备总体布局设计（含3D布局效果图、生产工艺流程等）；②人员配置及分工；③工期进度计划、安装调试程序及保障措施；④实施过程的质量管理、安全保障、环境保护措施。各项内容按以下标准分项计分，满分</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1.实验室设备总体布局设计、3D布局效果图及生产工艺流程（</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布局设计科学合理，空间利用率高，完全契合实验室实际使用需求；提供高清、逼真的3D布局效果图，视觉呈现优越；生产工艺流程逻辑严密、科学规范，具有极强的针对性和可操作性</w:t>
            </w:r>
            <w:r>
              <w:rPr>
                <w:rFonts w:hint="eastAsia" w:ascii="宋体" w:hAnsi="宋体" w:cs="宋体"/>
                <w:color w:val="auto"/>
                <w:highlight w:val="none"/>
                <w:lang w:val="en-US" w:eastAsia="zh-CN"/>
              </w:rPr>
              <w:t xml:space="preserve">的得2分；</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布局设计较为合理，基本满足使用需求；提供3D布局效果图，但细节或逼真度一般；生产工艺流程较为清晰，基本符合项目要求</w:t>
            </w:r>
            <w:r>
              <w:rPr>
                <w:rFonts w:hint="eastAsia" w:ascii="宋体" w:hAnsi="宋体" w:cs="宋体"/>
                <w:color w:val="auto"/>
                <w:highlight w:val="none"/>
                <w:lang w:val="en-US" w:eastAsia="zh-CN"/>
              </w:rPr>
              <w:t xml:space="preserve">的得1分；</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布局设计存在明显瑕疵或空间规划不合理；未提供3D布局效果图或效果较差；生产工艺流程描述简单、逻辑不清，针对性不强</w:t>
            </w:r>
            <w:r>
              <w:rPr>
                <w:rFonts w:hint="eastAsia" w:ascii="宋体" w:hAnsi="宋体" w:cs="宋体"/>
                <w:color w:val="auto"/>
                <w:highlight w:val="none"/>
                <w:lang w:val="en-US" w:eastAsia="zh-CN"/>
              </w:rPr>
              <w:t xml:space="preserve">的得0.5分；</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未提供或不符合要求的不得分</w:t>
            </w:r>
            <w:r>
              <w:rPr>
                <w:rFonts w:hint="eastAsia" w:ascii="宋体" w:hAnsi="宋体" w:cs="宋体"/>
                <w:color w:val="auto"/>
                <w:highlight w:val="none"/>
                <w:lang w:val="en-US" w:eastAsia="zh-CN"/>
              </w:rPr>
              <w:t xml:space="preserve">。</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2.人员配置及分工（</w:t>
            </w:r>
            <w:r>
              <w:rPr>
                <w:rFonts w:hint="eastAsia" w:ascii="宋体" w:hAnsi="宋体" w:cs="宋体"/>
                <w:b/>
                <w:bCs/>
                <w:color w:val="auto"/>
                <w:highlight w:val="none"/>
                <w:lang w:eastAsia="zh-CN"/>
              </w:rPr>
              <w:t xml:space="preserve">1</w:t>
            </w:r>
            <w:r>
              <w:rPr>
                <w:rFonts w:hint="eastAsia" w:ascii="宋体" w:hAnsi="宋体" w:cs="宋体"/>
                <w:b/>
                <w:bCs/>
                <w:color w:val="auto"/>
                <w:highlight w:val="none"/>
              </w:rPr>
              <w:t xml:space="preserve">分）</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拟投入项目团队组织架构清晰，人员配置充足且专业对口；岗位职责与分工明确具体，完全满足本项目全流程服务运转需求</w:t>
            </w:r>
            <w:r>
              <w:rPr>
                <w:rFonts w:hint="eastAsia" w:ascii="宋体" w:hAnsi="宋体" w:cs="宋体"/>
                <w:color w:val="auto"/>
                <w:highlight w:val="none"/>
                <w:lang w:val="en-US" w:eastAsia="zh-CN"/>
              </w:rPr>
              <w:t xml:space="preserve">的得1分；</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人员配置较为合理，基本满足项目需求；有明确的分工安排，但部分岗位职责描述不够详尽</w:t>
            </w:r>
            <w:r>
              <w:rPr>
                <w:rFonts w:hint="eastAsia" w:ascii="宋体" w:hAnsi="宋体" w:cs="宋体"/>
                <w:color w:val="auto"/>
                <w:highlight w:val="none"/>
                <w:lang w:val="en-US" w:eastAsia="zh-CN"/>
              </w:rPr>
              <w:t xml:space="preserve">的得0.5分；</w:t>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人员配置不足或专业度不够；分工模糊，未提供具体的人员职责划分，难以保障项目顺利实施</w:t>
            </w:r>
            <w:r>
              <w:rPr>
                <w:rFonts w:hint="eastAsia" w:ascii="宋体" w:hAnsi="宋体" w:cs="宋体"/>
                <w:color w:val="auto"/>
                <w:highlight w:val="none"/>
                <w:lang w:val="en-US" w:eastAsia="zh-CN"/>
              </w:rPr>
              <w:t xml:space="preserve">的得0.2分；</w:t>
            </w:r>
            <w:r/>
          </w:p>
          <w:p>
            <w:pPr>
              <w:spacing w:line="360" w:lineRule="auto"/>
              <w:rPr>
                <w:rFonts w:hint="default" w:ascii="宋体" w:hAnsi="宋体" w:cs="宋体"/>
                <w:color w:val="auto"/>
                <w:highlight w:val="none"/>
                <w:lang w:val="en-US" w:eastAsia="zh-CN"/>
              </w:rPr>
            </w:pPr>
            <w:r>
              <w:rPr>
                <w:rFonts w:hint="eastAsia" w:ascii="宋体" w:hAnsi="宋体" w:cs="宋体"/>
                <w:color w:val="auto"/>
                <w:highlight w:val="none"/>
              </w:rPr>
              <w:t xml:space="preserve">未提供或不符合要求的不得分</w:t>
            </w:r>
            <w:r>
              <w:rPr>
                <w:rFonts w:hint="eastAsia" w:ascii="宋体" w:hAnsi="宋体" w:cs="宋体"/>
                <w:color w:val="auto"/>
                <w:highlight w:val="none"/>
                <w:lang w:val="en-US" w:eastAsia="zh-CN"/>
              </w:rPr>
              <w:t xml:space="preserve">。</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3.工期进度计划、安装调试程序及保障措施（</w:t>
            </w:r>
            <w:r>
              <w:rPr>
                <w:rFonts w:hint="default" w:ascii="宋体" w:hAnsi="宋体" w:cs="宋体"/>
                <w:b/>
                <w:bCs/>
                <w:color w:val="auto"/>
                <w:highlight w:val="none"/>
                <w:lang w:val="en-US"/>
              </w:rPr>
              <w:t xml:space="preserve">1</w:t>
            </w:r>
            <w:r>
              <w:rPr>
                <w:rFonts w:hint="eastAsia" w:ascii="宋体" w:hAnsi="宋体" w:cs="宋体"/>
                <w:b/>
                <w:bCs/>
                <w:color w:val="auto"/>
                <w:highlight w:val="none"/>
              </w:rPr>
              <w:t xml:space="preserve">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工期进度计划详细具体，关键节点明确，横道图/网络图编排科学；安装调试程序规范严谨；保障措施有力，能充分确保项目按期、高质量交付</w:t>
            </w:r>
            <w:r>
              <w:rPr>
                <w:rFonts w:hint="eastAsia" w:ascii="宋体" w:hAnsi="宋体" w:cs="宋体"/>
                <w:color w:val="auto"/>
                <w:highlight w:val="none"/>
                <w:lang w:val="en-US" w:eastAsia="zh-CN"/>
              </w:rPr>
              <w:t xml:space="preserve">的得1分；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有较为详细的进度计划和安装调试程序；保障措施基本齐全，能够满足项目日常实施需求</w:t>
            </w:r>
            <w:r>
              <w:rPr>
                <w:rFonts w:hint="eastAsia" w:ascii="宋体" w:hAnsi="宋体" w:cs="宋体"/>
                <w:color w:val="auto"/>
                <w:highlight w:val="none"/>
                <w:lang w:val="en-US" w:eastAsia="zh-CN"/>
              </w:rPr>
              <w:t xml:space="preserve">的得0.5分；</w:t>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进度计划笼统，缺乏关键节点或逻辑混乱；安装调试程序描述简单；保障措施缺失或可行性较差</w:t>
            </w:r>
            <w:r>
              <w:rPr>
                <w:rFonts w:hint="eastAsia" w:ascii="宋体" w:hAnsi="宋体" w:cs="宋体"/>
                <w:color w:val="auto"/>
                <w:highlight w:val="none"/>
                <w:lang w:val="en-US" w:eastAsia="zh-CN"/>
              </w:rPr>
              <w:t xml:space="preserve">的得0.2分；</w:t>
            </w:r>
            <w:r/>
          </w:p>
          <w:p>
            <w:pPr>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未提供或不符合要求的不得分</w:t>
            </w:r>
            <w:r>
              <w:rPr>
                <w:rFonts w:hint="eastAsia" w:ascii="宋体" w:hAnsi="宋体" w:cs="宋体"/>
                <w:color w:val="auto"/>
                <w:highlight w:val="none"/>
                <w:lang w:val="en-US" w:eastAsia="zh-CN"/>
              </w:rPr>
              <w:t xml:space="preserve">。</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w:t>
            </w:r>
            <w:r>
              <w:rPr>
                <w:rFonts w:hint="eastAsia" w:ascii="宋体" w:hAnsi="宋体" w:cs="宋体"/>
                <w:b/>
                <w:bCs/>
                <w:color w:val="auto"/>
                <w:highlight w:val="none"/>
                <w:lang w:val="en-US" w:eastAsia="zh-CN"/>
              </w:rPr>
              <w:t xml:space="preserve">.</w:t>
            </w:r>
            <w:r>
              <w:rPr>
                <w:rFonts w:hint="eastAsia" w:ascii="宋体" w:hAnsi="宋体" w:cs="宋体"/>
                <w:b/>
                <w:bCs/>
                <w:color w:val="auto"/>
                <w:highlight w:val="none"/>
              </w:rPr>
              <w:t xml:space="preserve">实施过程的质量管理、安全保障及环境保护措施（</w:t>
            </w:r>
            <w:r>
              <w:rPr>
                <w:rFonts w:hint="default" w:ascii="宋体" w:hAnsi="宋体" w:cs="宋体"/>
                <w:b/>
                <w:bCs/>
                <w:color w:val="auto"/>
                <w:highlight w:val="none"/>
                <w:lang w:val="en-US"/>
              </w:rPr>
              <w:t xml:space="preserve">1</w:t>
            </w:r>
            <w:r>
              <w:rPr>
                <w:rFonts w:hint="eastAsia" w:ascii="宋体" w:hAnsi="宋体" w:cs="宋体"/>
                <w:b/>
                <w:bCs/>
                <w:color w:val="auto"/>
                <w:highlight w:val="none"/>
              </w:rPr>
              <w:t xml:space="preserve">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建立了完善的质量管理体系，质量管控措施具体可行；安全保障制度健全，覆盖全面，风险防范针对性强；环境保护措施完善，符合国家及地方相关环保标准与要求</w:t>
            </w:r>
            <w:r>
              <w:rPr>
                <w:rFonts w:hint="eastAsia" w:ascii="宋体" w:hAnsi="宋体" w:cs="宋体"/>
                <w:color w:val="auto"/>
                <w:highlight w:val="none"/>
                <w:lang w:val="en-US" w:eastAsia="zh-CN"/>
              </w:rPr>
              <w:t xml:space="preserve">的得1分；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有较为完善的质量、安全及环保管理制度；各项措施较为具体，基本满足项目实施的安全与环保要求</w:t>
            </w:r>
            <w:r>
              <w:rPr>
                <w:rFonts w:hint="eastAsia" w:ascii="宋体" w:hAnsi="宋体" w:cs="宋体"/>
                <w:color w:val="auto"/>
                <w:highlight w:val="none"/>
                <w:lang w:val="en-US" w:eastAsia="zh-CN"/>
              </w:rPr>
              <w:t xml:space="preserve">的得0.5分；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质量、安全或环保措施描述简单，存在明显漏洞；缺乏具体的管控手段，无法有效保障项目实施过程中的安全与环保达标</w:t>
            </w:r>
            <w:r>
              <w:rPr>
                <w:rFonts w:hint="eastAsia" w:ascii="宋体" w:hAnsi="宋体" w:cs="宋体"/>
                <w:color w:val="auto"/>
                <w:highlight w:val="none"/>
                <w:lang w:val="en-US" w:eastAsia="zh-CN"/>
              </w:rPr>
              <w:t xml:space="preserve">的得0.2分；</w:t>
            </w:r>
            <w:r/>
          </w:p>
          <w:p>
            <w:pPr>
              <w:spacing w:line="360" w:lineRule="auto"/>
              <w:rPr>
                <w:rFonts w:hint="eastAsia" w:ascii="阿里巴巴普惠体 Light" w:hAnsi="阿里巴巴普惠体 Light" w:eastAsia="阿里巴巴普惠体 Light" w:cs="阿里巴巴普惠体 Light"/>
                <w:b/>
                <w:bCs/>
                <w:color w:val="auto"/>
                <w:szCs w:val="21"/>
                <w:highlight w:val="none"/>
              </w:rPr>
            </w:pPr>
            <w:r>
              <w:rPr>
                <w:rFonts w:hint="eastAsia" w:ascii="宋体" w:hAnsi="宋体" w:cs="宋体"/>
                <w:color w:val="auto"/>
                <w:highlight w:val="none"/>
              </w:rPr>
              <w:t xml:space="preserve">未提供或不符合要求的不得分</w:t>
            </w:r>
            <w:r>
              <w:rPr>
                <w:rFonts w:hint="eastAsia" w:ascii="宋体" w:hAnsi="宋体" w:cs="宋体"/>
                <w:color w:val="auto"/>
                <w:highlight w:val="none"/>
                <w:lang w:val="en-US" w:eastAsia="zh-CN"/>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right="-87"/>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售后服务及</w:t>
            </w:r>
            <w:r/>
          </w:p>
          <w:p>
            <w:pPr>
              <w:ind w:right="-87"/>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培训</w:t>
            </w:r>
            <w:r>
              <w:rPr>
                <w:rFonts w:hint="eastAsia" w:ascii="宋体" w:hAnsi="宋体" w:cs="宋体"/>
                <w:color w:val="auto"/>
                <w:highlight w:val="none"/>
                <w:lang w:val="en-US" w:eastAsia="zh-CN"/>
              </w:rPr>
              <w:t xml:space="preserve">方案</w:t>
            </w:r>
            <w:r/>
          </w:p>
          <w:p>
            <w:pPr>
              <w:ind w:right="-87"/>
              <w:jc w:val="center"/>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评标委员会根据各投标人提供的针对本项目的售后服务及培训计划进行综合评审，具体包含以下</w:t>
            </w:r>
            <w:r>
              <w:rPr>
                <w:rFonts w:hint="eastAsia" w:ascii="宋体" w:hAnsi="宋体" w:cs="宋体"/>
                <w:color w:val="auto"/>
                <w:highlight w:val="none"/>
                <w:lang w:val="en-US" w:eastAsia="zh-CN"/>
              </w:rPr>
              <w:t xml:space="preserve">四</w:t>
            </w:r>
            <w:r>
              <w:rPr>
                <w:rFonts w:hint="eastAsia" w:ascii="宋体" w:hAnsi="宋体" w:cs="宋体"/>
                <w:color w:val="auto"/>
                <w:highlight w:val="none"/>
              </w:rPr>
              <w:t xml:space="preserve">个评分小项：</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.质量保证计划与维护技术力量配备（1分）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质量保证计划基本完整，配备了基本的维护技术人员的得0.5分；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质量保证计划科学严密、针对性强，维护团队技术力量雄厚、人员配置充足且具备相关资质证明的，得1分；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未提供或不符合要求的不得分。</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.服务响应时间及应急处理机制（1分）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服务响应时间基本满足招标文件要求，具备基本应急处理能力的得0.5分；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服务响应时间优于招标文件要求（如提供更短的响应时限），且应急处理机制完善、保障力度强的，得1分；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未提供或不符合要求的不得分。</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.培训计划、内容及方式（1分）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提供了基本的培训计划、培训内容及培训方式，方案基本可行的得0.5分；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培训计划详细周密，培训内容全面，培训方式灵活多样（如包含现场实操、理论授课等），具有极强可操作性的，得1分；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未提供或不符合要求的不得分。</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.培训人员安排及培训资料（1分）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安排了培训人员并提供了基础的培训资料的得0.5分；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配备了经验丰富的培训师资力量，且提供了完善、系统的培训资料及后续考核机制的，得1分；</w:t>
            </w:r>
            <w:r/>
          </w:p>
          <w:p>
            <w:pPr>
              <w:spacing w:line="360" w:lineRule="auto"/>
              <w:rPr>
                <w:rFonts w:hint="eastAsia" w:ascii="阿里巴巴普惠体 Light" w:hAnsi="阿里巴巴普惠体 Light" w:eastAsia="阿里巴巴普惠体 Light" w:cs="阿里巴巴普惠体 Light"/>
                <w:b/>
                <w:bCs/>
                <w:color w:val="auto"/>
                <w:szCs w:val="21"/>
                <w:highlight w:val="none"/>
              </w:rPr>
            </w:pPr>
            <w:r>
              <w:rPr>
                <w:rFonts w:hint="eastAsia" w:ascii="宋体" w:hAnsi="宋体" w:cs="宋体"/>
                <w:color w:val="auto"/>
                <w:highlight w:val="none"/>
              </w:rPr>
              <w:t xml:space="preserve">未提供或不符合要求的不得分。</w:t>
            </w:r>
            <w:r/>
          </w:p>
        </w:tc>
      </w:tr>
    </w:tbl>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注：1、评委应对以上各得分项独立评分，供应商最终得分为所有评委评分汇总的平均值。</w:t>
      </w:r>
      <w:r/>
    </w:p>
    <w:p>
      <w:pPr>
        <w:ind w:firstLine="422"/>
        <w:spacing w:line="400" w:lineRule="exact"/>
        <w:rPr>
          <w:rFonts w:hint="eastAsia" w:ascii="宋体" w:hAnsi="宋体" w:cs="宋体"/>
          <w:b/>
          <w:bCs/>
          <w:color w:val="auto"/>
          <w:szCs w:val="21"/>
          <w:highlight w:val="none"/>
        </w:rPr>
      </w:pPr>
      <w:r>
        <w:rPr>
          <w:rFonts w:hint="eastAsia" w:ascii="宋体" w:hAnsi="宋体" w:cs="宋体"/>
          <w:b/>
          <w:color w:val="auto"/>
          <w:szCs w:val="21"/>
          <w:highlight w:val="none"/>
        </w:rPr>
        <w:t xml:space="preserve">2、以上参与评分的相关证明材料均须提供原件扫描件，如不能提供原件扫描件的，则相应评分项不予得分。</w:t>
      </w:r>
      <w:r/>
    </w:p>
    <w:p>
      <w:pPr>
        <w:ind w:firstLine="422"/>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highlight w:val="none"/>
        </w:rPr>
        <w:t xml:space="preserve">本次采购执行财政部发布《关于推动解决政府采购异常低价问题的通知》财库〔2026〕2号）的文件要求。</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（一）政府采购评审中出现下列情形之一的，评审委员会应当启动异常低价投标（响应）审查程序：</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3.投标（响应)报价低于采购项目最高限价45%的，即投标（响应)报价&lt;采购项目最高限价X45%；</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681"/>
        <w:rPr>
          <w:rFonts w:hint="eastAsia" w:ascii="宋体" w:hAnsi="宋体" w:cs="宋体"/>
          <w:color w:val="auto"/>
          <w:highlight w:val="none"/>
        </w:rPr>
      </w:pPr>
      <w:r/>
      <w:bookmarkStart w:id="88" w:name="_Toc3287"/>
      <w:r/>
      <w:bookmarkStart w:id="89" w:name="_Toc24650"/>
      <w:r>
        <w:rPr>
          <w:rFonts w:hint="eastAsia" w:ascii="宋体" w:hAnsi="宋体" w:cs="宋体"/>
          <w:color w:val="auto"/>
          <w:highlight w:val="none"/>
        </w:rPr>
        <w:t xml:space="preserve">第六章 投标文件格式</w:t>
      </w:r>
      <w:bookmarkEnd w:id="88"/>
      <w:r/>
      <w:bookmarkEnd w:id="89"/>
      <w:r>
        <w:rPr>
          <w:rFonts w:hint="eastAsia" w:ascii="宋体" w:hAnsi="宋体" w:cs="宋体"/>
          <w:color w:val="auto"/>
          <w:highlight w:val="none"/>
        </w:rPr>
        <w:t xml:space="preserve"> </w:t>
      </w:r>
      <w:r/>
    </w:p>
    <w:p>
      <w:pPr>
        <w:spacing w:line="360" w:lineRule="auto"/>
        <w:rPr>
          <w:rFonts w:hint="eastAsia" w:ascii="宋体" w:hAnsi="宋体" w:cs="宋体"/>
          <w:bCs/>
          <w:color w:val="auto"/>
          <w:sz w:val="44"/>
          <w:highlight w:val="none"/>
        </w:rPr>
      </w:pPr>
      <w:r>
        <w:rPr>
          <w:rFonts w:hint="eastAsia" w:ascii="宋体" w:hAnsi="宋体" w:cs="宋体"/>
          <w:bCs/>
          <w:color w:val="auto"/>
          <w:sz w:val="44"/>
          <w:highlight w:val="none"/>
        </w:rPr>
      </w:r>
      <w:r/>
    </w:p>
    <w:p>
      <w:pPr>
        <w:pStyle w:val="697"/>
        <w:spacing w:after="0"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contextualSpacing/>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682"/>
        <w:jc w:val="center"/>
        <w:spacing w:before="0" w:after="0" w:line="360" w:lineRule="auto"/>
        <w:rPr>
          <w:rFonts w:hint="eastAsia" w:ascii="宋体" w:hAnsi="宋体" w:eastAsia="宋体" w:cs="宋体"/>
          <w:color w:val="auto"/>
          <w:sz w:val="32"/>
          <w:szCs w:val="32"/>
          <w:highlight w:val="none"/>
        </w:rPr>
      </w:pPr>
      <w:r/>
      <w:bookmarkStart w:id="90" w:name="_Toc20369"/>
      <w:r/>
      <w:bookmarkStart w:id="91" w:name="_Toc1107"/>
      <w:r/>
      <w:bookmarkStart w:id="92" w:name="_Toc7268"/>
      <w:r/>
      <w:bookmarkStart w:id="93" w:name="_Toc26156"/>
      <w:r/>
      <w:bookmarkStart w:id="94" w:name="_Toc5792"/>
      <w:r>
        <w:rPr>
          <w:rFonts w:hint="eastAsia" w:ascii="宋体" w:hAnsi="宋体" w:eastAsia="宋体" w:cs="宋体"/>
          <w:b/>
          <w:bCs/>
          <w:color w:val="auto"/>
          <w:sz w:val="32"/>
          <w:highlight w:val="none"/>
        </w:rPr>
        <w:t xml:space="preserve">一、</w:t>
      </w:r>
      <w:bookmarkEnd w:id="90"/>
      <w:r/>
      <w:bookmarkEnd w:id="91"/>
      <w:r/>
      <w:bookmarkEnd w:id="92"/>
      <w:r/>
      <w:bookmarkEnd w:id="93"/>
      <w:r/>
      <w:bookmarkEnd w:id="94"/>
      <w:r>
        <w:rPr>
          <w:rFonts w:hint="eastAsia" w:ascii="宋体" w:hAnsi="宋体" w:eastAsia="宋体" w:cs="宋体"/>
          <w:b/>
          <w:bCs/>
          <w:color w:val="auto"/>
          <w:sz w:val="32"/>
          <w:highlight w:val="none"/>
        </w:rPr>
        <w:t xml:space="preserve">资格审查响应对照表</w:t>
      </w:r>
      <w:r/>
    </w:p>
    <w:tbl>
      <w:tblPr>
        <w:tblStyle w:val="69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85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51"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法人或者其他组织的营业执照等证明文件，自然人的身份证明（身份证为正、反面）</w:t>
            </w:r>
            <w:r/>
          </w:p>
        </w:tc>
        <w:tc>
          <w:tcPr>
            <w:tcW w:w="175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上一年度的财务报告情况（成立不满一年无需提供）</w:t>
            </w:r>
            <w:r/>
          </w:p>
        </w:tc>
        <w:tc>
          <w:tcPr>
            <w:tcW w:w="17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具备履行合同所必需的设备和专业技术能力的证明材料</w:t>
            </w:r>
            <w:r/>
          </w:p>
        </w:tc>
        <w:tc>
          <w:tcPr>
            <w:tcW w:w="17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供应商信用承诺函</w:t>
            </w:r>
            <w:r/>
          </w:p>
        </w:tc>
        <w:tc>
          <w:tcPr>
            <w:tcW w:w="17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585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67"/>
        </w:trPr>
        <w:tc>
          <w:tcPr>
            <w:gridSpan w:val="3"/>
            <w:tcW w:w="8251" w:type="dxa"/>
            <w:vAlign w:val="center"/>
            <w:textDirection w:val="lrTb"/>
            <w:noWrap w:val="false"/>
          </w:tcPr>
          <w:p>
            <w:pPr>
              <w:rPr>
                <w:rFonts w:hint="eastAsia"/>
                <w:color w:val="auto"/>
                <w:highlight w:val="none"/>
              </w:rPr>
            </w:pPr>
            <w:r>
              <w:rPr>
                <w:rFonts w:hint="eastAsia"/>
                <w:b/>
                <w:bCs/>
                <w:color w:val="auto"/>
                <w:highlight w:val="none"/>
              </w:rPr>
              <w:t xml:space="preserve">落实政府采购政策需满足的资格要求</w:t>
            </w:r>
            <w:r/>
          </w:p>
        </w:tc>
      </w:tr>
      <w:tr>
        <w:trPr>
          <w:trHeight w:val="567"/>
        </w:trPr>
        <w:tc>
          <w:tcPr>
            <w:tcW w:w="646" w:type="dxa"/>
            <w:vAlign w:val="center"/>
            <w:textDirection w:val="lrTb"/>
            <w:noWrap w:val="false"/>
          </w:tcPr>
          <w:p>
            <w:pPr>
              <w:jc w:val="center"/>
              <w:rPr>
                <w:rFonts w:hint="eastAsia"/>
                <w:color w:val="auto"/>
                <w:highlight w:val="none"/>
              </w:rPr>
            </w:pPr>
            <w:r>
              <w:rPr>
                <w:rFonts w:hint="eastAsia"/>
                <w:color w:val="auto"/>
                <w:highlight w:val="none"/>
              </w:rPr>
              <w:t xml:space="preserve">8</w:t>
            </w:r>
            <w:r/>
          </w:p>
        </w:tc>
        <w:tc>
          <w:tcPr>
            <w:tcW w:w="5854" w:type="dxa"/>
            <w:vAlign w:val="center"/>
            <w:textDirection w:val="lrTb"/>
            <w:noWrap w:val="false"/>
          </w:tcPr>
          <w:p>
            <w:pPr>
              <w:rPr>
                <w:rFonts w:hint="eastAsia"/>
                <w:color w:val="auto"/>
                <w:highlight w:val="none"/>
              </w:rPr>
            </w:pPr>
            <w:r>
              <w:rPr>
                <w:rFonts w:hint="eastAsia"/>
                <w:color w:val="auto"/>
                <w:highlight w:val="none"/>
              </w:rPr>
              <w:t xml:space="preserve">无</w:t>
            </w:r>
            <w:r/>
          </w:p>
        </w:tc>
        <w:tc>
          <w:tcPr>
            <w:tcW w:w="1751" w:type="dxa"/>
            <w:vAlign w:val="center"/>
            <w:textDirection w:val="lrTb"/>
            <w:noWrap w:val="false"/>
          </w:tcPr>
          <w:p>
            <w:pPr>
              <w:rPr>
                <w:rFonts w:hint="eastAsia"/>
                <w:color w:val="auto"/>
                <w:highlight w:val="none"/>
              </w:rPr>
            </w:pPr>
            <w:r>
              <w:rPr>
                <w:rFonts w:hint="eastAsia"/>
                <w:color w:val="auto"/>
                <w:highlight w:val="none"/>
              </w:rPr>
            </w:r>
            <w:r/>
          </w:p>
        </w:tc>
      </w:tr>
      <w:tr>
        <w:trPr>
          <w:trHeight w:val="567"/>
        </w:trPr>
        <w:tc>
          <w:tcPr>
            <w:gridSpan w:val="3"/>
            <w:tcW w:w="8251" w:type="dxa"/>
            <w:vAlign w:val="center"/>
            <w:textDirection w:val="lrTb"/>
            <w:noWrap w:val="false"/>
          </w:tcPr>
          <w:p>
            <w:pPr>
              <w:rPr>
                <w:rFonts w:hint="eastAsia"/>
                <w:color w:val="auto"/>
                <w:highlight w:val="none"/>
              </w:rPr>
            </w:pPr>
            <w:r>
              <w:rPr>
                <w:rFonts w:hint="eastAsia"/>
                <w:color w:val="auto"/>
                <w:highlight w:val="none"/>
              </w:rPr>
              <w:t xml:space="preserve">特定资格条件</w:t>
            </w:r>
            <w:r/>
          </w:p>
        </w:tc>
      </w:tr>
      <w:tr>
        <w:trPr>
          <w:trHeight w:val="567"/>
        </w:trPr>
        <w:tc>
          <w:tcPr>
            <w:tcW w:w="646"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9</w:t>
            </w:r>
            <w:r/>
          </w:p>
        </w:tc>
        <w:tc>
          <w:tcPr>
            <w:tcW w:w="5854" w:type="dxa"/>
            <w:vAlign w:val="center"/>
            <w:textDirection w:val="lrTb"/>
            <w:noWrap w:val="false"/>
          </w:tcPr>
          <w:p>
            <w:pPr>
              <w:rPr>
                <w:rFonts w:hint="eastAsia"/>
                <w:color w:val="auto"/>
                <w:highlight w:val="none"/>
              </w:rPr>
            </w:pPr>
            <w:r>
              <w:rPr>
                <w:rFonts w:hint="eastAsia"/>
                <w:color w:val="auto"/>
                <w:highlight w:val="none"/>
              </w:rPr>
              <w:t xml:space="preserve">无</w:t>
            </w:r>
            <w:r/>
          </w:p>
        </w:tc>
        <w:tc>
          <w:tcPr>
            <w:tcW w:w="1751" w:type="dxa"/>
            <w:vAlign w:val="center"/>
            <w:textDirection w:val="lrTb"/>
            <w:noWrap w:val="false"/>
          </w:tcPr>
          <w:p>
            <w:pPr>
              <w:rPr>
                <w:rFonts w:hint="eastAsia"/>
                <w:color w:val="auto"/>
                <w:highlight w:val="none"/>
              </w:rPr>
            </w:pPr>
            <w:r>
              <w:rPr>
                <w:rFonts w:hint="eastAsia"/>
                <w:color w:val="auto"/>
                <w:highlight w:val="none"/>
              </w:rPr>
            </w:r>
            <w:r/>
          </w:p>
        </w:tc>
      </w:tr>
      <w:tr>
        <w:trPr>
          <w:trHeight w:val="567"/>
        </w:trPr>
        <w:tc>
          <w:tcPr>
            <w:gridSpan w:val="3"/>
            <w:tcW w:w="8251" w:type="dxa"/>
            <w:vAlign w:val="center"/>
            <w:textDirection w:val="lrTb"/>
            <w:noWrap w:val="false"/>
          </w:tcPr>
          <w:p>
            <w:pPr>
              <w:rPr>
                <w:rFonts w:hint="eastAsia"/>
                <w:color w:val="auto"/>
                <w:highlight w:val="none"/>
              </w:rPr>
            </w:pPr>
            <w:r>
              <w:rPr>
                <w:rFonts w:hint="eastAsia"/>
                <w:b/>
                <w:bCs/>
                <w:color w:val="auto"/>
                <w:highlight w:val="none"/>
              </w:rPr>
              <w:t xml:space="preserve">其他资格条件</w:t>
            </w:r>
            <w:r/>
          </w:p>
        </w:tc>
      </w:tr>
      <w:tr>
        <w:trPr>
          <w:trHeight w:val="567"/>
        </w:trPr>
        <w:tc>
          <w:tcPr>
            <w:tcW w:w="646"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10</w:t>
            </w:r>
            <w:r/>
          </w:p>
        </w:tc>
        <w:tc>
          <w:tcPr>
            <w:tcW w:w="5854" w:type="dxa"/>
            <w:vAlign w:val="center"/>
            <w:textDirection w:val="lrTb"/>
            <w:noWrap w:val="false"/>
          </w:tcPr>
          <w:p>
            <w:pPr>
              <w:rPr>
                <w:rFonts w:hint="eastAsia"/>
                <w:color w:val="auto"/>
                <w:highlight w:val="none"/>
              </w:rPr>
            </w:pPr>
            <w:r>
              <w:rPr>
                <w:rFonts w:hint="eastAsia"/>
                <w:color w:val="auto"/>
                <w:highlight w:val="none"/>
              </w:rPr>
              <w:t xml:space="preserve">投标函</w:t>
            </w:r>
            <w:r/>
          </w:p>
        </w:tc>
        <w:tc>
          <w:tcPr>
            <w:tcW w:w="1751" w:type="dxa"/>
            <w:vAlign w:val="center"/>
            <w:textDirection w:val="lrTb"/>
            <w:noWrap w:val="false"/>
          </w:tcPr>
          <w:p>
            <w:pPr>
              <w:rPr>
                <w:rFonts w:hint="eastAsia"/>
                <w:color w:val="auto"/>
                <w:highlight w:val="none"/>
              </w:rPr>
            </w:pPr>
            <w:r>
              <w:rPr>
                <w:rFonts w:hint="eastAsia"/>
                <w:color w:val="auto"/>
                <w:highlight w:val="none"/>
              </w:rPr>
            </w:r>
            <w:r/>
          </w:p>
        </w:tc>
      </w:tr>
      <w:tr>
        <w:trPr>
          <w:trHeight w:val="567"/>
        </w:trPr>
        <w:tc>
          <w:tcPr>
            <w:tcW w:w="646"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11</w:t>
            </w:r>
            <w:r/>
          </w:p>
        </w:tc>
        <w:tc>
          <w:tcPr>
            <w:tcW w:w="5854" w:type="dxa"/>
            <w:vAlign w:val="center"/>
            <w:textDirection w:val="lrTb"/>
            <w:noWrap w:val="false"/>
          </w:tcPr>
          <w:p>
            <w:pPr>
              <w:rPr>
                <w:rFonts w:hint="eastAsia"/>
                <w:color w:val="auto"/>
                <w:highlight w:val="none"/>
              </w:rPr>
            </w:pPr>
            <w:r>
              <w:rPr>
                <w:rFonts w:hint="eastAsia"/>
                <w:color w:val="auto"/>
                <w:highlight w:val="none"/>
              </w:rPr>
              <w:t xml:space="preserve">法人授权书</w:t>
            </w:r>
            <w:r/>
          </w:p>
        </w:tc>
        <w:tc>
          <w:tcPr>
            <w:tcW w:w="1751" w:type="dxa"/>
            <w:vAlign w:val="center"/>
            <w:textDirection w:val="lrTb"/>
            <w:noWrap w:val="false"/>
          </w:tcPr>
          <w:p>
            <w:pPr>
              <w:rPr>
                <w:rFonts w:hint="eastAsia"/>
                <w:color w:val="auto"/>
                <w:highlight w:val="none"/>
              </w:rPr>
            </w:pPr>
            <w:r>
              <w:rPr>
                <w:rFonts w:hint="eastAsia"/>
                <w:color w:val="auto"/>
                <w:highlight w:val="none"/>
              </w:rPr>
            </w:r>
            <w:r/>
          </w:p>
        </w:tc>
      </w:tr>
    </w:tbl>
    <w:p>
      <w:pPr>
        <w:ind w:firstLine="420"/>
        <w:spacing w:line="360" w:lineRule="auto"/>
        <w:rPr>
          <w:rFonts w:hint="eastAsia" w:ascii="宋体" w:hAnsi="宋体" w:cs="宋体"/>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r>
      <w:r/>
    </w:p>
    <w:p>
      <w:pPr>
        <w:ind w:firstLine="147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（注：法定代表人或负责人、主体名称发生变更的应当重新作出承诺。）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投标函格式</w:t>
      </w:r>
      <w:r/>
    </w:p>
    <w:p>
      <w:pPr>
        <w:pStyle w:val="740"/>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1.按照招标文件规定的各项要求，向买方提供所需货物与服务。</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740"/>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74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74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4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6.一旦我方中标，我方将根据招标文件的规定，严格履行合同的责任和义务，并保证在招标文件规定的时间内完成项目，交付买方验收、使用。</w:t>
      </w:r>
      <w:r/>
    </w:p>
    <w:p>
      <w:pPr>
        <w:pStyle w:val="740"/>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740"/>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本授权书声明：________________（投标人名称）授权_________（被授权人的姓名）为我方就</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9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39"/>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3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3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3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法定代表人身份证复印件、被授权人身份证复印件</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pStyle w:val="911"/>
        <w:spacing w:before="0" w:after="0" w:line="360" w:lineRule="auto"/>
        <w:rPr>
          <w:rFonts w:hint="eastAsia" w:ascii="宋体" w:hAnsi="宋体" w:eastAsia="宋体" w:cs="宋体"/>
          <w:color w:val="auto"/>
          <w:sz w:val="32"/>
          <w:highlight w:val="none"/>
        </w:rPr>
      </w:pPr>
      <w:r/>
      <w:bookmarkStart w:id="95" w:name="_Toc14959"/>
      <w:r/>
      <w:bookmarkStart w:id="96" w:name="_Toc20616"/>
      <w:r/>
      <w:bookmarkStart w:id="97" w:name="_Toc3074"/>
      <w:r/>
      <w:bookmarkStart w:id="98" w:name="_Toc16911"/>
      <w:r/>
      <w:bookmarkStart w:id="99" w:name="_Toc9345"/>
      <w:r>
        <w:rPr>
          <w:rFonts w:hint="eastAsia" w:ascii="宋体" w:hAnsi="宋体" w:eastAsia="宋体" w:cs="宋体"/>
          <w:color w:val="auto"/>
          <w:sz w:val="32"/>
          <w:highlight w:val="none"/>
        </w:rPr>
        <w:t xml:space="preserve">二、符合性审查响应对照表</w:t>
      </w:r>
      <w:bookmarkEnd w:id="95"/>
      <w:r/>
      <w:bookmarkEnd w:id="96"/>
      <w:r/>
      <w:bookmarkEnd w:id="97"/>
      <w:r/>
      <w:bookmarkEnd w:id="98"/>
      <w:r/>
      <w:bookmarkEnd w:id="99"/>
      <w:r/>
      <w:r/>
    </w:p>
    <w:tbl>
      <w:tblPr>
        <w:tblStyle w:val="69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2999" w:type="pct"/>
            <w:vAlign w:val="center"/>
            <w:textDirection w:val="lrTb"/>
            <w:noWrap w:val="false"/>
          </w:tcPr>
          <w:p>
            <w:pPr>
              <w:spacing w:line="360" w:lineRule="auto"/>
              <w:rPr>
                <w:rFonts w:hint="eastAsia" w:ascii="宋体" w:hAnsi="宋体" w:cs="宋体"/>
                <w:bCs/>
                <w:iCs/>
                <w:color w:val="auto"/>
                <w:sz w:val="21"/>
                <w:szCs w:val="21"/>
                <w:highlight w:val="none"/>
              </w:rPr>
            </w:pPr>
            <w:r>
              <w:rPr>
                <w:rFonts w:hint="eastAsia" w:ascii="宋体" w:hAnsi="宋体" w:cs="宋体"/>
                <w:bCs/>
                <w:iCs/>
                <w:color w:val="auto"/>
                <w:sz w:val="21"/>
                <w:szCs w:val="21"/>
                <w:highlight w:val="none"/>
              </w:rPr>
              <w:t xml:space="preserve">采购需求中必须满足的实质性要求（即加斜体下划线内容，每条详细列出）</w:t>
            </w:r>
            <w:r/>
          </w:p>
        </w:tc>
        <w:tc>
          <w:tcPr>
            <w:tcW w:w="924" w:type="pct"/>
            <w:vAlign w:val="center"/>
            <w:textDirection w:val="lrTb"/>
            <w:noWrap w:val="false"/>
          </w:tcPr>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一、双螺杆挤出机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★1.36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九、小型液压注塑机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★9.6投标人需提供此设备的实训指导书（包括但不限于设备的实训目的、实训原理、设备参数及使用说明书、安全操作规程、实训操作步骤、实训记录数据与报告内容）。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十、大注塑机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★10.25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十五、简支梁冲击试验机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★15.8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十七、熔体流动速率仪</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★17.4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二十一、热变形维卡软化点测定仪</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★21.10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二十四、开炼机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★24.8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二十五、密炼机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★25.13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二十六、平板硫化机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★26.7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二十七、万能试验机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★27.5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三十、注拉吹一体成型机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★30.6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三十二、喷丝试验机(FDY)</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★32.11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14</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三十四、流延膜一体机</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★34.10 投标人需提供此设备的实训指导书（包括但不限于设备的实训目的、实训原理、设备参数及使用说明书、安全操作规程、实训操作步骤、实训记录数据与报告内容）。</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17"/>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质保期：自验收合格交付之日起，采购清单内所有设备及部件提供至少一年免费质保，质保期内全免费上门。（提供承诺函原件扫描上传，格式自拟）</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780"/>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投标人中标后、签订合同前须提供针对本项目的盖章质保函原件。（提供承诺函原件扫描上传，格式自拟）</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780"/>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标供应商承诺质保期结束后，提供免费各项技术支持和咨询，以优惠价格提供维修服务，提供核心部件的备品备件，以保证质保到期后及时维修和更换（招标人以不高于同期市场价格购置）。（提供承诺函原件扫描上传，格式自拟）。 </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780"/>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须承诺：保证所提供产品未侵犯第三人专利权、版权、商标权、著作权和工业设计权或者其他知识产权，并保证采购人在使用、接受本合同货物和服务或其任何一部分时，不受第三方提出侵犯其专利权、版权、商标权和工业设计权等知识产权的起诉。一旦出现侵权，由投标人负全部责任，与学校无关。（提供承诺函原件扫描上传，格式自拟）</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780"/>
        </w:trPr>
        <w:tc>
          <w:tcPr>
            <w:tcW w:w="35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p>
        </w:tc>
        <w:tc>
          <w:tcPr>
            <w:tcW w:w="2999" w:type="pct"/>
            <w:vAlign w:val="center"/>
            <w:textDirection w:val="lrTb"/>
            <w:noWrap w:val="false"/>
          </w:tcPr>
          <w:p>
            <w:pPr>
              <w:jc w:val="left"/>
              <w:keepLines w:val="0"/>
              <w:keepNext w:val="0"/>
              <w:spacing w:line="360" w:lineRule="auto"/>
              <w:widowControl/>
              <w:rPr>
                <w:rFonts w:hint="eastAsia" w:ascii="宋体" w:hAnsi="宋体" w:cs="宋体"/>
                <w:b/>
                <w:bCs/>
                <w:iCs/>
                <w:color w:val="auto"/>
                <w:sz w:val="21"/>
                <w:szCs w:val="21"/>
                <w:highlight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标人在交付产品时不得更换投标文件所投产品的制造商(生产者)、规格、型号及技术参数；在产品验收时如所交付产品的技术参数不能满足投标文件要求和投标承诺，招标人将作退货处理，由此造成的损失，由投标人自行承担，追究相关的法律责任，并支付招标人合同总价10%的违约赔偿款。不予退货或整改的，招标人有权终止合同，提请财政部门将其列入不良行为名单。（提供承诺函原件扫描上传，格式自拟）</w:t>
            </w:r>
            <w:r/>
          </w:p>
        </w:tc>
        <w:tc>
          <w:tcPr>
            <w:tcW w:w="924"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20"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contextualSpacing/>
        <w:jc w:val="both"/>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11"/>
        <w:spacing w:before="0" w:after="0" w:line="360" w:lineRule="auto"/>
        <w:rPr>
          <w:rFonts w:hint="eastAsia" w:ascii="宋体" w:hAnsi="宋体" w:eastAsia="宋体" w:cs="宋体"/>
          <w:color w:val="auto"/>
          <w:sz w:val="32"/>
          <w:highlight w:val="none"/>
        </w:rPr>
      </w:pPr>
      <w:r/>
      <w:bookmarkStart w:id="100" w:name="_Toc14100"/>
      <w:r/>
      <w:bookmarkStart w:id="101" w:name="_Toc23420"/>
      <w:r/>
      <w:bookmarkStart w:id="102" w:name="_Toc23068"/>
      <w:r/>
      <w:bookmarkStart w:id="103" w:name="_Toc6752"/>
      <w:r/>
      <w:bookmarkStart w:id="104" w:name="_Toc29406"/>
      <w:r>
        <w:rPr>
          <w:rFonts w:hint="eastAsia" w:ascii="宋体" w:hAnsi="宋体" w:eastAsia="宋体" w:cs="宋体"/>
          <w:color w:val="auto"/>
          <w:sz w:val="32"/>
          <w:highlight w:val="none"/>
        </w:rPr>
        <w:t xml:space="preserve">三、非实质性响应对照表</w:t>
      </w:r>
      <w:bookmarkEnd w:id="100"/>
      <w:r/>
      <w:bookmarkEnd w:id="101"/>
      <w:r/>
      <w:bookmarkEnd w:id="102"/>
      <w:r/>
      <w:bookmarkEnd w:id="103"/>
      <w:r/>
      <w:bookmarkEnd w:id="104"/>
      <w:r/>
      <w:r/>
    </w:p>
    <w:tbl>
      <w:tblPr>
        <w:tblStyle w:val="69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《中小企业声明函》</w:t>
            </w:r>
            <w:r/>
          </w:p>
        </w:tc>
        <w:tc>
          <w:tcPr>
            <w:tcW w:w="924"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35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《关于符合本国产品标准的声明函》</w:t>
            </w:r>
            <w:r/>
          </w:p>
        </w:tc>
        <w:tc>
          <w:tcPr>
            <w:tcW w:w="924"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355"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99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 □微型企业）；</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（工业）</w:t>
      </w:r>
      <w:r>
        <w:rPr>
          <w:rFonts w:hint="eastAsia" w:ascii="宋体" w:hAnsi="宋体" w:cs="宋体"/>
          <w:color w:val="auto"/>
          <w:szCs w:val="21"/>
          <w:highlight w:val="none"/>
          <w:u w:val="single"/>
        </w:rPr>
        <w:t xml:space="preserve">行业（不得对行业类别修改）；</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 □小型企业 □微型企业）；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《中小企业声明函》不符合要求或未提供的，作如下处理：①如本项目专门面向中小企业采购，则投标（响应）文件无效；②如本项目不专门面向中小企业采购，则价格将不做相应扣除。</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3、企业声明函请完整填写，中标后将公示。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5、声明函应涵盖本项目（分包)所有货物，否则价格不作扣除。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pStyle w:val="930"/>
        <w:ind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35"/>
          <w:rFonts w:hint="eastAsia" w:ascii="宋体" w:hAnsi="宋体" w:cs="宋体"/>
          <w:color w:val="auto"/>
          <w:sz w:val="21"/>
          <w:szCs w:val="21"/>
          <w:highlight w:val="none"/>
        </w:rPr>
        <w:t xml:space="preserve">中小微企业划型标准如下：</w:t>
      </w:r>
      <w:r/>
    </w:p>
    <w:tbl>
      <w:tblPr>
        <w:tblStyle w:val="69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30"/>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30"/>
              <w:ind w:firstLine="42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30"/>
              <w:jc w:val="center"/>
              <w:spacing w:line="360" w:lineRule="auto"/>
              <w:widowControl/>
              <w:rPr>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X&lt;10</w:t>
            </w:r>
            <w:r/>
          </w:p>
        </w:tc>
      </w:tr>
    </w:tbl>
    <w:p>
      <w:pPr>
        <w:pStyle w:val="930"/>
        <w:ind w:firstLine="810"/>
        <w:spacing w:line="360" w:lineRule="auto"/>
        <w:widowControl/>
        <w:rPr>
          <w:rStyle w:val="935"/>
          <w:rFonts w:hint="eastAsia" w:ascii="宋体" w:hAnsi="宋体" w:cs="宋体"/>
          <w:color w:val="auto"/>
          <w:sz w:val="21"/>
          <w:szCs w:val="21"/>
          <w:highlight w:val="none"/>
        </w:rPr>
      </w:pPr>
      <w:r>
        <w:rPr>
          <w:rStyle w:val="935"/>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spacing w:line="360" w:lineRule="auto"/>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非专门面向中小微型企业采购的项目，供应商如不提供此声明函，价格将不做相应扣除。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3.中标/成交供应商为残疾人福利性单位的，此声明函将随中标/成交结果同时公告，接受社会监督。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59"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供应商全称（加盖CA电子公章）：</w:t>
      </w:r>
      <w:r/>
    </w:p>
    <w:p>
      <w:pPr>
        <w:ind w:right="1559"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关于符合本国产品标准的声明函（采购包号：**）</w:t>
      </w:r>
      <w:r/>
    </w:p>
    <w:p>
      <w:pPr>
        <w:pStyle w:val="715"/>
        <w:ind w:firstLine="4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r>
      <w:r/>
    </w:p>
    <w:p>
      <w:pPr>
        <w:pStyle w:val="715"/>
        <w:ind w:firstLine="4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5"/>
        <w:ind w:firstLine="4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1.</w:t>
      </w:r>
      <w:r>
        <w:rPr>
          <w:rStyle w:val="723"/>
          <w:rFonts w:hint="eastAsia" w:ascii="宋体" w:hAnsi="宋体" w:cs="宋体"/>
          <w:i w:val="0"/>
          <w:color w:val="auto"/>
          <w:highlight w:val="none"/>
          <w:u w:val="single"/>
          <w:shd w:val="clear" w:color="auto" w:fill="ffffff"/>
        </w:rPr>
        <w:t xml:space="preserve">（产品名称1）</w:t>
      </w:r>
      <w:r>
        <w:rPr>
          <w:rStyle w:val="723"/>
          <w:rFonts w:hint="eastAsia" w:ascii="宋体" w:hAnsi="宋体" w:cs="宋体"/>
          <w:i w:val="0"/>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723"/>
          <w:rFonts w:hint="eastAsia" w:ascii="宋体" w:hAnsi="宋体" w:cs="宋体"/>
          <w:i w:val="0"/>
          <w:color w:val="auto"/>
          <w:highlight w:val="none"/>
          <w:u w:val="single"/>
          <w:shd w:val="clear" w:color="auto" w:fill="ffffff"/>
        </w:rPr>
        <w:t xml:space="preserve">（厂名）</w:t>
      </w:r>
      <w:r>
        <w:rPr>
          <w:rStyle w:val="723"/>
          <w:rFonts w:hint="eastAsia" w:ascii="宋体" w:hAnsi="宋体" w:cs="宋体"/>
          <w:i w:val="0"/>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723"/>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723"/>
          <w:rFonts w:hint="eastAsia" w:ascii="宋体" w:hAnsi="宋体" w:cs="宋体"/>
          <w:i w:val="0"/>
          <w:color w:val="auto"/>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723"/>
          <w:rFonts w:hint="eastAsia" w:ascii="宋体" w:hAnsi="宋体" w:cs="宋体"/>
          <w:i w:val="0"/>
          <w:color w:val="auto"/>
          <w:highlight w:val="none"/>
          <w:u w:val="single"/>
          <w:shd w:val="clear" w:color="auto" w:fill="ffffff"/>
        </w:rPr>
        <w:t xml:space="preserve">（规定比例）</w:t>
      </w:r>
      <w:r>
        <w:rPr>
          <w:rStyle w:val="723"/>
          <w:rFonts w:hint="eastAsia" w:ascii="宋体" w:hAnsi="宋体" w:cs="宋体"/>
          <w:i w:val="0"/>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723"/>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723"/>
          <w:rFonts w:hint="eastAsia" w:ascii="宋体" w:hAnsi="宋体" w:cs="宋体"/>
          <w:i w:val="0"/>
          <w:color w:val="auto"/>
          <w:highlight w:val="none"/>
          <w:u w:val="single"/>
          <w:shd w:val="clear" w:color="auto" w:fill="ffffff"/>
        </w:rPr>
        <w:t xml:space="preserve">（关键组件）</w:t>
      </w:r>
      <w:r>
        <w:rPr>
          <w:rStyle w:val="723"/>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723"/>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723"/>
          <w:rFonts w:hint="eastAsia" w:ascii="宋体" w:hAnsi="宋体" w:cs="宋体"/>
          <w:i w:val="0"/>
          <w:color w:val="auto"/>
          <w:highlight w:val="none"/>
          <w:u w:val="single"/>
          <w:shd w:val="clear" w:color="auto" w:fill="ffffff"/>
        </w:rPr>
        <w:t xml:space="preserve">（关键工序）</w:t>
      </w:r>
      <w:r>
        <w:rPr>
          <w:rStyle w:val="723"/>
          <w:rFonts w:hint="eastAsia" w:ascii="宋体" w:hAnsi="宋体" w:cs="宋体"/>
          <w:i w:val="0"/>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715"/>
        <w:ind w:firstLine="4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2.</w:t>
      </w:r>
      <w:r>
        <w:rPr>
          <w:rStyle w:val="723"/>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723"/>
          <w:rFonts w:hint="eastAsia" w:ascii="宋体" w:hAnsi="宋体" w:cs="宋体"/>
          <w:i w:val="0"/>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723"/>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723"/>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723"/>
          <w:rFonts w:hint="eastAsia" w:ascii="宋体" w:hAnsi="宋体" w:cs="宋体"/>
          <w:i w:val="0"/>
          <w:color w:val="auto"/>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723"/>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723"/>
          <w:rFonts w:hint="eastAsia" w:ascii="宋体" w:hAnsi="宋体" w:cs="宋体"/>
          <w:i w:val="0"/>
          <w:color w:val="auto"/>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723"/>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723"/>
          <w:rFonts w:hint="eastAsia" w:ascii="宋体" w:hAnsi="宋体" w:cs="宋体"/>
          <w:i w:val="0"/>
          <w:color w:val="auto"/>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715"/>
        <w:ind w:firstLine="4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w:t>
      </w:r>
      <w:r/>
    </w:p>
    <w:p>
      <w:pPr>
        <w:pStyle w:val="715"/>
        <w:ind w:firstLine="4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715"/>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r>
      <w:r/>
    </w:p>
    <w:p>
      <w:pPr>
        <w:pStyle w:val="715"/>
        <w:ind w:right="480" w:firstLine="3720"/>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公司（单位）名称（盖章）：　        </w:t>
      </w:r>
      <w:r/>
    </w:p>
    <w:p>
      <w:pPr>
        <w:pStyle w:val="715"/>
        <w:jc w:val="center"/>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715"/>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715"/>
        <w:spacing w:beforeAutospacing="0" w:afterAutospacing="0" w:line="360" w:lineRule="auto"/>
        <w:rPr>
          <w:rFonts w:hint="eastAsia" w:ascii="宋体" w:hAnsi="宋体" w:cs="宋体"/>
          <w:color w:val="auto"/>
          <w:sz w:val="22"/>
          <w:highlight w:val="none"/>
        </w:rPr>
      </w:pPr>
      <w:r>
        <w:rPr>
          <w:rFonts w:hint="eastAsia" w:ascii="宋体" w:hAnsi="宋体" w:cs="宋体"/>
          <w:color w:val="auto"/>
          <w:sz w:val="22"/>
          <w:highlight w:val="none"/>
          <w:shd w:val="clear" w:color="auto" w:fill="ffffff"/>
        </w:rPr>
        <w:t xml:space="preserve">1.产品如有型号，请在“产品名称”栏一并填写。</w:t>
      </w:r>
      <w:r/>
    </w:p>
    <w:p>
      <w:pPr>
        <w:pStyle w:val="715"/>
        <w:spacing w:beforeAutospacing="0" w:afterAutospacing="0" w:line="360" w:lineRule="auto"/>
        <w:rPr>
          <w:rFonts w:hint="eastAsia" w:ascii="宋体" w:hAnsi="宋体" w:cs="宋体"/>
          <w:color w:val="auto"/>
          <w:sz w:val="22"/>
          <w:highlight w:val="none"/>
        </w:rPr>
      </w:pPr>
      <w:r>
        <w:rPr>
          <w:rFonts w:hint="eastAsia" w:ascii="宋体" w:hAnsi="宋体" w:cs="宋体"/>
          <w:color w:val="auto"/>
          <w:sz w:val="22"/>
          <w:highlight w:val="none"/>
          <w:shd w:val="clear" w:color="auto" w:fill="ffffff"/>
        </w:rPr>
        <w:t xml:space="preserve">2.生产厂名与厂址应与生产厂营业执照载明的相关信息保持一致。</w:t>
      </w:r>
      <w:r/>
    </w:p>
    <w:p>
      <w:pPr>
        <w:pStyle w:val="715"/>
        <w:spacing w:beforeAutospacing="0" w:afterAutospacing="0" w:line="360" w:lineRule="auto"/>
        <w:rPr>
          <w:rFonts w:hint="eastAsia" w:ascii="宋体" w:hAnsi="宋体" w:cs="宋体"/>
          <w:color w:val="auto"/>
          <w:sz w:val="22"/>
          <w:highlight w:val="none"/>
        </w:rPr>
      </w:pPr>
      <w:r>
        <w:rPr>
          <w:rFonts w:hint="eastAsia" w:ascii="宋体" w:hAnsi="宋体" w:cs="宋体"/>
          <w:color w:val="auto"/>
          <w:sz w:val="22"/>
          <w:highlight w:val="none"/>
          <w:shd w:val="clear" w:color="auto" w:fill="ffffff"/>
        </w:rPr>
        <w:t xml:space="preserve">3.该产品的中国境内生产的组件成本占比相关要求实施前，“规定比例”栏可不填，下同。</w:t>
      </w:r>
      <w:r/>
    </w:p>
    <w:p>
      <w:pPr>
        <w:pStyle w:val="715"/>
        <w:spacing w:beforeAutospacing="0" w:afterAutospacing="0" w:line="360" w:lineRule="auto"/>
        <w:rPr>
          <w:rFonts w:hint="eastAsia" w:ascii="宋体" w:hAnsi="宋体" w:cs="宋体"/>
          <w:color w:val="auto"/>
          <w:sz w:val="22"/>
          <w:highlight w:val="none"/>
        </w:rPr>
      </w:pPr>
      <w:r>
        <w:rPr>
          <w:rFonts w:hint="eastAsia" w:ascii="宋体" w:hAnsi="宋体" w:cs="宋体"/>
          <w:color w:val="auto"/>
          <w:sz w:val="22"/>
          <w:highlight w:val="none"/>
          <w:shd w:val="clear" w:color="auto" w:fill="ffffff"/>
        </w:rPr>
        <w:t xml:space="preserve">4.该产品的关键组件要求实施前，“关键组件”栏可不填，下同。</w:t>
      </w:r>
      <w:r/>
    </w:p>
    <w:p>
      <w:pPr>
        <w:pStyle w:val="715"/>
        <w:spacing w:beforeAutospacing="0" w:afterAutospacing="0" w:line="360" w:lineRule="auto"/>
        <w:rPr>
          <w:rFonts w:hint="eastAsia"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5.该产品的关键工序要求实施前，“关键工序”栏可不填，下同。</w:t>
      </w:r>
      <w:r/>
    </w:p>
    <w:p>
      <w:pPr>
        <w:pStyle w:val="715"/>
        <w:spacing w:beforeAutospacing="0" w:afterAutospacing="0" w:line="360" w:lineRule="auto"/>
        <w:rPr>
          <w:rFonts w:hint="eastAsia"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6.用斜线划除的地方无需填写。</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color w:val="auto"/>
          <w:sz w:val="32"/>
          <w:highlight w:val="none"/>
        </w:rPr>
        <w:outlineLvl w:val="1"/>
      </w:pPr>
      <w:r/>
      <w:bookmarkStart w:id="105" w:name="_Toc19910"/>
      <w:r/>
      <w:bookmarkStart w:id="106" w:name="_Toc25382"/>
      <w:r>
        <w:rPr>
          <w:rFonts w:hint="eastAsia" w:ascii="宋体" w:hAnsi="宋体" w:cs="宋体"/>
          <w:b/>
          <w:bCs/>
          <w:color w:val="auto"/>
          <w:sz w:val="32"/>
          <w:szCs w:val="44"/>
          <w:highlight w:val="none"/>
        </w:rPr>
        <w:t xml:space="preserve">四、开标一览表</w:t>
      </w:r>
      <w:bookmarkEnd w:id="105"/>
      <w:r/>
      <w:bookmarkEnd w:id="106"/>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9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740"/>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740"/>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740"/>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Height w:val="1697"/>
        </w:trPr>
        <w:tc>
          <w:tcPr>
            <w:tcW w:w="1395" w:type="pct"/>
            <w:vAlign w:val="center"/>
            <w:textDirection w:val="lrTb"/>
            <w:noWrap w:val="false"/>
          </w:tcPr>
          <w:p>
            <w:pPr>
              <w:pStyle w:val="9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核心产品品牌</w:t>
            </w:r>
            <w:r/>
          </w:p>
        </w:tc>
        <w:tc>
          <w:tcPr>
            <w:tcW w:w="3604" w:type="pct"/>
            <w:vAlign w:val="center"/>
            <w:textDirection w:val="lrTb"/>
            <w:noWrap w:val="false"/>
          </w:tcPr>
          <w:p>
            <w:pPr>
              <w:pStyle w:val="740"/>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917"/>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17"/>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highlight w:val="none"/>
        </w:rPr>
        <w:outlineLvl w:val="1"/>
      </w:pPr>
      <w:r>
        <w:rPr>
          <w:rFonts w:hint="eastAsia" w:ascii="宋体" w:hAnsi="宋体" w:cs="宋体"/>
          <w:color w:val="auto"/>
          <w:sz w:val="32"/>
          <w:szCs w:val="32"/>
          <w:highlight w:val="none"/>
        </w:rPr>
        <w:br w:type="page" w:clear="all"/>
      </w:r>
      <w:bookmarkStart w:id="107" w:name="_Toc17891"/>
      <w:r/>
      <w:bookmarkStart w:id="108" w:name="_Toc20323"/>
      <w:r>
        <w:rPr>
          <w:rFonts w:hint="eastAsia" w:ascii="宋体" w:hAnsi="宋体" w:cs="宋体"/>
          <w:b/>
          <w:bCs/>
          <w:color w:val="auto"/>
          <w:sz w:val="32"/>
          <w:szCs w:val="44"/>
          <w:highlight w:val="none"/>
        </w:rPr>
        <w:t xml:space="preserve">五、</w:t>
      </w:r>
      <w:bookmarkEnd w:id="107"/>
      <w:r/>
      <w:bookmarkEnd w:id="108"/>
      <w:r>
        <w:rPr>
          <w:rFonts w:hint="eastAsia" w:ascii="宋体" w:hAnsi="宋体" w:cs="宋体"/>
          <w:b/>
          <w:bCs/>
          <w:color w:val="auto"/>
          <w:sz w:val="32"/>
          <w:szCs w:val="44"/>
          <w:highlight w:val="none"/>
        </w:rPr>
        <w:t xml:space="preserve">投标产品配置及分项报价表</w:t>
      </w:r>
      <w:r/>
    </w:p>
    <w:tbl>
      <w:tblPr>
        <w:tblStyle w:val="69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1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3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92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00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9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r>
      <w:tr>
        <w:trPr>
          <w:cantSplit/>
          <w:trHeight w:val="294"/>
        </w:trPr>
        <w:tc>
          <w:tcPr>
            <w:tcW w:w="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产品</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品牌</w:t>
            </w:r>
            <w:r/>
          </w:p>
        </w:tc>
        <w:tc>
          <w:tcPr>
            <w:tcW w:w="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规格</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型号</w:t>
            </w:r>
            <w:r/>
          </w:p>
        </w:tc>
        <w:tc>
          <w:tcPr>
            <w:tcW w:w="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制造商名称</w:t>
            </w:r>
            <w:r/>
          </w:p>
        </w:tc>
        <w:tc>
          <w:tcPr>
            <w:tcW w:w="11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产地</w:t>
            </w:r>
            <w:r/>
          </w:p>
        </w:tc>
        <w:tc>
          <w:tcPr>
            <w:tcW w:w="13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交付期</w:t>
            </w:r>
            <w:r/>
          </w:p>
        </w:tc>
        <w:tc>
          <w:tcPr>
            <w:tcW w:w="92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100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分项</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单价</w:t>
            </w:r>
            <w:r/>
          </w:p>
        </w:tc>
        <w:tc>
          <w:tcPr>
            <w:tcW w:w="9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分项</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总价</w:t>
            </w:r>
            <w:r/>
          </w:p>
        </w:tc>
      </w:tr>
      <w:tr>
        <w:trPr>
          <w:cantSplit/>
          <w:trHeight w:val="696"/>
        </w:trPr>
        <w:tc>
          <w:tcPr>
            <w:tcW w:w="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0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85" w:type="dxa"/>
            <w:vAlign w:val="center"/>
            <w:textDirection w:val="lrTb"/>
            <w:noWrap w:val="false"/>
          </w:tcPr>
          <w:p>
            <w:pPr>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合同签订后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tc>
        <w:tc>
          <w:tcPr>
            <w:tcW w:w="92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0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724"/>
        </w:trPr>
        <w:tc>
          <w:tcPr>
            <w:tcW w:w="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0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2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0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0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2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0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80"/>
        </w:trPr>
        <w:tc>
          <w:tcPr>
            <w:tcW w:w="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7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06"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2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0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434"/>
        </w:trPr>
        <w:tc>
          <w:tcPr>
            <w:gridSpan w:val="10"/>
            <w:tcW w:w="9263" w:type="dxa"/>
            <w:textDirection w:val="lrTb"/>
            <w:noWrap w:val="false"/>
          </w:tcPr>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投标总报价（人民币：元）</w:t>
            </w:r>
            <w:r>
              <w:rPr>
                <w:rFonts w:hint="eastAsia" w:ascii="宋体" w:hAnsi="宋体" w:cs="宋体"/>
                <w:color w:val="auto"/>
                <w:szCs w:val="21"/>
                <w:highlight w:val="none"/>
                <w:u w:val="single"/>
              </w:rPr>
              <w:t xml:space="preserve">                             </w:t>
            </w:r>
            <w:r/>
          </w:p>
        </w:tc>
      </w:tr>
      <w:tr>
        <w:trPr>
          <w:cantSplit/>
          <w:trHeight w:val="434"/>
        </w:trPr>
        <w:tc>
          <w:tcPr>
            <w:gridSpan w:val="10"/>
            <w:tcW w:w="926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本采购包中提供的符合本国产品标准的产品成本之和占该采购包提供的全部产品成本之和的比例为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numPr>
          <w:ilvl w:val="0"/>
          <w:numId w:val="2"/>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2.“投标分项报价表”中“投标总报价”数额应当与“开标一览表”中“投标总报价”数额一致。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3.投标人需认真填写本报价表，尤其注意规格型号的准确填写。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4.项目经办人可以根据项目实际需要对表格结构进行调整。</w:t>
      </w:r>
      <w:r/>
    </w:p>
    <w:p>
      <w:pPr>
        <w:spacing w:line="360" w:lineRule="auto"/>
        <w:rPr>
          <w:rFonts w:hint="eastAsia" w:ascii="宋体" w:hAnsi="宋体" w:cs="宋体"/>
          <w:color w:val="auto"/>
          <w:sz w:val="24"/>
          <w:szCs w:val="24"/>
          <w:highlight w:val="none"/>
        </w:rPr>
      </w:pPr>
      <w:r>
        <w:rPr>
          <w:rFonts w:hint="eastAsia" w:ascii="宋体" w:hAnsi="宋体" w:cs="宋体"/>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11"/>
        <w:spacing w:before="0" w:after="0" w:line="360" w:lineRule="auto"/>
        <w:rPr>
          <w:rFonts w:hint="eastAsia" w:ascii="宋体" w:hAnsi="宋体" w:eastAsia="宋体" w:cs="宋体"/>
          <w:color w:val="auto"/>
          <w:sz w:val="32"/>
          <w:highlight w:val="none"/>
        </w:rPr>
        <w:outlineLvl w:val="1"/>
      </w:pPr>
      <w:r/>
      <w:bookmarkStart w:id="109" w:name="_Toc5967"/>
      <w:r/>
      <w:bookmarkStart w:id="110" w:name="_Toc17996"/>
      <w:r/>
      <w:bookmarkStart w:id="111" w:name="_Toc9678"/>
      <w:r/>
      <w:bookmarkStart w:id="112" w:name="_Toc16517"/>
      <w:r/>
      <w:bookmarkStart w:id="113" w:name="_Toc32755"/>
      <w:r>
        <w:rPr>
          <w:rFonts w:hint="eastAsia" w:ascii="宋体" w:hAnsi="宋体" w:eastAsia="宋体" w:cs="宋体"/>
          <w:color w:val="auto"/>
          <w:sz w:val="32"/>
          <w:highlight w:val="none"/>
        </w:rPr>
        <w:t xml:space="preserve">六、技术参数响应及偏离表</w:t>
      </w:r>
      <w:bookmarkEnd w:id="109"/>
      <w:r/>
      <w:bookmarkEnd w:id="110"/>
      <w:r/>
      <w:bookmarkEnd w:id="111"/>
      <w:r/>
      <w:bookmarkEnd w:id="112"/>
      <w:r/>
      <w:bookmarkEnd w:id="113"/>
      <w:r/>
      <w:r/>
    </w:p>
    <w:tbl>
      <w:tblPr>
        <w:tblStyle w:val="691"/>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55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55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55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55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55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701"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1.投标人需对技术要求（以及未加斜体下划线的非实质性要求）逐条做出明确响应。</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2.如果招标文件要求提供证明材料，投标人需将证明材料列于该表之下。</w:t>
      </w:r>
      <w:r/>
    </w:p>
    <w:p>
      <w:pPr>
        <w:pStyle w:val="77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3.行数不够，可自行添加。</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outlineLvl w:val="1"/>
      </w:pPr>
      <w:r>
        <w:rPr>
          <w:rFonts w:hint="eastAsia" w:ascii="宋体" w:hAnsi="宋体" w:cs="宋体"/>
          <w:color w:val="auto"/>
          <w:sz w:val="32"/>
          <w:highlight w:val="none"/>
        </w:rPr>
        <w:br w:type="page" w:clear="all"/>
      </w:r>
      <w:bookmarkStart w:id="114" w:name="_Hlt26955054"/>
      <w:r/>
      <w:bookmarkEnd w:id="114"/>
      <w:r/>
      <w:bookmarkStart w:id="115" w:name="_Toc16820"/>
      <w:r/>
      <w:bookmarkStart w:id="116" w:name="_Toc32154"/>
      <w:r>
        <w:rPr>
          <w:rFonts w:hint="eastAsia" w:ascii="宋体" w:hAnsi="宋体" w:cs="宋体"/>
          <w:b/>
          <w:bCs/>
          <w:color w:val="auto"/>
          <w:sz w:val="32"/>
          <w:szCs w:val="44"/>
          <w:highlight w:val="none"/>
        </w:rPr>
        <w:t xml:space="preserve">七、商务条款响应及偏离表</w:t>
      </w:r>
      <w:bookmarkEnd w:id="115"/>
      <w:r/>
      <w:bookmarkEnd w:id="116"/>
      <w:r/>
      <w:r/>
    </w:p>
    <w:tbl>
      <w:tblPr>
        <w:tblStyle w:val="69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bookmarkStart w:id="117" w:name="_Hlt24879081"/>
            <w:r/>
            <w:bookmarkEnd w:id="117"/>
            <w:r/>
            <w:bookmarkStart w:id="118" w:name="_Hlt26955056"/>
            <w:r/>
            <w:bookmarkEnd w:id="118"/>
            <w:r/>
            <w:bookmarkStart w:id="119" w:name="_Hlt26782999"/>
            <w:r/>
            <w:bookmarkEnd w:id="119"/>
            <w:r/>
            <w:bookmarkStart w:id="120" w:name="_Hlt26955064"/>
            <w:r/>
            <w:bookmarkEnd w:id="120"/>
            <w:r/>
            <w:bookmarkStart w:id="121" w:name="_Hlt26671372"/>
            <w:r/>
            <w:bookmarkEnd w:id="121"/>
            <w:r/>
            <w:bookmarkStart w:id="122" w:name="_Hlt26580838"/>
            <w:r/>
            <w:bookmarkEnd w:id="122"/>
            <w:r/>
            <w:bookmarkStart w:id="123" w:name="_Hlt26609391"/>
            <w:r/>
            <w:bookmarkEnd w:id="123"/>
            <w:r/>
            <w:bookmarkStart w:id="124" w:name="_Hlt26671343"/>
            <w:r/>
            <w:bookmarkEnd w:id="124"/>
            <w:r>
              <w:rPr>
                <w:rFonts w:hint="eastAsia" w:ascii="宋体" w:hAnsi="宋体" w:cs="宋体"/>
                <w:color w:val="auto"/>
                <w:szCs w:val="21"/>
                <w:highlight w:val="none"/>
              </w:rPr>
              <w:t xml:space="preserve">项目</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50"/>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17"/>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6"/>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3"/>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ind w:left="4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4"/>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4"/>
        </w:trPr>
        <w:tc>
          <w:tcPr>
            <w:tcW w:w="19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1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1.投标人需对商务要求（未加斜体下划线的非实质性要求）逐条做出明确响应。</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3.行数不够，可自行添加。</w:t>
      </w:r>
      <w:r/>
    </w:p>
    <w:p>
      <w:pPr>
        <w:pStyle w:val="917"/>
        <w:ind w:firstLine="480"/>
        <w:spacing w:line="360" w:lineRule="auto"/>
        <w:rPr>
          <w:rFonts w:hint="eastAsia" w:ascii="宋体" w:hAnsi="宋体" w:cs="宋体"/>
          <w:color w:val="auto"/>
          <w:sz w:val="24"/>
          <w:highlight w:val="none"/>
        </w:rPr>
      </w:pPr>
      <w:r/>
      <w:bookmarkStart w:id="125" w:name="_Hlt26671374"/>
      <w:r/>
      <w:bookmarkEnd w:id="125"/>
      <w:r/>
      <w:bookmarkStart w:id="126" w:name="_Hlt26609389"/>
      <w:r/>
      <w:bookmarkEnd w:id="126"/>
      <w:r/>
      <w:bookmarkStart w:id="127" w:name="_Hlt26955066"/>
      <w:r/>
      <w:bookmarkEnd w:id="127"/>
      <w:r/>
      <w:bookmarkStart w:id="128" w:name="_Toc462564146"/>
      <w:r/>
      <w:r/>
    </w:p>
    <w:p>
      <w:pPr>
        <w:pStyle w:val="9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17"/>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17"/>
        <w:ind w:firstLine="480"/>
        <w:jc w:val="center"/>
        <w:spacing w:line="360" w:lineRule="auto"/>
        <w:rPr>
          <w:rFonts w:hint="eastAsia" w:ascii="宋体" w:hAnsi="宋体" w:cs="宋体"/>
          <w:b/>
          <w:color w:val="auto"/>
          <w:highlight w:val="none"/>
        </w:rPr>
      </w:pPr>
      <w:r>
        <w:rPr>
          <w:rFonts w:hint="eastAsia" w:ascii="宋体" w:hAnsi="宋体" w:cs="宋体"/>
          <w:color w:val="auto"/>
          <w:sz w:val="24"/>
          <w:highlight w:val="none"/>
        </w:rPr>
        <w:br w:type="page" w:clear="all"/>
      </w:r>
      <w:bookmarkEnd w:id="128"/>
      <w:r/>
      <w:bookmarkStart w:id="129" w:name="_格式2__法定代表人授权书"/>
      <w:r/>
      <w:bookmarkEnd w:id="129"/>
      <w:r>
        <w:rPr>
          <w:rFonts w:hint="eastAsia" w:ascii="宋体" w:hAnsi="宋体" w:cs="宋体"/>
          <w:b/>
          <w:bCs/>
          <w:color w:val="auto"/>
          <w:sz w:val="32"/>
          <w:szCs w:val="44"/>
          <w:highlight w:val="none"/>
        </w:rPr>
        <w:t xml:space="preserve">主要标的信息（中标后将公示）</w:t>
      </w:r>
      <w:r/>
    </w:p>
    <w:p>
      <w:pPr>
        <w:spacing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691"/>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货物类</w:t>
            </w:r>
            <w:r/>
          </w:p>
        </w:tc>
      </w:tr>
      <w:tr>
        <w:trPr>
          <w:trHeight w:val="3810"/>
        </w:trPr>
        <w:tc>
          <w:tcPr>
            <w:tcW w:w="6645"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480"/>
        <w:spacing w:line="360" w:lineRule="auto"/>
        <w:rPr>
          <w:rFonts w:hint="eastAsia" w:ascii="宋体" w:hAnsi="宋体" w:cs="宋体"/>
          <w:b/>
          <w:bCs/>
          <w:color w:val="auto"/>
          <w:sz w:val="36"/>
          <w:szCs w:val="36"/>
          <w:highlight w:val="none"/>
        </w:rPr>
        <w:outlineLvl w:val="1"/>
      </w:pPr>
      <w:r>
        <w:rPr>
          <w:rFonts w:hint="eastAsia" w:ascii="宋体" w:hAnsi="宋体" w:cs="宋体"/>
          <w:b/>
          <w:bCs/>
          <w:color w:val="auto"/>
          <w:sz w:val="24"/>
          <w:highlight w:val="none"/>
        </w:rPr>
        <w:t xml:space="preserve">八、其他 （投标人认为有必要提供的声明和文件，如有自拟并自行添加）</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阿里巴巴普惠体 Light">
    <w:panose1 w:val="020B0503020202020204"/>
  </w:font>
  <w:font w:name="Symbol">
    <w:panose1 w:val="05050102010706020507"/>
  </w:font>
  <w:font w:name="华文楷体">
    <w:panose1 w:val="02010600040101010101"/>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w:r/>
  </w:p>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fldSimple w:instr="PAGE \* MERGEFORMAT">
      <w:r>
        <w:t xml:space="preserve">1</w:t>
      </w:r>
    </w:fldSimple>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color w:val="auto"/>
        <w:lang w:eastAsia="zh-CN"/>
      </w:rPr>
      <w:t xml:space="preserve">JSZC-320000-SWGC-G2026-0096</w:t>
    </w:r>
    <w:r>
      <w:rPr>
        <w:rFonts w:hint="eastAsia"/>
        <w:color w:val="auto"/>
      </w:rPr>
      <w:t xml:space="preserve">号 </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pPr>
    <w:r>
      <w:rPr>
        <w:rFonts w:hint="eastAsia"/>
        <w:lang w:eastAsia="zh-CN"/>
      </w:rPr>
      <w:t xml:space="preserve">JSZC-320000-SWGC-G2026-0096</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0" w:default="1">
    <w:name w:val="Normal"/>
    <w:next w:val="683"/>
    <w:uiPriority w:val="0"/>
    <w:qFormat/>
    <w:pPr>
      <w:jc w:val="both"/>
      <w:widowControl w:val="off"/>
    </w:pPr>
    <w:rPr>
      <w:rFonts w:ascii="Calibri" w:hAnsi="Calibri" w:eastAsia="宋体" w:cs="Times New Roman"/>
      <w:sz w:val="21"/>
      <w:szCs w:val="22"/>
      <w:lang w:val="en-US" w:eastAsia="zh-CN" w:bidi="ar-SA"/>
    </w:rPr>
  </w:style>
  <w:style w:type="paragraph" w:styleId="681">
    <w:name w:val="Heading 1"/>
    <w:basedOn w:val="680"/>
    <w:next w:val="680"/>
    <w:link w:val="781"/>
    <w:uiPriority w:val="9"/>
    <w:qFormat/>
    <w:pPr>
      <w:jc w:val="center"/>
      <w:keepLines/>
      <w:keepNext/>
      <w:spacing w:line="360" w:lineRule="auto"/>
      <w:outlineLvl w:val="0"/>
    </w:pPr>
    <w:rPr>
      <w:rFonts w:ascii="Arial" w:hAnsi="Arial" w:cs="Arial"/>
      <w:b/>
      <w:sz w:val="30"/>
      <w:szCs w:val="40"/>
    </w:rPr>
  </w:style>
  <w:style w:type="paragraph" w:styleId="682">
    <w:name w:val="Heading 2"/>
    <w:basedOn w:val="680"/>
    <w:next w:val="680"/>
    <w:link w:val="782"/>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83"/>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84"/>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85"/>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86"/>
    <w:uiPriority w:val="9"/>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87"/>
    <w:uiPriority w:val="9"/>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88"/>
    <w:uiPriority w:val="9"/>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89"/>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style>
  <w:style w:type="table" w:styleId="691" w:default="1">
    <w:name w:val="Normal Table"/>
    <w:uiPriority w:val="99"/>
    <w:semiHidden/>
    <w:unhideWhenUsed/>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table of authorities"/>
    <w:basedOn w:val="680"/>
    <w:next w:val="680"/>
    <w:uiPriority w:val="0"/>
    <w:qFormat/>
    <w:pPr>
      <w:ind w:left="420"/>
    </w:pPr>
    <w:rPr>
      <w:rFonts w:ascii="Times New Roman" w:hAnsi="Times New Roman"/>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link w:val="973"/>
    <w:uiPriority w:val="99"/>
    <w:unhideWhenUsed/>
    <w:qFormat/>
    <w:pPr>
      <w:jc w:val="left"/>
    </w:pPr>
  </w:style>
  <w:style w:type="paragraph" w:styleId="696">
    <w:name w:val="Body Text"/>
    <w:basedOn w:val="680"/>
    <w:uiPriority w:val="0"/>
    <w:qFormat/>
    <w:pPr>
      <w:spacing w:after="120"/>
    </w:pPr>
    <w:rPr>
      <w:szCs w:val="24"/>
    </w:rPr>
  </w:style>
  <w:style w:type="paragraph" w:styleId="697">
    <w:name w:val="Body Text Indent"/>
    <w:basedOn w:val="680"/>
    <w:next w:val="698"/>
    <w:uiPriority w:val="0"/>
    <w:qFormat/>
    <w:pPr>
      <w:ind w:left="420"/>
      <w:spacing w:after="120"/>
    </w:pPr>
    <w:rPr>
      <w:rFonts w:ascii="等线" w:hAnsi="等线" w:eastAsia="等线"/>
    </w:rPr>
  </w:style>
  <w:style w:type="paragraph" w:styleId="698">
    <w:name w:val="envelope return"/>
    <w:basedOn w:val="680"/>
    <w:uiPriority w:val="0"/>
    <w:qFormat/>
    <w:rPr>
      <w:rFonts w:ascii="Arial" w:hAnsi="Arial"/>
    </w:rPr>
  </w:style>
  <w:style w:type="paragraph" w:styleId="699">
    <w:name w:val="toc 5"/>
    <w:basedOn w:val="680"/>
    <w:next w:val="680"/>
    <w:uiPriority w:val="39"/>
    <w:unhideWhenUsed/>
    <w:qFormat/>
    <w:pPr>
      <w:ind w:left="1134"/>
      <w:spacing w:after="57"/>
    </w:pPr>
  </w:style>
  <w:style w:type="paragraph" w:styleId="700">
    <w:name w:val="toc 3"/>
    <w:basedOn w:val="680"/>
    <w:next w:val="680"/>
    <w:uiPriority w:val="39"/>
    <w:unhideWhenUsed/>
    <w:qFormat/>
    <w:pPr>
      <w:ind w:left="567"/>
      <w:spacing w:after="57"/>
    </w:pPr>
  </w:style>
  <w:style w:type="paragraph" w:styleId="701">
    <w:name w:val="Plain Text"/>
    <w:basedOn w:val="680"/>
    <w:uiPriority w:val="0"/>
    <w:qFormat/>
    <w:rPr>
      <w:rFonts w:ascii="宋体" w:hAnsi="Courier New"/>
      <w:sz w:val="20"/>
      <w:szCs w:val="21"/>
    </w:rPr>
  </w:style>
  <w:style w:type="paragraph" w:styleId="702">
    <w:name w:val="toc 8"/>
    <w:basedOn w:val="680"/>
    <w:next w:val="680"/>
    <w:uiPriority w:val="39"/>
    <w:unhideWhenUsed/>
    <w:qFormat/>
    <w:pPr>
      <w:ind w:left="1984"/>
      <w:spacing w:after="57"/>
    </w:pPr>
  </w:style>
  <w:style w:type="paragraph" w:styleId="703">
    <w:name w:val="Body Text Indent 2"/>
    <w:basedOn w:val="680"/>
    <w:uiPriority w:val="0"/>
    <w:qFormat/>
    <w:pPr>
      <w:ind w:left="640"/>
      <w:spacing w:after="120" w:line="480" w:lineRule="auto"/>
    </w:pPr>
    <w:rPr>
      <w:rFonts w:eastAsia="仿宋_GB2312"/>
      <w:sz w:val="32"/>
      <w:szCs w:val="28"/>
    </w:rPr>
  </w:style>
  <w:style w:type="paragraph" w:styleId="704">
    <w:name w:val="endnote text"/>
    <w:basedOn w:val="680"/>
    <w:link w:val="908"/>
    <w:uiPriority w:val="99"/>
    <w:semiHidden/>
    <w:unhideWhenUsed/>
    <w:qFormat/>
    <w:rPr>
      <w:sz w:val="20"/>
    </w:rPr>
  </w:style>
  <w:style w:type="paragraph" w:styleId="705">
    <w:name w:val="Footer"/>
    <w:basedOn w:val="680"/>
    <w:link w:val="800"/>
    <w:uiPriority w:val="99"/>
    <w:unhideWhenUsed/>
    <w:qFormat/>
    <w:pPr>
      <w:tabs>
        <w:tab w:val="center" w:pos="7143" w:leader="none"/>
        <w:tab w:val="right" w:pos="14287" w:leader="none"/>
      </w:tabs>
    </w:pPr>
  </w:style>
  <w:style w:type="paragraph" w:styleId="706">
    <w:name w:val="Header"/>
    <w:basedOn w:val="680"/>
    <w:link w:val="798"/>
    <w:uiPriority w:val="99"/>
    <w:unhideWhenUsed/>
    <w:qFormat/>
    <w:pPr>
      <w:tabs>
        <w:tab w:val="center" w:pos="7143" w:leader="none"/>
        <w:tab w:val="right" w:pos="14287" w:leader="none"/>
      </w:tabs>
    </w:pPr>
  </w:style>
  <w:style w:type="paragraph" w:styleId="707">
    <w:name w:val="toc 1"/>
    <w:basedOn w:val="680"/>
    <w:next w:val="680"/>
    <w:uiPriority w:val="39"/>
    <w:unhideWhenUsed/>
    <w:qFormat/>
    <w:pPr>
      <w:spacing w:after="57"/>
    </w:pPr>
  </w:style>
  <w:style w:type="paragraph" w:styleId="708">
    <w:name w:val="toc 4"/>
    <w:basedOn w:val="680"/>
    <w:next w:val="680"/>
    <w:uiPriority w:val="39"/>
    <w:unhideWhenUsed/>
    <w:qFormat/>
    <w:pPr>
      <w:ind w:left="850"/>
      <w:spacing w:after="57"/>
    </w:pPr>
  </w:style>
  <w:style w:type="paragraph" w:styleId="709">
    <w:name w:val="Subtitle"/>
    <w:basedOn w:val="680"/>
    <w:next w:val="680"/>
    <w:link w:val="793"/>
    <w:uiPriority w:val="11"/>
    <w:qFormat/>
    <w:pPr>
      <w:spacing w:before="200" w:after="200"/>
    </w:pPr>
    <w:rPr>
      <w:sz w:val="24"/>
      <w:szCs w:val="24"/>
    </w:rPr>
  </w:style>
  <w:style w:type="paragraph" w:styleId="710">
    <w:name w:val="footnote text"/>
    <w:basedOn w:val="680"/>
    <w:link w:val="907"/>
    <w:uiPriority w:val="99"/>
    <w:semiHidden/>
    <w:unhideWhenUsed/>
    <w:qFormat/>
    <w:pPr>
      <w:spacing w:after="40"/>
    </w:pPr>
    <w:rPr>
      <w:sz w:val="18"/>
    </w:rPr>
  </w:style>
  <w:style w:type="paragraph" w:styleId="711">
    <w:name w:val="toc 6"/>
    <w:basedOn w:val="680"/>
    <w:next w:val="680"/>
    <w:uiPriority w:val="39"/>
    <w:unhideWhenUsed/>
    <w:qFormat/>
    <w:pPr>
      <w:ind w:left="1417"/>
      <w:spacing w:after="57"/>
    </w:pPr>
  </w:style>
  <w:style w:type="paragraph" w:styleId="712">
    <w:name w:val="table of figures"/>
    <w:basedOn w:val="680"/>
    <w:next w:val="680"/>
    <w:uiPriority w:val="99"/>
    <w:unhideWhenUsed/>
    <w:qFormat/>
  </w:style>
  <w:style w:type="paragraph" w:styleId="713">
    <w:name w:val="toc 2"/>
    <w:basedOn w:val="680"/>
    <w:next w:val="680"/>
    <w:uiPriority w:val="39"/>
    <w:unhideWhenUsed/>
    <w:qFormat/>
    <w:pPr>
      <w:ind w:left="283"/>
      <w:spacing w:after="57"/>
    </w:pPr>
  </w:style>
  <w:style w:type="paragraph" w:styleId="714">
    <w:name w:val="toc 9"/>
    <w:basedOn w:val="680"/>
    <w:next w:val="680"/>
    <w:uiPriority w:val="39"/>
    <w:unhideWhenUsed/>
    <w:qFormat/>
    <w:pPr>
      <w:ind w:left="2268"/>
      <w:spacing w:after="57"/>
    </w:pPr>
  </w:style>
  <w:style w:type="paragraph" w:styleId="715">
    <w:name w:val="Normal (Web)"/>
    <w:basedOn w:val="680"/>
    <w:uiPriority w:val="99"/>
    <w:semiHidden/>
    <w:unhideWhenUsed/>
    <w:qFormat/>
    <w:pPr>
      <w:jc w:val="left"/>
      <w:spacing w:beforeAutospacing="1" w:afterAutospacing="1"/>
    </w:pPr>
    <w:rPr>
      <w:sz w:val="24"/>
    </w:rPr>
  </w:style>
  <w:style w:type="paragraph" w:styleId="716">
    <w:name w:val="index 1"/>
    <w:basedOn w:val="680"/>
    <w:next w:val="680"/>
    <w:uiPriority w:val="0"/>
    <w:qFormat/>
    <w:rPr>
      <w:rFonts w:ascii="仿宋_GB2312" w:hAnsi="宋体" w:eastAsia="仿宋_GB2312" w:cs="宋体"/>
      <w:sz w:val="30"/>
      <w:szCs w:val="24"/>
      <w:lang w:val="zh-CN"/>
    </w:rPr>
  </w:style>
  <w:style w:type="paragraph" w:styleId="717">
    <w:name w:val="Title"/>
    <w:basedOn w:val="680"/>
    <w:next w:val="680"/>
    <w:link w:val="792"/>
    <w:uiPriority w:val="10"/>
    <w:qFormat/>
    <w:pPr>
      <w:contextualSpacing/>
      <w:spacing w:before="300" w:after="200"/>
    </w:pPr>
    <w:rPr>
      <w:sz w:val="48"/>
      <w:szCs w:val="48"/>
    </w:rPr>
  </w:style>
  <w:style w:type="paragraph" w:styleId="718">
    <w:name w:val="annotation subject"/>
    <w:basedOn w:val="695"/>
    <w:next w:val="695"/>
    <w:link w:val="974"/>
    <w:uiPriority w:val="99"/>
    <w:semiHidden/>
    <w:unhideWhenUsed/>
    <w:qFormat/>
    <w:rPr>
      <w:b/>
      <w:bCs/>
    </w:rPr>
  </w:style>
  <w:style w:type="paragraph" w:styleId="719">
    <w:name w:val="Body Text First Indent"/>
    <w:basedOn w:val="696"/>
    <w:uiPriority w:val="99"/>
    <w:unhideWhenUsed/>
    <w:qFormat/>
    <w:pPr>
      <w:ind w:firstLine="426"/>
      <w:spacing w:line="400" w:lineRule="atLeast"/>
    </w:pPr>
    <w:rPr>
      <w:sz w:val="24"/>
      <w:szCs w:val="20"/>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0"/>
    <w:uiPriority w:val="0"/>
    <w:qFormat/>
    <w:rPr>
      <w:b/>
    </w:rPr>
  </w:style>
  <w:style w:type="character" w:styleId="722">
    <w:name w:val="endnote reference"/>
    <w:uiPriority w:val="99"/>
    <w:semiHidden/>
    <w:unhideWhenUsed/>
    <w:qFormat/>
    <w:rPr>
      <w:vertAlign w:val="superscript"/>
    </w:rPr>
  </w:style>
  <w:style w:type="character" w:styleId="723">
    <w:name w:val="Emphasis"/>
    <w:basedOn w:val="690"/>
    <w:uiPriority w:val="20"/>
    <w:qFormat/>
    <w:rPr>
      <w:i/>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0"/>
    <w:uiPriority w:val="99"/>
    <w:semiHidden/>
    <w:unhideWhenUsed/>
    <w:qFormat/>
    <w:rPr>
      <w:sz w:val="21"/>
      <w:szCs w:val="21"/>
    </w:rPr>
  </w:style>
  <w:style w:type="character" w:styleId="726">
    <w:name w:val="footnote reference"/>
    <w:uiPriority w:val="99"/>
    <w:unhideWhenUsed/>
    <w:qFormat/>
    <w:rPr>
      <w:vertAlign w:val="superscript"/>
    </w:rPr>
  </w:style>
  <w:style w:type="paragraph" w:styleId="727" w:customStyle="1">
    <w:name w:val="正文（缩进）"/>
    <w:basedOn w:val="680"/>
    <w:next w:val="728"/>
    <w:uiPriority w:val="0"/>
    <w:qFormat/>
    <w:pPr>
      <w:ind w:firstLine="480"/>
      <w:spacing w:before="156" w:after="156"/>
    </w:pPr>
  </w:style>
  <w:style w:type="paragraph" w:styleId="728" w:customStyle="1">
    <w:name w:val="Char Char Char Char Char Char Char Char Char"/>
    <w:basedOn w:val="680"/>
    <w:next w:val="729"/>
    <w:uiPriority w:val="99"/>
    <w:qFormat/>
    <w:pPr>
      <w:ind w:left="360" w:firstLine="5784"/>
    </w:pPr>
  </w:style>
  <w:style w:type="paragraph" w:styleId="729" w:customStyle="1">
    <w:name w:val="正文文本 21"/>
    <w:basedOn w:val="680"/>
    <w:next w:val="730"/>
    <w:uiPriority w:val="0"/>
    <w:qFormat/>
    <w:pPr>
      <w:spacing w:after="120" w:line="480" w:lineRule="auto"/>
    </w:pPr>
  </w:style>
  <w:style w:type="paragraph" w:styleId="730" w:customStyle="1">
    <w:name w:val="默认段落字体 Para Char Char Char Char Char Char Char"/>
    <w:basedOn w:val="680"/>
    <w:next w:val="731"/>
    <w:uiPriority w:val="99"/>
    <w:qFormat/>
    <w:pPr>
      <w:ind w:firstLine="200"/>
    </w:pPr>
    <w:rPr>
      <w:rFonts w:cs="Arial"/>
    </w:rPr>
  </w:style>
  <w:style w:type="paragraph" w:styleId="731" w:customStyle="1">
    <w:name w:val="样式 首行缩进:  2 字符"/>
    <w:basedOn w:val="680"/>
    <w:next w:val="732"/>
    <w:uiPriority w:val="99"/>
    <w:qFormat/>
    <w:pPr>
      <w:ind w:left="480" w:firstLine="5856"/>
      <w:spacing w:line="360" w:lineRule="auto"/>
    </w:pPr>
  </w:style>
  <w:style w:type="paragraph" w:styleId="732" w:customStyle="1">
    <w:name w:val="样式 段后: 0.25 行"/>
    <w:basedOn w:val="680"/>
    <w:next w:val="733"/>
    <w:uiPriority w:val="99"/>
    <w:qFormat/>
    <w:pPr>
      <w:ind w:left="420" w:firstLine="5796"/>
      <w:spacing w:line="300" w:lineRule="auto"/>
      <w:widowControl/>
    </w:pPr>
  </w:style>
  <w:style w:type="paragraph" w:styleId="733" w:customStyle="1">
    <w:name w:val="正文 New New New New New New New New New New New New New New"/>
    <w:next w:val="714"/>
    <w:uiPriority w:val="99"/>
    <w:qFormat/>
    <w:pPr>
      <w:ind w:firstLine="2048"/>
      <w:jc w:val="both"/>
      <w:widowControl w:val="off"/>
    </w:pPr>
    <w:rPr>
      <w:rFonts w:ascii="Times New Roman" w:hAnsi="Times New Roman" w:eastAsia="宋体" w:cs="Times New Roman"/>
      <w:lang w:val="en-US" w:eastAsia="zh-CN" w:bidi="ar-SA"/>
    </w:rPr>
  </w:style>
  <w:style w:type="paragraph" w:styleId="734" w:customStyle="1">
    <w:name w:val="正文1"/>
    <w:basedOn w:val="680"/>
    <w:next w:val="735"/>
    <w:uiPriority w:val="0"/>
    <w:qFormat/>
    <w:pPr>
      <w:jc w:val="left"/>
      <w:spacing w:line="360" w:lineRule="atLeast"/>
    </w:pPr>
    <w:rPr>
      <w:rFonts w:ascii="宋体" w:cs="Arial"/>
      <w:sz w:val="24"/>
      <w:szCs w:val="20"/>
    </w:rPr>
  </w:style>
  <w:style w:type="paragraph" w:styleId="735" w:customStyle="1">
    <w:name w:val="正文文本1"/>
    <w:basedOn w:val="734"/>
    <w:next w:val="736"/>
    <w:uiPriority w:val="0"/>
    <w:qFormat/>
    <w:pPr>
      <w:spacing w:after="120"/>
    </w:pPr>
    <w:rPr>
      <w:lang w:eastAsia="en-US"/>
    </w:rPr>
  </w:style>
  <w:style w:type="paragraph" w:styleId="736" w:customStyle="1">
    <w:name w:val="一级条标题"/>
    <w:basedOn w:val="737"/>
    <w:next w:val="7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7" w:customStyle="1">
    <w:name w:val="章标题"/>
    <w:next w:val="6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38" w:customStyle="1">
    <w:name w:val="段"/>
    <w:basedOn w:val="734"/>
    <w:next w:val="680"/>
    <w:uiPriority w:val="0"/>
    <w:qFormat/>
    <w:pPr>
      <w:ind w:firstLine="200"/>
      <w:widowControl/>
    </w:pPr>
    <w:rPr>
      <w:sz w:val="20"/>
    </w:rPr>
  </w:style>
  <w:style w:type="paragraph" w:styleId="739" w:customStyle="1">
    <w:name w:val="远大正文"/>
    <w:basedOn w:val="680"/>
    <w:uiPriority w:val="0"/>
    <w:qFormat/>
    <w:pPr>
      <w:jc w:val="center"/>
      <w:spacing w:line="360" w:lineRule="auto"/>
    </w:pPr>
    <w:rPr>
      <w:rFonts w:ascii="宋体" w:hAnsi="宋体"/>
    </w:rPr>
  </w:style>
  <w:style w:type="paragraph" w:styleId="740"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741" w:customStyle="1">
    <w:name w:val="标题1"/>
    <w:basedOn w:val="680"/>
    <w:next w:val="680"/>
    <w:uiPriority w:val="0"/>
    <w:qFormat/>
    <w:pPr>
      <w:jc w:val="center"/>
      <w:spacing w:before="240" w:after="60" w:line="360" w:lineRule="auto"/>
      <w:outlineLvl w:val="0"/>
    </w:pPr>
    <w:rPr>
      <w:rFonts w:ascii="宋体" w:hAnsi="宋体"/>
      <w:b/>
      <w:bCs/>
      <w:sz w:val="32"/>
      <w:szCs w:val="32"/>
    </w:rPr>
  </w:style>
  <w:style w:type="character" w:styleId="742" w:customStyle="1">
    <w:name w:val="Heading 1 Char"/>
    <w:basedOn w:val="690"/>
    <w:uiPriority w:val="9"/>
    <w:qFormat/>
    <w:rPr>
      <w:rFonts w:ascii="Arial" w:hAnsi="Arial" w:eastAsia="Arial" w:cs="Arial"/>
      <w:sz w:val="40"/>
      <w:szCs w:val="40"/>
    </w:rPr>
  </w:style>
  <w:style w:type="character" w:styleId="743" w:customStyle="1">
    <w:name w:val="Heading 2 Char"/>
    <w:basedOn w:val="690"/>
    <w:uiPriority w:val="9"/>
    <w:qFormat/>
    <w:rPr>
      <w:rFonts w:ascii="Arial" w:hAnsi="Arial" w:eastAsia="Arial" w:cs="Arial"/>
      <w:sz w:val="34"/>
    </w:rPr>
  </w:style>
  <w:style w:type="character" w:styleId="744" w:customStyle="1">
    <w:name w:val="Heading 3 Char"/>
    <w:basedOn w:val="690"/>
    <w:uiPriority w:val="9"/>
    <w:qFormat/>
    <w:rPr>
      <w:rFonts w:ascii="Arial" w:hAnsi="Arial" w:eastAsia="Arial" w:cs="Arial"/>
      <w:sz w:val="30"/>
      <w:szCs w:val="30"/>
    </w:rPr>
  </w:style>
  <w:style w:type="character" w:styleId="745" w:customStyle="1">
    <w:name w:val="Heading 4 Char"/>
    <w:basedOn w:val="690"/>
    <w:uiPriority w:val="9"/>
    <w:qFormat/>
    <w:rPr>
      <w:rFonts w:ascii="Arial" w:hAnsi="Arial" w:eastAsia="Arial" w:cs="Arial"/>
      <w:b/>
      <w:bCs/>
      <w:sz w:val="26"/>
      <w:szCs w:val="26"/>
    </w:rPr>
  </w:style>
  <w:style w:type="character" w:styleId="746" w:customStyle="1">
    <w:name w:val="Heading 5 Char"/>
    <w:basedOn w:val="690"/>
    <w:uiPriority w:val="9"/>
    <w:qFormat/>
    <w:rPr>
      <w:rFonts w:ascii="Arial" w:hAnsi="Arial" w:eastAsia="Arial" w:cs="Arial"/>
      <w:b/>
      <w:bCs/>
      <w:sz w:val="24"/>
      <w:szCs w:val="24"/>
    </w:rPr>
  </w:style>
  <w:style w:type="character" w:styleId="747" w:customStyle="1">
    <w:name w:val="Heading 6 Char"/>
    <w:basedOn w:val="690"/>
    <w:uiPriority w:val="9"/>
    <w:qFormat/>
    <w:rPr>
      <w:rFonts w:ascii="Arial" w:hAnsi="Arial" w:eastAsia="Arial" w:cs="Arial"/>
      <w:b/>
      <w:bCs/>
      <w:sz w:val="22"/>
      <w:szCs w:val="22"/>
    </w:rPr>
  </w:style>
  <w:style w:type="character" w:styleId="748" w:customStyle="1">
    <w:name w:val="Heading 7 Char"/>
    <w:basedOn w:val="690"/>
    <w:uiPriority w:val="9"/>
    <w:qFormat/>
    <w:rPr>
      <w:rFonts w:ascii="Arial" w:hAnsi="Arial" w:eastAsia="Arial" w:cs="Arial"/>
      <w:b/>
      <w:bCs/>
      <w:i/>
      <w:iCs/>
      <w:sz w:val="22"/>
      <w:szCs w:val="22"/>
    </w:rPr>
  </w:style>
  <w:style w:type="character" w:styleId="749" w:customStyle="1">
    <w:name w:val="Heading 8 Char"/>
    <w:basedOn w:val="690"/>
    <w:uiPriority w:val="9"/>
    <w:qFormat/>
    <w:rPr>
      <w:rFonts w:ascii="Arial" w:hAnsi="Arial" w:eastAsia="Arial" w:cs="Arial"/>
      <w:i/>
      <w:iCs/>
      <w:sz w:val="22"/>
      <w:szCs w:val="22"/>
    </w:rPr>
  </w:style>
  <w:style w:type="character" w:styleId="750" w:customStyle="1">
    <w:name w:val="Heading 9 Char"/>
    <w:basedOn w:val="690"/>
    <w:uiPriority w:val="9"/>
    <w:qFormat/>
    <w:rPr>
      <w:rFonts w:ascii="Arial" w:hAnsi="Arial" w:eastAsia="Arial" w:cs="Arial"/>
      <w:i/>
      <w:iCs/>
      <w:sz w:val="21"/>
      <w:szCs w:val="21"/>
    </w:rPr>
  </w:style>
  <w:style w:type="character" w:styleId="751" w:customStyle="1">
    <w:name w:val="Title Char"/>
    <w:basedOn w:val="690"/>
    <w:uiPriority w:val="10"/>
    <w:qFormat/>
    <w:rPr>
      <w:sz w:val="48"/>
      <w:szCs w:val="48"/>
    </w:rPr>
  </w:style>
  <w:style w:type="character" w:styleId="752" w:customStyle="1">
    <w:name w:val="Subtitle Char"/>
    <w:basedOn w:val="690"/>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690"/>
    <w:uiPriority w:val="99"/>
    <w:qFormat/>
  </w:style>
  <w:style w:type="character" w:styleId="756" w:customStyle="1">
    <w:name w:val="Caption Char"/>
    <w:uiPriority w:val="99"/>
    <w:qFormat/>
  </w:style>
  <w:style w:type="table" w:styleId="757"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清单表 1 浅色1"/>
    <w:basedOn w:val="69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清单表 6 彩色1"/>
    <w:basedOn w:val="69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清单表 7 彩色1"/>
    <w:basedOn w:val="69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ascii="Times New Roman" w:hAnsi="Times New Roman" w:eastAsia="宋体" w:cs="Times New Roman"/>
      <w:lang w:val="en-US" w:eastAsia="zh-CN" w:bidi="ar-SA"/>
    </w:rPr>
  </w:style>
  <w:style w:type="paragraph" w:styleId="779" w:customStyle="1">
    <w:name w:val="Default"/>
    <w:next w:val="680"/>
    <w:uiPriority w:val="0"/>
    <w:qFormat/>
    <w:pPr>
      <w:widowControl w:val="off"/>
    </w:pPr>
    <w:rPr>
      <w:rFonts w:ascii="黑体" w:hAnsi="Times New Roman" w:eastAsia="黑体" w:cs="Times New Roman"/>
      <w:lang w:val="en-US" w:eastAsia="zh-CN" w:bidi="ar-SA"/>
    </w:rPr>
  </w:style>
  <w:style w:type="paragraph" w:styleId="780" w:customStyle="1">
    <w:name w:val="首行缩进"/>
    <w:basedOn w:val="680"/>
    <w:uiPriority w:val="0"/>
    <w:qFormat/>
    <w:pPr>
      <w:ind w:firstLine="420"/>
      <w:spacing w:line="360" w:lineRule="auto"/>
    </w:pPr>
  </w:style>
  <w:style w:type="character" w:styleId="781" w:customStyle="1">
    <w:name w:val="标题 1 字符"/>
    <w:link w:val="681"/>
    <w:uiPriority w:val="9"/>
    <w:qFormat/>
    <w:rPr>
      <w:rFonts w:ascii="Arial" w:hAnsi="Arial" w:eastAsia="宋体" w:cs="Arial"/>
      <w:b/>
      <w:sz w:val="30"/>
      <w:szCs w:val="40"/>
    </w:rPr>
  </w:style>
  <w:style w:type="character" w:styleId="782" w:customStyle="1">
    <w:name w:val="标题 2 字符"/>
    <w:link w:val="682"/>
    <w:uiPriority w:val="9"/>
    <w:qFormat/>
    <w:rPr>
      <w:rFonts w:ascii="Arial" w:hAnsi="Arial" w:eastAsia="Arial" w:cs="Arial"/>
      <w:sz w:val="34"/>
    </w:rPr>
  </w:style>
  <w:style w:type="character" w:styleId="783" w:customStyle="1">
    <w:name w:val="标题 3 字符"/>
    <w:link w:val="683"/>
    <w:uiPriority w:val="9"/>
    <w:qFormat/>
    <w:rPr>
      <w:rFonts w:ascii="Arial" w:hAnsi="Arial" w:eastAsia="Arial" w:cs="Arial"/>
      <w:sz w:val="30"/>
      <w:szCs w:val="30"/>
    </w:rPr>
  </w:style>
  <w:style w:type="character" w:styleId="784" w:customStyle="1">
    <w:name w:val="标题 4 字符"/>
    <w:link w:val="684"/>
    <w:uiPriority w:val="9"/>
    <w:qFormat/>
    <w:rPr>
      <w:rFonts w:ascii="Arial" w:hAnsi="Arial" w:eastAsia="Arial" w:cs="Arial"/>
      <w:b/>
      <w:bCs/>
      <w:sz w:val="26"/>
      <w:szCs w:val="26"/>
    </w:rPr>
  </w:style>
  <w:style w:type="character" w:styleId="785" w:customStyle="1">
    <w:name w:val="标题 5 字符"/>
    <w:link w:val="685"/>
    <w:uiPriority w:val="9"/>
    <w:qFormat/>
    <w:rPr>
      <w:rFonts w:ascii="Arial" w:hAnsi="Arial" w:eastAsia="Arial" w:cs="Arial"/>
      <w:b/>
      <w:bCs/>
      <w:sz w:val="24"/>
      <w:szCs w:val="24"/>
    </w:rPr>
  </w:style>
  <w:style w:type="character" w:styleId="786" w:customStyle="1">
    <w:name w:val="标题 6 字符"/>
    <w:link w:val="686"/>
    <w:uiPriority w:val="9"/>
    <w:qFormat/>
    <w:rPr>
      <w:rFonts w:ascii="Arial" w:hAnsi="Arial" w:eastAsia="Arial" w:cs="Arial"/>
      <w:b/>
      <w:bCs/>
      <w:sz w:val="22"/>
      <w:szCs w:val="22"/>
    </w:rPr>
  </w:style>
  <w:style w:type="character" w:styleId="787" w:customStyle="1">
    <w:name w:val="标题 7 字符"/>
    <w:link w:val="687"/>
    <w:uiPriority w:val="9"/>
    <w:qFormat/>
    <w:rPr>
      <w:rFonts w:ascii="Arial" w:hAnsi="Arial" w:eastAsia="Arial" w:cs="Arial"/>
      <w:b/>
      <w:bCs/>
      <w:i/>
      <w:iCs/>
      <w:sz w:val="22"/>
      <w:szCs w:val="22"/>
    </w:rPr>
  </w:style>
  <w:style w:type="character" w:styleId="788" w:customStyle="1">
    <w:name w:val="标题 8 字符"/>
    <w:link w:val="688"/>
    <w:uiPriority w:val="9"/>
    <w:qFormat/>
    <w:rPr>
      <w:rFonts w:ascii="Arial" w:hAnsi="Arial" w:eastAsia="Arial" w:cs="Arial"/>
      <w:i/>
      <w:iCs/>
      <w:sz w:val="22"/>
      <w:szCs w:val="22"/>
    </w:rPr>
  </w:style>
  <w:style w:type="character" w:styleId="789" w:customStyle="1">
    <w:name w:val="标题 9 字符"/>
    <w:link w:val="689"/>
    <w:uiPriority w:val="9"/>
    <w:qFormat/>
    <w:rPr>
      <w:rFonts w:ascii="Arial" w:hAnsi="Arial" w:eastAsia="Arial" w:cs="Arial"/>
      <w:i/>
      <w:iCs/>
      <w:sz w:val="21"/>
      <w:szCs w:val="21"/>
    </w:rPr>
  </w:style>
  <w:style w:type="paragraph" w:styleId="790">
    <w:name w:val="List Paragraph"/>
    <w:basedOn w:val="680"/>
    <w:uiPriority w:val="34"/>
    <w:qFormat/>
    <w:pPr>
      <w:contextualSpacing/>
      <w:ind w:left="720"/>
    </w:pPr>
  </w:style>
  <w:style w:type="paragraph" w:styleId="791">
    <w:name w:val="No Spacing"/>
    <w:uiPriority w:val="1"/>
    <w:qFormat/>
    <w:rPr>
      <w:rFonts w:ascii="Times New Roman" w:hAnsi="Times New Roman" w:eastAsia="宋体" w:cs="Times New Roman"/>
      <w:lang w:val="en-US" w:eastAsia="zh-CN" w:bidi="ar-SA"/>
    </w:rPr>
  </w:style>
  <w:style w:type="character" w:styleId="792" w:customStyle="1">
    <w:name w:val="标题 字符"/>
    <w:link w:val="717"/>
    <w:uiPriority w:val="10"/>
    <w:qFormat/>
    <w:rPr>
      <w:sz w:val="48"/>
      <w:szCs w:val="48"/>
    </w:rPr>
  </w:style>
  <w:style w:type="character" w:styleId="793" w:customStyle="1">
    <w:name w:val="副标题 字符"/>
    <w:link w:val="709"/>
    <w:uiPriority w:val="11"/>
    <w:qFormat/>
    <w:rPr>
      <w:sz w:val="24"/>
      <w:szCs w:val="24"/>
    </w:rPr>
  </w:style>
  <w:style w:type="paragraph" w:styleId="794">
    <w:name w:val="Quote"/>
    <w:basedOn w:val="680"/>
    <w:next w:val="680"/>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680"/>
    <w:next w:val="680"/>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页眉 字符"/>
    <w:link w:val="706"/>
    <w:uiPriority w:val="99"/>
    <w:qFormat/>
  </w:style>
  <w:style w:type="character" w:styleId="799" w:customStyle="1">
    <w:name w:val="Footer Char"/>
    <w:uiPriority w:val="99"/>
    <w:qFormat/>
  </w:style>
  <w:style w:type="character" w:styleId="800" w:customStyle="1">
    <w:name w:val="页脚 字符"/>
    <w:link w:val="705"/>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10"/>
    <w:uiPriority w:val="99"/>
    <w:qFormat/>
    <w:rPr>
      <w:sz w:val="18"/>
    </w:rPr>
  </w:style>
  <w:style w:type="character" w:styleId="908" w:customStyle="1">
    <w:name w:val="尾注文本 字符"/>
    <w:link w:val="704"/>
    <w:uiPriority w:val="99"/>
    <w:qFormat/>
    <w:rPr>
      <w:sz w:val="20"/>
    </w:rPr>
  </w:style>
  <w:style w:type="paragraph" w:styleId="909" w:customStyle="1">
    <w:name w:val="TOC 标题11"/>
    <w:uiPriority w:val="39"/>
    <w:unhideWhenUsed/>
    <w:qFormat/>
    <w:rPr>
      <w:rFonts w:ascii="Times New Roman" w:hAnsi="Times New Roman" w:eastAsia="宋体" w:cs="Times New Roman"/>
      <w:lang w:val="en-US" w:eastAsia="zh-CN" w:bidi="ar-SA"/>
    </w:rPr>
  </w:style>
  <w:style w:type="paragraph" w:styleId="910" w:customStyle="1">
    <w:name w:val="标题 11"/>
    <w:basedOn w:val="680"/>
    <w:next w:val="680"/>
    <w:uiPriority w:val="9"/>
    <w:qFormat/>
    <w:pPr>
      <w:keepLines/>
      <w:keepNext/>
      <w:spacing w:before="340" w:after="330" w:line="578" w:lineRule="auto"/>
      <w:outlineLvl w:val="0"/>
    </w:pPr>
    <w:rPr>
      <w:b/>
      <w:bCs/>
      <w:sz w:val="44"/>
      <w:szCs w:val="44"/>
    </w:rPr>
  </w:style>
  <w:style w:type="paragraph" w:styleId="911" w:customStyle="1">
    <w:name w:val="标题 21"/>
    <w:basedOn w:val="680"/>
    <w:next w:val="6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2" w:customStyle="1">
    <w:name w:val="标题 31"/>
    <w:basedOn w:val="680"/>
    <w:next w:val="680"/>
    <w:uiPriority w:val="0"/>
    <w:qFormat/>
    <w:pPr>
      <w:keepLines/>
      <w:keepNext/>
      <w:spacing w:before="260" w:after="260" w:line="416" w:lineRule="auto"/>
      <w:outlineLvl w:val="2"/>
    </w:pPr>
    <w:rPr>
      <w:b/>
      <w:bCs/>
      <w:sz w:val="32"/>
      <w:szCs w:val="32"/>
    </w:rPr>
  </w:style>
  <w:style w:type="character" w:styleId="913" w:customStyle="1">
    <w:name w:val="默认段落字体1"/>
    <w:uiPriority w:val="1"/>
    <w:unhideWhenUsed/>
    <w:qFormat/>
  </w:style>
  <w:style w:type="table" w:styleId="914" w:customStyle="1">
    <w:name w:val="普通表格1"/>
    <w:uiPriority w:val="99"/>
    <w:unhideWhenUsed/>
    <w:qFormat/>
    <w:tblPr>
      <w:tblCellMar>
        <w:left w:w="0" w:type="dxa"/>
        <w:top w:w="0" w:type="dxa"/>
        <w:right w:w="0" w:type="dxa"/>
        <w:bottom w:w="0" w:type="dxa"/>
      </w:tblCellMar>
    </w:tblPr>
  </w:style>
  <w:style w:type="paragraph" w:styleId="915" w:customStyle="1">
    <w:name w:val="正文文本缩进1"/>
    <w:basedOn w:val="680"/>
    <w:next w:val="916"/>
    <w:uiPriority w:val="0"/>
    <w:qFormat/>
    <w:pPr>
      <w:ind w:left="420"/>
      <w:spacing w:after="120"/>
    </w:pPr>
    <w:rPr>
      <w:rFonts w:ascii="等线" w:hAnsi="等线" w:eastAsia="等线"/>
    </w:rPr>
  </w:style>
  <w:style w:type="paragraph" w:styleId="916" w:customStyle="1">
    <w:name w:val="寄信人地址1"/>
    <w:basedOn w:val="680"/>
    <w:uiPriority w:val="99"/>
    <w:unhideWhenUsed/>
    <w:qFormat/>
    <w:rPr>
      <w:rFonts w:ascii="Arial" w:hAnsi="Arial"/>
    </w:rPr>
  </w:style>
  <w:style w:type="paragraph" w:styleId="917" w:customStyle="1">
    <w:name w:val="正文缩进1"/>
    <w:basedOn w:val="680"/>
    <w:uiPriority w:val="0"/>
    <w:unhideWhenUsed/>
    <w:qFormat/>
    <w:pPr>
      <w:ind w:firstLine="420"/>
    </w:pPr>
  </w:style>
  <w:style w:type="paragraph" w:styleId="918" w:customStyle="1">
    <w:name w:val="批注文字1"/>
    <w:basedOn w:val="680"/>
    <w:link w:val="919"/>
    <w:uiPriority w:val="0"/>
    <w:qFormat/>
    <w:pPr>
      <w:jc w:val="left"/>
    </w:pPr>
  </w:style>
  <w:style w:type="character" w:styleId="919" w:customStyle="1">
    <w:name w:val="批注文字 Char"/>
    <w:link w:val="918"/>
    <w:uiPriority w:val="0"/>
    <w:qFormat/>
    <w:rPr>
      <w:rFonts w:ascii="Calibri" w:hAnsi="Calibri"/>
      <w:sz w:val="21"/>
      <w:szCs w:val="22"/>
    </w:rPr>
  </w:style>
  <w:style w:type="paragraph" w:styleId="920" w:customStyle="1">
    <w:name w:val="正文文本11"/>
    <w:basedOn w:val="680"/>
    <w:next w:val="741"/>
    <w:uiPriority w:val="0"/>
    <w:qFormat/>
    <w:rPr>
      <w:rFonts w:ascii="楷体_GB2312" w:hAnsi="Arial" w:eastAsia="楷体_GB2312"/>
      <w:sz w:val="28"/>
      <w:szCs w:val="28"/>
    </w:rPr>
  </w:style>
  <w:style w:type="paragraph" w:styleId="921" w:customStyle="1">
    <w:name w:val="纯文本1"/>
    <w:basedOn w:val="680"/>
    <w:uiPriority w:val="99"/>
    <w:qFormat/>
    <w:rPr>
      <w:rFonts w:ascii="宋体" w:hAnsi="Courier New"/>
      <w:sz w:val="20"/>
      <w:szCs w:val="21"/>
    </w:rPr>
  </w:style>
  <w:style w:type="paragraph" w:styleId="922" w:customStyle="1">
    <w:name w:val="正文文本缩进 21"/>
    <w:basedOn w:val="680"/>
    <w:uiPriority w:val="0"/>
    <w:qFormat/>
    <w:pPr>
      <w:ind w:left="640"/>
      <w:spacing w:after="120" w:line="480" w:lineRule="auto"/>
    </w:pPr>
    <w:rPr>
      <w:rFonts w:eastAsia="仿宋_GB2312"/>
      <w:sz w:val="32"/>
      <w:szCs w:val="28"/>
    </w:rPr>
  </w:style>
  <w:style w:type="paragraph" w:styleId="923" w:customStyle="1">
    <w:name w:val="批注框文本1"/>
    <w:basedOn w:val="680"/>
    <w:link w:val="924"/>
    <w:uiPriority w:val="0"/>
    <w:qFormat/>
    <w:rPr>
      <w:sz w:val="18"/>
      <w:szCs w:val="18"/>
    </w:rPr>
  </w:style>
  <w:style w:type="character" w:styleId="924" w:customStyle="1">
    <w:name w:val="批注框文本 Char"/>
    <w:link w:val="923"/>
    <w:uiPriority w:val="0"/>
    <w:qFormat/>
    <w:rPr>
      <w:sz w:val="18"/>
      <w:szCs w:val="18"/>
    </w:rPr>
  </w:style>
  <w:style w:type="paragraph" w:styleId="925" w:customStyle="1">
    <w:name w:val="页脚1"/>
    <w:basedOn w:val="680"/>
    <w:uiPriority w:val="99"/>
    <w:unhideWhenUsed/>
    <w:qFormat/>
    <w:pPr>
      <w:jc w:val="left"/>
      <w:tabs>
        <w:tab w:val="center" w:pos="4153" w:leader="none"/>
        <w:tab w:val="right" w:pos="8306" w:leader="none"/>
      </w:tabs>
    </w:pPr>
    <w:rPr>
      <w:sz w:val="18"/>
      <w:szCs w:val="18"/>
    </w:rPr>
  </w:style>
  <w:style w:type="paragraph" w:styleId="926" w:customStyle="1">
    <w:name w:val="页眉1"/>
    <w:basedOn w:val="6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7" w:customStyle="1">
    <w:name w:val="目录 11"/>
    <w:basedOn w:val="680"/>
    <w:next w:val="680"/>
    <w:uiPriority w:val="39"/>
    <w:unhideWhenUsed/>
    <w:qFormat/>
  </w:style>
  <w:style w:type="paragraph" w:styleId="928" w:customStyle="1">
    <w:name w:val="目录 21"/>
    <w:basedOn w:val="680"/>
    <w:next w:val="680"/>
    <w:uiPriority w:val="0"/>
    <w:qFormat/>
    <w:pPr>
      <w:ind w:left="420"/>
    </w:pPr>
  </w:style>
  <w:style w:type="paragraph" w:styleId="929" w:customStyle="1">
    <w:name w:val="信息标题1"/>
    <w:basedOn w:val="68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30" w:customStyle="1">
    <w:name w:val="普通(网站)1"/>
    <w:basedOn w:val="680"/>
    <w:uiPriority w:val="0"/>
    <w:qFormat/>
    <w:rPr>
      <w:rFonts w:ascii="Times New Roman" w:hAnsi="Times New Roman"/>
      <w:sz w:val="24"/>
    </w:rPr>
  </w:style>
  <w:style w:type="paragraph" w:styleId="931" w:customStyle="1">
    <w:name w:val="批注主题1"/>
    <w:basedOn w:val="918"/>
    <w:next w:val="918"/>
    <w:link w:val="932"/>
    <w:uiPriority w:val="0"/>
    <w:qFormat/>
    <w:rPr>
      <w:b/>
      <w:bCs/>
    </w:rPr>
  </w:style>
  <w:style w:type="character" w:styleId="932" w:customStyle="1">
    <w:name w:val="批注主题 Char"/>
    <w:link w:val="931"/>
    <w:uiPriority w:val="0"/>
    <w:qFormat/>
    <w:rPr>
      <w:rFonts w:ascii="Calibri" w:hAnsi="Calibri"/>
      <w:b/>
      <w:bCs/>
      <w:sz w:val="21"/>
      <w:szCs w:val="22"/>
    </w:rPr>
  </w:style>
  <w:style w:type="paragraph" w:styleId="933" w:customStyle="1">
    <w:name w:val="正文首行缩进 21"/>
    <w:basedOn w:val="915"/>
    <w:next w:val="680"/>
    <w:uiPriority w:val="0"/>
    <w:qFormat/>
    <w:pPr>
      <w:ind w:firstLine="420"/>
      <w:spacing w:before="100" w:beforeAutospacing="1"/>
    </w:pPr>
    <w:rPr>
      <w:rFonts w:ascii="Times New Roman" w:hAnsi="Times New Roman" w:eastAsia="宋体"/>
      <w:sz w:val="20"/>
      <w:szCs w:val="21"/>
    </w:rPr>
  </w:style>
  <w:style w:type="table" w:styleId="934" w:customStyle="1">
    <w:name w:val="网格型1"/>
    <w:basedOn w:val="914"/>
    <w:uiPriority w:val="0"/>
    <w:qFormat/>
    <w:pPr>
      <w:jc w:val="both"/>
      <w:widowControl w:val="off"/>
    </w:pPr>
    <w:tblPr/>
  </w:style>
  <w:style w:type="character" w:styleId="935" w:customStyle="1">
    <w:name w:val="要点1"/>
    <w:uiPriority w:val="0"/>
    <w:qFormat/>
    <w:rPr>
      <w:b/>
    </w:rPr>
  </w:style>
  <w:style w:type="character" w:styleId="936" w:customStyle="1">
    <w:name w:val="强调1"/>
    <w:uiPriority w:val="0"/>
    <w:qFormat/>
    <w:rPr>
      <w:i/>
    </w:rPr>
  </w:style>
  <w:style w:type="character" w:styleId="937" w:customStyle="1">
    <w:name w:val="超链接1"/>
    <w:uiPriority w:val="0"/>
    <w:qFormat/>
    <w:rPr>
      <w:color w:val="0000ff"/>
      <w:u w:val="single"/>
    </w:rPr>
  </w:style>
  <w:style w:type="character" w:styleId="938" w:customStyle="1">
    <w:name w:val="批注引用1"/>
    <w:uiPriority w:val="0"/>
    <w:qFormat/>
    <w:rPr>
      <w:sz w:val="21"/>
      <w:szCs w:val="21"/>
    </w:rPr>
  </w:style>
  <w:style w:type="paragraph" w:styleId="939" w:customStyle="1">
    <w:name w:val="Char"/>
    <w:basedOn w:val="680"/>
    <w:uiPriority w:val="0"/>
    <w:qFormat/>
    <w:pPr>
      <w:ind w:firstLine="200"/>
      <w:tabs>
        <w:tab w:val="left" w:pos="360" w:leader="none"/>
      </w:tabs>
    </w:pPr>
    <w:rPr>
      <w:rFonts w:ascii="Times New Roman" w:hAnsi="Times New Roman"/>
      <w:sz w:val="28"/>
      <w:szCs w:val="30"/>
    </w:rPr>
  </w:style>
  <w:style w:type="paragraph" w:styleId="940" w:customStyle="1">
    <w:name w:val="Table Paragraph"/>
    <w:basedOn w:val="680"/>
    <w:uiPriority w:val="1"/>
    <w:qFormat/>
    <w:rPr>
      <w:rFonts w:ascii="Noto Sans CJK JP Regular" w:hAnsi="Noto Sans CJK JP Regular" w:eastAsia="Noto Sans CJK JP Regular" w:cs="Noto Sans CJK JP Regular"/>
    </w:rPr>
  </w:style>
  <w:style w:type="paragraph" w:styleId="941" w:customStyle="1">
    <w:name w:val="正文（1）"/>
    <w:basedOn w:val="680"/>
    <w:uiPriority w:val="0"/>
    <w:qFormat/>
    <w:pPr>
      <w:numPr>
        <w:ilvl w:val="0"/>
        <w:numId w:val="1"/>
      </w:numPr>
      <w:ind w:firstLine="200"/>
    </w:pPr>
    <w:rPr>
      <w:szCs w:val="24"/>
    </w:rPr>
  </w:style>
  <w:style w:type="paragraph" w:styleId="942" w:customStyle="1">
    <w:name w:val="朱-正文"/>
    <w:basedOn w:val="680"/>
    <w:uiPriority w:val="0"/>
    <w:qFormat/>
    <w:pPr>
      <w:ind w:firstLine="200"/>
    </w:pPr>
    <w:rPr>
      <w:rFonts w:ascii="Times New Roman"/>
      <w:color w:val="000000"/>
      <w:szCs w:val="24"/>
      <w:lang w:val="en-GB"/>
    </w:rPr>
  </w:style>
  <w:style w:type="paragraph" w:styleId="943" w:customStyle="1">
    <w:name w:val="GP正文(首行缩进)"/>
    <w:basedOn w:val="680"/>
    <w:uiPriority w:val="0"/>
    <w:qFormat/>
    <w:pPr>
      <w:ind w:firstLine="480"/>
      <w:jc w:val="left"/>
    </w:pPr>
    <w:rPr>
      <w:rFonts w:ascii="Times New Roman" w:hAnsi="宋体"/>
      <w:sz w:val="24"/>
      <w:szCs w:val="24"/>
    </w:rPr>
  </w:style>
  <w:style w:type="character" w:styleId="944" w:customStyle="1">
    <w:name w:val="font71"/>
    <w:basedOn w:val="690"/>
    <w:uiPriority w:val="0"/>
    <w:qFormat/>
    <w:rPr>
      <w:rFonts w:hint="eastAsia" w:ascii="宋体" w:hAnsi="宋体" w:eastAsia="宋体" w:cs="宋体"/>
      <w:color w:val="ff0000"/>
      <w:sz w:val="21"/>
      <w:szCs w:val="21"/>
      <w:u w:val="none"/>
    </w:rPr>
  </w:style>
  <w:style w:type="character" w:styleId="945" w:customStyle="1">
    <w:name w:val="font41"/>
    <w:uiPriority w:val="0"/>
    <w:qFormat/>
    <w:rPr>
      <w:rFonts w:hint="eastAsia" w:ascii="宋体" w:hAnsi="宋体" w:eastAsia="宋体" w:cs="宋体"/>
      <w:color w:val="000000"/>
      <w:sz w:val="21"/>
      <w:szCs w:val="21"/>
      <w:u w:val="none"/>
    </w:rPr>
  </w:style>
  <w:style w:type="paragraph" w:styleId="946" w:customStyle="1">
    <w:name w:val="列出段落"/>
    <w:basedOn w:val="680"/>
    <w:uiPriority w:val="0"/>
    <w:qFormat/>
    <w:pPr>
      <w:ind w:firstLine="420"/>
    </w:pPr>
  </w:style>
  <w:style w:type="paragraph" w:styleId="947" w:customStyle="1">
    <w:name w:val="列出段落2"/>
    <w:basedOn w:val="680"/>
    <w:uiPriority w:val="34"/>
    <w:qFormat/>
    <w:pPr>
      <w:ind w:firstLine="420"/>
    </w:pPr>
    <w:rPr>
      <w:rFonts w:ascii="宋体"/>
      <w:color w:val="404040"/>
    </w:rPr>
  </w:style>
  <w:style w:type="paragraph" w:styleId="948" w:customStyle="1">
    <w:name w:val="列表段落1"/>
    <w:basedOn w:val="680"/>
    <w:uiPriority w:val="0"/>
    <w:qFormat/>
    <w:pPr>
      <w:ind w:firstLine="200"/>
    </w:pPr>
    <w:rPr>
      <w:rFonts w:cs="宋体"/>
    </w:rPr>
  </w:style>
  <w:style w:type="character" w:styleId="949" w:customStyle="1">
    <w:name w:val="font51"/>
    <w:uiPriority w:val="0"/>
    <w:qFormat/>
    <w:rPr>
      <w:rFonts w:hint="eastAsia" w:ascii="宋体" w:hAnsi="宋体" w:eastAsia="宋体" w:cs="宋体"/>
      <w:color w:val="000000"/>
      <w:sz w:val="24"/>
      <w:szCs w:val="24"/>
      <w:u w:val="none"/>
      <w:vertAlign w:val="subscript"/>
    </w:rPr>
  </w:style>
  <w:style w:type="character" w:styleId="950" w:customStyle="1">
    <w:name w:val="font61"/>
    <w:basedOn w:val="690"/>
    <w:uiPriority w:val="0"/>
    <w:qFormat/>
    <w:rPr>
      <w:rFonts w:hint="eastAsia" w:ascii="宋体" w:hAnsi="宋体" w:eastAsia="宋体" w:cs="宋体"/>
      <w:color w:val="000000"/>
      <w:sz w:val="24"/>
      <w:szCs w:val="24"/>
      <w:u w:val="none"/>
    </w:rPr>
  </w:style>
  <w:style w:type="character" w:styleId="951" w:customStyle="1">
    <w:name w:val="font01"/>
    <w:uiPriority w:val="0"/>
    <w:qFormat/>
    <w:rPr>
      <w:rFonts w:hint="eastAsia" w:ascii="宋体" w:hAnsi="宋体" w:eastAsia="宋体" w:cs="宋体"/>
      <w:color w:val="000000"/>
      <w:sz w:val="24"/>
      <w:szCs w:val="24"/>
      <w:u w:val="none"/>
    </w:rPr>
  </w:style>
  <w:style w:type="character" w:styleId="952" w:customStyle="1">
    <w:name w:val="font81"/>
    <w:uiPriority w:val="0"/>
    <w:qFormat/>
    <w:rPr>
      <w:rFonts w:ascii="微软雅黑" w:hAnsi="微软雅黑" w:eastAsia="微软雅黑" w:cs="微软雅黑"/>
      <w:color w:val="000000"/>
      <w:sz w:val="24"/>
      <w:szCs w:val="24"/>
      <w:u w:val="none"/>
    </w:rPr>
  </w:style>
  <w:style w:type="character" w:styleId="953" w:customStyle="1">
    <w:name w:val="font91"/>
    <w:basedOn w:val="690"/>
    <w:uiPriority w:val="0"/>
    <w:qFormat/>
    <w:rPr>
      <w:rFonts w:ascii="Segoe UI Symbol" w:hAnsi="Segoe UI Symbol" w:eastAsia="Segoe UI Symbol" w:cs="Segoe UI Symbol"/>
      <w:color w:val="000000"/>
      <w:sz w:val="24"/>
      <w:szCs w:val="24"/>
      <w:u w:val="none"/>
    </w:rPr>
  </w:style>
  <w:style w:type="character" w:styleId="954" w:customStyle="1">
    <w:name w:val="font101"/>
    <w:uiPriority w:val="0"/>
    <w:qFormat/>
    <w:rPr>
      <w:rFonts w:ascii="Calibri" w:hAnsi="Calibri" w:cs="Calibri"/>
      <w:color w:val="000000"/>
      <w:sz w:val="24"/>
      <w:szCs w:val="24"/>
      <w:u w:val="none"/>
    </w:rPr>
  </w:style>
  <w:style w:type="paragraph" w:styleId="955" w:customStyle="1">
    <w:name w:val="TableItem"/>
    <w:uiPriority w:val="0"/>
    <w:qFormat/>
    <w:rPr>
      <w:rFonts w:ascii="Verdana" w:hAnsi="Verdana" w:eastAsia="宋体" w:cs="Verdana"/>
      <w:b/>
      <w:bCs/>
      <w:color w:val="538135"/>
      <w:spacing w:val="-10"/>
      <w:sz w:val="16"/>
      <w:szCs w:val="28"/>
      <w:lang w:val="en-US" w:eastAsia="zh-CN" w:bidi="ar-SA"/>
    </w:rPr>
  </w:style>
  <w:style w:type="paragraph" w:styleId="956" w:customStyle="1">
    <w:name w:val="TableEmphasis"/>
    <w:basedOn w:val="680"/>
    <w:uiPriority w:val="0"/>
    <w:qFormat/>
    <w:rPr>
      <w:rFonts w:ascii="Times New Roman" w:hAnsi="Times New Roman" w:eastAsia="Times New Roman"/>
      <w:b/>
      <w:bCs/>
      <w:color w:val="3333ff"/>
      <w:sz w:val="16"/>
      <w:szCs w:val="18"/>
    </w:rPr>
  </w:style>
  <w:style w:type="paragraph" w:styleId="957" w:customStyle="1">
    <w:name w:val="修订1"/>
    <w:uiPriority w:val="99"/>
    <w:unhideWhenUsed/>
    <w:qFormat/>
    <w:rPr>
      <w:rFonts w:ascii="Calibri" w:hAnsi="Calibri" w:eastAsia="宋体" w:cs="Times New Roman"/>
      <w:sz w:val="21"/>
      <w:szCs w:val="22"/>
      <w:lang w:val="en-US" w:eastAsia="zh-CN" w:bidi="ar-SA"/>
    </w:rPr>
  </w:style>
  <w:style w:type="paragraph" w:styleId="958" w:customStyle="1">
    <w:name w:val="修订2"/>
    <w:uiPriority w:val="99"/>
    <w:semiHidden/>
    <w:qFormat/>
    <w:rPr>
      <w:rFonts w:ascii="Calibri" w:hAnsi="Calibri" w:eastAsia="宋体" w:cs="Times New Roman"/>
      <w:sz w:val="21"/>
      <w:szCs w:val="22"/>
      <w:lang w:val="en-US" w:eastAsia="zh-CN" w:bidi="ar-SA"/>
    </w:rPr>
  </w:style>
  <w:style w:type="character" w:styleId="959" w:customStyle="1">
    <w:name w:val="font11"/>
    <w:uiPriority w:val="0"/>
    <w:qFormat/>
    <w:rPr>
      <w:rFonts w:hint="eastAsia" w:ascii="宋体" w:hAnsi="宋体" w:eastAsia="宋体" w:cs="宋体"/>
      <w:color w:val="000000"/>
      <w:sz w:val="24"/>
      <w:szCs w:val="24"/>
      <w:u w:val="none"/>
    </w:rPr>
  </w:style>
  <w:style w:type="character" w:styleId="960" w:customStyle="1">
    <w:name w:val="font21"/>
    <w:uiPriority w:val="0"/>
    <w:qFormat/>
    <w:rPr>
      <w:rFonts w:ascii="Segoe UI Symbol" w:hAnsi="Segoe UI Symbol" w:eastAsia="Segoe UI Symbol" w:cs="Segoe UI Symbol"/>
      <w:color w:val="000000"/>
      <w:sz w:val="24"/>
      <w:szCs w:val="24"/>
      <w:u w:val="none"/>
    </w:rPr>
  </w:style>
  <w:style w:type="character" w:styleId="961" w:customStyle="1">
    <w:name w:val="NormalCharacter1"/>
    <w:uiPriority w:val="0"/>
    <w:semiHidden/>
    <w:qFormat/>
  </w:style>
  <w:style w:type="character" w:styleId="962" w:customStyle="1">
    <w:name w:val="font31"/>
    <w:uiPriority w:val="0"/>
    <w:qFormat/>
    <w:rPr>
      <w:rFonts w:hint="eastAsia" w:ascii="宋体" w:hAnsi="宋体" w:eastAsia="宋体" w:cs="宋体"/>
      <w:color w:val="000000"/>
      <w:sz w:val="21"/>
      <w:szCs w:val="21"/>
      <w:u w:val="none"/>
    </w:rPr>
  </w:style>
  <w:style w:type="paragraph" w:styleId="963" w:customStyle="1">
    <w:name w:val="无间隔1"/>
    <w:uiPriority w:val="1"/>
    <w:qFormat/>
    <w:rPr>
      <w:rFonts w:ascii="Times New Roman" w:hAnsi="Times New Roman" w:eastAsia="宋体" w:cs="Times New Roman"/>
      <w:lang w:val="en-US" w:eastAsia="zh-CN" w:bidi="ar-SA"/>
    </w:rPr>
  </w:style>
  <w:style w:type="paragraph" w:styleId="964" w:customStyle="1">
    <w:name w:val="索引 41"/>
    <w:basedOn w:val="680"/>
    <w:next w:val="680"/>
    <w:uiPriority w:val="99"/>
    <w:unhideWhenUsed/>
    <w:qFormat/>
    <w:pPr>
      <w:ind w:left="600"/>
    </w:pPr>
    <w:rPr>
      <w:rFonts w:ascii="Verdana" w:hAnsi="Verdana" w:eastAsia="微软雅黑"/>
      <w:szCs w:val="20"/>
    </w:rPr>
  </w:style>
  <w:style w:type="paragraph" w:styleId="965" w:customStyle="1">
    <w:name w:val="样式 宋体 加粗 居中"/>
    <w:basedOn w:val="680"/>
    <w:uiPriority w:val="0"/>
    <w:qFormat/>
    <w:pPr>
      <w:jc w:val="center"/>
    </w:pPr>
    <w:rPr>
      <w:rFonts w:ascii="宋体" w:hAnsi="宋体" w:cs="宋体"/>
      <w:b/>
      <w:bCs/>
      <w:sz w:val="32"/>
      <w:szCs w:val="20"/>
    </w:rPr>
  </w:style>
  <w:style w:type="character" w:styleId="966" w:customStyle="1">
    <w:name w:val="font151"/>
    <w:basedOn w:val="690"/>
    <w:uiPriority w:val="0"/>
    <w:qFormat/>
    <w:rPr>
      <w:rFonts w:hint="eastAsia" w:ascii="宋体" w:hAnsi="宋体" w:eastAsia="宋体" w:cs="宋体"/>
      <w:color w:val="000000"/>
      <w:sz w:val="24"/>
      <w:szCs w:val="24"/>
      <w:u w:val="none"/>
    </w:rPr>
  </w:style>
  <w:style w:type="character" w:styleId="967" w:customStyle="1">
    <w:name w:val="font161"/>
    <w:basedOn w:val="690"/>
    <w:uiPriority w:val="0"/>
    <w:qFormat/>
    <w:rPr>
      <w:rFonts w:hint="eastAsia" w:ascii="宋体" w:hAnsi="宋体" w:eastAsia="宋体" w:cs="宋体"/>
      <w:color w:val="000000"/>
      <w:sz w:val="24"/>
      <w:szCs w:val="24"/>
      <w:u w:val="none"/>
    </w:rPr>
  </w:style>
  <w:style w:type="character" w:styleId="968" w:customStyle="1">
    <w:name w:val="font171"/>
    <w:basedOn w:val="690"/>
    <w:uiPriority w:val="0"/>
    <w:qFormat/>
    <w:rPr>
      <w:rFonts w:hint="eastAsia" w:ascii="宋体" w:hAnsi="宋体" w:eastAsia="宋体" w:cs="宋体"/>
      <w:color w:val="000000"/>
      <w:sz w:val="24"/>
      <w:szCs w:val="24"/>
      <w:u w:val="none"/>
    </w:rPr>
  </w:style>
  <w:style w:type="paragraph" w:styleId="969" w:customStyle="1">
    <w:name w:val="纯文本11"/>
    <w:basedOn w:val="680"/>
    <w:uiPriority w:val="0"/>
    <w:qFormat/>
    <w:rPr>
      <w:rFonts w:ascii="宋体" w:hAnsi="Courier New"/>
      <w:sz w:val="20"/>
    </w:rPr>
  </w:style>
  <w:style w:type="paragraph" w:styleId="970" w:customStyle="1">
    <w:name w:val="正文空2格  1."/>
    <w:basedOn w:val="680"/>
    <w:uiPriority w:val="0"/>
    <w:qFormat/>
    <w:pPr>
      <w:ind w:firstLine="480"/>
    </w:pPr>
    <w:rPr>
      <w:rFonts w:cs="宋体"/>
      <w:sz w:val="28"/>
      <w:szCs w:val="20"/>
    </w:rPr>
  </w:style>
  <w:style w:type="paragraph" w:styleId="97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72" w:customStyle="1">
    <w:name w:val="NormalCharacter"/>
    <w:uiPriority w:val="0"/>
    <w:semiHidden/>
    <w:qFormat/>
  </w:style>
  <w:style w:type="character" w:styleId="973" w:customStyle="1">
    <w:name w:val="批注文字 字符"/>
    <w:basedOn w:val="690"/>
    <w:link w:val="695"/>
    <w:uiPriority w:val="99"/>
    <w:qFormat/>
    <w:rPr>
      <w:rFonts w:ascii="Calibri" w:hAnsi="Calibri"/>
      <w:sz w:val="21"/>
      <w:szCs w:val="22"/>
    </w:rPr>
  </w:style>
  <w:style w:type="character" w:styleId="974" w:customStyle="1">
    <w:name w:val="批注主题 字符"/>
    <w:basedOn w:val="973"/>
    <w:link w:val="718"/>
    <w:uiPriority w:val="99"/>
    <w:semiHidden/>
    <w:qFormat/>
    <w:rPr>
      <w:rFonts w:ascii="Calibri" w:hAnsi="Calibri"/>
      <w:b/>
      <w:bCs/>
      <w:sz w:val="21"/>
      <w:szCs w:val="22"/>
    </w:rPr>
  </w:style>
  <w:style w:type="numbering" w:styleId="16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缪晓庆</cp:lastModifiedBy>
  <cp:revision>4</cp:revision>
  <dcterms:created xsi:type="dcterms:W3CDTF">2026-07-12T05:48:00Z</dcterms:created>
  <dcterms:modified xsi:type="dcterms:W3CDTF">2026-07-24T07:22:03Z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DC7D6E8D69694577AD303A6A1334BECF_13</vt:lpwstr>
  </property>
  <property fmtid="{D5CDD505-2E9C-101B-9397-08002B2CF9AE}" pid="4" name="KSOTemplateDocerSaveRecord">
    <vt:lpwstr>eyJoZGlkIjoiYThjNzI5NTI3ZThiMzgwMzhhNDE2NGVhNzY1MmY4ZDAiLCJ1c2VySWQiOiI5NzAxODY4MDEifQ==</vt:lpwstr>
  </property>
  <property fmtid="{D5CDD505-2E9C-101B-9397-08002B2CF9AE}" pid="5" name="GrammarlyDocumentId">
    <vt:lpwstr>03e4837b-620f-47fb-9409-729d1619723b</vt:lpwstr>
  </property>
</Properties>
</file>