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ind w:firstLine="0"/>
        <w:rPr>
          <w:rFonts w:hint="eastAsia" w:eastAsia="黑体"/>
          <w:b/>
          <w:bCs/>
          <w:sz w:val="84"/>
          <w:shd w:val="clear" w:color="ffffff" w:fill="d9d9d9"/>
        </w:rPr>
      </w:pPr>
      <w:r>
        <w:rPr>
          <w:rFonts w:hint="eastAsia" w:eastAsia="黑体"/>
          <w:b/>
          <w:bCs/>
          <w:sz w:val="84"/>
          <w:shd w:val="clear" w:color="ffffff" w:fill="d9d9d9"/>
        </w:rPr>
      </w:r>
      <w:r/>
    </w:p>
    <w:p>
      <w:pPr>
        <w:pStyle w:val="758"/>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58"/>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75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70"/>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cs="Times New Roman"/>
          <w:bCs/>
          <w:color w:val="000000"/>
          <w:sz w:val="32"/>
          <w:szCs w:val="32"/>
        </w:rPr>
        <w:t xml:space="preserve">：JSZC-320214-JZCG-G2026-0079</w:t>
      </w:r>
      <w:r>
        <w:rPr>
          <w:rFonts w:ascii="黑体" w:hAnsi="华文中宋" w:eastAsia="黑体"/>
          <w:bCs/>
          <w:color w:val="000000"/>
          <w:sz w:val="32"/>
          <w:szCs w:val="32"/>
        </w:rPr>
      </w:r>
      <w:r/>
    </w:p>
    <w:p>
      <w:pPr>
        <w:pStyle w:val="670"/>
        <w:ind w:firstLine="1920"/>
        <w:jc w:val="left"/>
        <w:rPr>
          <w:rFonts w:hint="eastAsia" w:ascii="黑体" w:hAnsi="华文中宋" w:eastAsia="黑体" w:cs="Times New Roman"/>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cs="Times New Roman"/>
          <w:bCs/>
          <w:color w:val="000000"/>
          <w:sz w:val="32"/>
          <w:szCs w:val="32"/>
        </w:rPr>
        <w:t xml:space="preserve">旺庄街道视频监控运营服务平台项目</w:t>
      </w:r>
      <w:r>
        <w:rPr>
          <w:rFonts w:hint="eastAsia" w:ascii="黑体" w:hAnsi="华文中宋" w:eastAsia="黑体" w:cs="Times New Roman"/>
          <w:bCs/>
          <w:color w:val="000000"/>
          <w:sz w:val="32"/>
          <w:szCs w:val="32"/>
        </w:rPr>
      </w:r>
      <w:r/>
    </w:p>
    <w:p>
      <w:pPr>
        <w:pStyle w:val="670"/>
        <w:ind w:firstLine="1920"/>
        <w:jc w:val="left"/>
        <w:rPr>
          <w:rFonts w:hint="eastAsia" w:ascii="黑体" w:hAnsi="华文中宋" w:eastAsia="黑体" w:cs="Times New Roman"/>
          <w:bCs/>
          <w:color w:val="000000"/>
          <w:sz w:val="32"/>
          <w:szCs w:val="32"/>
        </w:rPr>
      </w:pPr>
      <w:r>
        <w:rPr>
          <w:rFonts w:hint="eastAsia" w:ascii="黑体" w:hAnsi="华文中宋" w:eastAsia="黑体" w:cs="Times New Roman"/>
          <w:bCs/>
          <w:color w:val="000000"/>
          <w:sz w:val="32"/>
          <w:szCs w:val="32"/>
        </w:rPr>
        <w:t xml:space="preserve">采 购 人：无锡市新吴区人民政府旺庄街道办事处</w:t>
      </w:r>
      <w:r>
        <w:rPr>
          <w:rFonts w:hint="eastAsia" w:ascii="黑体" w:hAnsi="华文中宋" w:eastAsia="黑体" w:cs="Times New Roman"/>
          <w:bCs/>
          <w:color w:val="000000"/>
          <w:sz w:val="32"/>
          <w:szCs w:val="32"/>
        </w:rPr>
      </w:r>
      <w:r/>
    </w:p>
    <w:p>
      <w:pPr>
        <w:pStyle w:val="670"/>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5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5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5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58"/>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758"/>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八</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58"/>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ascii="黑体" w:hAnsi="黑体" w:eastAsia="黑体"/>
          <w:sz w:val="36"/>
          <w:szCs w:val="36"/>
        </w:rPr>
        <w:t xml:space="preserve">总  目  录</w:t>
      </w:r>
      <w:r>
        <w:rPr>
          <w:rFonts w:hint="eastAsia" w:ascii="黑体" w:hAnsi="黑体" w:eastAsia="黑体"/>
          <w:sz w:val="36"/>
          <w:szCs w:val="36"/>
        </w:rPr>
      </w:r>
      <w:r/>
    </w:p>
    <w:p>
      <w:pPr>
        <w:pStyle w:val="670"/>
        <w:jc w:val="center"/>
        <w:spacing w:line="480" w:lineRule="auto"/>
        <w:rPr>
          <w:rFonts w:hint="eastAsia" w:ascii="黑体" w:hAnsi="Arial" w:eastAsia="黑体"/>
          <w:sz w:val="44"/>
        </w:rPr>
        <w:outlineLvl w:val="0"/>
      </w:pPr>
      <w:r>
        <w:rPr>
          <w:rFonts w:hint="eastAsia" w:ascii="黑体" w:hAnsi="Arial" w:eastAsia="黑体"/>
          <w:sz w:val="44"/>
        </w:rPr>
      </w:r>
      <w:r/>
    </w:p>
    <w:p>
      <w:pPr>
        <w:pStyle w:val="670"/>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67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67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67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67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67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670"/>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0"/>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eastAsia="宋体" w:cs="Times New Roman"/>
          <w:sz w:val="24"/>
          <w:szCs w:val="24"/>
          <w:lang w:eastAsia="zh-CN"/>
        </w:rPr>
        <w:t xml:space="preserve">无锡市新吴区人民政府旺庄街道办事处的委托，无锡市公共资源交易中心新吴分中心就旺庄街道视频监控运营服务平台项目（JSZC-320214-JZCG-G2026-0079）</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670"/>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670"/>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lang w:eastAsia="zh-CN"/>
        </w:rPr>
        <w:t xml:space="preserve">旺庄街道视频监控运营服务平台项目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w:t>
      </w:r>
      <w:r>
        <w:rPr>
          <w:rFonts w:hint="eastAsia" w:ascii="宋体" w:hAnsi="宋体"/>
          <w:color w:val="000000" w:themeColor="text1"/>
          <w:sz w:val="24"/>
          <w:szCs w:val="24"/>
          <w:highlight w:val="none"/>
        </w:rPr>
        <w:t xml:space="preserve">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年09</w:t>
      </w:r>
      <w:r>
        <w:rPr>
          <w:rFonts w:hint="eastAsia" w:ascii="宋体" w:hAnsi="宋体"/>
          <w:color w:val="000000" w:themeColor="text1"/>
          <w:sz w:val="24"/>
          <w:szCs w:val="24"/>
          <w:highlight w:val="none"/>
        </w:rPr>
        <w:t xml:space="preserve">月09</w:t>
      </w:r>
      <w:r>
        <w:rPr>
          <w:rFonts w:hint="eastAsia" w:ascii="宋体" w:hAnsi="宋体"/>
          <w:color w:val="000000" w:themeColor="text1"/>
          <w:sz w:val="24"/>
          <w:szCs w:val="24"/>
          <w:highlight w:val="none"/>
        </w:rPr>
        <w:t xml:space="preserve">日09点30</w:t>
      </w:r>
      <w:r>
        <w:rPr>
          <w:rFonts w:hint="eastAsia" w:ascii="宋体" w:hAnsi="宋体"/>
          <w:color w:val="000000" w:themeColor="text1"/>
          <w:sz w:val="24"/>
          <w:szCs w:val="24"/>
          <w:highlight w:val="non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673"/>
        <w:ind w:firstLine="452"/>
        <w:keepLines w:val="0"/>
        <w:keepNext w:val="0"/>
        <w:spacing w:before="0" w:after="0" w:line="500" w:lineRule="exact"/>
        <w:rPr>
          <w:sz w:val="30"/>
          <w:szCs w:val="30"/>
        </w:rPr>
      </w:pPr>
      <w:r/>
      <w:bookmarkStart w:id="6" w:name="_Toc28359002"/>
      <w:r/>
      <w:bookmarkStart w:id="7" w:name="_Toc28359079"/>
      <w:r/>
      <w:bookmarkStart w:id="8" w:name="_Toc35393790"/>
      <w:r/>
      <w:bookmarkStart w:id="9" w:name="_Toc38985263"/>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70"/>
        <w:ind w:firstLine="480"/>
        <w:spacing w:line="500" w:lineRule="exact"/>
        <w:rPr>
          <w:rFonts w:hint="eastAsia" w:ascii="宋体" w:hAnsi="宋体" w:eastAsia="宋体" w:cs="Times New Roman"/>
          <w:sz w:val="24"/>
          <w:szCs w:val="24"/>
        </w:rPr>
      </w:pPr>
      <w:r>
        <w:rPr>
          <w:rFonts w:hint="eastAsia" w:ascii="宋体" w:hAnsi="宋体"/>
          <w:sz w:val="24"/>
          <w:szCs w:val="24"/>
        </w:rPr>
        <w:t xml:space="preserve">1.项目编号</w:t>
      </w:r>
      <w:r>
        <w:rPr>
          <w:rFonts w:hint="eastAsia" w:ascii="宋体" w:hAnsi="宋体" w:eastAsia="宋体" w:cs="Times New Roman"/>
          <w:sz w:val="24"/>
          <w:szCs w:val="24"/>
        </w:rPr>
        <w:t xml:space="preserve">：JSZC-320214-JZCG-G2026-0079</w:t>
      </w:r>
      <w:r>
        <w:rPr>
          <w:rFonts w:hint="eastAsia" w:ascii="宋体" w:hAnsi="宋体" w:eastAsia="宋体" w:cs="Times New Roman"/>
          <w:sz w:val="24"/>
          <w:szCs w:val="24"/>
        </w:rPr>
      </w:r>
      <w:r/>
    </w:p>
    <w:p>
      <w:pPr>
        <w:pStyle w:val="670"/>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2.项目名称：旺庄街道视频监控运营服务平台项目</w:t>
      </w:r>
      <w:r>
        <w:rPr>
          <w:rFonts w:hint="eastAsia" w:ascii="宋体" w:hAnsi="宋体" w:eastAsia="宋体" w:cs="Times New Roman"/>
          <w:sz w:val="24"/>
          <w:szCs w:val="24"/>
        </w:rPr>
      </w:r>
      <w:r/>
    </w:p>
    <w:p>
      <w:pPr>
        <w:pStyle w:val="670"/>
        <w:ind w:firstLine="480"/>
        <w:spacing w:line="500" w:lineRule="exact"/>
        <w:rPr>
          <w:rFonts w:hint="eastAsia" w:ascii="宋体" w:hAnsi="宋体" w:eastAsia="宋体" w:cs="Times New Roman"/>
          <w:sz w:val="24"/>
          <w:szCs w:val="24"/>
        </w:rPr>
      </w:pPr>
      <w:r/>
      <w:bookmarkEnd w:id="11"/>
      <w:r>
        <w:rPr>
          <w:rFonts w:hint="eastAsia" w:ascii="宋体" w:hAnsi="宋体"/>
          <w:sz w:val="24"/>
          <w:szCs w:val="24"/>
        </w:rPr>
        <w:t xml:space="preserve">3.项目</w:t>
      </w:r>
      <w:r>
        <w:rPr>
          <w:rFonts w:hint="eastAsia" w:ascii="宋体" w:hAnsi="宋体" w:eastAsia="宋体" w:cs="Times New Roman"/>
          <w:sz w:val="24"/>
          <w:szCs w:val="24"/>
        </w:rPr>
        <w:t xml:space="preserve">预算金额：554.51 万元</w:t>
      </w:r>
      <w:r>
        <w:rPr>
          <w:rFonts w:hint="eastAsia" w:ascii="宋体" w:hAnsi="宋体" w:eastAsia="宋体" w:cs="Times New Roman"/>
          <w:sz w:val="24"/>
          <w:szCs w:val="24"/>
        </w:rPr>
      </w:r>
      <w:r/>
    </w:p>
    <w:p>
      <w:pPr>
        <w:pStyle w:val="670"/>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4.项目最高限价：554.51 万元</w:t>
      </w:r>
      <w:r>
        <w:rPr>
          <w:rFonts w:hint="eastAsia" w:ascii="宋体" w:hAnsi="宋体" w:eastAsia="宋体" w:cs="Times New Roman"/>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5.采购方式：公开招标（暗标）</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670"/>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670"/>
        <w:ind w:firstLine="480"/>
        <w:spacing w:line="500" w:lineRule="exact"/>
        <w:rPr>
          <w:rFonts w:ascii="宋体" w:hAnsi="宋体" w:cs="宋体"/>
          <w:sz w:val="24"/>
          <w:szCs w:val="24"/>
        </w:rPr>
      </w:pPr>
      <w:r>
        <w:rPr>
          <w:rFonts w:hint="eastAsia" w:ascii="宋体" w:hAnsi="宋体" w:cs="宋体"/>
          <w:sz w:val="24"/>
          <w:szCs w:val="24"/>
        </w:rPr>
        <w:t xml:space="preserve">8.本项</w:t>
      </w:r>
      <w:r>
        <w:rPr>
          <w:rFonts w:hint="eastAsia" w:ascii="宋体" w:hAnsi="宋体" w:cs="宋体"/>
          <w:color w:val="000000"/>
          <w:sz w:val="24"/>
          <w:szCs w:val="24"/>
        </w:rPr>
        <w:t xml:space="preserve">目不接受联合体投标。</w:t>
      </w:r>
      <w:r>
        <w:rPr>
          <w:rFonts w:ascii="宋体" w:hAnsi="宋体" w:cs="宋体"/>
          <w:sz w:val="24"/>
          <w:szCs w:val="24"/>
        </w:rPr>
      </w:r>
      <w:r/>
    </w:p>
    <w:p>
      <w:pPr>
        <w:pStyle w:val="673"/>
        <w:ind w:firstLine="452"/>
        <w:keepLines w:val="0"/>
        <w:keepNext w:val="0"/>
        <w:spacing w:before="0" w:after="0" w:line="500" w:lineRule="exact"/>
        <w:rPr>
          <w:sz w:val="30"/>
          <w:szCs w:val="30"/>
        </w:rPr>
      </w:pPr>
      <w:r/>
      <w:bookmarkStart w:id="12" w:name="_Toc38985264"/>
      <w:r/>
      <w:bookmarkStart w:id="13" w:name="_Toc28359003"/>
      <w:r/>
      <w:bookmarkStart w:id="14" w:name="_Toc35393622"/>
      <w:r/>
      <w:bookmarkStart w:id="15" w:name="_Toc35393791"/>
      <w:r/>
      <w:bookmarkStart w:id="16" w:name="_Toc28359080"/>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70"/>
        <w:ind w:firstLine="480"/>
        <w:spacing w:line="500" w:lineRule="exact"/>
        <w:rPr>
          <w:rFonts w:ascii="宋体" w:hAnsi="宋体"/>
          <w:sz w:val="24"/>
          <w:szCs w:val="24"/>
        </w:rPr>
      </w:pPr>
      <w:r/>
      <w:bookmarkStart w:id="17" w:name="_Toc28359081"/>
      <w:r/>
      <w:bookmarkStart w:id="18" w:name="_Toc35393792"/>
      <w:r/>
      <w:bookmarkStart w:id="19" w:name="_Toc28359004"/>
      <w:r/>
      <w:bookmarkStart w:id="20" w:name="_Toc35393623"/>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：无；</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670"/>
        <w:ind w:firstLine="480"/>
        <w:spacing w:line="500" w:lineRule="exact"/>
        <w:rPr>
          <w:rFonts w:ascii="宋体" w:hAnsi="宋体" w:cs="宋体"/>
          <w:sz w:val="24"/>
          <w:szCs w:val="24"/>
        </w:rPr>
      </w:pPr>
      <w:r>
        <w:rPr>
          <w:rFonts w:hint="eastAsia" w:ascii="宋体" w:hAnsi="宋体"/>
          <w:sz w:val="24"/>
          <w:szCs w:val="24"/>
        </w:rPr>
        <w:t xml:space="preserve">3.本项目的特定资格要求：</w:t>
      </w:r>
      <w:r>
        <w:rPr>
          <w:rFonts w:hint="eastAsia" w:ascii="宋体" w:hAnsi="宋体" w:eastAsia="宋体" w:cs="Times New Roman"/>
          <w:sz w:val="24"/>
          <w:szCs w:val="24"/>
          <w:lang w:val="en-US" w:eastAsia="zh-CN"/>
        </w:rPr>
        <w:t xml:space="preserve">投标人应具备《中华人民共和国基础电信业务经营许可证》或通信管理局颁发的增值电信业务经营许可证（业务范围须包含：第一类增值电信业务中的互联网接入服务，投标人自有的或授权其分支机构投标的法人或负责人所有的，同一企业法人仅能授权一家分支机构参与投标，否则其授权的分支机构投标均作无效处理）</w:t>
      </w:r>
      <w:r>
        <w:rPr>
          <w:rFonts w:hint="eastAsia" w:ascii="宋体" w:hAnsi="宋体" w:eastAsia="宋体" w:cs="Times New Roman"/>
          <w:sz w:val="24"/>
          <w:szCs w:val="24"/>
        </w:rPr>
        <w:t xml:space="preserve">。</w:t>
      </w:r>
      <w:r>
        <w:rPr>
          <w:rFonts w:ascii="宋体" w:hAnsi="宋体" w:cs="宋体"/>
          <w:sz w:val="24"/>
          <w:szCs w:val="24"/>
        </w:rPr>
      </w:r>
      <w:r/>
    </w:p>
    <w:p>
      <w:pPr>
        <w:pStyle w:val="673"/>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0"/>
        <w:ind w:firstLine="540"/>
        <w:spacing w:line="500" w:lineRule="exact"/>
        <w:rPr>
          <w:rFonts w:hint="eastAsia"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670"/>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670"/>
        <w:ind w:firstLine="540"/>
        <w:spacing w:line="500" w:lineRule="exact"/>
        <w:rPr>
          <w:rStyle w:val="746"/>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46"/>
        </w:rPr>
      </w:r>
      <w:r/>
    </w:p>
    <w:p>
      <w:pPr>
        <w:pStyle w:val="670"/>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73"/>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年09</w:t>
      </w:r>
      <w:r>
        <w:rPr>
          <w:rFonts w:hint="eastAsia" w:ascii="宋体" w:hAnsi="宋体"/>
          <w:bCs/>
          <w:color w:val="000000" w:themeColor="text1"/>
          <w:sz w:val="24"/>
          <w:szCs w:val="24"/>
          <w:highlight w:val="none"/>
        </w:rPr>
        <w:t xml:space="preserve">月09</w:t>
      </w:r>
      <w:r>
        <w:rPr>
          <w:rFonts w:hint="eastAsia" w:ascii="宋体" w:hAnsi="宋体"/>
          <w:bCs/>
          <w:color w:val="000000" w:themeColor="text1"/>
          <w:sz w:val="24"/>
          <w:szCs w:val="24"/>
          <w:highlight w:val="none"/>
        </w:rPr>
        <w:t xml:space="preserve">日09点30</w:t>
      </w:r>
      <w:r>
        <w:rPr>
          <w:rFonts w:hint="eastAsia" w:ascii="宋体" w:hAnsi="宋体"/>
          <w:bCs/>
          <w:color w:val="000000" w:themeColor="text1"/>
          <w:sz w:val="24"/>
          <w:szCs w:val="24"/>
          <w:highlight w:val="non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670"/>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73"/>
        <w:ind w:firstLine="452"/>
        <w:keepLines w:val="0"/>
        <w:keepNext w:val="0"/>
        <w:spacing w:before="0" w:after="0" w:line="500" w:lineRule="exact"/>
        <w:rPr>
          <w:sz w:val="30"/>
          <w:szCs w:val="30"/>
        </w:rPr>
      </w:pPr>
      <w:r/>
      <w:bookmarkStart w:id="27" w:name="_Toc28359007"/>
      <w:r/>
      <w:bookmarkStart w:id="28" w:name="_Toc38985267"/>
      <w:r/>
      <w:bookmarkStart w:id="29" w:name="_Toc35393625"/>
      <w:r/>
      <w:bookmarkStart w:id="30" w:name="_Toc28359084"/>
      <w:r/>
      <w:bookmarkStart w:id="31" w:name="_Toc35393794"/>
      <w:r>
        <w:rPr>
          <w:rFonts w:hint="eastAsia"/>
          <w:sz w:val="30"/>
          <w:szCs w:val="30"/>
        </w:rPr>
        <w:t xml:space="preserve">五、公告期限</w:t>
      </w:r>
      <w:bookmarkEnd w:id="27"/>
      <w:r/>
      <w:bookmarkEnd w:id="28"/>
      <w:r/>
      <w:bookmarkEnd w:id="29"/>
      <w:r/>
      <w:bookmarkEnd w:id="30"/>
      <w:r/>
      <w:bookmarkEnd w:id="31"/>
      <w:r>
        <w:rPr>
          <w:sz w:val="30"/>
          <w:szCs w:val="30"/>
        </w:rPr>
      </w:r>
      <w:r/>
    </w:p>
    <w:p>
      <w:pPr>
        <w:pStyle w:val="670"/>
        <w:ind w:firstLine="480"/>
        <w:spacing w:line="50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73"/>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0"/>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3"/>
        <w:ind w:firstLine="452"/>
        <w:keepLines w:val="0"/>
        <w:keepNext w:val="0"/>
        <w:spacing w:before="0" w:after="0" w:line="500" w:lineRule="exact"/>
        <w:rPr>
          <w:sz w:val="30"/>
          <w:szCs w:val="30"/>
        </w:rPr>
      </w:pPr>
      <w:r/>
      <w:bookmarkStart w:id="35" w:name="_Toc35393627"/>
      <w:r/>
      <w:bookmarkStart w:id="36" w:name="_Toc38985269"/>
      <w:r/>
      <w:bookmarkStart w:id="37" w:name="_Toc28359008"/>
      <w:r/>
      <w:bookmarkStart w:id="38" w:name="_Toc35393796"/>
      <w:r/>
      <w:bookmarkStart w:id="39" w:name="_Toc28359085"/>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0"/>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0"/>
        <w:ind w:firstLine="480"/>
        <w:spacing w:line="500" w:lineRule="exact"/>
        <w:rPr>
          <w:rFonts w:hint="eastAsia" w:ascii="宋体" w:hAnsi="宋体" w:eastAsia="宋体" w:cs="宋体"/>
          <w:sz w:val="24"/>
          <w:szCs w:val="24"/>
        </w:rPr>
      </w:pPr>
      <w:r>
        <w:rPr>
          <w:rFonts w:hint="eastAsia" w:ascii="宋体" w:hAnsi="宋体" w:cs="宋体"/>
          <w:sz w:val="24"/>
          <w:szCs w:val="24"/>
        </w:rPr>
        <w:t xml:space="preserve">名    </w:t>
      </w:r>
      <w:r>
        <w:rPr>
          <w:rFonts w:hint="eastAsia" w:ascii="宋体" w:hAnsi="宋体" w:eastAsia="宋体" w:cs="宋体"/>
          <w:sz w:val="24"/>
          <w:szCs w:val="24"/>
        </w:rPr>
        <w:t xml:space="preserve">称：无锡市新吴区人民政府旺庄街道办事处</w:t>
      </w:r>
      <w:r>
        <w:rPr>
          <w:rFonts w:hint="eastAsia" w:ascii="宋体" w:hAnsi="宋体" w:eastAsia="宋体" w:cs="宋体"/>
          <w:sz w:val="24"/>
          <w:szCs w:val="24"/>
        </w:rPr>
      </w:r>
      <w:r/>
    </w:p>
    <w:p>
      <w:pPr>
        <w:pStyle w:val="670"/>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val="en-US" w:eastAsia="zh-CN"/>
        </w:rPr>
        <w:t xml:space="preserve">无锡市新吴区机场路55号</w:t>
      </w:r>
      <w:r>
        <w:rPr>
          <w:rFonts w:hint="eastAsia" w:ascii="宋体" w:hAnsi="宋体" w:eastAsia="宋体" w:cs="宋体"/>
          <w:sz w:val="24"/>
          <w:szCs w:val="24"/>
        </w:rPr>
      </w:r>
      <w:r/>
    </w:p>
    <w:p>
      <w:pPr>
        <w:pStyle w:val="670"/>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670"/>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70"/>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670"/>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70"/>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70"/>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0"/>
        <w:ind w:firstLine="480"/>
        <w:spacing w:line="500" w:lineRule="exact"/>
        <w:rPr>
          <w:rFonts w:hint="eastAsia" w:ascii="宋体" w:hAnsi="宋体" w:eastAsia="宋体" w:cs="宋体"/>
          <w:sz w:val="24"/>
          <w:szCs w:val="24"/>
          <w:lang w:val="en-US" w:eastAsia="zh-CN"/>
        </w:rPr>
      </w:pPr>
      <w:r>
        <w:rPr>
          <w:rFonts w:hint="eastAsia" w:ascii="宋体" w:hAnsi="宋体" w:cs="宋体"/>
          <w:sz w:val="24"/>
          <w:szCs w:val="24"/>
        </w:rPr>
        <w:t xml:space="preserve">采购人项目咨询联</w:t>
      </w:r>
      <w:r>
        <w:rPr>
          <w:rFonts w:hint="eastAsia" w:ascii="宋体" w:hAnsi="宋体" w:eastAsia="宋体" w:cs="宋体"/>
          <w:sz w:val="24"/>
          <w:szCs w:val="24"/>
        </w:rPr>
        <w:t xml:space="preserve">系人：</w:t>
      </w:r>
      <w:r>
        <w:rPr>
          <w:rFonts w:hint="eastAsia" w:ascii="宋体" w:hAnsi="宋体" w:eastAsia="宋体" w:cs="宋体"/>
          <w:sz w:val="24"/>
          <w:szCs w:val="24"/>
          <w:lang w:val="en-US" w:eastAsia="zh-CN"/>
        </w:rPr>
        <w:t xml:space="preserve">罗年康</w:t>
      </w: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0510-85297963</w:t>
      </w:r>
      <w:r>
        <w:rPr>
          <w:rFonts w:hint="eastAsia" w:ascii="宋体" w:hAnsi="宋体" w:eastAsia="宋体" w:cs="宋体"/>
          <w:sz w:val="24"/>
          <w:szCs w:val="24"/>
          <w:lang w:val="en-US" w:eastAsia="zh-CN"/>
        </w:rPr>
      </w:r>
      <w:r/>
    </w:p>
    <w:p>
      <w:pPr>
        <w:pStyle w:val="670"/>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采购人质疑受理联系人：</w:t>
      </w:r>
      <w:r>
        <w:rPr>
          <w:rFonts w:hint="eastAsia" w:ascii="宋体" w:hAnsi="宋体" w:eastAsia="宋体" w:cs="宋体"/>
          <w:sz w:val="24"/>
          <w:szCs w:val="24"/>
          <w:lang w:val="en-US" w:eastAsia="zh-CN"/>
        </w:rPr>
        <w:t xml:space="preserve">罗年康</w:t>
      </w: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0510-85297963</w:t>
      </w:r>
      <w:r>
        <w:rPr>
          <w:rFonts w:hint="eastAsia" w:ascii="宋体" w:hAnsi="宋体" w:eastAsia="宋体" w:cs="宋体"/>
          <w:sz w:val="24"/>
          <w:szCs w:val="24"/>
        </w:rPr>
      </w:r>
      <w:r/>
    </w:p>
    <w:p>
      <w:pPr>
        <w:pStyle w:val="670"/>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交易中心项目联系人</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陈辰</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85253025</w:t>
      </w:r>
      <w:r>
        <w:rPr>
          <w:rFonts w:ascii="宋体" w:hAnsi="宋体" w:eastAsia="宋体" w:cs="宋体"/>
          <w:sz w:val="24"/>
          <w:szCs w:val="24"/>
          <w:lang w:val="en-US" w:eastAsia="zh-CN"/>
        </w:rPr>
      </w:r>
      <w:r/>
    </w:p>
    <w:p>
      <w:pPr>
        <w:pStyle w:val="673"/>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0"/>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0"/>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0"/>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0"/>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0"/>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670"/>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670"/>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73"/>
        <w:ind w:firstLine="452"/>
        <w:keepLines w:val="0"/>
        <w:keepNext w:val="0"/>
        <w:spacing w:before="0" w:after="0" w:line="500" w:lineRule="exact"/>
        <w:rPr>
          <w:rFonts w:hint="eastAsia"/>
          <w:sz w:val="30"/>
          <w:szCs w:val="30"/>
        </w:rPr>
      </w:pPr>
      <w:r/>
      <w:bookmarkStart w:id="47" w:name="_Toc20823275"/>
      <w:r/>
      <w:bookmarkStart w:id="48" w:name="_Toc16938519"/>
      <w:r/>
      <w:bookmarkStart w:id="49" w:name="_Toc120614214"/>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74"/>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74"/>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74"/>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16938523"/>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0"/>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73"/>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513029209"/>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0"/>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74"/>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16938527"/>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0"/>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74"/>
        <w:ind w:firstLine="422"/>
        <w:keepLines w:val="0"/>
        <w:keepNext w:val="0"/>
        <w:spacing w:before="0" w:after="0" w:line="500" w:lineRule="exact"/>
        <w:rPr>
          <w:rFonts w:hint="eastAsia" w:ascii="宋体" w:hAnsi="宋体" w:eastAsia="宋体"/>
          <w:bCs w:val="0"/>
        </w:rPr>
      </w:pPr>
      <w:r/>
      <w:bookmarkStart w:id="76" w:name="_Toc16938528"/>
      <w:r/>
      <w:bookmarkStart w:id="77" w:name="_Toc462564071"/>
      <w:r/>
      <w:bookmarkStart w:id="78" w:name="_Toc513029212"/>
      <w:r/>
      <w:bookmarkStart w:id="79" w:name="_Toc20823284"/>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0"/>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73"/>
        <w:ind w:firstLine="452"/>
        <w:keepLines w:val="0"/>
        <w:keepNext w:val="0"/>
        <w:spacing w:before="0" w:after="0" w:line="500" w:lineRule="exact"/>
        <w:rPr>
          <w:rFonts w:hint="eastAsia"/>
          <w:sz w:val="30"/>
          <w:szCs w:val="30"/>
        </w:rPr>
      </w:pPr>
      <w:r/>
      <w:bookmarkStart w:id="80" w:name="_Toc120614216"/>
      <w:r/>
      <w:bookmarkStart w:id="81" w:name="_Toc513029213"/>
      <w:r/>
      <w:bookmarkStart w:id="82" w:name="_Toc462564072"/>
      <w:r/>
      <w:bookmarkStart w:id="83" w:name="_Toc16938529"/>
      <w:r/>
      <w:bookmarkStart w:id="84" w:name="_Toc20823285"/>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85" w:name="_Toc513029214"/>
      <w:r/>
      <w:bookmarkStart w:id="86" w:name="_Toc16938530"/>
      <w:r/>
      <w:bookmarkStart w:id="87" w:name="_Toc462564073"/>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74"/>
        <w:ind w:firstLine="422"/>
        <w:keepLines w:val="0"/>
        <w:keepNext w:val="0"/>
        <w:spacing w:before="0" w:after="0" w:line="500" w:lineRule="exact"/>
        <w:rPr>
          <w:rFonts w:hint="eastAsia" w:ascii="宋体" w:hAnsi="宋体" w:eastAsia="宋体"/>
          <w:bCs w:val="0"/>
        </w:rPr>
      </w:pPr>
      <w:r/>
      <w:bookmarkStart w:id="89" w:name="_Toc462564074"/>
      <w:r/>
      <w:bookmarkStart w:id="90" w:name="_Toc513029215"/>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0"/>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70"/>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ff0000"/>
          <w:sz w:val="24"/>
          <w:u w:val="single"/>
        </w:rPr>
      </w:r>
      <w:r/>
    </w:p>
    <w:p>
      <w:pPr>
        <w:pStyle w:val="670"/>
        <w:ind w:firstLine="482"/>
        <w:spacing w:line="500" w:lineRule="exact"/>
        <w:rPr>
          <w:rFonts w:hint="eastAsia" w:ascii="宋体" w:hAnsi="宋体"/>
          <w:b/>
          <w:color w:val="ff0000"/>
          <w:sz w:val="24"/>
          <w:u w:val="single"/>
        </w:rPr>
      </w:pPr>
      <w:r>
        <w:rPr>
          <w:rFonts w:hint="eastAsia" w:ascii="宋体" w:hAnsi="宋体"/>
          <w:b/>
          <w:color w:val="ff0000"/>
          <w:sz w:val="24"/>
        </w:rPr>
        <w:t xml:space="preserve">上述《评标方法与评标标准》中技术部分不得有体现投标人身份的内容是指：</w:t>
      </w:r>
      <w:r>
        <w:rPr>
          <w:rFonts w:hint="eastAsia" w:ascii="宋体" w:hAnsi="宋体"/>
          <w:b/>
          <w:color w:val="ff0000"/>
          <w:sz w:val="24"/>
          <w:u w:val="single"/>
        </w:rPr>
      </w:r>
      <w:r/>
    </w:p>
    <w:p>
      <w:pPr>
        <w:pStyle w:val="670"/>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rPr>
          <w:rFonts w:hint="eastAsia" w:ascii="宋体" w:hAnsi="宋体"/>
          <w:b/>
          <w:color w:val="ff0000"/>
          <w:sz w:val="24"/>
        </w:rPr>
      </w:r>
      <w:r/>
    </w:p>
    <w:p>
      <w:pPr>
        <w:pStyle w:val="670"/>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rPr>
          <w:rFonts w:hint="eastAsia" w:ascii="宋体" w:hAnsi="宋体"/>
          <w:b/>
          <w:color w:val="ff0000"/>
          <w:sz w:val="24"/>
        </w:rPr>
      </w:r>
      <w:r/>
    </w:p>
    <w:p>
      <w:pPr>
        <w:pStyle w:val="670"/>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ff0000"/>
          <w:sz w:val="24"/>
        </w:rPr>
      </w:r>
      <w:r/>
    </w:p>
    <w:p>
      <w:pPr>
        <w:pStyle w:val="670"/>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rPr>
          <w:rFonts w:hint="eastAsia" w:ascii="宋体" w:hAnsi="宋体"/>
          <w:b/>
          <w:color w:val="ff0000"/>
          <w:sz w:val="24"/>
        </w:rPr>
      </w:r>
      <w:r/>
    </w:p>
    <w:p>
      <w:pPr>
        <w:pStyle w:val="674"/>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49090509"/>
      <w:r/>
      <w:bookmarkStart w:id="97" w:name="_Toc14577357"/>
      <w:r/>
      <w:bookmarkStart w:id="98" w:name="_Toc513029219"/>
      <w:r/>
      <w:bookmarkStart w:id="99" w:name="_Toc49090507"/>
      <w:r/>
      <w:bookmarkStart w:id="100" w:name="_Toc14577354"/>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0"/>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74"/>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0"/>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74"/>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74"/>
        <w:ind w:firstLine="422"/>
        <w:keepLines w:val="0"/>
        <w:keepNext w:val="0"/>
        <w:spacing w:before="0" w:after="0" w:line="500" w:lineRule="exact"/>
        <w:rPr>
          <w:rFonts w:hint="eastAsia" w:ascii="宋体" w:hAnsi="宋体" w:eastAsia="宋体"/>
          <w:bCs w:val="0"/>
        </w:rPr>
      </w:pPr>
      <w:r/>
      <w:bookmarkStart w:id="108" w:name="_Hlt26670403"/>
      <w:r/>
      <w:bookmarkEnd w:id="108"/>
      <w:r/>
      <w:bookmarkStart w:id="109" w:name="_Hlt26670486"/>
      <w:r/>
      <w:bookmarkEnd w:id="109"/>
      <w:r/>
      <w:bookmarkStart w:id="110" w:name="_Hlt26954731"/>
      <w:r/>
      <w:bookmarkEnd w:id="110"/>
      <w:r/>
      <w:bookmarkStart w:id="111" w:name="_Hlt26954844"/>
      <w:r/>
      <w:bookmarkEnd w:id="111"/>
      <w:r/>
      <w:bookmarkStart w:id="112" w:name="_Hlt26954846"/>
      <w:r/>
      <w:bookmarkEnd w:id="112"/>
      <w:r/>
      <w:bookmarkStart w:id="113" w:name="_Hlt26954848"/>
      <w:r/>
      <w:bookmarkEnd w:id="113"/>
      <w:r/>
      <w:bookmarkStart w:id="114" w:name="_Hlt26668983"/>
      <w:r/>
      <w:bookmarkEnd w:id="114"/>
      <w:r/>
      <w:bookmarkStart w:id="115" w:name="_Hlt26670425"/>
      <w:r/>
      <w:bookmarkEnd w:id="115"/>
      <w:r/>
      <w:bookmarkStart w:id="116" w:name="_Hlt26670482"/>
      <w:r/>
      <w:bookmarkEnd w:id="116"/>
      <w:r/>
      <w:bookmarkStart w:id="117" w:name="_Hlt26954842"/>
      <w:r/>
      <w:bookmarkEnd w:id="117"/>
      <w:r>
        <w:rPr>
          <w:rFonts w:hint="eastAsia" w:ascii="宋体" w:hAnsi="宋体" w:eastAsia="宋体"/>
          <w:bCs w:val="0"/>
        </w:rPr>
        <w:t xml:space="preserve">14.投标偏离表</w:t>
      </w:r>
      <w:r>
        <w:rPr>
          <w:rFonts w:hint="eastAsia" w:ascii="宋体" w:hAnsi="宋体" w:eastAsia="宋体"/>
          <w:bCs w:val="0"/>
        </w:rPr>
      </w:r>
      <w:r/>
    </w:p>
    <w:p>
      <w:pPr>
        <w:pStyle w:val="670"/>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74"/>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3"/>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120614217"/>
      <w:r/>
      <w:bookmarkStart w:id="127" w:name="_Toc20823296"/>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129" w:name="_Toc16938541"/>
      <w:r/>
      <w:bookmarkStart w:id="130" w:name="_Toc513029225"/>
      <w:r/>
      <w:bookmarkStart w:id="131" w:name="_Toc20823297"/>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83"/>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74"/>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74"/>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0"/>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73"/>
        <w:ind w:firstLine="452"/>
        <w:keepLines w:val="0"/>
        <w:keepNext w:val="0"/>
        <w:spacing w:before="0" w:after="0" w:line="500" w:lineRule="exact"/>
        <w:rPr>
          <w:rFonts w:hint="eastAsia"/>
          <w:sz w:val="30"/>
          <w:szCs w:val="30"/>
        </w:rPr>
      </w:pPr>
      <w:r/>
      <w:bookmarkStart w:id="142" w:name="_Toc16938545"/>
      <w:r/>
      <w:bookmarkStart w:id="143" w:name="_Toc20823301"/>
      <w:r/>
      <w:bookmarkStart w:id="144" w:name="_Toc120614218"/>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0"/>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0"/>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0"/>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74"/>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670"/>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0"/>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0"/>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0"/>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74"/>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0"/>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74"/>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0"/>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0"/>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0"/>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0"/>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0"/>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0"/>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0"/>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70"/>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25.7异常低价投标（响应）审查</w:t>
      </w:r>
      <w:r>
        <w:rPr>
          <w:rFonts w:hint="eastAsia" w:ascii="宋体" w:hAnsi="宋体"/>
          <w:color w:val="000000"/>
          <w:sz w:val="24"/>
          <w:highlight w:val="yellow"/>
        </w:rPr>
      </w:r>
      <w:r/>
    </w:p>
    <w:p>
      <w:pPr>
        <w:pStyle w:val="670"/>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yellow"/>
        </w:rPr>
      </w:r>
      <w:r/>
    </w:p>
    <w:p>
      <w:pPr>
        <w:pStyle w:val="670"/>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yellow"/>
        </w:rPr>
      </w:r>
      <w:r/>
    </w:p>
    <w:p>
      <w:pPr>
        <w:pStyle w:val="670"/>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yellow"/>
        </w:rPr>
      </w:r>
      <w:r/>
    </w:p>
    <w:p>
      <w:pPr>
        <w:pStyle w:val="670"/>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（3）投标（响应）报价低于采购项目最高限价45%的，即投标（响应）报价＜采购项目最高限价×45%；</w:t>
      </w:r>
      <w:r>
        <w:rPr>
          <w:rFonts w:hint="eastAsia" w:ascii="宋体" w:hAnsi="宋体"/>
          <w:color w:val="000000"/>
          <w:sz w:val="24"/>
          <w:highlight w:val="yellow"/>
        </w:rPr>
      </w:r>
      <w:r/>
    </w:p>
    <w:p>
      <w:pPr>
        <w:pStyle w:val="670"/>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（4）评审委员会基于专业判断，认为供应商报价过低，有可能影响产品质量或者不能诚信履约的其他情形。</w:t>
      </w:r>
      <w:r>
        <w:rPr>
          <w:rFonts w:hint="eastAsia" w:ascii="宋体" w:hAnsi="宋体"/>
          <w:color w:val="000000"/>
          <w:sz w:val="24"/>
          <w:highlight w:val="yellow"/>
        </w:rPr>
      </w:r>
      <w:r/>
    </w:p>
    <w:p>
      <w:pPr>
        <w:pStyle w:val="670"/>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相关法律法规对供应商报价有规定的，从其规定。</w:t>
      </w:r>
      <w:r>
        <w:rPr>
          <w:rFonts w:hint="eastAsia" w:ascii="宋体" w:hAnsi="宋体"/>
          <w:color w:val="000000"/>
          <w:sz w:val="24"/>
          <w:highlight w:val="yellow"/>
        </w:rPr>
      </w:r>
      <w:r/>
    </w:p>
    <w:p>
      <w:pPr>
        <w:pStyle w:val="670"/>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yellow"/>
        </w:rPr>
      </w:r>
      <w:r/>
    </w:p>
    <w:p>
      <w:pPr>
        <w:pStyle w:val="670"/>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yellow"/>
        </w:rPr>
      </w:r>
      <w:r/>
    </w:p>
    <w:p>
      <w:pPr>
        <w:pStyle w:val="670"/>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yellow"/>
        </w:rPr>
      </w:r>
      <w:r/>
    </w:p>
    <w:p>
      <w:pPr>
        <w:pStyle w:val="670"/>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yellow"/>
        </w:rPr>
      </w:r>
      <w:r/>
    </w:p>
    <w:p>
      <w:pPr>
        <w:pStyle w:val="747"/>
        <w:ind w:firstLine="480"/>
        <w:rPr>
          <w:rFonts w:hint="eastAsia" w:ascii="宋体" w:hAnsi="宋体" w:eastAsia="宋体"/>
          <w:bCs/>
        </w:rPr>
      </w:pPr>
      <w:r>
        <w:rPr>
          <w:rFonts w:hint="eastAsia" w:ascii="宋体" w:hAnsi="宋体" w:eastAsia="宋体" w:cs="Times New Roman"/>
          <w:color w:val="000000"/>
          <w:sz w:val="24"/>
          <w:szCs w:val="21"/>
          <w:highlight w:val="yellow"/>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bCs/>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70"/>
        <w:ind w:left="479"/>
        <w:spacing w:line="5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26.1无效投标条款</w:t>
      </w:r>
      <w:r>
        <w:rPr>
          <w:rFonts w:hint="eastAsia" w:ascii="宋体" w:hAnsi="宋体"/>
          <w:bCs/>
          <w:sz w:val="24"/>
        </w:rPr>
      </w:r>
      <w:r/>
    </w:p>
    <w:p>
      <w:pPr>
        <w:pStyle w:val="670"/>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0"/>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0"/>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0"/>
        <w:ind w:firstLine="480"/>
        <w:jc w:val="left"/>
        <w:keepLines w:val="0"/>
        <w:keepNext w:val="0"/>
        <w:widowControl/>
        <w:rPr>
          <w:rFonts w:hint="eastAsia" w:ascii="宋体" w:hAnsi="宋体"/>
          <w:bCs/>
          <w:sz w:val="24"/>
          <w:shd w:val="clear" w:color="ffffff" w:fill="d9d9d9"/>
        </w:rPr>
        <w:suppressLineNumbers w:val="0"/>
      </w:pPr>
      <w:r>
        <w:rPr>
          <w:rFonts w:hint="eastAsia" w:ascii="宋体" w:hAnsi="宋体"/>
          <w:bCs/>
          <w:sz w:val="24"/>
          <w:szCs w:val="24"/>
        </w:rPr>
        <w:t xml:space="preserve">26.1.22</w:t>
      </w:r>
      <w:r>
        <w:rPr>
          <w:rFonts w:hint="eastAsia" w:ascii="宋体" w:hAnsi="宋体"/>
          <w:bCs/>
          <w:color w:val="000000"/>
          <w:sz w:val="24"/>
          <w:szCs w:val="24"/>
          <w:highlight w:val="yellow"/>
        </w:rPr>
        <w:t xml:space="preserve">评标委员会</w:t>
      </w:r>
      <w:r>
        <w:rPr>
          <w:rFonts w:hint="eastAsia" w:ascii="宋体" w:hAnsi="宋体"/>
          <w:color w:val="000000"/>
          <w:sz w:val="24"/>
          <w:highlight w:val="yellow"/>
        </w:rPr>
        <w:t xml:space="preserve">按照本招标文件规定对投标人进行异常低价投标（响应）审查后，认为投标人不能证明其报价合理性的。</w:t>
      </w:r>
      <w:r>
        <w:rPr>
          <w:rFonts w:hint="eastAsia" w:ascii="宋体" w:hAnsi="宋体"/>
          <w:bCs/>
          <w:sz w:val="24"/>
          <w:shd w:val="clear" w:color="ffffff" w:fill="d9d9d9"/>
        </w:rPr>
      </w:r>
      <w:r/>
    </w:p>
    <w:p>
      <w:pPr>
        <w:pStyle w:val="670"/>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w:t>
      </w:r>
      <w:r>
        <w:rPr>
          <w:rFonts w:hint="eastAsia" w:ascii="宋体" w:hAnsi="宋体"/>
          <w:bCs/>
          <w:color w:val="000000"/>
          <w:sz w:val="24"/>
          <w:highlight w:val="yellow"/>
        </w:rPr>
        <w:t xml:space="preserve">投标系统中不同投标人的MAC地址一致或标书制作工具客户端标识码一致的。</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0"/>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0"/>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0"/>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0"/>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0"/>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0"/>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0"/>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3"/>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0"/>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0"/>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0"/>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0"/>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73"/>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670"/>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0"/>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0"/>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513029242"/>
      <w:r/>
      <w:bookmarkStart w:id="177" w:name="_Toc479757207"/>
      <w:r/>
      <w:bookmarkStart w:id="178" w:name="_Toc20823314"/>
      <w:r/>
      <w:bookmarkStart w:id="179" w:name="_Toc120614221"/>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0"/>
        <w:ind w:firstLine="480"/>
        <w:spacing w:line="400" w:lineRule="exact"/>
        <w:rPr>
          <w:rFonts w:hint="eastAsia"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0"/>
        <w:jc w:val="center"/>
        <w:spacing w:line="400" w:lineRule="exact"/>
        <w:rPr>
          <w:rFonts w:ascii="宋体" w:hAnsi="宋体"/>
          <w:b/>
          <w:bCs/>
          <w:color w:val="0000ff"/>
          <w:sz w:val="30"/>
          <w:szCs w:val="20"/>
        </w:rPr>
        <w:outlineLvl w:val="0"/>
      </w:pPr>
      <w:r>
        <w:rPr>
          <w:rFonts w:hint="eastAsia" w:ascii="宋体" w:hAnsi="宋体"/>
          <w:b/>
          <w:color w:val="0000ff"/>
          <w:sz w:val="30"/>
        </w:rPr>
        <w:t xml:space="preserve">江苏省政府采购合同（服务）（合同编号）</w:t>
      </w:r>
      <w:r>
        <w:rPr>
          <w:rFonts w:ascii="宋体" w:hAnsi="宋体"/>
          <w:b/>
          <w:bCs/>
          <w:color w:val="0000ff"/>
          <w:sz w:val="30"/>
          <w:szCs w:val="20"/>
        </w:rPr>
      </w:r>
      <w:r/>
    </w:p>
    <w:p>
      <w:pPr>
        <w:pStyle w:val="708"/>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08"/>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08"/>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08"/>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08"/>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08"/>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08"/>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08"/>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08"/>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708"/>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08"/>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708"/>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08"/>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08"/>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708"/>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08"/>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708"/>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708"/>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08"/>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708"/>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708"/>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70"/>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670"/>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08"/>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08"/>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尾款支付时间：服务结束并验收合格,采购人收到发票后10个工作日内，尾款支付比例：合同金额的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708"/>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sz w:val="24"/>
          <w:szCs w:val="24"/>
        </w:rPr>
      </w:r>
      <w:r/>
    </w:p>
    <w:p>
      <w:pPr>
        <w:pStyle w:val="670"/>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70"/>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0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sz w:val="24"/>
          <w:szCs w:val="24"/>
        </w:rPr>
      </w:r>
      <w:r/>
    </w:p>
    <w:p>
      <w:pPr>
        <w:pStyle w:val="70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0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0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08"/>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08"/>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rPr>
          <w:rFonts w:hAnsi="宋体"/>
          <w:sz w:val="24"/>
          <w:szCs w:val="24"/>
        </w:rPr>
      </w:r>
      <w:r/>
    </w:p>
    <w:p>
      <w:pPr>
        <w:pStyle w:val="708"/>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08"/>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708"/>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08"/>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08"/>
        <w:ind w:firstLine="240"/>
        <w:spacing w:line="400" w:lineRule="exact"/>
        <w:rPr>
          <w:rFonts w:hint="eastAsia"/>
        </w:rPr>
      </w:pPr>
      <w:r>
        <w:rPr>
          <w:rFonts w:hint="eastAsia" w:hAnsi="宋体"/>
          <w:sz w:val="24"/>
          <w:szCs w:val="24"/>
        </w:rPr>
        <w:t xml:space="preserve">联系电话：                    联系电话：          </w:t>
      </w:r>
      <w:r>
        <w:rPr>
          <w:rFonts w:hint="eastAsia"/>
        </w:rPr>
      </w:r>
      <w:r/>
    </w:p>
    <w:p>
      <w:pPr>
        <w:pStyle w:val="670"/>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670"/>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0"/>
        <w:ind w:firstLine="600"/>
        <w:jc w:val="left"/>
        <w:spacing w:line="360" w:lineRule="auto"/>
        <w:rPr>
          <w:rFonts w:hint="eastAsia" w:ascii="黑体" w:hAnsi="黑体" w:eastAsia="黑体"/>
          <w:color w:val="000000"/>
          <w:sz w:val="30"/>
          <w:szCs w:val="30"/>
          <w:highlight w:val="none"/>
        </w:rPr>
      </w:pPr>
      <w:r/>
      <w:bookmarkStart w:id="191" w:name="_Toc49090575"/>
      <w:r/>
      <w:bookmarkStart w:id="192" w:name="_Toc26554093"/>
      <w:r>
        <w:rPr>
          <w:rFonts w:hint="eastAsia" w:ascii="黑体" w:hAnsi="黑体" w:eastAsia="黑体"/>
          <w:sz w:val="30"/>
          <w:szCs w:val="30"/>
        </w:rPr>
        <w:t xml:space="preserve">本项目属</w:t>
      </w:r>
      <w:r>
        <w:rPr>
          <w:rFonts w:hint="eastAsia" w:ascii="黑体" w:hAnsi="黑体" w:eastAsia="黑体"/>
          <w:color w:val="000000"/>
          <w:sz w:val="30"/>
          <w:szCs w:val="30"/>
          <w:highlight w:val="none"/>
        </w:rPr>
        <w:t xml:space="preserve">性：服务类项目</w:t>
      </w:r>
      <w:r>
        <w:rPr>
          <w:rFonts w:hint="eastAsia" w:ascii="黑体" w:hAnsi="黑体" w:eastAsia="黑体"/>
          <w:color w:val="000000"/>
          <w:sz w:val="30"/>
          <w:szCs w:val="30"/>
          <w:highlight w:val="none"/>
        </w:rPr>
      </w:r>
      <w:r/>
    </w:p>
    <w:p>
      <w:pPr>
        <w:pStyle w:val="670"/>
        <w:ind w:lef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投标人所投内容必须满足以下要求，不得有负偏离。</w:t>
      </w:r>
      <w:r>
        <w:rPr>
          <w:rFonts w:hint="eastAsia" w:ascii="宋体" w:hAnsi="宋体" w:eastAsia="宋体" w:cs="宋体"/>
          <w:color w:val="000000"/>
          <w:sz w:val="24"/>
          <w:szCs w:val="24"/>
          <w:highlight w:val="none"/>
        </w:rPr>
      </w:r>
      <w:r/>
    </w:p>
    <w:p>
      <w:pPr>
        <w:pStyle w:val="670"/>
        <w:ind w:lef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本项目标的物所属行业：详见项目技术要求</w:t>
      </w:r>
      <w:r>
        <w:rPr>
          <w:rFonts w:hint="eastAsia" w:ascii="宋体" w:hAnsi="宋体" w:eastAsia="宋体" w:cs="宋体"/>
          <w:color w:val="000000"/>
          <w:sz w:val="24"/>
          <w:szCs w:val="24"/>
          <w:highlight w:val="none"/>
        </w:rPr>
      </w:r>
      <w:r/>
    </w:p>
    <w:p>
      <w:pPr>
        <w:pStyle w:val="670"/>
        <w:ind w:lef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接受进口产品参与投标。</w:t>
      </w:r>
      <w:r>
        <w:rPr>
          <w:rFonts w:hint="eastAsia" w:ascii="宋体" w:hAnsi="宋体" w:eastAsia="宋体" w:cs="宋体"/>
          <w:color w:val="000000"/>
          <w:sz w:val="24"/>
          <w:szCs w:val="24"/>
          <w:highlight w:val="none"/>
        </w:rPr>
      </w:r>
      <w:r/>
    </w:p>
    <w:p>
      <w:pPr>
        <w:pStyle w:val="670"/>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787"/>
        <w:numPr>
          <w:ilvl w:val="0"/>
          <w:numId w:val="0"/>
        </w:numPr>
        <w:jc w:val="left"/>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项目概述及建设目标</w:t>
      </w:r>
      <w:r>
        <w:rPr>
          <w:rFonts w:hint="eastAsia" w:ascii="宋体" w:hAnsi="宋体" w:eastAsia="宋体" w:cs="宋体"/>
          <w:color w:val="000000"/>
          <w:sz w:val="24"/>
          <w:szCs w:val="24"/>
          <w:highlight w:val="none"/>
        </w:rPr>
      </w:r>
      <w:r/>
    </w:p>
    <w:p>
      <w:pPr>
        <w:pStyle w:val="670"/>
        <w:ind w:lef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以统一平台、统一接入、统一治理、统一台账、统一应用、统一维保为核心，构建旺庄街道全域视频资源 “一张网、一本账、一平台”，实现街道出资监控可看、可查、可管、可治、可用、可维，彻底解决台账混乱、数据不符、点位失管、应用缺失、运维不标准等问题，长效保障平台与前端稳定运行，最大化实现点位复用、资源共享、成本节约、效能提升。</w:t>
      </w:r>
      <w:r>
        <w:rPr>
          <w:rFonts w:hint="eastAsia" w:ascii="宋体" w:hAnsi="宋体" w:eastAsia="宋体" w:cs="宋体"/>
          <w:color w:val="000000"/>
          <w:sz w:val="24"/>
          <w:szCs w:val="24"/>
          <w:highlight w:val="none"/>
        </w:rPr>
      </w:r>
      <w:r/>
    </w:p>
    <w:p>
      <w:pPr>
        <w:pStyle w:val="670"/>
        <w:ind w:lef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整个</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规划租用运营商链路、租用云存储</w:t>
      </w:r>
      <w:r>
        <w:rPr>
          <w:rFonts w:hint="eastAsia" w:ascii="宋体" w:hAnsi="宋体" w:cs="宋体"/>
          <w:color w:val="000000"/>
          <w:sz w:val="24"/>
          <w:szCs w:val="24"/>
          <w:highlight w:val="none"/>
          <w:lang w:val="en-US" w:eastAsia="zh-CN"/>
        </w:rPr>
        <w:t xml:space="preserve">及相关</w:t>
      </w:r>
      <w:r>
        <w:rPr>
          <w:rFonts w:hint="eastAsia" w:ascii="宋体" w:hAnsi="宋体" w:eastAsia="宋体" w:cs="宋体"/>
          <w:color w:val="000000"/>
          <w:sz w:val="24"/>
          <w:szCs w:val="24"/>
          <w:highlight w:val="none"/>
        </w:rPr>
        <w:t xml:space="preserve">运维服务，项目采用租赁购买服务模式，由中标单位负责建设、维护，前端设备采集的视频图像接入视频汇聚平台，实现资源的全网共享。</w:t>
      </w:r>
      <w:r>
        <w:rPr>
          <w:rFonts w:hint="eastAsia" w:ascii="宋体" w:hAnsi="宋体" w:eastAsia="宋体" w:cs="宋体"/>
          <w:color w:val="000000"/>
          <w:sz w:val="24"/>
          <w:szCs w:val="24"/>
          <w:highlight w:val="none"/>
        </w:rPr>
      </w:r>
      <w:r/>
    </w:p>
    <w:p>
      <w:pPr>
        <w:pStyle w:val="670"/>
        <w:ind w:left="0"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构建覆盖全街道、无死角的视频感知网络，建立标准统一、账实相符、动态更新的数字资产台账，形成平台管总、点位管细、维保管长的现代化运维格局。将视频资源从 “被动存储” 转变为 “主动可用”，为街道应急指挥、社会治安、城市管理提供精准、高效、可持续的数据支撑，通过点位复用与优化，大幅减少重复建设，实现显著经济价值。</w:t>
      </w:r>
      <w:r>
        <w:rPr>
          <w:rFonts w:hint="eastAsia" w:ascii="宋体" w:hAnsi="宋体" w:eastAsia="宋体" w:cs="宋体"/>
          <w:color w:val="000000"/>
          <w:sz w:val="24"/>
          <w:szCs w:val="24"/>
          <w:highlight w:val="none"/>
        </w:rPr>
      </w:r>
      <w:r/>
    </w:p>
    <w:p>
      <w:pPr>
        <w:pStyle w:val="670"/>
        <w:ind w:left="0" w:firstLine="482"/>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接入全覆盖：</w:t>
      </w:r>
      <w:r>
        <w:rPr>
          <w:rFonts w:hint="eastAsia" w:ascii="宋体" w:hAnsi="宋体" w:eastAsia="宋体" w:cs="宋体"/>
          <w:color w:val="000000"/>
          <w:sz w:val="24"/>
          <w:szCs w:val="24"/>
          <w:highlight w:val="none"/>
        </w:rPr>
        <w:t xml:space="preserve">实现街道出资监控点位 “应接尽接”、街道行政区域范围内非出资点位“能接尽接”，通过国标统一接入，街道统管，资源全域共理。</w:t>
      </w:r>
      <w:r>
        <w:rPr>
          <w:rFonts w:hint="eastAsia" w:ascii="宋体" w:hAnsi="宋体" w:eastAsia="宋体" w:cs="宋体"/>
          <w:color w:val="000000"/>
          <w:sz w:val="24"/>
          <w:szCs w:val="24"/>
          <w:highlight w:val="none"/>
        </w:rPr>
      </w:r>
      <w:r/>
    </w:p>
    <w:p>
      <w:pPr>
        <w:pStyle w:val="670"/>
        <w:ind w:left="0" w:firstLine="482"/>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可视可管可控：</w:t>
      </w:r>
      <w:r>
        <w:rPr>
          <w:rFonts w:hint="eastAsia" w:ascii="宋体" w:hAnsi="宋体" w:eastAsia="宋体" w:cs="宋体"/>
          <w:color w:val="000000"/>
          <w:sz w:val="24"/>
          <w:szCs w:val="24"/>
          <w:highlight w:val="none"/>
        </w:rPr>
        <w:t xml:space="preserve">实时预览、录像回放、设备状态监测、故障告警，保障高在线率。</w:t>
      </w:r>
      <w:r>
        <w:rPr>
          <w:rFonts w:hint="eastAsia" w:ascii="宋体" w:hAnsi="宋体" w:eastAsia="宋体" w:cs="宋体"/>
          <w:color w:val="000000"/>
          <w:sz w:val="24"/>
          <w:szCs w:val="24"/>
          <w:highlight w:val="none"/>
        </w:rPr>
      </w:r>
      <w:r/>
    </w:p>
    <w:p>
      <w:pPr>
        <w:pStyle w:val="670"/>
        <w:ind w:left="0" w:firstLine="482"/>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台账标准化：</w:t>
      </w:r>
      <w:r>
        <w:rPr>
          <w:rFonts w:hint="eastAsia" w:ascii="宋体" w:hAnsi="宋体" w:eastAsia="宋体" w:cs="宋体"/>
          <w:color w:val="000000"/>
          <w:sz w:val="24"/>
          <w:szCs w:val="24"/>
          <w:highlight w:val="none"/>
        </w:rPr>
        <w:t xml:space="preserve">唯一编码、精准经纬度、电子台账 “一图全览”，账实一致。</w:t>
      </w:r>
      <w:r>
        <w:rPr>
          <w:rFonts w:hint="eastAsia" w:ascii="宋体" w:hAnsi="宋体" w:eastAsia="宋体" w:cs="宋体"/>
          <w:color w:val="000000"/>
          <w:sz w:val="24"/>
          <w:szCs w:val="24"/>
          <w:highlight w:val="none"/>
        </w:rPr>
      </w:r>
      <w:r/>
    </w:p>
    <w:p>
      <w:pPr>
        <w:pStyle w:val="670"/>
        <w:ind w:left="0" w:firstLine="482"/>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治理精准化：</w:t>
      </w:r>
      <w:r>
        <w:rPr>
          <w:rFonts w:hint="eastAsia" w:ascii="宋体" w:hAnsi="宋体" w:eastAsia="宋体" w:cs="宋体"/>
          <w:color w:val="000000"/>
          <w:sz w:val="24"/>
          <w:szCs w:val="24"/>
          <w:highlight w:val="none"/>
        </w:rPr>
        <w:t xml:space="preserve">清理重复、更换老化、补齐盲区，优化点位布局，提升覆盖效能，降低费用支出。</w:t>
      </w:r>
      <w:r>
        <w:rPr>
          <w:rFonts w:hint="eastAsia" w:ascii="宋体" w:hAnsi="宋体" w:eastAsia="宋体" w:cs="宋体"/>
          <w:color w:val="000000"/>
          <w:sz w:val="24"/>
          <w:szCs w:val="24"/>
          <w:highlight w:val="none"/>
        </w:rPr>
      </w:r>
      <w:r/>
    </w:p>
    <w:p>
      <w:pPr>
        <w:pStyle w:val="670"/>
        <w:ind w:left="0" w:firstLine="482"/>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运维长效化：</w:t>
      </w:r>
      <w:r>
        <w:rPr>
          <w:rFonts w:hint="eastAsia" w:ascii="宋体" w:hAnsi="宋体" w:eastAsia="宋体" w:cs="宋体"/>
          <w:color w:val="000000"/>
          <w:sz w:val="24"/>
          <w:szCs w:val="24"/>
          <w:highlight w:val="none"/>
        </w:rPr>
        <w:t xml:space="preserve">7×24 小时响应、定期巡检，平台 + 点位 + 台账全生命周期维保。</w:t>
      </w:r>
      <w:r>
        <w:rPr>
          <w:rFonts w:hint="eastAsia" w:ascii="宋体" w:hAnsi="宋体" w:eastAsia="宋体" w:cs="宋体"/>
          <w:color w:val="000000"/>
          <w:sz w:val="24"/>
          <w:szCs w:val="24"/>
          <w:highlight w:val="none"/>
        </w:rPr>
      </w:r>
      <w:r/>
    </w:p>
    <w:p>
      <w:pPr>
        <w:pStyle w:val="787"/>
        <w:numPr>
          <w:ilvl w:val="0"/>
          <w:numId w:val="0"/>
        </w:numPr>
        <w:jc w:val="left"/>
        <w:pageBreakBefore w:val="0"/>
        <w:spacing w:before="0" w:after="0" w:line="360" w:lineRule="auto"/>
      </w:pPr>
      <w:r>
        <w:rPr>
          <w:rFonts w:hint="eastAsia" w:ascii="宋体" w:hAnsi="宋体" w:eastAsia="宋体" w:cs="宋体"/>
          <w:color w:val="000000"/>
          <w:sz w:val="24"/>
          <w:szCs w:val="24"/>
          <w:highlight w:val="none"/>
          <w:lang w:val="en-US" w:eastAsia="zh-CN"/>
        </w:rPr>
        <w:t xml:space="preserve">（二）建设内容清单（</w:t>
      </w:r>
      <w:r>
        <w:rPr>
          <w:rFonts w:hint="eastAsia" w:ascii="宋体" w:hAnsi="宋体" w:eastAsia="宋体" w:cs="宋体"/>
          <w:color w:val="000000"/>
          <w:sz w:val="24"/>
          <w:szCs w:val="24"/>
          <w:highlight w:val="none"/>
        </w:rPr>
        <w:t xml:space="preserve">本项目各项招标内容及参数要求均为不可偏离项</w:t>
      </w:r>
      <w:r>
        <w:rPr>
          <w:rFonts w:hint="eastAsia" w:ascii="宋体" w:hAnsi="宋体" w:eastAsia="宋体" w:cs="宋体"/>
          <w:color w:val="000000"/>
          <w:sz w:val="24"/>
          <w:szCs w:val="24"/>
          <w:highlight w:val="none"/>
          <w:lang w:val="en-US" w:eastAsia="zh-CN"/>
        </w:rPr>
        <w:t xml:space="preserve">）</w:t>
      </w:r>
      <w:r/>
    </w:p>
    <w:tbl>
      <w:tblPr>
        <w:tblW w:w="91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7"/>
        <w:gridCol w:w="3990"/>
        <w:gridCol w:w="930"/>
        <w:gridCol w:w="795"/>
        <w:gridCol w:w="2713"/>
      </w:tblGrid>
      <w:tr>
        <w:trPr>
          <w:trHeight w:val="515"/>
        </w:trPr>
        <w:tc>
          <w:tcPr>
            <w:tcW w:w="707"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399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c>
          <w:tcPr>
            <w:tcW w:w="795"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tcW w:w="2713"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所属行业</w:t>
            </w:r>
            <w:r>
              <w:rPr>
                <w:rFonts w:hint="eastAsia" w:ascii="宋体" w:hAnsi="宋体" w:eastAsia="宋体" w:cs="宋体"/>
                <w:i w:val="0"/>
                <w:iCs w:val="0"/>
                <w:color w:val="000000"/>
                <w:sz w:val="24"/>
                <w:szCs w:val="24"/>
                <w:highlight w:val="none"/>
                <w:u w:val="none"/>
              </w:rPr>
            </w:r>
            <w:r/>
          </w:p>
        </w:tc>
      </w:tr>
      <w:tr>
        <w:trPr>
          <w:trHeight w:val="680"/>
        </w:trPr>
        <w:tc>
          <w:tcPr>
            <w:tcW w:w="707"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990" w:type="dxa"/>
            <w:vAlign w:val="center"/>
            <w:textDirection w:val="lrTb"/>
            <w:noWrap w:val="false"/>
          </w:tcPr>
          <w:p>
            <w:pPr>
              <w:pStyle w:val="670"/>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ascii="宋体" w:hAnsi="宋体" w:eastAsia="宋体" w:cs="宋体"/>
                <w:i w:val="0"/>
                <w:iCs w:val="0"/>
                <w:color w:val="000000"/>
                <w:sz w:val="24"/>
                <w:szCs w:val="24"/>
                <w:highlight w:val="none"/>
                <w:u w:val="none"/>
                <w:lang w:val="en-US"/>
              </w:rPr>
              <w:t xml:space="preserve">视频汇聚平台软件（融合赋能节点）</w:t>
            </w:r>
            <w:r>
              <w:rPr>
                <w:rFonts w:ascii="宋体" w:hAnsi="宋体" w:eastAsia="宋体" w:cs="宋体"/>
                <w:i w:val="0"/>
                <w:iCs w:val="0"/>
                <w:color w:val="000000"/>
                <w:sz w:val="24"/>
                <w:szCs w:val="24"/>
                <w:highlight w:val="none"/>
                <w:u w:val="none"/>
                <w:lang w:val="en-US"/>
              </w:rPr>
            </w:r>
            <w:r/>
          </w:p>
        </w:tc>
        <w:tc>
          <w:tcPr>
            <w:tcW w:w="93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795"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713"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软件和信息技术服务业</w:t>
            </w:r>
            <w:r>
              <w:rPr>
                <w:rFonts w:hint="eastAsia" w:ascii="宋体" w:hAnsi="宋体" w:eastAsia="宋体" w:cs="宋体"/>
                <w:i w:val="0"/>
                <w:iCs w:val="0"/>
                <w:color w:val="000000"/>
                <w:sz w:val="24"/>
                <w:szCs w:val="24"/>
                <w:highlight w:val="none"/>
                <w:u w:val="none"/>
              </w:rPr>
            </w:r>
            <w:r/>
          </w:p>
        </w:tc>
      </w:tr>
      <w:tr>
        <w:trPr>
          <w:trHeight w:val="1015"/>
        </w:trPr>
        <w:tc>
          <w:tcPr>
            <w:tcW w:w="707"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990" w:type="dxa"/>
            <w:vAlign w:val="center"/>
            <w:textDirection w:val="lrTb"/>
            <w:noWrap w:val="false"/>
          </w:tcPr>
          <w:p>
            <w:pPr>
              <w:pStyle w:val="670"/>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ascii="宋体" w:hAnsi="宋体" w:eastAsia="宋体" w:cs="宋体"/>
                <w:i w:val="0"/>
                <w:iCs w:val="0"/>
                <w:color w:val="000000"/>
                <w:sz w:val="24"/>
                <w:szCs w:val="24"/>
                <w:highlight w:val="none"/>
                <w:u w:val="none"/>
                <w:lang w:val="en-US"/>
              </w:rPr>
              <w:t xml:space="preserve">视频资产管理软件（一体化运维服务平台）</w:t>
            </w:r>
            <w:r>
              <w:rPr>
                <w:rFonts w:ascii="宋体" w:hAnsi="宋体" w:eastAsia="宋体" w:cs="宋体"/>
                <w:i w:val="0"/>
                <w:iCs w:val="0"/>
                <w:color w:val="000000"/>
                <w:sz w:val="24"/>
                <w:szCs w:val="24"/>
                <w:highlight w:val="none"/>
                <w:u w:val="none"/>
                <w:lang w:val="en-US"/>
              </w:rPr>
            </w:r>
            <w:r/>
          </w:p>
        </w:tc>
        <w:tc>
          <w:tcPr>
            <w:tcW w:w="93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795"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713"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软件和信息技术服务业</w:t>
            </w:r>
            <w:r>
              <w:rPr>
                <w:rFonts w:hint="eastAsia" w:ascii="宋体" w:hAnsi="宋体" w:eastAsia="宋体" w:cs="宋体"/>
                <w:i w:val="0"/>
                <w:iCs w:val="0"/>
                <w:color w:val="000000"/>
                <w:sz w:val="24"/>
                <w:szCs w:val="24"/>
                <w:highlight w:val="none"/>
                <w:u w:val="none"/>
              </w:rPr>
            </w:r>
            <w:r/>
          </w:p>
        </w:tc>
      </w:tr>
      <w:tr>
        <w:trPr>
          <w:trHeight w:val="575"/>
        </w:trPr>
        <w:tc>
          <w:tcPr>
            <w:tcW w:w="707"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990" w:type="dxa"/>
            <w:vAlign w:val="center"/>
            <w:textDirection w:val="lrTb"/>
            <w:noWrap w:val="false"/>
          </w:tcPr>
          <w:p>
            <w:pPr>
              <w:pStyle w:val="670"/>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ascii="宋体" w:hAnsi="宋体" w:eastAsia="宋体" w:cs="宋体"/>
                <w:i w:val="0"/>
                <w:iCs w:val="0"/>
                <w:color w:val="000000"/>
                <w:sz w:val="24"/>
                <w:szCs w:val="24"/>
                <w:highlight w:val="none"/>
                <w:u w:val="none"/>
                <w:lang w:val="en-US"/>
              </w:rPr>
              <w:t xml:space="preserve">政务信创云服务</w:t>
            </w:r>
            <w:r>
              <w:rPr>
                <w:rFonts w:ascii="宋体" w:hAnsi="宋体" w:eastAsia="宋体" w:cs="宋体"/>
                <w:i w:val="0"/>
                <w:iCs w:val="0"/>
                <w:color w:val="000000"/>
                <w:sz w:val="24"/>
                <w:szCs w:val="24"/>
                <w:highlight w:val="none"/>
                <w:u w:val="none"/>
                <w:lang w:val="en-US"/>
              </w:rPr>
            </w:r>
            <w:r/>
          </w:p>
        </w:tc>
        <w:tc>
          <w:tcPr>
            <w:tcW w:w="93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795"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713"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软件和信息技术服务业</w:t>
            </w:r>
            <w:r>
              <w:rPr>
                <w:rFonts w:hint="eastAsia" w:ascii="宋体" w:hAnsi="宋体" w:eastAsia="宋体" w:cs="宋体"/>
                <w:i w:val="0"/>
                <w:iCs w:val="0"/>
                <w:color w:val="000000"/>
                <w:sz w:val="24"/>
                <w:szCs w:val="24"/>
                <w:highlight w:val="none"/>
                <w:u w:val="none"/>
              </w:rPr>
            </w:r>
            <w:r/>
          </w:p>
        </w:tc>
      </w:tr>
      <w:tr>
        <w:trPr>
          <w:trHeight w:val="600"/>
        </w:trPr>
        <w:tc>
          <w:tcPr>
            <w:tcW w:w="707" w:type="dxa"/>
            <w:vAlign w:val="center"/>
            <w:textDirection w:val="lrTb"/>
            <w:noWrap w:val="false"/>
          </w:tcPr>
          <w:p>
            <w:pPr>
              <w:pStyle w:val="670"/>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ascii="宋体" w:hAnsi="宋体" w:eastAsia="宋体" w:cs="宋体"/>
                <w:i w:val="0"/>
                <w:iCs w:val="0"/>
                <w:color w:val="000000"/>
                <w:sz w:val="24"/>
                <w:szCs w:val="24"/>
                <w:highlight w:val="none"/>
                <w:u w:val="none"/>
                <w:lang w:val="en-US" w:eastAsia="zh-CN" w:bidi="ar"/>
              </w:rPr>
            </w:r>
            <w:r/>
          </w:p>
        </w:tc>
        <w:tc>
          <w:tcPr>
            <w:tcW w:w="3990" w:type="dxa"/>
            <w:vAlign w:val="center"/>
            <w:textDirection w:val="lrTb"/>
            <w:noWrap w:val="false"/>
          </w:tcPr>
          <w:p>
            <w:pPr>
              <w:pStyle w:val="670"/>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ascii="宋体" w:hAnsi="宋体" w:eastAsia="宋体" w:cs="宋体"/>
                <w:i w:val="0"/>
                <w:iCs w:val="0"/>
                <w:color w:val="000000"/>
                <w:sz w:val="24"/>
                <w:szCs w:val="24"/>
                <w:highlight w:val="none"/>
                <w:u w:val="none"/>
                <w:lang w:val="en-US"/>
              </w:rPr>
              <w:t xml:space="preserve">链路、点位治理及视频接入</w:t>
            </w:r>
            <w:r>
              <w:rPr>
                <w:rFonts w:ascii="宋体" w:hAnsi="宋体" w:eastAsia="宋体" w:cs="宋体"/>
                <w:i w:val="0"/>
                <w:iCs w:val="0"/>
                <w:color w:val="000000"/>
                <w:sz w:val="24"/>
                <w:szCs w:val="24"/>
                <w:highlight w:val="none"/>
                <w:u w:val="none"/>
                <w:lang w:val="en-US"/>
              </w:rPr>
            </w:r>
            <w:r/>
          </w:p>
        </w:tc>
        <w:tc>
          <w:tcPr>
            <w:tcW w:w="93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eastAsia="zh-CN" w:bidi="ar"/>
              </w:rPr>
            </w:r>
            <w:r/>
          </w:p>
        </w:tc>
        <w:tc>
          <w:tcPr>
            <w:tcW w:w="795" w:type="dxa"/>
            <w:vAlign w:val="center"/>
            <w:textDirection w:val="lrTb"/>
            <w:noWrap w:val="false"/>
          </w:tcPr>
          <w:p>
            <w:pPr>
              <w:pStyle w:val="670"/>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ascii="宋体" w:hAnsi="宋体" w:eastAsia="宋体" w:cs="宋体"/>
                <w:i w:val="0"/>
                <w:iCs w:val="0"/>
                <w:color w:val="000000"/>
                <w:sz w:val="24"/>
                <w:szCs w:val="24"/>
                <w:highlight w:val="none"/>
                <w:u w:val="none"/>
                <w:lang w:val="en-US" w:eastAsia="zh-CN" w:bidi="ar"/>
              </w:rPr>
            </w:r>
            <w:r/>
          </w:p>
        </w:tc>
        <w:tc>
          <w:tcPr>
            <w:tcW w:w="2713" w:type="dxa"/>
            <w:vAlign w:val="center"/>
            <w:textDirection w:val="lrTb"/>
            <w:noWrap w:val="false"/>
          </w:tcPr>
          <w:p>
            <w:pPr>
              <w:pStyle w:val="670"/>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rPr>
              <w:t xml:space="preserve">软件和信息技术服务业</w:t>
            </w:r>
            <w:r>
              <w:rPr>
                <w:rFonts w:ascii="宋体" w:hAnsi="宋体" w:eastAsia="宋体" w:cs="宋体"/>
                <w:i w:val="0"/>
                <w:iCs w:val="0"/>
                <w:color w:val="000000"/>
                <w:sz w:val="24"/>
                <w:szCs w:val="24"/>
                <w:highlight w:val="none"/>
                <w:u w:val="none"/>
                <w:lang w:val="en-US" w:eastAsia="zh-CN" w:bidi="ar"/>
              </w:rPr>
            </w:r>
            <w:r/>
          </w:p>
        </w:tc>
      </w:tr>
    </w:tbl>
    <w:p>
      <w:pPr>
        <w:pStyle w:val="787"/>
        <w:numPr>
          <w:ilvl w:val="0"/>
          <w:numId w:val="0"/>
        </w:numPr>
        <w:jc w:val="left"/>
        <w:pageBreakBefore w:val="0"/>
        <w:spacing w:before="0" w:after="0"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bl>
      <w:tblPr>
        <w:tblW w:w="9291" w:type="dxa"/>
        <w:tblInd w:w="-3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600"/>
        <w:gridCol w:w="972"/>
        <w:gridCol w:w="5388"/>
        <w:gridCol w:w="450"/>
        <w:gridCol w:w="570"/>
        <w:gridCol w:w="765"/>
      </w:tblGrid>
      <w:tr>
        <w:trPr>
          <w:trHeight w:val="285"/>
        </w:trPr>
        <w:tc>
          <w:tcPr>
            <w:tcW w:w="546" w:type="dxa"/>
            <w:vAlign w:val="center"/>
            <w:vMerge w:val="restart"/>
            <w:textDirection w:val="lrTb"/>
            <w:noWrap/>
          </w:tcPr>
          <w:p>
            <w:pPr>
              <w:pStyle w:val="6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平台建设</w:t>
            </w: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972" w:type="dxa"/>
            <w:vAlign w:val="center"/>
            <w:textDirection w:val="lrTb"/>
            <w:noWrap w:val="false"/>
          </w:tcPr>
          <w:p>
            <w:pPr>
              <w:pStyle w:val="6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b/>
                <w:bCs/>
                <w:i w:val="0"/>
                <w:iCs w:val="0"/>
                <w:color w:val="000000"/>
                <w:sz w:val="21"/>
                <w:szCs w:val="21"/>
                <w:highlight w:val="none"/>
                <w:u w:val="none"/>
              </w:rPr>
            </w:r>
            <w:r/>
          </w:p>
        </w:tc>
        <w:tc>
          <w:tcPr>
            <w:tcW w:w="5388" w:type="dxa"/>
            <w:vAlign w:val="center"/>
            <w:textDirection w:val="lrTb"/>
            <w:noWrap w:val="false"/>
          </w:tcPr>
          <w:p>
            <w:pPr>
              <w:pStyle w:val="6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技术规格</w:t>
            </w:r>
            <w:r>
              <w:rPr>
                <w:rFonts w:hint="eastAsia" w:ascii="宋体" w:hAnsi="宋体" w:eastAsia="宋体" w:cs="宋体"/>
                <w:b/>
                <w:bCs/>
                <w:i w:val="0"/>
                <w:iCs w:val="0"/>
                <w:color w:val="000000"/>
                <w:sz w:val="21"/>
                <w:szCs w:val="21"/>
                <w:highlight w:val="none"/>
                <w:u w:val="none"/>
              </w:rPr>
            </w:r>
            <w:r/>
          </w:p>
        </w:tc>
        <w:tc>
          <w:tcPr>
            <w:tcW w:w="450" w:type="dxa"/>
            <w:vAlign w:val="center"/>
            <w:textDirection w:val="lrTb"/>
            <w:noWrap w:val="false"/>
          </w:tcPr>
          <w:p>
            <w:pPr>
              <w:pStyle w:val="6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570" w:type="dxa"/>
            <w:vAlign w:val="center"/>
            <w:textDirection w:val="lrTb"/>
            <w:noWrap w:val="false"/>
          </w:tcPr>
          <w:p>
            <w:pPr>
              <w:pStyle w:val="6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765" w:type="dxa"/>
            <w:vAlign w:val="center"/>
            <w:textDirection w:val="lrTb"/>
            <w:noWrap w:val="false"/>
          </w:tcPr>
          <w:p>
            <w:pPr>
              <w:pStyle w:val="6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rPr>
            </w:r>
            <w:r/>
          </w:p>
        </w:tc>
      </w:tr>
      <w:tr>
        <w:trPr>
          <w:trHeight w:val="285"/>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8745" w:type="dxa"/>
            <w:vAlign w:val="center"/>
            <w:textDirection w:val="lrTb"/>
            <w:noWrap w:val="false"/>
          </w:tcPr>
          <w:p>
            <w:pPr>
              <w:pStyle w:val="670"/>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一、视频汇聚平台软件（融合赋能节点）</w:t>
            </w:r>
            <w:r>
              <w:rPr>
                <w:rFonts w:hint="eastAsia" w:ascii="宋体" w:hAnsi="宋体" w:eastAsia="宋体" w:cs="宋体"/>
                <w:b/>
                <w:bCs/>
                <w:i w:val="0"/>
                <w:iCs w:val="0"/>
                <w:color w:val="000000"/>
                <w:sz w:val="21"/>
                <w:szCs w:val="21"/>
                <w:highlight w:val="none"/>
                <w:u w:val="none"/>
              </w:rPr>
            </w:r>
            <w:r/>
          </w:p>
        </w:tc>
      </w:tr>
      <w:tr>
        <w:trPr>
          <w:trHeight w:val="525"/>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基础包</w:t>
            </w:r>
            <w:r>
              <w:rPr>
                <w:rFonts w:hint="eastAsia" w:ascii="宋体" w:hAnsi="宋体" w:eastAsia="宋体" w:cs="宋体"/>
                <w:i w:val="0"/>
                <w:iCs w:val="0"/>
                <w:color w:val="000000"/>
                <w:sz w:val="21"/>
                <w:szCs w:val="21"/>
                <w:highlight w:val="none"/>
                <w:u w:val="none"/>
              </w:rPr>
            </w:r>
            <w:r/>
          </w:p>
        </w:tc>
        <w:tc>
          <w:tcPr>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提供了系统业务应用依赖的基础资源，包括用户管理、权限管理、角色管理、门户管理，统一管理了组织、权限、用户等资源，并提供门户、录像计划等配置能力。</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一、角色管理</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1、支持用户所在部门角色信息的增删改查等功能。</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二、用户信息管理</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1、支持用户信息的增删改查、导入、导出；</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2、支持用户安全管理，可绑定用户mac地址及IP，可自行修改用户密码或者管理员重置密码；</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三、平台门户</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1、支持用户自定义快捷入口；支持支持自定义菜单内容；</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2、支持页面元素设置，支持上传页面logo图标、修改网站标题、设置并添加网站外部链接；</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3、默认包含2套门户主题。</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四、核心参数配置</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1、支持所有设备统一校时；</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2、提供账户安全设置，支持账户密码有效期设置。</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3、支持登录类型（Web端、PC客户端、移动端）和认证方式（密码、PKI）的配置。</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4、项目中面向第三方提供SDK，提供设备能力开放、感知数据开放、接口服务能力开放。</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五、提供国产化支撑</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1、包含国产化客户端、移动客户端、BS客户端三大能力</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2、支持人大金仓、瀚高、达梦数据库</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3、支持多种地图的统一接入</w:t>
            </w:r>
            <w:r>
              <w:rPr>
                <w:rFonts w:hint="eastAsia" w:ascii="宋体" w:hAnsi="宋体" w:eastAsia="宋体" w:cs="宋体"/>
                <w:i w:val="0"/>
                <w:iCs w:val="0"/>
                <w:color w:val="000000"/>
                <w:sz w:val="21"/>
                <w:szCs w:val="21"/>
                <w:highlight w:val="none"/>
                <w:u w:val="none"/>
                <w:lang w:val="en-US" w:eastAsia="zh-CN" w:bidi="ar"/>
              </w:rPr>
            </w:r>
            <w:r/>
          </w:p>
        </w:tc>
        <w:tc>
          <w:tcPr>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765" w:type="dxa"/>
            <w:vAlign w:val="center"/>
            <w:textDirection w:val="lrTb"/>
            <w:noWrap w:val="false"/>
          </w:tcPr>
          <w:p>
            <w:pPr>
              <w:pStyle w:val="67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视频调阅</w:t>
            </w:r>
            <w:r>
              <w:rPr>
                <w:rFonts w:hint="eastAsia" w:ascii="宋体" w:hAnsi="宋体" w:eastAsia="宋体" w:cs="宋体"/>
                <w:i w:val="0"/>
                <w:iCs w:val="0"/>
                <w:color w:val="000000"/>
                <w:sz w:val="21"/>
                <w:szCs w:val="21"/>
                <w:highlight w:val="none"/>
                <w:u w:val="none"/>
              </w:rPr>
            </w:r>
            <w:r/>
          </w:p>
        </w:tc>
        <w:tc>
          <w:tcPr>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具有特色的“类电子地图”应用，支持视频监控点、卡口等物联资源的可视化展示，并结合现场的编组、标签等数据治理成果，提供标签的快速、多元化检索功能。同时，视频调阅应用可以与大屏打通链路，支持大屏嵌入模式以及PC模式，提供视频快速上墙等功能。</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1.搜索推荐：支持全局输入框输入关键字，系统自动推荐设备、编组和地名，具体的排序规则可以自定义；</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2.设备搜索：支持切换到设备面板，结果按照匹配度从高到低进行排序，同时支持设备筛选，包括资源类型、建设级别、特性、安装位置、摄像机形态、在线状态等条件；</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3.编组搜索：支持切换到编组面板，结果按照匹配度从高到低进行排序；</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4.地名搜索：支持切换到地名面板，结果按照匹配度从高到低进行排序；</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点位调阅：支持在搜索结果中，查阅视频点位的多种属性，包括基础属性与位置属性等，可查看视频监控点缩略图及通过地图位置快速判断是否为目标点位进行视频调阅；支持在搜索结果中，批量选择目标点位进行添加收藏夹、播放等操作；支持对点位的检索结果进行画面4列、6列布局、一键播放、展示缩略图等功能；</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空间场所调阅：周边点位，支持以空间场所为出发点快速找点，选择某个地名，地图上确定其中心点后可展示默认100米（可配置）范围内的点位信息；关联点位，选择某个地名后，若存在编组名称与地名名称一样，则将该编组下的点位作为关联点位展示；周边地名，支持展示选中地名的周边地名，默认半径为100米（可配置）；</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编组调阅：编组内可包含多个设备，同时一个设备能够同时存在于多个编组中。编组类似于组织目录也包含父子层级的概念。在现场实际应用中，编组主要是设备经过治理以后产生的数据，根据不同的使用场景建立不同分类的编组，并将相关联的点位添加到编组中，便于根据实际场景快速检索设备或对进行批量操作；</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电视墙：当视频调阅为PC模式时，需要支持输入大屏配对码与大屏进行配对；当视频调阅为大屏嵌入模式时，大屏通过嵌入视频调阅页面的URL参数将配对码传递给内嵌的视频调阅应用，无需在视频调阅应用中手动配对，可直接与当前大屏配对。</w:t>
            </w:r>
            <w:r>
              <w:rPr>
                <w:rFonts w:hint="eastAsia" w:ascii="宋体" w:hAnsi="宋体" w:eastAsia="宋体" w:cs="宋体"/>
                <w:i w:val="0"/>
                <w:iCs w:val="0"/>
                <w:color w:val="000000"/>
                <w:sz w:val="21"/>
                <w:szCs w:val="21"/>
                <w:highlight w:val="none"/>
                <w:u w:val="none"/>
              </w:rPr>
            </w:r>
            <w:r/>
          </w:p>
        </w:tc>
        <w:tc>
          <w:tcPr>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765" w:type="dxa"/>
            <w:vAlign w:val="center"/>
            <w:textDirection w:val="lrTb"/>
            <w:noWrap w:val="false"/>
          </w:tcPr>
          <w:p>
            <w:pPr>
              <w:pStyle w:val="67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级联视频接入量</w:t>
            </w:r>
            <w:r>
              <w:rPr>
                <w:rFonts w:hint="eastAsia" w:ascii="宋体" w:hAnsi="宋体" w:eastAsia="宋体" w:cs="宋体"/>
                <w:i w:val="0"/>
                <w:iCs w:val="0"/>
                <w:color w:val="000000"/>
                <w:sz w:val="21"/>
                <w:szCs w:val="21"/>
                <w:highlight w:val="none"/>
                <w:u w:val="none"/>
              </w:rPr>
            </w:r>
            <w:r/>
          </w:p>
        </w:tc>
        <w:tc>
          <w:tcPr>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联网：视频级联应用主要为视频监控业务提供级联服务，专注于平台域间视频联网，基于视频通用标准协议（GB/T28181-2011,GB/T28181-2016）与外域平台互联互通，实现上级平台对下级平台视频资源点位的操作控制。</w:t>
            </w:r>
            <w:r>
              <w:rPr>
                <w:rFonts w:hint="eastAsia" w:ascii="宋体" w:hAnsi="宋体" w:eastAsia="宋体" w:cs="宋体"/>
                <w:i w:val="0"/>
                <w:iCs w:val="0"/>
                <w:color w:val="000000"/>
                <w:sz w:val="21"/>
                <w:szCs w:val="21"/>
                <w:highlight w:val="none"/>
                <w:u w:val="none"/>
              </w:rPr>
            </w:r>
            <w:r/>
          </w:p>
        </w:tc>
        <w:tc>
          <w:tcPr>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17300</w:t>
            </w:r>
            <w:r>
              <w:rPr>
                <w:rFonts w:hint="eastAsia" w:ascii="宋体" w:hAnsi="宋体" w:eastAsia="宋体" w:cs="宋体"/>
                <w:i w:val="0"/>
                <w:iCs w:val="0"/>
                <w:color w:val="000000"/>
                <w:sz w:val="21"/>
                <w:szCs w:val="21"/>
                <w:highlight w:val="none"/>
                <w:u w:val="none"/>
              </w:rPr>
            </w:r>
            <w:r/>
          </w:p>
        </w:tc>
        <w:tc>
          <w:tcPr>
            <w:tcW w:w="765" w:type="dxa"/>
            <w:vAlign w:val="center"/>
            <w:textDirection w:val="lrTb"/>
            <w:noWrap w:val="false"/>
          </w:tcPr>
          <w:p>
            <w:pPr>
              <w:pStyle w:val="67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8745" w:type="dxa"/>
            <w:vAlign w:val="center"/>
            <w:textDirection w:val="lrTb"/>
            <w:noWrap w:val="false"/>
          </w:tcPr>
          <w:p>
            <w:pPr>
              <w:pStyle w:val="670"/>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二、视频资产管理软件（一体化运维服务平台）</w:t>
            </w:r>
            <w:r>
              <w:rPr>
                <w:rFonts w:hint="eastAsia" w:ascii="宋体" w:hAnsi="宋体" w:eastAsia="宋体" w:cs="宋体"/>
                <w:b/>
                <w:bCs/>
                <w:i w:val="0"/>
                <w:iCs w:val="0"/>
                <w:color w:val="000000"/>
                <w:sz w:val="21"/>
                <w:szCs w:val="21"/>
                <w:highlight w:val="none"/>
                <w:u w:val="none"/>
              </w:rPr>
            </w:r>
            <w:r/>
          </w:p>
        </w:tc>
      </w:tr>
      <w:tr>
        <w:trPr>
          <w:trHeight w:val="285"/>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运维基础服务</w:t>
            </w: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运维基础服务提供了运维平台资源模型管理、构架与运行管理基础服务能力。</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一、运维平台基础服务</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1、支持平台资源模型管理（cmdb）、资源实例管理、资源关系配置、采集指标配置、资源同步配置以及记录查看。</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运维巡检配置，支持配置设备探针巡检任务、资源、计划下发；支持巡检分组，支持资源和设备探针接绑定，分别下发给不同的设备探针进行状态检测。支持基本状态、视频质量、录像完整性、音频质量、录像保存天数、视频卡顿等指标的巡检计划配置。</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二、构架与运行管理基础服务</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1、提供门户首页内容自定义能力，支持自定义快捷入口、自定义菜单内容、自定义页面元素设置；支持门户展示元素自定义，包括页面logo图标、修改网站标题、设置并添加网站外部链接；</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2、提供统一的认证、鉴权管理、应用管理、菜单管理、用户管理、角色管理、组织管理、资源管理等能力；</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3、提供用户权限管理能力，包括菜单权限、组织权限、区域权限、资源权限、功能控制权限；</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4、提供用户安全管理，支持账户绑定用户mac地址及IP地址能力，提供账户安全设置，支持账户密码有效期设置，支持登录类型（Web端、PC客户端、移动端）和认证方式（密码、PKI）的配置；</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5、提供系统运行状态监测能力，包括运行服务监控、运行服务统计、运行数据报告和运行服务解析概览。</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ffffff"/>
            <w:tcW w:w="765" w:type="dxa"/>
            <w:vAlign w:val="center"/>
            <w:textDirection w:val="lrTb"/>
            <w:noWrap w:val="false"/>
          </w:tcPr>
          <w:p>
            <w:pPr>
              <w:pStyle w:val="67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项目建设管理</w:t>
            </w: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项目建设管理提供了项目生命周期管理能力。</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1、支持项目信息新增、编辑、删除；</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2、支持项目规划、招标、实施、维保过程中的文件管理；</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ffffff"/>
            <w:tcW w:w="765" w:type="dxa"/>
            <w:vAlign w:val="center"/>
            <w:textDirection w:val="lrTb"/>
            <w:noWrap w:val="false"/>
          </w:tcPr>
          <w:p>
            <w:pPr>
              <w:pStyle w:val="67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资产设备管理</w:t>
            </w: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资产设备管理提供了资产生命周期管理功能。</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1、支持按区域、项目进行设备建档入网、撤档退网功能；</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2、支持设备资产更改项目和区域、信息编辑、删除、查询以及详情查看；</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ffffff"/>
            <w:tcW w:w="765" w:type="dxa"/>
            <w:vAlign w:val="center"/>
            <w:textDirection w:val="lrTb"/>
            <w:noWrap w:val="false"/>
          </w:tcPr>
          <w:p>
            <w:pPr>
              <w:pStyle w:val="67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档案管理</w:t>
            </w: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档案管理提供了档案管理、档案推送等功能。</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1.支持批量导入、导出、删除设备的档案信息，并支持对导入的档案信息进行校验，并给出校验结果；</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2.支持多目设备报备，对报备为多目设备的档案，不做MAC地址唯一性校验；</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3.支持将填报准确的设备信息推送给上级平台，并展示设备的推送状态（已推送、未推送）；</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4.支持上级向下级平台下发重点点位目录以及下级向上级推送重点点位目录；</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ffffff"/>
            <w:tcW w:w="765" w:type="dxa"/>
            <w:vAlign w:val="center"/>
            <w:textDirection w:val="lrTb"/>
            <w:noWrap w:val="false"/>
          </w:tcPr>
          <w:p>
            <w:pPr>
              <w:pStyle w:val="67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档案监测</w:t>
            </w: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档案监测提供了档案合规性监测的功能。</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1、支持监测本级汇聚的所有填报不准确的设备档案信息，并展示具体的异常原因，本级异常点位可直接进行编辑功能进行修改，下级异常点位可通过异常反馈的方式将异常原因下发给下级平台；</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2、全息档案提供了对档案的基础信息、位置信息、管理信息、状态信息、标签信息、运行信息等全维度信息进行统一归集、展现，并提供属性、区域、标签等全景查询能力，实现对档案各维度的综合管理。</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ffffff"/>
            <w:tcW w:w="765" w:type="dxa"/>
            <w:vAlign w:val="center"/>
            <w:textDirection w:val="lrTb"/>
            <w:noWrap w:val="false"/>
          </w:tcPr>
          <w:p>
            <w:pPr>
              <w:pStyle w:val="67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视频联网运维</w:t>
            </w: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视频联网运维提供了联网平台稳定性监控、视频调度详情查询、联网资源监控、联网操作记录查询等能力。</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1、支持上下级平台总数、上下级平台离线数、平台状态统计功能。</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2、支持视频流量监测、媒体容量监测、平台离线统计、平台取流抽检统计功能。</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3、支持从资源数量、汇聚质量、共享资源质量几方面展现资源监测结果。</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4、支持操作日志展现功能，提供抓包功能，通过对各个联网网关的网络抓包，提供联网应用故障分析依据。</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ffffff"/>
            <w:tcW w:w="765" w:type="dxa"/>
            <w:vAlign w:val="center"/>
            <w:textDirection w:val="lrTb"/>
            <w:noWrap w:val="false"/>
          </w:tcPr>
          <w:p>
            <w:pPr>
              <w:pStyle w:val="67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设备网络管理</w:t>
            </w: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设备网络管理提供了设备运行状态检测和故障诊断功能，能够及时发现设备故障，快速定位故障原因，降低运维成本。</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1、支持监控点的在离线状态、时钟状态、录像完整性、录像保存天数检测。</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2、支持监控点离线故障诊断，可展示故障诊断链路详情，输出诊断报告。</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3、支持编码设备的在离线状态、硬盘状态检测。</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4、支持解码设备的在线状态、工作状态、温度检测。</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性能参数：</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1、单节点在线状态巡检效率不低于1000路/小时；</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2、单项目录像情况巡检效率不低于1000路/小时；</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17300</w:t>
            </w:r>
            <w:r>
              <w:rPr>
                <w:rFonts w:hint="eastAsia" w:ascii="宋体" w:hAnsi="宋体" w:eastAsia="宋体" w:cs="宋体"/>
                <w:i w:val="0"/>
                <w:iCs w:val="0"/>
                <w:color w:val="000000"/>
                <w:sz w:val="21"/>
                <w:szCs w:val="21"/>
                <w:highlight w:val="none"/>
                <w:u w:val="none"/>
              </w:rPr>
            </w:r>
            <w:r/>
          </w:p>
        </w:tc>
        <w:tc>
          <w:tcPr>
            <w:shd w:val="clear" w:color="auto" w:fill="ffffff"/>
            <w:tcW w:w="765" w:type="dxa"/>
            <w:vAlign w:val="center"/>
            <w:textDirection w:val="lrTb"/>
            <w:noWrap w:val="false"/>
          </w:tcPr>
          <w:p>
            <w:pPr>
              <w:pStyle w:val="67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8745" w:type="dxa"/>
            <w:vAlign w:val="center"/>
            <w:textDirection w:val="lrTb"/>
            <w:noWrap w:val="false"/>
          </w:tcPr>
          <w:p>
            <w:pPr>
              <w:pStyle w:val="670"/>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三、政务信创云服务</w:t>
            </w:r>
            <w:r>
              <w:rPr>
                <w:rFonts w:hint="eastAsia" w:ascii="宋体" w:hAnsi="宋体" w:eastAsia="宋体" w:cs="宋体"/>
                <w:b/>
                <w:bCs/>
                <w:i w:val="0"/>
                <w:iCs w:val="0"/>
                <w:color w:val="000000"/>
                <w:sz w:val="21"/>
                <w:szCs w:val="21"/>
                <w:highlight w:val="none"/>
                <w:u w:val="none"/>
              </w:rPr>
            </w:r>
            <w:r/>
          </w:p>
        </w:tc>
      </w:tr>
      <w:tr>
        <w:trPr>
          <w:trHeight w:val="285"/>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vMerge w:val="restart"/>
            <w:textDirection w:val="lrTb"/>
            <w:noWrap w:val="false"/>
          </w:tcPr>
          <w:p>
            <w:pPr>
              <w:pStyle w:val="670"/>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ascii="宋体" w:hAnsi="宋体" w:eastAsia="宋体" w:cs="宋体"/>
                <w:i w:val="0"/>
                <w:iCs w:val="0"/>
                <w:color w:val="000000"/>
                <w:sz w:val="21"/>
                <w:szCs w:val="21"/>
                <w:highlight w:val="none"/>
                <w:u w:val="none"/>
                <w:lang w:val="en-US"/>
              </w:rPr>
            </w:r>
            <w:r/>
          </w:p>
        </w:tc>
        <w:tc>
          <w:tcPr>
            <w:shd w:val="clear" w:color="auto" w:fill="ffffff"/>
            <w:tcW w:w="972" w:type="dxa"/>
            <w:vAlign w:val="center"/>
            <w:vMerge w:val="restart"/>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云资源（含国产操作系统，三年服务费）</w:t>
            </w: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云主机配置1：24vCPU核128GB内存2500GB普通硬盘</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765" w:type="dxa"/>
            <w:vAlign w:val="center"/>
            <w:vMerge w:val="restart"/>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政务云部署</w:t>
            </w:r>
            <w:r>
              <w:rPr>
                <w:rFonts w:hint="eastAsia" w:ascii="宋体" w:hAnsi="宋体" w:eastAsia="宋体" w:cs="宋体"/>
                <w:i w:val="0"/>
                <w:iCs w:val="0"/>
                <w:color w:val="000000"/>
                <w:sz w:val="21"/>
                <w:szCs w:val="21"/>
                <w:highlight w:val="none"/>
                <w:u w:val="none"/>
              </w:rPr>
            </w:r>
            <w:r/>
          </w:p>
        </w:tc>
      </w:tr>
      <w:tr>
        <w:trPr>
          <w:trHeight w:val="231"/>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vMerge w:val="continue"/>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vMerge w:val="continue"/>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云主机配置2：20VCPU核64GB内存1500GB普通硬盘</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765" w:type="dxa"/>
            <w:vAlign w:val="center"/>
            <w:vMerge w:val="continue"/>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国产数据库服务</w:t>
            </w: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三年</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765"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政务云</w:t>
            </w:r>
            <w:r>
              <w:rPr>
                <w:rFonts w:hint="eastAsia" w:ascii="宋体" w:hAnsi="宋体" w:eastAsia="宋体" w:cs="宋体"/>
                <w:i w:val="0"/>
                <w:iCs w:val="0"/>
                <w:color w:val="000000"/>
                <w:sz w:val="21"/>
                <w:szCs w:val="21"/>
                <w:highlight w:val="none"/>
                <w:u w:val="none"/>
              </w:rPr>
            </w:r>
            <w:r/>
          </w:p>
        </w:tc>
      </w:tr>
      <w:tr>
        <w:trPr>
          <w:trHeight w:val="525"/>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中间件服务</w:t>
            </w: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三年，web应用服务器</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765"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政务云</w:t>
            </w:r>
            <w:r>
              <w:rPr>
                <w:rFonts w:hint="eastAsia" w:ascii="宋体" w:hAnsi="宋体" w:eastAsia="宋体" w:cs="宋体"/>
                <w:i w:val="0"/>
                <w:iCs w:val="0"/>
                <w:color w:val="000000"/>
                <w:sz w:val="21"/>
                <w:szCs w:val="21"/>
                <w:highlight w:val="none"/>
                <w:u w:val="none"/>
              </w:rPr>
            </w:r>
            <w:r/>
          </w:p>
        </w:tc>
      </w:tr>
      <w:tr>
        <w:trPr>
          <w:trHeight w:val="780"/>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vMerge w:val="restart"/>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vMerge w:val="restart"/>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安全云资源（三年服务费）</w:t>
            </w: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防火墙：可有效满足虚拟化云环境在云边界的安全域隔离、访问控制、威胁防护、失陷检测、IPS功能和安全管理等需求，同时通过可视化风险报表和自助化安全运维服务，帮助用户有效缓解安全风险，网络吞吐：1000Mbps，最大并发连接数：500000，最大新建连接数：15000</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765" w:type="dxa"/>
            <w:vAlign w:val="center"/>
            <w:vMerge w:val="restart"/>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政务云安全服务</w:t>
            </w:r>
            <w:r>
              <w:rPr>
                <w:rFonts w:hint="eastAsia" w:ascii="宋体" w:hAnsi="宋体" w:eastAsia="宋体" w:cs="宋体"/>
                <w:i w:val="0"/>
                <w:iCs w:val="0"/>
                <w:color w:val="000000"/>
                <w:sz w:val="21"/>
                <w:szCs w:val="21"/>
                <w:highlight w:val="none"/>
                <w:u w:val="none"/>
              </w:rPr>
            </w:r>
            <w:r/>
          </w:p>
        </w:tc>
      </w:tr>
      <w:tr>
        <w:trPr>
          <w:trHeight w:val="780"/>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vMerge w:val="continue"/>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vMerge w:val="continue"/>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机安全：提供虚拟化主机安全；轻代理主机防病毒、主机防火墙、主机入侵防御、虚拟化加固、webshell检测、防暴力破解、安全基线、网卡流量统计8个功能；包含系统升级、病毒库升级、规则库升级。包含5个主机授权。</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765" w:type="dxa"/>
            <w:vAlign w:val="center"/>
            <w:vMerge w:val="continue"/>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vMerge w:val="continue"/>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vMerge w:val="continue"/>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web应用防火墙：提供网站安全防护能力，支持基于源IP的负载均衡、支持对DoS攻击的攻击防护、支持对SQL注入的攻击防护、支持对信息泄露的攻击防护、支持对安全绕过的攻击防护等，网络吞吐：400Mbps，最多支持5个域名</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765" w:type="dxa"/>
            <w:vAlign w:val="center"/>
            <w:vMerge w:val="continue"/>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vMerge w:val="continue"/>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vMerge w:val="continue"/>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堡垒机：提供虚拟化运维安全管理与审计系统（堡垒机）安全能力，支持SSH、RDP、VNC、Telnet、FTP等协议，支持访问控制策略按部门分权，不同部门的配置管理员只能针对自己部门及自己直属子部门设备进行访问权限设置，最多可管理5个节点</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765" w:type="dxa"/>
            <w:vAlign w:val="center"/>
            <w:vMerge w:val="continue"/>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546" w:type="dxa"/>
            <w:vAlign w:val="center"/>
            <w:vMerge w:val="continue"/>
            <w:textDirection w:val="lrTb"/>
            <w:noWrap/>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vMerge w:val="continue"/>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vMerge w:val="continue"/>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日志审计：提供对操作系统、中间件、数据库、网络设备、安全设备等资产的日志收集、关联分析、日志存储和综合展示，最大支持5个节点、100GB日志存储空间。</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765" w:type="dxa"/>
            <w:vAlign w:val="center"/>
            <w:vMerge w:val="continue"/>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546" w:type="dxa"/>
            <w:vAlign w:val="center"/>
            <w:vMerge w:val="restart"/>
            <w:textDirection w:val="lrTb"/>
            <w:noWrap w:val="false"/>
          </w:tcPr>
          <w:p>
            <w:pPr>
              <w:pStyle w:val="6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链路、点位治理及视频接入</w:t>
            </w:r>
            <w:r>
              <w:rPr>
                <w:rFonts w:hint="eastAsia" w:ascii="宋体" w:hAnsi="宋体" w:eastAsia="宋体" w:cs="宋体"/>
                <w:b/>
                <w:bCs/>
                <w:i w:val="0"/>
                <w:iCs w:val="0"/>
                <w:color w:val="000000"/>
                <w:sz w:val="21"/>
                <w:szCs w:val="21"/>
                <w:highlight w:val="none"/>
                <w:u w:val="none"/>
              </w:rPr>
            </w:r>
            <w:r/>
          </w:p>
        </w:tc>
        <w:tc>
          <w:tcPr>
            <w:gridSpan w:val="6"/>
            <w:tcW w:w="8745" w:type="dxa"/>
            <w:vAlign w:val="center"/>
            <w:textDirection w:val="lrTb"/>
            <w:noWrap w:val="false"/>
          </w:tcPr>
          <w:p>
            <w:pPr>
              <w:pStyle w:val="670"/>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四、链路、点位治理及视频接入</w:t>
            </w:r>
            <w:r>
              <w:rPr>
                <w:rFonts w:hint="eastAsia" w:ascii="宋体" w:hAnsi="宋体" w:eastAsia="宋体" w:cs="宋体"/>
                <w:b/>
                <w:bCs/>
                <w:i w:val="0"/>
                <w:iCs w:val="0"/>
                <w:color w:val="000000"/>
                <w:sz w:val="21"/>
                <w:szCs w:val="21"/>
                <w:highlight w:val="none"/>
                <w:u w:val="none"/>
              </w:rPr>
            </w:r>
            <w:r/>
          </w:p>
        </w:tc>
      </w:tr>
      <w:tr>
        <w:trPr>
          <w:trHeight w:val="780"/>
        </w:trPr>
        <w:tc>
          <w:tcPr>
            <w:tcW w:w="546" w:type="dxa"/>
            <w:vAlign w:val="center"/>
            <w:vMerge w:val="continue"/>
            <w:textDirection w:val="lrTb"/>
            <w:noWrap w:val="false"/>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视频专线及组网服务</w:t>
            </w:r>
            <w:r>
              <w:rPr>
                <w:rFonts w:hint="eastAsia" w:ascii="宋体" w:hAnsi="宋体" w:eastAsia="宋体" w:cs="宋体"/>
                <w:i w:val="0"/>
                <w:iCs w:val="0"/>
                <w:color w:val="000000"/>
                <w:sz w:val="21"/>
                <w:szCs w:val="21"/>
                <w:highlight w:val="none"/>
                <w:u w:val="none"/>
              </w:rPr>
            </w:r>
            <w:r/>
          </w:p>
        </w:tc>
        <w:tc>
          <w:tcPr>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1000M/3年，360平台及智慧新吴IOT</w:t>
            </w:r>
            <w:r>
              <w:rPr>
                <w:rFonts w:hint="eastAsia" w:ascii="宋体" w:hAnsi="宋体" w:eastAsia="宋体" w:cs="宋体"/>
                <w:i w:val="0"/>
                <w:iCs w:val="0"/>
                <w:color w:val="000000"/>
                <w:sz w:val="21"/>
                <w:szCs w:val="21"/>
                <w:highlight w:val="none"/>
                <w:u w:val="none"/>
              </w:rPr>
            </w:r>
            <w:r/>
          </w:p>
        </w:tc>
        <w:tc>
          <w:tcPr>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765" w:type="dxa"/>
            <w:vAlign w:val="center"/>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35"/>
        </w:trPr>
        <w:tc>
          <w:tcPr>
            <w:tcW w:w="546" w:type="dxa"/>
            <w:vAlign w:val="center"/>
            <w:vMerge w:val="continue"/>
            <w:textDirection w:val="lrTb"/>
            <w:noWrap w:val="false"/>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运营商光纤（专线）及组网服务</w:t>
            </w:r>
            <w:r>
              <w:rPr>
                <w:rFonts w:hint="eastAsia" w:ascii="宋体" w:hAnsi="宋体" w:eastAsia="宋体" w:cs="宋体"/>
                <w:i w:val="0"/>
                <w:iCs w:val="0"/>
                <w:color w:val="000000"/>
                <w:sz w:val="21"/>
                <w:szCs w:val="21"/>
                <w:highlight w:val="none"/>
                <w:u w:val="none"/>
              </w:rPr>
            </w:r>
            <w:r/>
          </w:p>
        </w:tc>
        <w:tc>
          <w:tcPr>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100M/3年，城管平台3条，环保1条，小区20条</w:t>
            </w:r>
            <w:r>
              <w:rPr>
                <w:rFonts w:hint="eastAsia" w:ascii="宋体" w:hAnsi="宋体" w:eastAsia="宋体" w:cs="宋体"/>
                <w:i w:val="0"/>
                <w:iCs w:val="0"/>
                <w:color w:val="000000"/>
                <w:sz w:val="21"/>
                <w:szCs w:val="21"/>
                <w:highlight w:val="none"/>
                <w:u w:val="none"/>
              </w:rPr>
            </w:r>
            <w:r/>
          </w:p>
        </w:tc>
        <w:tc>
          <w:tcPr>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765"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10"/>
        </w:trPr>
        <w:tc>
          <w:tcPr>
            <w:tcW w:w="546" w:type="dxa"/>
            <w:vAlign w:val="center"/>
            <w:vMerge w:val="continue"/>
            <w:textDirection w:val="lrTb"/>
            <w:noWrap w:val="false"/>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安全接入网关</w:t>
            </w:r>
            <w:r>
              <w:rPr>
                <w:rFonts w:hint="eastAsia" w:ascii="宋体" w:hAnsi="宋体" w:eastAsia="宋体" w:cs="宋体"/>
                <w:i w:val="0"/>
                <w:iCs w:val="0"/>
                <w:color w:val="000000"/>
                <w:sz w:val="21"/>
                <w:szCs w:val="21"/>
                <w:highlight w:val="none"/>
                <w:u w:val="none"/>
              </w:rPr>
            </w:r>
            <w:r/>
          </w:p>
        </w:tc>
        <w:tc>
          <w:tcPr>
            <w:tcW w:w="5388" w:type="dxa"/>
            <w:vAlign w:val="center"/>
            <w:textDirection w:val="lrTb"/>
            <w:noWrap w:val="false"/>
          </w:tcPr>
          <w:p>
            <w:pPr>
              <w:pStyle w:val="670"/>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1.支持1个10/100 Base-TX上行电口、4个10/100 Base-TX下行电口；</w:t>
            </w:r>
            <w:r>
              <w:rPr>
                <w:rFonts w:hint="eastAsia" w:ascii="宋体" w:hAnsi="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2.支持不大于15路 720/1080p(4M)高清并发调用；</w:t>
            </w:r>
            <w:r>
              <w:rPr>
                <w:rFonts w:hint="eastAsia" w:ascii="宋体" w:hAnsi="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3.控制访问方向、灵活限制访问和被访问地址（可按独立IP地址或IP段设限）；</w:t>
            </w:r>
            <w:r>
              <w:rPr>
                <w:rFonts w:hint="eastAsia" w:ascii="宋体" w:hAnsi="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4.支持双向IP地址映射，产品应能够限制内网用户可以访问的外部网络地址范围以及外网用户能够访问的内部网络地址范围；</w:t>
            </w:r>
            <w:r>
              <w:rPr>
                <w:rFonts w:hint="eastAsia" w:ascii="宋体" w:hAnsi="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5.支持静态路由功能；</w:t>
            </w:r>
            <w:r>
              <w:rPr>
                <w:rFonts w:hint="eastAsia" w:ascii="宋体" w:hAnsi="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6.支持包括Onvif、GB/T28181、第三方SDK等协议设备的接入、支持结构化数据透传；</w:t>
            </w:r>
            <w:r>
              <w:rPr>
                <w:rFonts w:hint="eastAsia" w:ascii="宋体" w:hAnsi="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7.支持摄像机、DVR、NVR、视频管控平台等多种设备形式接入和管理；</w:t>
            </w:r>
            <w:r>
              <w:rPr>
                <w:rFonts w:hint="eastAsia" w:ascii="宋体" w:hAnsi="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8.支持国内主流视频管控平台的对接互连，支持视频跨平台联网，支持跨行业视频资源整合共享；</w:t>
            </w:r>
            <w:r>
              <w:rPr>
                <w:rFonts w:hint="eastAsia" w:ascii="宋体" w:hAnsi="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9.支持白名单功能，产品能够限制内网用户可以访问的外部网络端口范围以及外网用户能够访问的内部网络端口范围；</w:t>
            </w:r>
            <w:r>
              <w:rPr>
                <w:rFonts w:hint="eastAsia" w:ascii="宋体" w:hAnsi="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10.支持端口隔离，产品能够将内网用户与外网用户隔离，两端用户均无法直接访问对端的网络资源；</w:t>
            </w:r>
            <w:r>
              <w:rPr>
                <w:rFonts w:hint="eastAsia" w:ascii="宋体" w:hAnsi="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11.产品应支持管理口与业务接口分离，授权管理员经过身份鉴别后可访问管理接口；</w:t>
            </w:r>
            <w:r>
              <w:rPr>
                <w:rFonts w:hint="eastAsia" w:ascii="宋体" w:hAnsi="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12.网络扫描防护功能，产品支持防御网络扫描行为。</w:t>
            </w:r>
            <w:r>
              <w:rPr>
                <w:rFonts w:hint="eastAsia" w:ascii="宋体" w:hAnsi="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13.支持包过滤和运维管理。</w:t>
            </w:r>
            <w:r>
              <w:rPr>
                <w:rFonts w:hint="eastAsia" w:ascii="宋体" w:hAnsi="宋体" w:eastAsia="宋体" w:cs="宋体"/>
                <w:i w:val="0"/>
                <w:iCs w:val="0"/>
                <w:color w:val="000000"/>
                <w:sz w:val="21"/>
                <w:szCs w:val="21"/>
                <w:highlight w:val="none"/>
                <w:u w:val="none"/>
                <w:lang w:val="en-US" w:eastAsia="zh-CN" w:bidi="ar"/>
              </w:rPr>
            </w:r>
            <w:r/>
          </w:p>
        </w:tc>
        <w:tc>
          <w:tcPr>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765" w:type="dxa"/>
            <w:vAlign w:val="center"/>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tcW w:w="546" w:type="dxa"/>
            <w:vAlign w:val="center"/>
            <w:vMerge w:val="continue"/>
            <w:textDirection w:val="lrTb"/>
            <w:noWrap w:val="false"/>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18</w:t>
            </w:r>
            <w:r>
              <w:rPr>
                <w:rFonts w:ascii="宋体" w:hAnsi="宋体" w:eastAsia="宋体" w:cs="宋体"/>
                <w:i w:val="0"/>
                <w:iCs w:val="0"/>
                <w:color w:val="000000"/>
                <w:sz w:val="21"/>
                <w:szCs w:val="21"/>
                <w:highlight w:val="none"/>
                <w:u w:val="none"/>
                <w:lang w:val="en-US"/>
              </w:rPr>
            </w:r>
            <w:r/>
          </w:p>
        </w:tc>
        <w:tc>
          <w:tcPr>
            <w:shd w:val="clear" w:color="auto" w:fill="ffffff"/>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智慧新吴IOT授权接入费</w:t>
            </w:r>
            <w:r>
              <w:rPr>
                <w:rFonts w:hint="eastAsia" w:ascii="宋体" w:hAnsi="宋体" w:eastAsia="宋体" w:cs="宋体"/>
                <w:i w:val="0"/>
                <w:iCs w:val="0"/>
                <w:color w:val="000000"/>
                <w:sz w:val="21"/>
                <w:szCs w:val="21"/>
                <w:highlight w:val="none"/>
                <w:u w:val="none"/>
              </w:rPr>
            </w:r>
            <w:r/>
          </w:p>
        </w:tc>
        <w:tc>
          <w:tcPr>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包含城管，环保及小区内部监控通道授权</w:t>
            </w:r>
            <w:r>
              <w:rPr>
                <w:rFonts w:hint="eastAsia" w:ascii="宋体" w:hAnsi="宋体" w:eastAsia="宋体" w:cs="宋体"/>
                <w:i w:val="0"/>
                <w:iCs w:val="0"/>
                <w:color w:val="000000"/>
                <w:sz w:val="21"/>
                <w:szCs w:val="21"/>
                <w:highlight w:val="none"/>
                <w:u w:val="none"/>
              </w:rPr>
            </w:r>
            <w:r/>
          </w:p>
        </w:tc>
        <w:tc>
          <w:tcPr>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w:t>
            </w:r>
            <w:r>
              <w:rPr>
                <w:rFonts w:hint="eastAsia" w:ascii="宋体" w:hAnsi="宋体" w:eastAsia="宋体" w:cs="宋体"/>
                <w:i w:val="0"/>
                <w:iCs w:val="0"/>
                <w:color w:val="000000"/>
                <w:sz w:val="21"/>
                <w:szCs w:val="21"/>
                <w:highlight w:val="none"/>
                <w:u w:val="none"/>
              </w:rPr>
            </w:r>
            <w:r/>
          </w:p>
        </w:tc>
        <w:tc>
          <w:tcPr>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6500</w:t>
            </w:r>
            <w:r>
              <w:rPr>
                <w:rFonts w:hint="eastAsia" w:ascii="宋体" w:hAnsi="宋体" w:eastAsia="宋体" w:cs="宋体"/>
                <w:i w:val="0"/>
                <w:iCs w:val="0"/>
                <w:color w:val="000000"/>
                <w:sz w:val="21"/>
                <w:szCs w:val="21"/>
                <w:highlight w:val="none"/>
                <w:u w:val="none"/>
              </w:rPr>
            </w:r>
            <w:r/>
          </w:p>
        </w:tc>
        <w:tc>
          <w:tcPr>
            <w:tcW w:w="765"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按实际数量结算</w:t>
            </w:r>
            <w:r>
              <w:rPr>
                <w:rFonts w:hint="eastAsia" w:ascii="宋体" w:hAnsi="宋体" w:eastAsia="宋体" w:cs="宋体"/>
                <w:i w:val="0"/>
                <w:iCs w:val="0"/>
                <w:color w:val="000000"/>
                <w:sz w:val="21"/>
                <w:szCs w:val="21"/>
                <w:highlight w:val="none"/>
                <w:u w:val="none"/>
              </w:rPr>
            </w:r>
            <w:r/>
          </w:p>
        </w:tc>
      </w:tr>
      <w:tr>
        <w:trPr>
          <w:trHeight w:val="285"/>
        </w:trPr>
        <w:tc>
          <w:tcPr>
            <w:tcW w:w="546" w:type="dxa"/>
            <w:vAlign w:val="center"/>
            <w:vMerge w:val="continue"/>
            <w:textDirection w:val="lrTb"/>
            <w:noWrap w:val="false"/>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ascii="宋体" w:hAnsi="宋体" w:eastAsia="宋体" w:cs="宋体"/>
                <w:i w:val="0"/>
                <w:iCs w:val="0"/>
                <w:color w:val="000000"/>
                <w:sz w:val="21"/>
                <w:szCs w:val="21"/>
                <w:highlight w:val="none"/>
                <w:u w:val="none"/>
                <w:lang w:val="en-US"/>
              </w:rPr>
            </w:r>
            <w:r/>
          </w:p>
        </w:tc>
        <w:tc>
          <w:tcPr>
            <w:shd w:val="clear" w:color="auto" w:fill="ffffff"/>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前端监控点位户籍化治理</w:t>
            </w:r>
            <w:r>
              <w:rPr>
                <w:rFonts w:hint="eastAsia" w:ascii="宋体" w:hAnsi="宋体" w:eastAsia="宋体" w:cs="宋体"/>
                <w:i w:val="0"/>
                <w:iCs w:val="0"/>
                <w:color w:val="000000"/>
                <w:sz w:val="21"/>
                <w:szCs w:val="21"/>
                <w:highlight w:val="none"/>
                <w:u w:val="none"/>
              </w:rPr>
            </w:r>
            <w:r/>
          </w:p>
        </w:tc>
        <w:tc>
          <w:tcPr>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主要实施对象为旺庄街道建设的监控点位。派遣专业人员完成以下工作：</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1.现场核实前端监控信息数据是否正确，修正有误数据并上传至旺庄视频汇聚底座；</w:t>
            </w:r>
            <w:r>
              <w:rPr>
                <w:rFonts w:hint="eastAsia" w:ascii="宋体" w:hAnsi="宋体" w:eastAsia="宋体" w:cs="宋体"/>
                <w:i w:val="0"/>
                <w:iCs w:val="0"/>
                <w:color w:val="000000"/>
                <w:sz w:val="21"/>
                <w:szCs w:val="21"/>
                <w:highlight w:val="none"/>
                <w:u w:val="none"/>
                <w:lang w:val="en-US" w:eastAsia="zh-CN" w:bidi="ar"/>
              </w:rPr>
            </w:r>
            <w:r/>
          </w:p>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对上传至旺庄视频汇聚底座的户籍化信息数据进行抽检核实，如果有偏差，需及时进行重新整理、采集并上传至旺庄视频汇聚底座。（备注：核实标准参考《新一代雪亮技防专项行动点位信息户籍化治理实施方案》要求实施。）</w:t>
            </w:r>
            <w:r>
              <w:rPr>
                <w:rFonts w:hint="eastAsia" w:ascii="宋体" w:hAnsi="宋体" w:eastAsia="宋体" w:cs="宋体"/>
                <w:i w:val="0"/>
                <w:iCs w:val="0"/>
                <w:color w:val="000000"/>
                <w:sz w:val="21"/>
                <w:szCs w:val="21"/>
                <w:highlight w:val="none"/>
                <w:u w:val="none"/>
              </w:rPr>
            </w:r>
            <w:r/>
          </w:p>
        </w:tc>
        <w:tc>
          <w:tcPr>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w:t>
            </w:r>
            <w:r>
              <w:rPr>
                <w:rFonts w:hint="eastAsia" w:ascii="宋体" w:hAnsi="宋体" w:eastAsia="宋体" w:cs="宋体"/>
                <w:i w:val="0"/>
                <w:iCs w:val="0"/>
                <w:color w:val="000000"/>
                <w:sz w:val="21"/>
                <w:szCs w:val="21"/>
                <w:highlight w:val="none"/>
                <w:u w:val="none"/>
              </w:rPr>
            </w:r>
            <w:r/>
          </w:p>
        </w:tc>
        <w:tc>
          <w:tcPr>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6500</w:t>
            </w:r>
            <w:r>
              <w:rPr>
                <w:rFonts w:hint="eastAsia" w:ascii="宋体" w:hAnsi="宋体" w:eastAsia="宋体" w:cs="宋体"/>
                <w:i w:val="0"/>
                <w:iCs w:val="0"/>
                <w:color w:val="000000"/>
                <w:sz w:val="21"/>
                <w:szCs w:val="21"/>
                <w:highlight w:val="none"/>
                <w:u w:val="none"/>
              </w:rPr>
            </w:r>
            <w:r/>
          </w:p>
        </w:tc>
        <w:tc>
          <w:tcPr>
            <w:tcW w:w="765"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按实际数量结算</w:t>
            </w:r>
            <w:r>
              <w:rPr>
                <w:rFonts w:hint="eastAsia" w:ascii="宋体" w:hAnsi="宋体" w:eastAsia="宋体" w:cs="宋体"/>
                <w:i w:val="0"/>
                <w:iCs w:val="0"/>
                <w:color w:val="000000"/>
                <w:sz w:val="21"/>
                <w:szCs w:val="21"/>
                <w:highlight w:val="none"/>
                <w:u w:val="none"/>
              </w:rPr>
            </w:r>
            <w:r/>
          </w:p>
        </w:tc>
      </w:tr>
      <w:tr>
        <w:trPr>
          <w:trHeight w:val="525"/>
        </w:trPr>
        <w:tc>
          <w:tcPr>
            <w:tcW w:w="546" w:type="dxa"/>
            <w:vAlign w:val="center"/>
            <w:vMerge w:val="continue"/>
            <w:textDirection w:val="lrTb"/>
            <w:noWrap w:val="false"/>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集成服务费</w:t>
            </w:r>
            <w:r>
              <w:rPr>
                <w:rFonts w:hint="eastAsia" w:ascii="宋体" w:hAnsi="宋体" w:eastAsia="宋体" w:cs="宋体"/>
                <w:i w:val="0"/>
                <w:iCs w:val="0"/>
                <w:color w:val="000000"/>
                <w:sz w:val="21"/>
                <w:szCs w:val="21"/>
                <w:highlight w:val="none"/>
                <w:u w:val="none"/>
              </w:rPr>
            </w:r>
            <w:r/>
          </w:p>
        </w:tc>
        <w:tc>
          <w:tcPr>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主要实施对360平台、智慧新吴IOT、城管平台、环保平台等监控点位接入旺庄视频汇聚底座</w:t>
            </w:r>
            <w:r>
              <w:rPr>
                <w:rFonts w:hint="eastAsia" w:ascii="宋体" w:hAnsi="宋体" w:eastAsia="宋体" w:cs="宋体"/>
                <w:i w:val="0"/>
                <w:iCs w:val="0"/>
                <w:color w:val="000000"/>
                <w:sz w:val="21"/>
                <w:szCs w:val="21"/>
                <w:highlight w:val="none"/>
                <w:u w:val="none"/>
              </w:rPr>
            </w:r>
            <w:r/>
          </w:p>
        </w:tc>
        <w:tc>
          <w:tcPr>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w:t>
            </w:r>
            <w:r>
              <w:rPr>
                <w:rFonts w:hint="eastAsia" w:ascii="宋体" w:hAnsi="宋体" w:eastAsia="宋体" w:cs="宋体"/>
                <w:i w:val="0"/>
                <w:iCs w:val="0"/>
                <w:color w:val="000000"/>
                <w:sz w:val="21"/>
                <w:szCs w:val="21"/>
                <w:highlight w:val="none"/>
                <w:u w:val="none"/>
              </w:rPr>
            </w:r>
            <w:r/>
          </w:p>
        </w:tc>
        <w:tc>
          <w:tcPr>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7300</w:t>
            </w:r>
            <w:r>
              <w:rPr>
                <w:rFonts w:hint="eastAsia" w:ascii="宋体" w:hAnsi="宋体" w:eastAsia="宋体" w:cs="宋体"/>
                <w:i w:val="0"/>
                <w:iCs w:val="0"/>
                <w:color w:val="000000"/>
                <w:sz w:val="21"/>
                <w:szCs w:val="21"/>
                <w:highlight w:val="none"/>
                <w:u w:val="none"/>
              </w:rPr>
            </w:r>
            <w:r/>
          </w:p>
        </w:tc>
        <w:tc>
          <w:tcPr>
            <w:tcW w:w="765"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按实际数量结算</w:t>
            </w:r>
            <w:r>
              <w:rPr>
                <w:rFonts w:hint="eastAsia" w:ascii="宋体" w:hAnsi="宋体" w:eastAsia="宋体" w:cs="宋体"/>
                <w:i w:val="0"/>
                <w:iCs w:val="0"/>
                <w:color w:val="000000"/>
                <w:sz w:val="21"/>
                <w:szCs w:val="21"/>
                <w:highlight w:val="none"/>
                <w:u w:val="none"/>
              </w:rPr>
            </w:r>
            <w:r/>
          </w:p>
        </w:tc>
      </w:tr>
      <w:tr>
        <w:trPr>
          <w:trHeight w:val="525"/>
        </w:trPr>
        <w:tc>
          <w:tcPr>
            <w:tcW w:w="546" w:type="dxa"/>
            <w:vAlign w:val="center"/>
            <w:vMerge w:val="continue"/>
            <w:textDirection w:val="lrTb"/>
            <w:noWrap w:val="false"/>
          </w:tcPr>
          <w:p>
            <w:pPr>
              <w:pStyle w:val="67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ffffff"/>
            <w:tcW w:w="972"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资产运维管理服务</w:t>
            </w:r>
            <w:r>
              <w:rPr>
                <w:rFonts w:hint="eastAsia" w:ascii="宋体" w:hAnsi="宋体" w:eastAsia="宋体" w:cs="宋体"/>
                <w:i w:val="0"/>
                <w:iCs w:val="0"/>
                <w:color w:val="000000"/>
                <w:sz w:val="21"/>
                <w:szCs w:val="21"/>
                <w:highlight w:val="none"/>
                <w:u w:val="none"/>
              </w:rPr>
            </w:r>
            <w:r/>
          </w:p>
        </w:tc>
        <w:tc>
          <w:tcPr>
            <w:tcW w:w="5388"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三年的资产运维管理服务（包含视频质量，在线率，视频统计等多维度视频质量的运维工作）</w:t>
            </w:r>
            <w:r>
              <w:rPr>
                <w:rFonts w:hint="eastAsia" w:ascii="宋体" w:hAnsi="宋体" w:eastAsia="宋体" w:cs="宋体"/>
                <w:i w:val="0"/>
                <w:iCs w:val="0"/>
                <w:color w:val="000000"/>
                <w:sz w:val="21"/>
                <w:szCs w:val="21"/>
                <w:highlight w:val="none"/>
                <w:u w:val="none"/>
              </w:rPr>
            </w:r>
            <w:r/>
          </w:p>
        </w:tc>
        <w:tc>
          <w:tcPr>
            <w:tcW w:w="45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570"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765" w:type="dxa"/>
            <w:vAlign w:val="center"/>
            <w:textDirection w:val="lrTb"/>
            <w:noWrap w:val="false"/>
          </w:tcPr>
          <w:p>
            <w:pPr>
              <w:pStyle w:val="6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787"/>
        <w:numPr>
          <w:ilvl w:val="0"/>
          <w:numId w:val="0"/>
        </w:numPr>
        <w:jc w:val="left"/>
        <w:pageBreakBefore w:val="0"/>
        <w:spacing w:before="0" w:after="0"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（三）实施方案</w:t>
      </w:r>
      <w:r>
        <w:rPr>
          <w:rFonts w:ascii="宋体" w:hAnsi="宋体" w:eastAsia="宋体" w:cs="宋体"/>
          <w:b/>
          <w:bCs/>
          <w:color w:val="000000"/>
          <w:sz w:val="24"/>
          <w:szCs w:val="24"/>
          <w:highlight w:val="none"/>
          <w:lang w:val="en-US" w:eastAsia="zh-CN"/>
        </w:rPr>
      </w:r>
      <w:r/>
    </w:p>
    <w:p>
      <w:pPr>
        <w:pStyle w:val="67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1、平台建设</w:t>
      </w:r>
      <w:r>
        <w:rPr>
          <w:rFonts w:hint="eastAsia" w:ascii="宋体" w:hAnsi="宋体" w:eastAsia="宋体" w:cs="宋体"/>
          <w:b/>
          <w:bCs/>
          <w:color w:val="000000"/>
          <w:sz w:val="24"/>
          <w:szCs w:val="24"/>
          <w:highlight w:val="none"/>
          <w:lang w:val="en-US" w:eastAsia="zh-CN"/>
        </w:rPr>
      </w:r>
      <w:r/>
    </w:p>
    <w:p>
      <w:pPr>
        <w:pStyle w:val="67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1.1 统一纳管与汇聚能力</w:t>
      </w:r>
      <w:r>
        <w:rPr>
          <w:rFonts w:hint="eastAsia" w:ascii="宋体" w:hAnsi="宋体" w:eastAsia="宋体" w:cs="宋体"/>
          <w:b/>
          <w:bCs/>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1.1.1 设备在离线智能监测</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自动监测设备在线 / 离线，支持立即 / 定时复核策略，提升检测准确性，避免误报。</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多维度统计：监控总数、在线率、长时间离线、频繁离线点位，精准定位故障，快速派单维保。</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本次建设平台具备视频设备在离线监测，多种手段组合检测视频设备运行状态，包括平台直连和下级推送点位。并支持针对设备巡检结果提供复核策略，包括立即和定时复核，提升检测准确性；</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诊断结果支持多维度统计，包括监控点总数、在线率、长时间离线监控点数、频繁离线点位。其中长时间离线是指连续离线时长超过3天;频繁离线点位是指3天内离线次数超过9次。平台运维人员查看到预警后可及时提醒相关维护单位进行修复。</w:t>
      </w:r>
      <w:r>
        <w:rPr>
          <w:rFonts w:hint="eastAsia" w:ascii="宋体" w:hAnsi="宋体" w:eastAsia="宋体" w:cs="宋体"/>
          <w:color w:val="000000"/>
          <w:sz w:val="24"/>
          <w:szCs w:val="24"/>
          <w:highlight w:val="none"/>
          <w:lang w:val="en-US" w:eastAsia="zh-CN"/>
        </w:rPr>
      </w:r>
      <w:r/>
    </w:p>
    <w:p>
      <w:pPr>
        <w:pStyle w:val="67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1.2 标准化管理与资产治理能力</w:t>
      </w:r>
      <w:r>
        <w:rPr>
          <w:rFonts w:hint="eastAsia" w:ascii="宋体" w:hAnsi="宋体" w:eastAsia="宋体" w:cs="宋体"/>
          <w:b/>
          <w:bCs/>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 点位标准化整治</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统一制定《旺庄街道视频监控点位编码规则》《台账标准模板》，规范编码、经纬度、地址、设备信息等要素。</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全覆盖排查整改，精准校正经纬度、完善台账信息、清理重复编码、拆除冗余设备，实现存量点位全规范。</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 全生命周期资产管理</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此次平台建设建立统一的资产编码管理规范，以设备全生命周期管理为核心，以项目管理为起点，以自动发现为手段，提供IP地址管理、资产档案管理、资产运行监测、安全管控、设备故障报修、过期报废过程管理以及运营统计等关键能力，理清资产台账，确保资产数据底账的准确性和真实性，给上层业务应用、数据运营提供数据支撑。</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生命周期以项目维度进行资产管理，提供规划、实施、维保等各流程环节中的文档管理，展示项目资产类型分布、使用年限统计、运行状态统计以及维保商信息。确保资产底账精准真实，为上层应用提供数据支撑。</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 电子地图精准落点</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次汇聚资源监控还应对相机点位的国标编码规范性、码流规范性、经纬度规范性进行规范管理。平台支持监测本级汇聚的所有填报不准确的设备档案信息，并展示具体的异常原因，由维护人员提醒下级平台或维护单位进行整改。从而实现对监控档案各维度的综合管理。</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监控相机通过录入经纬度信息后在电子地图上精准落点，直观查看分布、覆盖范围、在线状态，快速识别冗余建设、监控盲区，为补盲、优化、复用提供直观依据。可通过人工查看点位重合较多的区域，复核冗余建设的监控部分。后续监控补盲项目也可通过经纬度信息确认是否有已建监控，查看已有监控是否满足需求，如需加装则注明原有监控在清晰度、朝向或功能上不满足原因。</w:t>
      </w:r>
      <w:r>
        <w:rPr>
          <w:rFonts w:hint="eastAsia" w:ascii="宋体" w:hAnsi="宋体" w:eastAsia="宋体" w:cs="宋体"/>
          <w:color w:val="000000"/>
          <w:sz w:val="24"/>
          <w:szCs w:val="24"/>
          <w:highlight w:val="none"/>
          <w:lang w:val="en-US" w:eastAsia="zh-CN"/>
        </w:rPr>
      </w:r>
      <w:r/>
    </w:p>
    <w:p>
      <w:pPr>
        <w:pStyle w:val="67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1.3 基础视频核心能力</w:t>
      </w:r>
      <w:r>
        <w:rPr>
          <w:rFonts w:hint="eastAsia" w:ascii="宋体" w:hAnsi="宋体" w:eastAsia="宋体" w:cs="宋体"/>
          <w:b/>
          <w:bCs/>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实时预览：全点位高清实时画面，支持多画面分割、轮巡显示。</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历史回放：按时间、点位快速检索录像，支持秒级调取、暂停、快进、慢放、截图。</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云台控制：球机支持方向控制、变焦、预置位、巡航，灵活调整监控视角。</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状态可视化：平台首页展示全域点位状态、在线率统计，一屏总览全域视频态势。</w:t>
      </w:r>
      <w:r>
        <w:rPr>
          <w:rFonts w:hint="eastAsia" w:ascii="宋体" w:hAnsi="宋体" w:eastAsia="宋体" w:cs="宋体"/>
          <w:color w:val="000000"/>
          <w:sz w:val="24"/>
          <w:szCs w:val="24"/>
          <w:highlight w:val="none"/>
          <w:lang w:val="en-US" w:eastAsia="zh-CN"/>
        </w:rPr>
      </w:r>
      <w:r/>
    </w:p>
    <w:p>
      <w:pPr>
        <w:pStyle w:val="67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1.4 权限与安全管控能力</w:t>
      </w:r>
      <w:r>
        <w:rPr>
          <w:rFonts w:hint="eastAsia" w:ascii="宋体" w:hAnsi="宋体" w:eastAsia="宋体" w:cs="宋体"/>
          <w:b/>
          <w:bCs/>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1.4.1 三级角色权限划分</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平台支持按角色进行权限划分，应用角色、管理角色和系统管理员。</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应用角色主要支持针对系统应用进行权限控制，其中菜单权限控制用户可使用的平台应用内容，如球机云台控制权限。而资源权限控制用户可查看的视频资源内容，不同部门只具备查看所辖区域的点位权限。</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理角色主要支持针对系统管理功能进行权限控制，其中菜单权限控制用户可使用的系统管理功能，而资源权限控制用户资源目录的管理权限。可以建立多个不同的资源或功能角色并将角色分配给用户组或用户，一个角色支持分配给多个用户组或用户，一个用户组或用户也支持拥有多个角色。</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系统管理员则主要负责系统稳定运行、用户与权限管理、监控点位添加、上下级平台配置和数据备份及安全配置等功能，拥有账号、配置、数据等权限，保障平台安全高效运转</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1.4.2 安全接入防护</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社会面、互联网点位接入前配置固定 IP、安全网关、防火墙，杜绝安全风险。</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平台具备用户认证、操作日志、数据加密，保障视频资源安全合规使用。</w:t>
      </w:r>
      <w:r>
        <w:rPr>
          <w:rFonts w:hint="eastAsia" w:ascii="宋体" w:hAnsi="宋体" w:eastAsia="宋体" w:cs="宋体"/>
          <w:color w:val="000000"/>
          <w:sz w:val="24"/>
          <w:szCs w:val="24"/>
          <w:highlight w:val="none"/>
          <w:lang w:val="en-US" w:eastAsia="zh-CN"/>
        </w:rPr>
      </w:r>
      <w:r/>
    </w:p>
    <w:p>
      <w:pPr>
        <w:pStyle w:val="67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2、链路、点位治理及视频接入</w:t>
      </w:r>
      <w:r>
        <w:rPr>
          <w:rFonts w:hint="eastAsia" w:ascii="宋体" w:hAnsi="宋体" w:eastAsia="宋体" w:cs="宋体"/>
          <w:b/>
          <w:bCs/>
          <w:color w:val="000000"/>
          <w:sz w:val="24"/>
          <w:szCs w:val="24"/>
          <w:highlight w:val="none"/>
          <w:lang w:val="en-US" w:eastAsia="zh-CN"/>
        </w:rPr>
      </w:r>
      <w:r/>
    </w:p>
    <w:p>
      <w:pPr>
        <w:pStyle w:val="67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2.1 全域视频统一汇聚</w:t>
      </w:r>
      <w:r>
        <w:rPr>
          <w:rFonts w:hint="eastAsia" w:ascii="宋体" w:hAnsi="宋体" w:eastAsia="宋体" w:cs="宋体"/>
          <w:b/>
          <w:bCs/>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公安IOT/360平台接入：严格按照GB/T 28181国家标准协议要求，统筹推进各类视频点位标准化对接与集中汇聚，实现全域公安视频资源统一联网、集中管控、规范应用，为治安防控、应急处置提供支撑。支持公安 IOT/360 平台GB/T 28181 国标协议通过两条运营商视频专网进行对接，实现公安视频资源统一联网汇聚。</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委办局视频优先国标对接二级平台（IOT平台），通过二级平台进行视频转发，保证核心平台安全性。</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建未联网设备改造接入：辖区自建离线、未联网监控设备，严格遵照社会面视频资源接入管理标准，统一部署安全接入网关，依托运营商专用通信专线搭建传输链路，先行接入公安IOT平台，再通过国标协议完成标准化对接与集中汇聚，全面消除离线设备管理盲区，实现全域视频资源全覆盖、全汇聚，本项目预估20个小区共计6500路。</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实现多厂商、多协议、多网络环境视频资源一站式纳管、不分散、不旁路、不多头管理。</w:t>
      </w:r>
      <w:r>
        <w:rPr>
          <w:rFonts w:hint="eastAsia" w:ascii="宋体" w:hAnsi="宋体" w:eastAsia="宋体" w:cs="宋体"/>
          <w:color w:val="000000"/>
          <w:sz w:val="24"/>
          <w:szCs w:val="24"/>
          <w:highlight w:val="none"/>
          <w:lang w:val="en-US" w:eastAsia="zh-CN"/>
        </w:rPr>
      </w:r>
      <w:r/>
    </w:p>
    <w:p>
      <w:pPr>
        <w:pStyle w:val="67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2.2 点位治理</w:t>
      </w:r>
      <w:r>
        <w:rPr>
          <w:rFonts w:hint="eastAsia" w:ascii="宋体" w:hAnsi="宋体" w:eastAsia="宋体" w:cs="宋体"/>
          <w:b/>
          <w:bCs/>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全面推进视频监控点位标准化建设，统一制定点位编码规则、经纬度采集规范、台账资料模板三大核心标准，针对性补齐点位编码缺失、地理坐标偏移、位置信息错误、基础资料不完善等突出短板。</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结合辖区实际，编制并发布《旺庄街道视频监控点位编码规则》《视频监控点位标准化台账标准模板》两份规范性文件，明确统一填报口径、信息字段、采集要求与管理标准。</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标准化规范为依据，对旺庄街道全域存量视频监控点位开展全覆盖排查整治，集中整改不规范点位，逐项完善编码赋码、精准校正经纬度、完善台账信息，全面完成存量监控点位规范化治理，夯实视频资源精细化管理基础。</w:t>
      </w:r>
      <w:r>
        <w:rPr>
          <w:rFonts w:hint="eastAsia" w:ascii="宋体" w:hAnsi="宋体" w:eastAsia="宋体" w:cs="宋体"/>
          <w:color w:val="000000"/>
          <w:sz w:val="24"/>
          <w:szCs w:val="24"/>
          <w:highlight w:val="none"/>
          <w:lang w:val="en-US" w:eastAsia="zh-CN"/>
        </w:rPr>
      </w:r>
      <w:r/>
    </w:p>
    <w:p>
      <w:pPr>
        <w:pStyle w:val="67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2.3 长效运维保障能力</w:t>
      </w:r>
      <w:r>
        <w:rPr>
          <w:rFonts w:hint="eastAsia" w:ascii="宋体" w:hAnsi="宋体" w:eastAsia="宋体" w:cs="宋体"/>
          <w:b/>
          <w:bCs/>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本项目提供三年的资产运维管理服务（包含视频质量，在线率，视频统计等多维度视频质量的运维工作）</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纳入维保范围：数字台账、前端点位、点位治理、平台系统全维度覆盖。</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维保机制：7×24 小时响应、月度巡检、季度对账、年度审计，保障系统长期稳定。</w:t>
      </w:r>
      <w:r>
        <w:rPr>
          <w:rFonts w:hint="eastAsia" w:ascii="宋体" w:hAnsi="宋体" w:eastAsia="宋体" w:cs="宋体"/>
          <w:color w:val="000000"/>
          <w:sz w:val="24"/>
          <w:szCs w:val="24"/>
          <w:highlight w:val="none"/>
          <w:lang w:val="en-US" w:eastAsia="zh-CN"/>
        </w:rPr>
      </w:r>
      <w:r/>
    </w:p>
    <w:p>
      <w:pPr>
        <w:pStyle w:val="670"/>
        <w:ind w:left="0"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故障闭环管理：告警→派单→处置→反馈→验收，全流程可追溯，确保故障快速解决。</w:t>
      </w:r>
      <w:r>
        <w:rPr>
          <w:rFonts w:hint="eastAsia" w:ascii="宋体" w:hAnsi="宋体" w:eastAsia="宋体" w:cs="宋体"/>
          <w:color w:val="000000"/>
          <w:sz w:val="24"/>
          <w:szCs w:val="24"/>
          <w:highlight w:val="none"/>
          <w:lang w:val="en-US" w:eastAsia="zh-CN"/>
        </w:rPr>
      </w:r>
      <w:r/>
    </w:p>
    <w:p>
      <w:pPr>
        <w:pStyle w:val="787"/>
        <w:numPr>
          <w:ilvl w:val="0"/>
          <w:numId w:val="0"/>
        </w:numPr>
        <w:jc w:val="left"/>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项目实施要求</w:t>
      </w:r>
      <w:r>
        <w:rPr>
          <w:rFonts w:hint="eastAsia" w:ascii="宋体" w:hAnsi="宋体" w:eastAsia="宋体" w:cs="宋体"/>
          <w:color w:val="000000"/>
          <w:sz w:val="24"/>
          <w:szCs w:val="24"/>
          <w:highlight w:val="none"/>
        </w:rPr>
      </w:r>
      <w:r/>
    </w:p>
    <w:p>
      <w:pPr>
        <w:pStyle w:val="670"/>
        <w:ind w:left="0" w:firstLine="482"/>
        <w:pageBreakBefore w:val="0"/>
        <w:spacing w:line="360" w:lineRule="auto"/>
        <w:tabs>
          <w:tab w:val="left" w:pos="525" w:leader="none"/>
          <w:tab w:val="left" w:pos="945" w:leader="none"/>
          <w:tab w:val="left" w:pos="105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1、人员配备</w:t>
      </w:r>
      <w:r>
        <w:rPr>
          <w:rFonts w:hint="eastAsia" w:ascii="宋体" w:hAnsi="宋体" w:eastAsia="宋体" w:cs="宋体"/>
          <w:b/>
          <w:bCs/>
          <w:color w:val="000000"/>
          <w:sz w:val="24"/>
          <w:szCs w:val="24"/>
          <w:highlight w:val="none"/>
          <w:lang w:val="en-US" w:eastAsia="zh-CN"/>
        </w:rPr>
      </w:r>
      <w:r/>
    </w:p>
    <w:p>
      <w:pPr>
        <w:pStyle w:val="788"/>
        <w:numPr>
          <w:ilvl w:val="0"/>
          <w:numId w:val="0"/>
        </w:numPr>
        <w:ind w:firstLine="480"/>
        <w:jc w:val="left"/>
        <w:keepLines/>
        <w:keepNext/>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供应商配备的项目团队人员必须具备相应的专业能力、技术能力、沟通和协作能力和责任心和主动性，至少需配备项目经理、技术负责人、网络安全负责人各1名。在服务周期内，不得随意更换服务人员。如有特殊原因需要更换服务人员，需提前向采购人申请，经同意后方可更换相同资质的人员。</w:t>
      </w:r>
      <w:r>
        <w:rPr>
          <w:rFonts w:hint="eastAsia" w:ascii="宋体" w:hAnsi="宋体" w:eastAsia="宋体" w:cs="宋体"/>
          <w:b w:val="0"/>
          <w:bCs w:val="0"/>
          <w:color w:val="000000"/>
          <w:sz w:val="24"/>
          <w:szCs w:val="24"/>
          <w:highlight w:val="none"/>
          <w:lang w:val="en-US" w:eastAsia="zh-CN" w:bidi="ar-SA"/>
        </w:rPr>
      </w:r>
      <w:r/>
    </w:p>
    <w:p>
      <w:pPr>
        <w:pStyle w:val="788"/>
        <w:numPr>
          <w:ilvl w:val="0"/>
          <w:numId w:val="0"/>
        </w:numPr>
        <w:jc w:val="left"/>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项目验收要求</w:t>
      </w:r>
      <w:r>
        <w:rPr>
          <w:rFonts w:hint="eastAsia" w:ascii="宋体" w:hAnsi="宋体" w:eastAsia="宋体" w:cs="宋体"/>
          <w:color w:val="00000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项目建设完成后，必须按照相关标准及规范进行验收。</w:t>
      </w:r>
      <w:r>
        <w:rPr>
          <w:rFonts w:hint="eastAsia" w:ascii="宋体" w:hAnsi="宋体" w:eastAsia="宋体" w:cs="宋体"/>
          <w:color w:val="000000"/>
          <w:sz w:val="24"/>
          <w:szCs w:val="24"/>
          <w:highlight w:val="none"/>
        </w:rPr>
      </w:r>
      <w:r/>
    </w:p>
    <w:p>
      <w:pPr>
        <w:pStyle w:val="788"/>
        <w:numPr>
          <w:ilvl w:val="0"/>
          <w:numId w:val="0"/>
        </w:numPr>
        <w:jc w:val="left"/>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项目管理要求</w:t>
      </w:r>
      <w:r>
        <w:rPr>
          <w:rFonts w:hint="eastAsia" w:ascii="宋体" w:hAnsi="宋体" w:eastAsia="宋体" w:cs="宋体"/>
          <w:color w:val="000000"/>
          <w:sz w:val="24"/>
          <w:szCs w:val="24"/>
          <w:highlight w:val="none"/>
        </w:rPr>
      </w:r>
      <w:r/>
    </w:p>
    <w:p>
      <w:pPr>
        <w:pStyle w:val="789"/>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（1）项目管理目标</w:t>
      </w:r>
      <w:r>
        <w:rPr>
          <w:rFonts w:hint="eastAsia" w:ascii="宋体" w:hAnsi="宋体" w:eastAsia="宋体" w:cs="宋体"/>
          <w:color w:val="00000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质量目标：系统运行稳定、达到设计要求，并圆满通过采购人组织的验收。</w:t>
      </w:r>
      <w:r>
        <w:rPr>
          <w:rFonts w:hint="eastAsia" w:ascii="宋体" w:hAnsi="宋体" w:eastAsia="宋体" w:cs="宋体"/>
          <w:color w:val="00000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进度目标：确保项目建设工作在预定的时间内完成。</w:t>
      </w:r>
      <w:r>
        <w:rPr>
          <w:rFonts w:hint="eastAsia" w:ascii="宋体" w:hAnsi="宋体" w:eastAsia="宋体" w:cs="宋体"/>
          <w:color w:val="000000"/>
          <w:sz w:val="24"/>
          <w:szCs w:val="24"/>
          <w:highlight w:val="none"/>
        </w:rPr>
      </w:r>
      <w:r/>
    </w:p>
    <w:p>
      <w:pPr>
        <w:pStyle w:val="789"/>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（2）项目管理内容</w:t>
      </w:r>
      <w:r>
        <w:rPr>
          <w:rFonts w:hint="eastAsia" w:ascii="宋体" w:hAnsi="宋体" w:eastAsia="宋体" w:cs="宋体"/>
          <w:color w:val="00000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中标人应提供详尽的项目管理办法，成立专门的项目管理组，由专人负责，确保项目按时按质进行。</w:t>
      </w:r>
      <w:r>
        <w:rPr>
          <w:rFonts w:hint="eastAsia" w:ascii="宋体" w:hAnsi="宋体" w:eastAsia="宋体" w:cs="宋体"/>
          <w:color w:val="000000"/>
          <w:sz w:val="24"/>
          <w:szCs w:val="24"/>
          <w:highlight w:val="none"/>
        </w:rPr>
      </w:r>
      <w:r/>
    </w:p>
    <w:p>
      <w:pPr>
        <w:pStyle w:val="789"/>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（3）质量要求</w:t>
      </w:r>
      <w:r>
        <w:rPr>
          <w:rFonts w:hint="eastAsia" w:ascii="宋体" w:hAnsi="宋体" w:eastAsia="宋体" w:cs="宋体"/>
          <w:color w:val="00000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保证向采购人提供的货物是全新、完整、未使用过的；投标人向采购人承诺在质量保证期内，所有非故意性损坏以及正常使用范围内造成的损坏均免费维修或更换。因货物本身质量问题导致采购人无法使用的，若更换后仍不能满足正常使用需求的，采购人有权要求退货。对因采购人的不正当使用所造成的损坏不属于投标人责任，但投标人要积极协助采购人进行维修或更换，并保证提供优惠价格的维修和更换服务。</w:t>
      </w:r>
      <w:r>
        <w:rPr>
          <w:rFonts w:hint="eastAsia" w:ascii="宋体" w:hAnsi="宋体" w:eastAsia="宋体" w:cs="宋体"/>
          <w:color w:val="000000"/>
          <w:sz w:val="24"/>
          <w:szCs w:val="24"/>
          <w:highlight w:val="none"/>
        </w:rPr>
      </w:r>
      <w:r/>
    </w:p>
    <w:p>
      <w:pPr>
        <w:pStyle w:val="788"/>
        <w:numPr>
          <w:ilvl w:val="0"/>
          <w:numId w:val="0"/>
        </w:numPr>
        <w:jc w:val="left"/>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项目培训要求</w:t>
      </w:r>
      <w:r>
        <w:rPr>
          <w:rFonts w:hint="eastAsia" w:ascii="宋体" w:hAnsi="宋体" w:eastAsia="宋体" w:cs="宋体"/>
          <w:color w:val="00000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应对采购人进行所供系统全面的技术培训，使采购人使用人员能够达到独立进行使用、维护和简单故障处理等工作。培训内容需包括：应用系统操作使用、维护等方面的培训，具体的培训时间、培训地点、培训方式、培训内容、培训人数由采购人根据实际需求确定，投标人不得再收取任何费用。</w:t>
      </w:r>
      <w:r>
        <w:rPr>
          <w:rFonts w:hint="eastAsia" w:ascii="宋体" w:hAnsi="宋体" w:eastAsia="宋体" w:cs="宋体"/>
          <w:color w:val="000000"/>
          <w:sz w:val="24"/>
          <w:szCs w:val="24"/>
          <w:highlight w:val="none"/>
        </w:rPr>
      </w:r>
      <w:r/>
    </w:p>
    <w:p>
      <w:pPr>
        <w:pStyle w:val="788"/>
        <w:numPr>
          <w:ilvl w:val="0"/>
          <w:numId w:val="0"/>
        </w:numPr>
        <w:jc w:val="left"/>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项目维护要求</w:t>
      </w:r>
      <w:r>
        <w:rPr>
          <w:rFonts w:hint="eastAsia" w:ascii="宋体" w:hAnsi="宋体" w:eastAsia="宋体" w:cs="宋体"/>
          <w:color w:val="00000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中标人在质量保证期内应当为采购人提供以下技术支持和服务，项目验收后免费运维服务期内，项目运维要求如下：</w:t>
      </w:r>
      <w:r>
        <w:rPr>
          <w:rFonts w:hint="eastAsia" w:ascii="宋体" w:hAnsi="宋体" w:eastAsia="宋体" w:cs="宋体"/>
          <w:color w:val="00000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中标人应当为采购人提供7*24小时技术服务电话，解答采购人在使用中遇到的问题，及时为采购人提出解决问题的建议。</w:t>
      </w:r>
      <w:r>
        <w:rPr>
          <w:rFonts w:hint="eastAsia" w:ascii="宋体" w:hAnsi="宋体" w:eastAsia="宋体" w:cs="宋体"/>
          <w:color w:val="00000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在出现系统故障时，30分钟内远程响应，如远程支持无法解决问题时，需1小时内到达采购人现场，4小时内解决问题，24小时内未解决问题的投标人需做出书面解释。</w:t>
      </w:r>
      <w:r>
        <w:rPr>
          <w:rFonts w:hint="eastAsia" w:ascii="宋体" w:hAnsi="宋体" w:eastAsia="宋体" w:cs="宋体"/>
          <w:color w:val="00000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bCs/>
          <w:sz w:val="24"/>
          <w:szCs w:val="24"/>
        </w:rPr>
      </w:pPr>
      <w:r>
        <w:rPr>
          <w:rFonts w:hint="eastAsia" w:ascii="宋体" w:hAnsi="宋体" w:eastAsia="宋体" w:cs="宋体"/>
          <w:color w:val="000000"/>
          <w:sz w:val="24"/>
          <w:szCs w:val="24"/>
          <w:highlight w:val="none"/>
        </w:rPr>
        <w:t xml:space="preserve">中标人在免费运维期（质保期）内，提供免费定期巡检（至少每季度巡检1次，并出具巡检报告）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对系统进行免费更新升级。质保期内，在非人为因素情况下，一切维修配件、硬件和保养费用均由中标人免费提供。质保期外，维修配件、硬件更换等相关费用由招标人承担</w:t>
      </w:r>
      <w:r>
        <w:rPr>
          <w:rFonts w:hint="eastAsia" w:ascii="宋体" w:hAnsi="宋体" w:eastAsia="宋体" w:cs="宋体"/>
          <w:color w:val="000000"/>
          <w:sz w:val="24"/>
          <w:szCs w:val="24"/>
          <w:highlight w:val="none"/>
          <w:lang w:eastAsia="zh-CN"/>
        </w:rPr>
        <w:t xml:space="preserve">。</w:t>
      </w:r>
      <w:r>
        <w:rPr>
          <w:rFonts w:hint="eastAsia" w:ascii="宋体" w:hAnsi="宋体"/>
          <w:bCs/>
          <w:sz w:val="24"/>
          <w:szCs w:val="24"/>
        </w:rPr>
      </w:r>
      <w:r/>
    </w:p>
    <w:p>
      <w:pPr>
        <w:pStyle w:val="670"/>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rPr>
          <w:rFonts w:hint="eastAsia" w:ascii="宋体" w:hAnsi="宋体" w:eastAsia="宋体" w:cs="Times New Roman"/>
          <w:b/>
          <w:bCs w:val="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履约验收主体：无锡市新吴区人民政府旺庄街道办事处</w:t>
      </w:r>
      <w:r>
        <w:rPr>
          <w:rFonts w:ascii="宋体" w:hAnsi="宋体" w:eastAsia="宋体" w:cs="宋体"/>
          <w:color w:val="000000"/>
          <w:sz w:val="24"/>
          <w:szCs w:val="24"/>
          <w:highlight w:val="none"/>
          <w:lang w:val="en-US" w:eastAsia="zh-CN"/>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履约验收时间：合同签订后150日历天</w:t>
      </w:r>
      <w:r>
        <w:rPr>
          <w:rFonts w:hint="eastAsia" w:ascii="宋体" w:hAnsi="宋体" w:eastAsia="宋体" w:cs="宋体"/>
          <w:color w:val="00000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履约验收方式：完成平台上线验收合格</w:t>
      </w:r>
      <w:r>
        <w:rPr>
          <w:rFonts w:hint="eastAsia" w:ascii="宋体" w:hAnsi="宋体" w:eastAsia="宋体" w:cs="宋体"/>
          <w:color w:val="00000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履约验收程序：合同签订后150日历天，完成平台上线验收合格</w:t>
      </w:r>
      <w:r>
        <w:rPr>
          <w:rFonts w:hint="eastAsia" w:ascii="宋体" w:hAnsi="宋体" w:eastAsia="宋体" w:cs="宋体"/>
          <w:color w:val="00000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履约验收内容：平台上线验收合格</w:t>
      </w:r>
      <w:r>
        <w:rPr>
          <w:rFonts w:hint="eastAsia" w:ascii="宋体" w:hAnsi="宋体" w:eastAsia="宋体" w:cs="宋体"/>
          <w:color w:val="00000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履约验收标准：项目建设完成后，必须按照相关标准及规范进行验收</w:t>
      </w:r>
      <w:r>
        <w:rPr>
          <w:rFonts w:hint="eastAsia" w:ascii="宋体" w:hAnsi="宋体" w:eastAsia="宋体" w:cs="宋体"/>
          <w:color w:val="000000"/>
          <w:sz w:val="24"/>
          <w:szCs w:val="24"/>
          <w:highlight w:val="none"/>
        </w:rPr>
      </w:r>
      <w:r/>
    </w:p>
    <w:p>
      <w:pPr>
        <w:pStyle w:val="670"/>
        <w:ind w:left="0" w:firstLine="480"/>
        <w:pageBreakBefore w:val="0"/>
        <w:spacing w:line="360" w:lineRule="auto"/>
        <w:tabs>
          <w:tab w:val="left" w:pos="525" w:leader="none"/>
          <w:tab w:val="left" w:pos="94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履约验收其他事项：</w:t>
      </w:r>
      <w:r>
        <w:rPr>
          <w:rFonts w:hint="eastAsia" w:ascii="宋体" w:hAnsi="宋体" w:eastAsia="宋体" w:cs="宋体"/>
          <w:color w:val="000000"/>
          <w:sz w:val="24"/>
          <w:szCs w:val="24"/>
          <w:highlight w:val="none"/>
          <w:lang w:val="en-US" w:eastAsia="zh-CN"/>
        </w:rPr>
        <w:t xml:space="preserve">根据具体实际服务情况</w:t>
      </w:r>
      <w:r>
        <w:rPr>
          <w:rFonts w:hint="eastAsia" w:ascii="宋体" w:hAnsi="宋体" w:eastAsia="宋体" w:cs="宋体"/>
          <w:color w:val="000000"/>
          <w:sz w:val="24"/>
          <w:szCs w:val="24"/>
          <w:highlight w:val="none"/>
        </w:rPr>
      </w:r>
      <w:r/>
    </w:p>
    <w:p>
      <w:pPr>
        <w:pStyle w:val="670"/>
        <w:ind w:firstLine="480"/>
        <w:spacing w:line="360" w:lineRule="auto"/>
        <w:rPr>
          <w:rFonts w:hint="eastAsia" w:ascii="宋体" w:hAnsi="宋体"/>
          <w:bCs/>
          <w:sz w:val="24"/>
          <w:szCs w:val="24"/>
        </w:rPr>
      </w:pPr>
      <w:r>
        <w:rPr>
          <w:rFonts w:hint="eastAsia" w:ascii="宋体" w:hAnsi="宋体"/>
          <w:bCs/>
          <w:sz w:val="24"/>
          <w:szCs w:val="24"/>
        </w:rPr>
      </w:r>
      <w:r/>
    </w:p>
    <w:p>
      <w:pPr>
        <w:pStyle w:val="670"/>
        <w:ind w:firstLine="480"/>
        <w:spacing w:line="360" w:lineRule="auto"/>
        <w:rPr>
          <w:rFonts w:hint="eastAsia" w:ascii="宋体" w:hAnsi="宋体"/>
          <w:bCs/>
          <w:sz w:val="24"/>
          <w:szCs w:val="24"/>
        </w:rPr>
      </w:pPr>
      <w:r>
        <w:rPr>
          <w:rFonts w:hint="eastAsia" w:ascii="宋体" w:hAnsi="宋体"/>
          <w:bCs/>
          <w:sz w:val="24"/>
          <w:szCs w:val="24"/>
        </w:rPr>
      </w:r>
      <w:r/>
    </w:p>
    <w:p>
      <w:pPr>
        <w:pStyle w:val="670"/>
        <w:ind w:firstLine="480"/>
        <w:spacing w:line="360" w:lineRule="auto"/>
        <w:rPr>
          <w:rFonts w:hint="eastAsia" w:ascii="宋体" w:hAnsi="宋体"/>
          <w:bCs/>
          <w:sz w:val="24"/>
          <w:szCs w:val="24"/>
        </w:rPr>
      </w:pPr>
      <w:r>
        <w:rPr>
          <w:rFonts w:hint="eastAsia" w:ascii="宋体" w:hAnsi="宋体"/>
          <w:bCs/>
          <w:sz w:val="24"/>
          <w:szCs w:val="24"/>
        </w:rPr>
      </w:r>
      <w:r/>
    </w:p>
    <w:p>
      <w:pPr>
        <w:pStyle w:val="670"/>
        <w:ind w:firstLine="480"/>
        <w:spacing w:line="360" w:lineRule="auto"/>
        <w:rPr>
          <w:rFonts w:hint="eastAsia" w:ascii="宋体" w:hAnsi="宋体"/>
          <w:bCs/>
          <w:sz w:val="24"/>
          <w:szCs w:val="24"/>
        </w:rPr>
      </w:pPr>
      <w:r>
        <w:rPr>
          <w:rFonts w:hint="eastAsia" w:ascii="宋体" w:hAnsi="宋体"/>
          <w:bCs/>
          <w:sz w:val="24"/>
          <w:szCs w:val="24"/>
        </w:rPr>
      </w:r>
      <w:r/>
    </w:p>
    <w:p>
      <w:pPr>
        <w:pStyle w:val="670"/>
        <w:spacing w:line="360" w:lineRule="auto"/>
        <w:rPr>
          <w:rFonts w:ascii="宋体" w:hAnsi="宋体"/>
          <w:bCs/>
          <w:sz w:val="24"/>
          <w:szCs w:val="24"/>
        </w:rPr>
      </w:pPr>
      <w:r>
        <w:rPr>
          <w:rFonts w:ascii="宋体" w:hAnsi="宋体"/>
          <w:bCs/>
          <w:sz w:val="24"/>
          <w:szCs w:val="24"/>
        </w:rPr>
      </w:r>
      <w:r/>
    </w:p>
    <w:p>
      <w:pPr>
        <w:pStyle w:val="670"/>
        <w:ind w:firstLine="480"/>
        <w:spacing w:line="360" w:lineRule="auto"/>
        <w:rPr>
          <w:rFonts w:hint="eastAsia" w:ascii="宋体" w:hAnsi="宋体"/>
          <w:bCs/>
          <w:sz w:val="24"/>
          <w:szCs w:val="24"/>
        </w:rPr>
      </w:pPr>
      <w:r>
        <w:rPr>
          <w:rFonts w:hint="eastAsia" w:ascii="宋体" w:hAnsi="宋体"/>
          <w:bCs/>
          <w:sz w:val="24"/>
          <w:szCs w:val="24"/>
        </w:rPr>
      </w:r>
      <w:r/>
    </w:p>
    <w:p>
      <w:pPr>
        <w:pStyle w:val="670"/>
        <w:ind w:firstLine="480"/>
        <w:spacing w:line="360" w:lineRule="auto"/>
        <w:rPr>
          <w:rFonts w:hint="eastAsia" w:ascii="宋体" w:hAnsi="宋体"/>
          <w:bCs/>
          <w:sz w:val="24"/>
          <w:szCs w:val="24"/>
        </w:rPr>
      </w:pPr>
      <w:r>
        <w:rPr>
          <w:rFonts w:hint="eastAsia" w:ascii="宋体" w:hAnsi="宋体"/>
          <w:bCs/>
          <w:sz w:val="24"/>
          <w:szCs w:val="24"/>
        </w:rPr>
      </w:r>
      <w:r/>
    </w:p>
    <w:p>
      <w:pPr>
        <w:pStyle w:val="670"/>
        <w:ind w:firstLine="480"/>
        <w:spacing w:line="360" w:lineRule="auto"/>
        <w:rPr>
          <w:rFonts w:hint="eastAsia" w:ascii="宋体" w:hAnsi="宋体"/>
          <w:bCs/>
          <w:sz w:val="24"/>
          <w:szCs w:val="24"/>
        </w:rPr>
      </w:pPr>
      <w:r>
        <w:rPr>
          <w:rFonts w:hint="eastAsia" w:ascii="宋体" w:hAnsi="宋体"/>
          <w:bCs/>
          <w:sz w:val="24"/>
          <w:szCs w:val="24"/>
        </w:rPr>
      </w:r>
      <w:r/>
    </w:p>
    <w:p>
      <w:pPr>
        <w:pStyle w:val="670"/>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670"/>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670"/>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670"/>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670"/>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670"/>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完工期：</w:t>
      </w:r>
      <w:r>
        <w:rPr>
          <w:rFonts w:hint="eastAsia" w:ascii="宋体" w:hAnsi="Times New Roman" w:eastAsia="宋体" w:cs="Times New Roman"/>
          <w:bCs/>
          <w:sz w:val="24"/>
          <w:szCs w:val="24"/>
          <w:lang w:val="en-US" w:eastAsia="zh-CN"/>
        </w:rPr>
        <w:t xml:space="preserve">合同签订后150日历天，完成平台上线验收合格</w:t>
      </w:r>
      <w:r>
        <w:rPr>
          <w:rFonts w:hint="eastAsia" w:ascii="宋体" w:hAnsi="Times New Roman" w:eastAsia="宋体" w:cs="Times New Roman"/>
          <w:bCs/>
          <w:sz w:val="24"/>
          <w:szCs w:val="24"/>
        </w:rPr>
      </w:r>
      <w:r/>
    </w:p>
    <w:p>
      <w:pPr>
        <w:pStyle w:val="670"/>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项目整体质保期：</w:t>
      </w:r>
      <w:r>
        <w:rPr>
          <w:rFonts w:hint="eastAsia" w:ascii="宋体" w:hAnsi="Times New Roman" w:eastAsia="宋体" w:cs="Times New Roman"/>
          <w:bCs/>
          <w:sz w:val="24"/>
          <w:szCs w:val="24"/>
          <w:lang w:val="en-US" w:eastAsia="zh-CN"/>
        </w:rPr>
        <w:t xml:space="preserve">验收合格后，提供三年整体质保、运维服务</w:t>
      </w:r>
      <w:r>
        <w:rPr>
          <w:rFonts w:hint="eastAsia" w:ascii="宋体" w:hAnsi="Times New Roman" w:eastAsia="宋体" w:cs="Times New Roman"/>
          <w:bCs/>
          <w:sz w:val="24"/>
          <w:szCs w:val="24"/>
        </w:rPr>
      </w:r>
      <w:r/>
    </w:p>
    <w:p>
      <w:pPr>
        <w:pStyle w:val="670"/>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lang w:val="en-US" w:eastAsia="zh-CN"/>
        </w:rPr>
        <w:t xml:space="preserve">交货期：合同签订后150日历天，完成系统上线验收合格</w:t>
      </w:r>
      <w:r>
        <w:rPr>
          <w:rFonts w:hint="eastAsia" w:ascii="宋体" w:hAnsi="Times New Roman" w:eastAsia="宋体" w:cs="Times New Roman"/>
          <w:bCs/>
          <w:sz w:val="24"/>
          <w:szCs w:val="24"/>
        </w:rPr>
      </w:r>
      <w:r/>
    </w:p>
    <w:p>
      <w:pPr>
        <w:pStyle w:val="670"/>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付款方式：</w:t>
      </w:r>
      <w:r>
        <w:rPr>
          <w:rFonts w:hint="eastAsia" w:ascii="宋体" w:hAnsi="Times New Roman" w:eastAsia="宋体" w:cs="Times New Roman"/>
          <w:bCs/>
          <w:sz w:val="24"/>
          <w:szCs w:val="24"/>
          <w:lang w:val="en-US" w:eastAsia="zh-CN"/>
        </w:rPr>
        <w:t xml:space="preserve">签订合同后预付合同价款的30%，项目验收后支付至总金额的80%，审计结束后按审定金额付至95%，验收合格后满三年后付清。</w:t>
      </w:r>
      <w:r>
        <w:rPr>
          <w:rFonts w:hint="eastAsia" w:ascii="宋体" w:hAnsi="Times New Roman" w:eastAsia="宋体" w:cs="Times New Roman"/>
          <w:bCs/>
          <w:sz w:val="24"/>
          <w:szCs w:val="24"/>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w:t>
      </w:r>
      <w:r>
        <w:rPr>
          <w:rFonts w:hint="eastAsia" w:ascii="宋体"/>
          <w:bCs/>
          <w:color w:val="000000"/>
          <w:sz w:val="24"/>
          <w:szCs w:val="24"/>
          <w:highlight w:val="none"/>
          <w:lang w:val="en-US" w:eastAsia="zh-CN"/>
        </w:rPr>
        <w:t xml:space="preserve">2</w:t>
      </w:r>
      <w:r>
        <w:rPr>
          <w:rFonts w:hint="eastAsia" w:ascii="宋体"/>
          <w:bCs/>
          <w:color w:val="000000"/>
          <w:sz w:val="24"/>
          <w:szCs w:val="24"/>
          <w:highlight w:val="none"/>
        </w:rPr>
        <w:t xml:space="preserve">%提供履约担保。中标（成交）供应商可采用电子履约保函（保险）形式,具体操作可登录江苏政府采购网的保险保函模块进行办理。</w:t>
      </w:r>
      <w:r>
        <w:rPr>
          <w:rFonts w:ascii="宋体"/>
          <w:bCs/>
          <w:color w:val="000000"/>
          <w:sz w:val="24"/>
          <w:szCs w:val="24"/>
          <w:highlight w:val="none"/>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w:t>
      </w:r>
      <w:r>
        <w:rPr>
          <w:rFonts w:hint="eastAsia" w:ascii="宋体" w:hAnsi="宋体"/>
          <w:bCs/>
          <w:color w:val="000000"/>
          <w:sz w:val="24"/>
          <w:szCs w:val="24"/>
          <w:highlight w:val="none"/>
          <w:lang w:val="en-US" w:eastAsia="zh-CN"/>
        </w:rPr>
        <w:t xml:space="preserve">旺庄</w:t>
      </w:r>
      <w:r>
        <w:rPr>
          <w:rFonts w:hint="eastAsia" w:ascii="宋体" w:hAnsi="宋体"/>
          <w:bCs/>
          <w:color w:val="000000"/>
          <w:sz w:val="24"/>
          <w:szCs w:val="24"/>
          <w:highlight w:val="none"/>
          <w:lang w:val="en-US" w:eastAsia="zh-CN"/>
        </w:rPr>
        <w:t xml:space="preserve">街道</w:t>
      </w:r>
      <w:r>
        <w:rPr>
          <w:rFonts w:hint="eastAsia" w:ascii="宋体" w:hAnsi="宋体"/>
          <w:bCs/>
          <w:color w:val="000000"/>
          <w:sz w:val="24"/>
          <w:szCs w:val="24"/>
          <w:highlight w:val="none"/>
        </w:rPr>
        <w:t xml:space="preserve">，具体地点以合同书约定为准。中标方必须按采购人要求将本项目中货物送到指定地点</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包括可能的分布范围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，并分地实施安装调试。</w:t>
      </w:r>
      <w:r>
        <w:rPr>
          <w:rFonts w:ascii="宋体"/>
          <w:bCs/>
          <w:color w:val="000000"/>
          <w:sz w:val="24"/>
          <w:szCs w:val="24"/>
          <w:highlight w:val="none"/>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sz w:val="24"/>
          <w:szCs w:val="24"/>
          <w:highlight w:val="none"/>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670"/>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0"/>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0"/>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670"/>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0"/>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670"/>
        <w:numPr>
          <w:ilvl w:val="1"/>
          <w:numId w:val="6"/>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670"/>
        <w:numPr>
          <w:ilvl w:val="1"/>
          <w:numId w:val="6"/>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670"/>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670"/>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0"/>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0"/>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670"/>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lang w:val="en"/>
        </w:rPr>
        <w:t xml:space="preserve">11</w:t>
      </w:r>
      <w:r>
        <w:rPr>
          <w:rFonts w:hint="eastAsia" w:ascii="宋体"/>
          <w:bCs/>
          <w:sz w:val="24"/>
          <w:szCs w:val="24"/>
          <w:highlight w:val="none"/>
          <w:lang w:val="en"/>
        </w:rPr>
        <w:t xml:space="preserve">.</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0"/>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58"/>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58"/>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58"/>
        <w:spacing w:before="0" w:after="0" w:line="500" w:lineRule="exact"/>
        <w:rPr>
          <w:rFonts w:hint="eastAsia" w:cs="Arial"/>
        </w:rPr>
      </w:pPr>
      <w:r>
        <w:rPr>
          <w:rFonts w:hint="eastAsia" w:cs="Arial"/>
        </w:rPr>
        <w:t xml:space="preserve">比较与评价采用综合评分法。</w:t>
      </w:r>
      <w:r>
        <w:rPr>
          <w:rFonts w:hint="eastAsia" w:cs="Arial"/>
        </w:rPr>
      </w:r>
      <w:r/>
    </w:p>
    <w:p>
      <w:pPr>
        <w:pStyle w:val="758"/>
        <w:spacing w:before="0" w:after="0" w:line="500" w:lineRule="exact"/>
        <w:rPr>
          <w:rStyle w:val="746"/>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746"/>
          <w:rFonts w:ascii="Times New Roman" w:hAnsi="Times New Roman"/>
        </w:rPr>
      </w:r>
      <w:r/>
    </w:p>
    <w:p>
      <w:pPr>
        <w:pStyle w:val="758"/>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58"/>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58"/>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0"/>
        <w:ind w:firstLine="482"/>
        <w:jc w:val="left"/>
        <w:spacing w:line="500" w:lineRule="exact"/>
        <w:rPr>
          <w:rFonts w:hint="eastAsia" w:ascii="宋体" w:hAnsi="宋体"/>
          <w:b/>
          <w:bCs/>
          <w:color w:val="000000"/>
          <w:sz w:val="24"/>
          <w:szCs w:val="24"/>
          <w:highlight w:val="yellow"/>
        </w:rPr>
      </w:pPr>
      <w:r>
        <w:rPr>
          <w:rFonts w:hint="eastAsia" w:ascii="宋体" w:hAnsi="宋体"/>
          <w:b/>
          <w:bCs/>
          <w:color w:val="000000"/>
          <w:sz w:val="24"/>
          <w:szCs w:val="24"/>
          <w:highlight w:val="yellow"/>
          <w:lang w:val="en-US" w:eastAsia="zh-CN"/>
        </w:rPr>
        <w:t xml:space="preserve">1.</w:t>
      </w:r>
      <w:r>
        <w:rPr>
          <w:rFonts w:hint="eastAsia" w:ascii="宋体" w:hAnsi="宋体"/>
          <w:b/>
          <w:bCs/>
          <w:color w:val="000000"/>
          <w:sz w:val="24"/>
          <w:szCs w:val="24"/>
          <w:highlight w:val="yellow"/>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yellow"/>
        </w:rPr>
      </w:r>
      <w:r/>
    </w:p>
    <w:p>
      <w:pPr>
        <w:pStyle w:val="670"/>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0"/>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0"/>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0"/>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残疾人福利单位、监狱企业属于小型、微型企业的，不重复享受政策。</w:t>
      </w:r>
      <w:r>
        <w:rPr>
          <w:rFonts w:hint="eastAsia" w:ascii="宋体" w:hAnsi="宋体"/>
          <w:bCs/>
          <w:color w:val="000000"/>
          <w:sz w:val="24"/>
          <w:szCs w:val="24"/>
        </w:rPr>
      </w:r>
      <w:r/>
    </w:p>
    <w:p>
      <w:pPr>
        <w:pStyle w:val="670"/>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0"/>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0"/>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670"/>
        <w:ind w:firstLine="420"/>
        <w:jc w:val="left"/>
        <w:spacing w:line="500" w:lineRule="exact"/>
        <w:rPr>
          <w:rFonts w:hint="eastAsia" w:ascii="宋体" w:hAnsi="宋体"/>
          <w:b/>
          <w:bCs/>
          <w:color w:val="000000"/>
          <w:sz w:val="24"/>
          <w:szCs w:val="24"/>
          <w:highlight w:val="yellow"/>
        </w:rPr>
      </w:pPr>
      <w:r>
        <w:rPr>
          <w:rFonts w:ascii="宋体" w:hAnsi="宋体"/>
          <w:shd w:val="clear" w:color="ffffff" w:fill="d9d9d9"/>
        </w:rPr>
        <w:br w:type="page" w:clear="all"/>
      </w:r>
      <w:r>
        <w:rPr>
          <w:rFonts w:hint="eastAsia" w:ascii="宋体" w:hAnsi="宋体"/>
          <w:b/>
          <w:bCs/>
          <w:color w:val="000000"/>
          <w:sz w:val="24"/>
          <w:szCs w:val="24"/>
          <w:highlight w:val="yellow"/>
        </w:rPr>
        <w:t xml:space="preserve">2.对本国产品的支持政策（仅适用于采购包1）：根据</w:t>
      </w:r>
      <w:r>
        <w:rPr>
          <w:rFonts w:hint="eastAsia" w:ascii="宋体"/>
          <w:b/>
          <w:bCs/>
          <w:color w:val="000000"/>
          <w:sz w:val="24"/>
          <w:szCs w:val="24"/>
          <w:highlight w:val="yellow"/>
        </w:rPr>
        <w:t xml:space="preserve">《国务院办公厅关于在政府采购中实施本国产品标准及相关政策的通知》（国办发〔2025〕34号）要求，</w:t>
      </w:r>
      <w:r>
        <w:rPr>
          <w:rFonts w:hint="eastAsia" w:ascii="宋体" w:hAnsi="宋体"/>
          <w:b/>
          <w:bCs/>
          <w:color w:val="000000"/>
          <w:sz w:val="24"/>
          <w:szCs w:val="24"/>
          <w:highlight w:val="yellow"/>
        </w:rPr>
        <w:t xml:space="preserve">本项目对采购本国产品给</w:t>
      </w:r>
      <w:r>
        <w:rPr>
          <w:rFonts w:hint="eastAsia" w:ascii="宋体" w:hAnsi="宋体"/>
          <w:b/>
          <w:bCs/>
          <w:color w:val="000000"/>
          <w:sz w:val="24"/>
          <w:szCs w:val="24"/>
          <w:highlight w:val="yellow"/>
          <w:lang w:val="en-US" w:eastAsia="zh-CN"/>
        </w:rPr>
        <w:t xml:space="preserve">予</w:t>
      </w:r>
      <w:r>
        <w:rPr>
          <w:rFonts w:hint="eastAsia" w:ascii="宋体" w:hAnsi="宋体"/>
          <w:b/>
          <w:bCs/>
          <w:color w:val="000000"/>
          <w:sz w:val="24"/>
          <w:szCs w:val="24"/>
          <w:highlight w:val="yellow"/>
        </w:rPr>
        <w:t xml:space="preserve">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highlight w:val="yellow"/>
        </w:rPr>
      </w:r>
      <w:r/>
    </w:p>
    <w:p>
      <w:pPr>
        <w:pStyle w:val="670"/>
        <w:ind w:firstLine="480"/>
        <w:jc w:val="left"/>
        <w:spacing w:line="5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t xml:space="preserve">2.1本国产品价格扣除政策</w:t>
      </w:r>
      <w:r>
        <w:rPr>
          <w:rFonts w:hint="eastAsia" w:ascii="宋体" w:hAnsi="宋体"/>
          <w:bCs/>
          <w:color w:val="000000"/>
          <w:sz w:val="24"/>
          <w:szCs w:val="24"/>
          <w:highlight w:val="yellow"/>
        </w:rPr>
      </w:r>
      <w:r/>
    </w:p>
    <w:p>
      <w:pPr>
        <w:pStyle w:val="670"/>
        <w:ind w:firstLine="480"/>
        <w:jc w:val="left"/>
        <w:spacing w:line="5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yellow"/>
        </w:rPr>
      </w:r>
      <w:r/>
    </w:p>
    <w:p>
      <w:pPr>
        <w:pStyle w:val="670"/>
        <w:ind w:firstLine="480"/>
        <w:jc w:val="left"/>
        <w:spacing w:line="5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yellow"/>
        </w:rPr>
      </w:r>
      <w:r/>
    </w:p>
    <w:p>
      <w:pPr>
        <w:pStyle w:val="670"/>
        <w:ind w:firstLine="482"/>
        <w:jc w:val="left"/>
        <w:spacing w:line="500" w:lineRule="exact"/>
        <w:rPr>
          <w:rFonts w:hint="eastAsia" w:ascii="宋体" w:hAnsi="宋体"/>
          <w:b/>
          <w:bCs/>
          <w:color w:val="000000"/>
          <w:sz w:val="24"/>
          <w:szCs w:val="24"/>
          <w:highlight w:val="yellow"/>
        </w:rPr>
      </w:pPr>
      <w:r>
        <w:rPr>
          <w:rFonts w:hint="eastAsia" w:ascii="宋体" w:hAnsi="宋体"/>
          <w:b/>
          <w:bCs/>
          <w:color w:val="000000"/>
          <w:sz w:val="24"/>
          <w:szCs w:val="24"/>
          <w:highlight w:val="yellow"/>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yellow"/>
          <w:u w:val="single"/>
        </w:rPr>
        <w:t xml:space="preserve">对于仅有本国产品参与竞争的政府采购项目或采购包，本国产品不享受价格扣除评审优惠。</w:t>
      </w:r>
      <w:r>
        <w:rPr>
          <w:rFonts w:hint="eastAsia" w:ascii="宋体" w:hAnsi="宋体"/>
          <w:b/>
          <w:bCs/>
          <w:color w:val="000000"/>
          <w:sz w:val="24"/>
          <w:szCs w:val="24"/>
          <w:highlight w:val="yellow"/>
        </w:rPr>
      </w:r>
      <w:r/>
    </w:p>
    <w:p>
      <w:pPr>
        <w:pStyle w:val="670"/>
        <w:ind w:firstLine="480"/>
        <w:jc w:val="left"/>
        <w:spacing w:line="5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t xml:space="preserve">2.2注意事项</w:t>
      </w:r>
      <w:r>
        <w:rPr>
          <w:rFonts w:hint="eastAsia" w:ascii="宋体" w:hAnsi="宋体"/>
          <w:bCs/>
          <w:color w:val="000000"/>
          <w:sz w:val="24"/>
          <w:szCs w:val="24"/>
          <w:highlight w:val="yellow"/>
        </w:rPr>
      </w:r>
      <w:r/>
    </w:p>
    <w:p>
      <w:pPr>
        <w:pStyle w:val="670"/>
        <w:ind w:firstLine="480"/>
        <w:jc w:val="left"/>
        <w:spacing w:line="5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t xml:space="preserve">（1）提供本国产品进行投标（报价）的供应商需在其投</w:t>
      </w:r>
      <w:r>
        <w:rPr>
          <w:rFonts w:hint="eastAsia" w:ascii="宋体" w:hAnsi="宋体"/>
          <w:bCs/>
          <w:color w:val="000000"/>
          <w:sz w:val="24"/>
          <w:szCs w:val="24"/>
          <w:highlight w:val="yellow"/>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highlight w:val="yellow"/>
        </w:rPr>
      </w:r>
      <w:r/>
    </w:p>
    <w:p>
      <w:pPr>
        <w:pStyle w:val="670"/>
        <w:ind w:firstLine="480"/>
        <w:jc w:val="left"/>
        <w:spacing w:line="5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highlight w:val="yellow"/>
        </w:rPr>
      </w:r>
      <w:r/>
    </w:p>
    <w:p>
      <w:pPr>
        <w:pStyle w:val="670"/>
        <w:ind w:firstLine="480"/>
        <w:jc w:val="left"/>
        <w:spacing w:line="5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highlight w:val="yellow"/>
        </w:rPr>
      </w:r>
      <w:r/>
    </w:p>
    <w:p>
      <w:pPr>
        <w:pStyle w:val="670"/>
        <w:ind w:firstLine="480"/>
        <w:jc w:val="left"/>
        <w:spacing w:line="5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t xml:space="preserve">其中，“符合本国产品标准的产品成本之和”是指本项目或采购包中符合本国产品标准的</w:t>
      </w:r>
      <w:r>
        <w:rPr>
          <w:rFonts w:hint="eastAsia" w:ascii="宋体" w:hAnsi="宋体"/>
          <w:b/>
          <w:bCs/>
          <w:color w:val="000000"/>
          <w:sz w:val="24"/>
          <w:szCs w:val="24"/>
          <w:highlight w:val="yellow"/>
        </w:rPr>
        <w:t xml:space="preserve">货物成本之和</w:t>
      </w:r>
      <w:r>
        <w:rPr>
          <w:rFonts w:hint="eastAsia" w:ascii="宋体" w:hAnsi="宋体"/>
          <w:bCs/>
          <w:color w:val="000000"/>
          <w:sz w:val="24"/>
          <w:szCs w:val="24"/>
          <w:highlight w:val="yellow"/>
        </w:rPr>
        <w:t xml:space="preserve">；“全部产品成本之和”是指货物或服务项目（或者采购包）中包含的</w:t>
      </w:r>
      <w:r>
        <w:rPr>
          <w:rFonts w:hint="eastAsia" w:ascii="宋体" w:hAnsi="宋体"/>
          <w:b/>
          <w:bCs/>
          <w:color w:val="000000"/>
          <w:sz w:val="24"/>
          <w:szCs w:val="24"/>
          <w:highlight w:val="yellow"/>
        </w:rPr>
        <w:t xml:space="preserve">全部货物、服务产品的成本之和</w:t>
      </w:r>
      <w:r>
        <w:rPr>
          <w:rFonts w:hint="eastAsia" w:ascii="宋体" w:hAnsi="宋体"/>
          <w:bCs/>
          <w:color w:val="000000"/>
          <w:sz w:val="24"/>
          <w:szCs w:val="24"/>
          <w:highlight w:val="yellow"/>
        </w:rPr>
        <w:t xml:space="preserve">。</w:t>
      </w:r>
      <w:r>
        <w:rPr>
          <w:rFonts w:hint="eastAsia" w:ascii="宋体" w:hAnsi="宋体"/>
          <w:bCs/>
          <w:color w:val="000000"/>
          <w:sz w:val="24"/>
          <w:szCs w:val="24"/>
          <w:highlight w:val="yellow"/>
        </w:rPr>
      </w:r>
      <w:r/>
    </w:p>
    <w:p>
      <w:pPr>
        <w:pStyle w:val="670"/>
        <w:ind w:firstLine="480"/>
        <w:jc w:val="left"/>
        <w:spacing w:line="5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highlight w:val="yellow"/>
        </w:rPr>
      </w:r>
      <w:r/>
    </w:p>
    <w:p>
      <w:pPr>
        <w:pStyle w:val="670"/>
        <w:ind w:firstLine="480"/>
        <w:jc w:val="left"/>
        <w:spacing w:line="5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t xml:space="preserve">即，当小微型企业价格扣除政策和本国产品价格扣除政策同时享受时，按以下计算方式进行计算：</w:t>
      </w:r>
      <w:r>
        <w:rPr>
          <w:rFonts w:hint="eastAsia" w:ascii="宋体" w:hAnsi="宋体"/>
          <w:bCs/>
          <w:color w:val="000000"/>
          <w:sz w:val="24"/>
          <w:szCs w:val="24"/>
          <w:highlight w:val="yellow"/>
        </w:rPr>
      </w:r>
      <w:r/>
    </w:p>
    <w:p>
      <w:pPr>
        <w:pStyle w:val="670"/>
        <w:ind w:firstLine="480"/>
        <w:jc w:val="left"/>
        <w:spacing w:line="5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t xml:space="preserve">供应商参与评审的报价=供应商投标总报价×[1-（小微型企业价格扣除+本国产品价格扣除）]</w:t>
      </w:r>
      <w:r>
        <w:rPr>
          <w:rFonts w:hint="eastAsia" w:ascii="宋体" w:hAnsi="宋体"/>
          <w:bCs/>
          <w:color w:val="000000"/>
          <w:sz w:val="24"/>
          <w:szCs w:val="24"/>
          <w:highlight w:val="yellow"/>
        </w:rPr>
      </w:r>
      <w:r/>
    </w:p>
    <w:p>
      <w:pPr>
        <w:pStyle w:val="670"/>
        <w:ind w:firstLine="480"/>
        <w:jc w:val="left"/>
        <w:spacing w:line="5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highlight w:val="yellow"/>
        </w:rPr>
      </w:r>
      <w:r/>
    </w:p>
    <w:p>
      <w:pPr>
        <w:pStyle w:val="670"/>
        <w:ind w:firstLine="480"/>
        <w:jc w:val="left"/>
        <w:spacing w:line="500" w:lineRule="exact"/>
        <w:rPr>
          <w:rFonts w:ascii="宋体" w:hAnsi="宋体"/>
          <w:highlight w:val="yellow"/>
          <w:shd w:val="clear" w:color="ffffff" w:fill="d9d9d9"/>
        </w:rPr>
      </w:pPr>
      <w:r>
        <w:rPr>
          <w:rFonts w:hint="eastAsia" w:ascii="宋体" w:hAnsi="宋体"/>
          <w:bCs/>
          <w:color w:val="000000"/>
          <w:sz w:val="24"/>
          <w:szCs w:val="24"/>
          <w:highlight w:val="yellow"/>
        </w:rPr>
        <w:t xml:space="preserve">1000000×[1-（10%+20%）]=700000元</w:t>
      </w:r>
      <w:r>
        <w:rPr>
          <w:rFonts w:ascii="宋体" w:hAnsi="宋体"/>
          <w:highlight w:val="yellow"/>
          <w:shd w:val="clear" w:color="ffffff" w:fill="d9d9d9"/>
        </w:rPr>
      </w:r>
      <w:r/>
    </w:p>
    <w:p>
      <w:pPr>
        <w:pStyle w:val="758"/>
        <w:ind w:firstLine="360"/>
        <w:spacing w:before="0" w:after="0" w:line="500" w:lineRule="exact"/>
        <w:rPr>
          <w:rFonts w:ascii="宋体" w:hAnsi="宋体"/>
          <w:shd w:val="clear" w:color="ffffff" w:fill="d9d9d9"/>
        </w:rPr>
      </w:pPr>
      <w:r>
        <w:rPr>
          <w:rFonts w:ascii="宋体" w:hAnsi="宋体"/>
          <w:shd w:val="clear" w:color="ffffff" w:fill="d9d9d9"/>
        </w:rPr>
      </w:r>
      <w:r/>
    </w:p>
    <w:p>
      <w:pPr>
        <w:pStyle w:val="758"/>
        <w:ind w:firstLine="422"/>
        <w:spacing w:before="0" w:after="0" w:line="500" w:lineRule="exact"/>
        <w:rPr>
          <w:rFonts w:hint="eastAsia" w:ascii="宋体" w:hAnsi="宋体"/>
          <w:b/>
          <w:color w:val="ff0000"/>
          <w:sz w:val="28"/>
          <w:szCs w:val="28"/>
          <w:u w:val="single"/>
        </w:rPr>
      </w:pPr>
      <w:r>
        <w:rPr>
          <w:rFonts w:hint="eastAsia" w:ascii="宋体" w:hAnsi="宋体"/>
          <w:b/>
          <w:sz w:val="28"/>
          <w:szCs w:val="28"/>
        </w:rPr>
        <w:t xml:space="preserve">二、评分标准</w:t>
      </w: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758"/>
        <w:ind w:firstLine="422"/>
        <w:spacing w:before="0" w:after="0" w:line="500" w:lineRule="exact"/>
        <w:rPr>
          <w:rFonts w:hint="eastAsia" w:ascii="宋体" w:hAnsi="宋体"/>
          <w:b/>
          <w:sz w:val="28"/>
          <w:szCs w:val="28"/>
        </w:rPr>
      </w:pPr>
      <w:r>
        <w:rPr>
          <w:rFonts w:hint="eastAsia" w:ascii="宋体" w:hAnsi="宋体"/>
          <w:b/>
          <w:sz w:val="28"/>
          <w:szCs w:val="28"/>
        </w:rPr>
        <w:t xml:space="preserve">（一）</w:t>
      </w:r>
      <w:r>
        <w:rPr>
          <w:rFonts w:hint="eastAsia" w:ascii="宋体" w:hAnsi="宋体"/>
          <w:b/>
          <w:color w:val="0000ff"/>
          <w:sz w:val="28"/>
          <w:szCs w:val="28"/>
        </w:rPr>
        <w:t xml:space="preserve">商务部分（</w:t>
      </w:r>
      <w:r>
        <w:rPr>
          <w:rFonts w:hint="eastAsia" w:ascii="宋体" w:hAnsi="宋体"/>
          <w:b/>
          <w:color w:val="0000ff"/>
          <w:sz w:val="28"/>
          <w:szCs w:val="28"/>
          <w:lang w:val="en-US" w:eastAsia="zh-CN"/>
        </w:rPr>
        <w:t xml:space="preserve">30</w:t>
      </w:r>
      <w:r>
        <w:rPr>
          <w:rFonts w:hint="eastAsia" w:ascii="宋体" w:hAnsi="宋体"/>
          <w:b/>
          <w:color w:val="0000ff"/>
          <w:sz w:val="28"/>
          <w:szCs w:val="28"/>
        </w:rPr>
        <w:t xml:space="preserve">分）</w:t>
      </w:r>
      <w:r>
        <w:rPr>
          <w:rFonts w:hint="eastAsia" w:ascii="宋体" w:hAnsi="宋体"/>
          <w:b/>
          <w:sz w:val="28"/>
          <w:szCs w:val="28"/>
        </w:rPr>
      </w:r>
      <w:r/>
    </w:p>
    <w:p>
      <w:pPr>
        <w:pStyle w:val="670"/>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670"/>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0"/>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0"/>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670"/>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27</w:t>
      </w:r>
      <w:r>
        <w:rPr>
          <w:rFonts w:hint="eastAsia" w:ascii="宋体" w:hAnsi="宋体"/>
          <w:b/>
          <w:bCs/>
          <w:color w:val="000000"/>
          <w:sz w:val="24"/>
          <w:szCs w:val="24"/>
        </w:rPr>
        <w:t xml:space="preserve">分）：</w:t>
      </w:r>
      <w:r>
        <w:rPr>
          <w:rFonts w:ascii="宋体" w:hAnsi="宋体"/>
          <w:b/>
          <w:bCs/>
          <w:color w:val="000000"/>
          <w:sz w:val="24"/>
          <w:szCs w:val="24"/>
        </w:rPr>
      </w:r>
      <w:r/>
    </w:p>
    <w:p>
      <w:pPr>
        <w:pStyle w:val="670"/>
        <w:ind w:firstLine="482"/>
        <w:spacing w:line="360" w:lineRule="auto"/>
        <w:tabs>
          <w:tab w:val="left" w:pos="945" w:leader="none"/>
          <w:tab w:val="left" w:pos="1155" w:leader="none"/>
        </w:tabs>
        <w:rPr>
          <w:rFonts w:hint="eastAsia" w:ascii="宋体" w:hAnsi="宋体" w:cs="宋体"/>
          <w:b/>
          <w:bCs w:val="0"/>
          <w:color w:val="000000"/>
          <w:sz w:val="24"/>
          <w:highlight w:val="none"/>
          <w:lang w:val="en-US" w:eastAsia="zh-CN"/>
        </w:rPr>
      </w:pPr>
      <w:r>
        <w:rPr>
          <w:rFonts w:hint="eastAsia" w:ascii="宋体" w:hAnsi="宋体"/>
          <w:color w:val="000000"/>
          <w:sz w:val="24"/>
          <w:lang w:val="en-US" w:eastAsia="zh-CN"/>
        </w:rPr>
        <w:t xml:space="preserve">2</w:t>
      </w:r>
      <w:r>
        <w:rPr>
          <w:rFonts w:hint="eastAsia" w:ascii="宋体" w:hAnsi="宋体"/>
          <w:color w:val="000000"/>
          <w:sz w:val="24"/>
        </w:rPr>
        <w:t xml:space="preserve">.1  </w:t>
      </w:r>
      <w:r>
        <w:rPr>
          <w:rFonts w:hint="eastAsia" w:ascii="宋体" w:hAnsi="宋体" w:eastAsia="宋体" w:cs="宋体"/>
          <w:b/>
          <w:bCs w:val="0"/>
          <w:color w:val="000000"/>
          <w:sz w:val="24"/>
          <w:highlight w:val="none"/>
          <w:lang w:val="en-US" w:eastAsia="zh-CN"/>
        </w:rPr>
        <w:t xml:space="preserve">企业证书（</w:t>
      </w:r>
      <w:r>
        <w:rPr>
          <w:rFonts w:hint="eastAsia" w:ascii="宋体" w:hAnsi="宋体" w:cs="宋体"/>
          <w:b/>
          <w:bCs w:val="0"/>
          <w:color w:val="000000"/>
          <w:sz w:val="24"/>
          <w:highlight w:val="none"/>
          <w:lang w:val="en-US" w:eastAsia="zh-CN"/>
        </w:rPr>
        <w:t xml:space="preserve">3</w:t>
      </w:r>
      <w:r>
        <w:rPr>
          <w:rFonts w:hint="eastAsia" w:ascii="宋体" w:hAnsi="宋体" w:eastAsia="宋体" w:cs="宋体"/>
          <w:b/>
          <w:bCs w:val="0"/>
          <w:color w:val="000000"/>
          <w:sz w:val="24"/>
          <w:highlight w:val="none"/>
          <w:lang w:val="en-US" w:eastAsia="zh-CN"/>
        </w:rPr>
        <w:t xml:space="preserve">分）</w:t>
      </w:r>
      <w:r>
        <w:rPr>
          <w:rFonts w:hint="eastAsia" w:ascii="宋体" w:hAnsi="宋体" w:cs="宋体"/>
          <w:b/>
          <w:bCs w:val="0"/>
          <w:color w:val="000000"/>
          <w:sz w:val="24"/>
          <w:highlight w:val="none"/>
          <w:lang w:val="en-US" w:eastAsia="zh-CN"/>
        </w:rPr>
        <w:t xml:space="preserve">：</w:t>
      </w:r>
      <w:r>
        <w:rPr>
          <w:rFonts w:hint="eastAsia" w:ascii="宋体" w:hAnsi="宋体" w:cs="宋体"/>
          <w:b/>
          <w:bCs w:val="0"/>
          <w:color w:val="000000"/>
          <w:sz w:val="24"/>
          <w:highlight w:val="none"/>
          <w:lang w:val="en-US" w:eastAsia="zh-CN"/>
        </w:rPr>
      </w:r>
      <w:r/>
    </w:p>
    <w:p>
      <w:pPr>
        <w:pStyle w:val="670"/>
        <w:ind w:firstLine="482"/>
        <w:spacing w:line="360" w:lineRule="auto"/>
        <w:tabs>
          <w:tab w:val="left" w:pos="945" w:leader="none"/>
          <w:tab w:val="left" w:pos="1155" w:leader="none"/>
        </w:tabs>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①投标人具有市级及以上公安机关备案的DCIM（数据中心基础设施管理系统）信息系统安全等级保护二级及以上得1.5分。</w:t>
      </w:r>
      <w:r>
        <w:rPr>
          <w:rFonts w:hint="eastAsia" w:ascii="宋体" w:hAnsi="宋体" w:cs="宋体"/>
          <w:b w:val="0"/>
          <w:bCs/>
          <w:color w:val="000000"/>
          <w:sz w:val="24"/>
          <w:highlight w:val="none"/>
          <w:lang w:val="en-US" w:eastAsia="zh-CN"/>
        </w:rPr>
      </w:r>
      <w:r/>
    </w:p>
    <w:p>
      <w:pPr>
        <w:pStyle w:val="670"/>
        <w:ind w:firstLine="482"/>
        <w:spacing w:line="360" w:lineRule="auto"/>
        <w:tabs>
          <w:tab w:val="left" w:pos="945" w:leader="none"/>
          <w:tab w:val="left" w:pos="1155" w:leader="none"/>
        </w:tabs>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②投标人具有市级及以上公安机关备案的视频平台信息系统安全等级保护备案证明二级及以上得1.5分。</w:t>
      </w:r>
      <w:r>
        <w:rPr>
          <w:rFonts w:hint="eastAsia" w:ascii="宋体" w:hAnsi="宋体" w:cs="宋体"/>
          <w:b w:val="0"/>
          <w:bCs/>
          <w:color w:val="000000"/>
          <w:sz w:val="24"/>
          <w:highlight w:val="none"/>
          <w:lang w:val="en-US" w:eastAsia="zh-CN"/>
        </w:rPr>
      </w:r>
      <w:r/>
    </w:p>
    <w:p>
      <w:pPr>
        <w:pStyle w:val="670"/>
        <w:ind w:firstLine="480"/>
        <w:spacing w:line="500" w:lineRule="exact"/>
        <w:rPr>
          <w:rFonts w:hint="eastAsia" w:ascii="宋体" w:hAnsi="宋体"/>
          <w:color w:val="000000"/>
          <w:sz w:val="24"/>
        </w:rPr>
      </w:pPr>
      <w:r>
        <w:rPr>
          <w:rFonts w:hint="eastAsia" w:ascii="宋体" w:hAnsi="宋体" w:eastAsia="宋体" w:cs="宋体"/>
          <w:bCs/>
          <w:color w:val="000000"/>
          <w:sz w:val="24"/>
          <w:highlight w:val="none"/>
        </w:rPr>
        <w:t xml:space="preserve">【提供证书扫描件上传至电子投标文件，未按要求提供或提供不全的不得分】</w:t>
      </w:r>
      <w:r>
        <w:rPr>
          <w:rFonts w:hint="eastAsia" w:ascii="宋体" w:hAnsi="宋体"/>
          <w:color w:val="000000"/>
          <w:sz w:val="24"/>
        </w:rPr>
      </w:r>
      <w:r/>
    </w:p>
    <w:p>
      <w:pPr>
        <w:pStyle w:val="670"/>
        <w:ind w:firstLine="482"/>
        <w:spacing w:line="360" w:lineRule="auto"/>
        <w:tabs>
          <w:tab w:val="left" w:pos="945" w:leader="none"/>
          <w:tab w:val="left" w:pos="1155" w:leader="none"/>
        </w:tabs>
        <w:rPr>
          <w:rFonts w:hint="eastAsia" w:ascii="宋体" w:hAnsi="宋体" w:eastAsia="宋体" w:cs="宋体"/>
          <w:b/>
          <w:bCs w:val="0"/>
          <w:color w:val="000000"/>
          <w:sz w:val="24"/>
          <w:highlight w:val="none"/>
        </w:rPr>
      </w:pPr>
      <w:r>
        <w:rPr>
          <w:rFonts w:hint="eastAsia" w:ascii="宋体" w:hAnsi="宋体"/>
          <w:color w:val="000000"/>
          <w:sz w:val="24"/>
          <w:lang w:val="en-US" w:eastAsia="zh-CN"/>
        </w:rPr>
        <w:t xml:space="preserve">2</w:t>
      </w:r>
      <w:r>
        <w:rPr>
          <w:rFonts w:hint="eastAsia" w:ascii="宋体" w:hAnsi="宋体"/>
          <w:color w:val="000000"/>
          <w:sz w:val="24"/>
        </w:rPr>
        <w:t xml:space="preserve">.2  </w:t>
      </w:r>
      <w:r>
        <w:rPr>
          <w:rFonts w:hint="eastAsia" w:ascii="宋体" w:hAnsi="宋体" w:eastAsia="宋体" w:cs="宋体"/>
          <w:b/>
          <w:bCs w:val="0"/>
          <w:color w:val="000000"/>
          <w:sz w:val="24"/>
          <w:highlight w:val="none"/>
        </w:rPr>
        <w:t xml:space="preserve">人员配备（</w:t>
      </w:r>
      <w:r>
        <w:rPr>
          <w:rFonts w:hint="eastAsia" w:ascii="宋体" w:hAnsi="宋体" w:cs="宋体"/>
          <w:b/>
          <w:bCs w:val="0"/>
          <w:color w:val="000000"/>
          <w:sz w:val="24"/>
          <w:highlight w:val="none"/>
          <w:lang w:val="en-US" w:eastAsia="zh-CN"/>
        </w:rPr>
        <w:t xml:space="preserve">10</w:t>
      </w:r>
      <w:r>
        <w:rPr>
          <w:rFonts w:hint="eastAsia" w:ascii="宋体" w:hAnsi="宋体" w:eastAsia="宋体" w:cs="宋体"/>
          <w:b/>
          <w:bCs w:val="0"/>
          <w:color w:val="000000"/>
          <w:sz w:val="24"/>
          <w:highlight w:val="none"/>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eastAsia="宋体" w:cs="宋体"/>
          <w:b/>
          <w:bCs w:val="0"/>
          <w:color w:val="000000"/>
          <w:sz w:val="24"/>
          <w:highlight w:val="none"/>
        </w:rPr>
      </w:r>
      <w:r/>
    </w:p>
    <w:p>
      <w:pPr>
        <w:pStyle w:val="670"/>
        <w:ind w:firstLine="482"/>
        <w:spacing w:line="360" w:lineRule="auto"/>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cs="宋体"/>
          <w:b/>
          <w:bCs w:val="0"/>
          <w:color w:val="000000"/>
          <w:sz w:val="24"/>
          <w:highlight w:val="none"/>
          <w:lang w:val="en-US" w:eastAsia="zh-CN"/>
        </w:rPr>
        <w:t xml:space="preserve">①项目经理（4分）：</w:t>
      </w:r>
      <w:r>
        <w:rPr>
          <w:rFonts w:hint="eastAsia" w:ascii="宋体" w:hAnsi="宋体" w:eastAsia="宋体" w:cs="宋体"/>
          <w:b w:val="0"/>
          <w:bCs/>
          <w:color w:val="000000"/>
          <w:sz w:val="24"/>
          <w:highlight w:val="none"/>
        </w:rPr>
        <w:t xml:space="preserve">投标人为本项目配备1名</w:t>
      </w:r>
      <w:r>
        <w:rPr>
          <w:rFonts w:hint="eastAsia" w:ascii="宋体" w:hAnsi="宋体" w:eastAsia="宋体" w:cs="宋体"/>
          <w:b w:val="0"/>
          <w:bCs/>
          <w:color w:val="000000"/>
          <w:sz w:val="24"/>
          <w:highlight w:val="none"/>
          <w:lang w:eastAsia="zh-CN"/>
        </w:rPr>
        <w:t xml:space="preserve">项目经理</w:t>
      </w:r>
      <w:r>
        <w:rPr>
          <w:rFonts w:hint="eastAsia" w:ascii="宋体" w:hAnsi="宋体" w:eastAsia="宋体" w:cs="宋体"/>
          <w:b w:val="0"/>
          <w:bCs/>
          <w:color w:val="000000"/>
          <w:sz w:val="24"/>
          <w:highlight w:val="none"/>
        </w:rPr>
        <w:t xml:space="preserve">，该</w:t>
      </w:r>
      <w:r>
        <w:rPr>
          <w:rFonts w:hint="eastAsia" w:ascii="宋体" w:hAnsi="宋体" w:eastAsia="宋体" w:cs="宋体"/>
          <w:b w:val="0"/>
          <w:bCs/>
          <w:color w:val="000000"/>
          <w:sz w:val="24"/>
          <w:highlight w:val="none"/>
          <w:lang w:eastAsia="zh-CN"/>
        </w:rPr>
        <w:t xml:space="preserve">项目经理</w:t>
      </w:r>
      <w:r>
        <w:rPr>
          <w:rFonts w:hint="eastAsia" w:ascii="宋体" w:hAnsi="宋体" w:eastAsia="宋体" w:cs="宋体"/>
          <w:b w:val="0"/>
          <w:bCs/>
          <w:color w:val="000000"/>
          <w:sz w:val="24"/>
          <w:highlight w:val="none"/>
        </w:rPr>
        <w:t xml:space="preserve">具有信息系统项目管理师</w:t>
      </w:r>
      <w:r>
        <w:rPr>
          <w:rFonts w:hint="eastAsia" w:ascii="宋体" w:hAnsi="宋体" w:eastAsia="宋体" w:cs="宋体"/>
          <w:b w:val="0"/>
          <w:bCs/>
          <w:color w:val="000000"/>
          <w:sz w:val="24"/>
          <w:highlight w:val="none"/>
          <w:lang w:eastAsia="zh-CN"/>
        </w:rPr>
        <w:t xml:space="preserve">（高级）</w:t>
      </w:r>
      <w:r>
        <w:rPr>
          <w:rFonts w:hint="eastAsia" w:ascii="宋体" w:hAnsi="宋体" w:eastAsia="宋体" w:cs="宋体"/>
          <w:b w:val="0"/>
          <w:bCs/>
          <w:color w:val="000000"/>
          <w:sz w:val="24"/>
          <w:highlight w:val="none"/>
        </w:rPr>
        <w:t xml:space="preserve">、系统规划与管理师</w:t>
      </w:r>
      <w:r>
        <w:rPr>
          <w:rFonts w:hint="eastAsia" w:ascii="宋体" w:hAnsi="宋体" w:eastAsia="宋体" w:cs="宋体"/>
          <w:b w:val="0"/>
          <w:bCs/>
          <w:color w:val="000000"/>
          <w:sz w:val="24"/>
          <w:highlight w:val="none"/>
          <w:lang w:eastAsia="zh-CN"/>
        </w:rPr>
        <w:t xml:space="preserve">（高级）</w:t>
      </w:r>
      <w:r>
        <w:rPr>
          <w:rFonts w:hint="eastAsia" w:ascii="宋体" w:hAnsi="宋体" w:eastAsia="宋体" w:cs="宋体"/>
          <w:b w:val="0"/>
          <w:bCs/>
          <w:color w:val="000000"/>
          <w:sz w:val="24"/>
          <w:highlight w:val="none"/>
        </w:rPr>
        <w:t xml:space="preserve">、网络工程师、ITSS服务项目经理证书，每提供一个证书得1分，本项最高4分</w:t>
      </w:r>
      <w:r>
        <w:rPr>
          <w:rFonts w:hint="eastAsia" w:ascii="宋体" w:hAnsi="宋体" w:eastAsia="宋体" w:cs="宋体"/>
          <w:bCs/>
          <w:color w:val="000000"/>
          <w:sz w:val="24"/>
          <w:highlight w:val="none"/>
        </w:rPr>
        <w:t xml:space="preserve">。【</w:t>
      </w:r>
      <w:r>
        <w:rPr>
          <w:rFonts w:hint="eastAsia" w:ascii="宋体" w:hAnsi="宋体" w:eastAsia="宋体" w:cs="宋体"/>
          <w:b w:val="0"/>
          <w:bCs/>
          <w:color w:val="000000"/>
          <w:sz w:val="24"/>
          <w:highlight w:val="none"/>
        </w:rPr>
        <w:t xml:space="preserve">提供以上有效证书扫描件</w:t>
      </w:r>
      <w:r>
        <w:rPr>
          <w:rFonts w:hint="eastAsia" w:ascii="宋体" w:hAnsi="宋体" w:eastAsia="宋体" w:cs="宋体"/>
          <w:bCs/>
          <w:color w:val="000000"/>
          <w:sz w:val="24"/>
          <w:highlight w:val="none"/>
          <w:lang w:val="en-US" w:eastAsia="zh-CN"/>
        </w:rPr>
        <w:t xml:space="preserve">、投标人缴纳近一年中任意一个月份（不含投标当月）为其缴纳社保的证明上传至电子投标文件</w:t>
      </w:r>
      <w:r>
        <w:rPr>
          <w:rFonts w:hint="eastAsia" w:ascii="宋体" w:hAnsi="宋体" w:eastAsia="宋体" w:cs="宋体"/>
          <w:bCs/>
          <w:color w:val="000000"/>
          <w:sz w:val="24"/>
          <w:highlight w:val="none"/>
        </w:rPr>
        <w:t xml:space="preserve">，未按要求提供不得分】</w:t>
      </w:r>
      <w:r>
        <w:rPr>
          <w:rFonts w:hint="eastAsia" w:ascii="宋体" w:hAnsi="宋体" w:eastAsia="宋体" w:cs="宋体"/>
          <w:bCs/>
          <w:color w:val="000000"/>
          <w:sz w:val="24"/>
          <w:highlight w:val="none"/>
        </w:rPr>
      </w:r>
      <w:r/>
    </w:p>
    <w:p>
      <w:pPr>
        <w:pStyle w:val="670"/>
        <w:ind w:firstLine="482"/>
        <w:spacing w:line="360" w:lineRule="auto"/>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cs="宋体"/>
          <w:b/>
          <w:bCs w:val="0"/>
          <w:color w:val="000000"/>
          <w:sz w:val="24"/>
          <w:highlight w:val="none"/>
          <w:lang w:val="en-US" w:eastAsia="zh-CN"/>
        </w:rPr>
        <w:t xml:space="preserve">②技术负责人（2分）：</w:t>
      </w:r>
      <w:r>
        <w:rPr>
          <w:rFonts w:hint="eastAsia" w:ascii="宋体" w:hAnsi="宋体" w:cs="宋体"/>
          <w:bCs/>
          <w:color w:val="000000"/>
          <w:sz w:val="24"/>
          <w:highlight w:val="none"/>
          <w:lang w:val="en-US" w:eastAsia="zh-CN"/>
        </w:rPr>
        <w:t xml:space="preserve">投标人为本项目配备一名技术负责人（与项目经理不能是同一人），该技术负责人具有系统分析师（高级）、系统架构设计师（高级），每提供一个证书得1分，本项最高2分。</w:t>
      </w:r>
      <w:r>
        <w:rPr>
          <w:rFonts w:hint="eastAsia" w:ascii="宋体" w:hAnsi="宋体" w:eastAsia="宋体" w:cs="宋体"/>
          <w:bCs/>
          <w:color w:val="000000"/>
          <w:sz w:val="24"/>
          <w:highlight w:val="none"/>
        </w:rPr>
        <w:t xml:space="preserve">【</w:t>
      </w:r>
      <w:r>
        <w:rPr>
          <w:rFonts w:hint="eastAsia" w:ascii="宋体" w:hAnsi="宋体" w:eastAsia="宋体" w:cs="宋体"/>
          <w:b w:val="0"/>
          <w:bCs/>
          <w:color w:val="000000"/>
          <w:sz w:val="24"/>
          <w:highlight w:val="none"/>
        </w:rPr>
        <w:t xml:space="preserve">提供以上有效证书扫描件</w:t>
      </w:r>
      <w:r>
        <w:rPr>
          <w:rFonts w:hint="eastAsia" w:ascii="宋体" w:hAnsi="宋体" w:eastAsia="宋体" w:cs="宋体"/>
          <w:bCs/>
          <w:color w:val="000000"/>
          <w:sz w:val="24"/>
          <w:highlight w:val="none"/>
          <w:lang w:val="en-US" w:eastAsia="zh-CN"/>
        </w:rPr>
        <w:t xml:space="preserve">、投标人缴纳近一年中任意一个月份（不含投标当月）为其缴纳社保的证明上传至电子投标文件</w:t>
      </w:r>
      <w:r>
        <w:rPr>
          <w:rFonts w:hint="eastAsia" w:ascii="宋体" w:hAnsi="宋体" w:eastAsia="宋体" w:cs="宋体"/>
          <w:bCs/>
          <w:color w:val="000000"/>
          <w:sz w:val="24"/>
          <w:highlight w:val="none"/>
        </w:rPr>
        <w:t xml:space="preserve">，未按要求提供不得分】</w:t>
      </w:r>
      <w:r>
        <w:rPr>
          <w:rFonts w:hint="eastAsia" w:ascii="宋体" w:hAnsi="宋体" w:eastAsia="宋体" w:cs="宋体"/>
          <w:bCs/>
          <w:color w:val="000000"/>
          <w:sz w:val="24"/>
          <w:highlight w:val="none"/>
        </w:rPr>
      </w:r>
      <w:r/>
    </w:p>
    <w:p>
      <w:pPr>
        <w:pStyle w:val="670"/>
        <w:ind w:firstLine="482"/>
        <w:spacing w:line="360" w:lineRule="auto"/>
        <w:tabs>
          <w:tab w:val="left" w:pos="945" w:leader="none"/>
          <w:tab w:val="left" w:pos="1155" w:leader="none"/>
        </w:tabs>
        <w:rPr>
          <w:rFonts w:hint="eastAsia" w:ascii="宋体" w:hAnsi="宋体" w:cs="宋体"/>
          <w:bCs/>
          <w:color w:val="000000"/>
          <w:sz w:val="24"/>
          <w:highlight w:val="none"/>
          <w:lang w:val="en-US" w:eastAsia="zh-CN"/>
        </w:rPr>
      </w:pPr>
      <w:r>
        <w:rPr>
          <w:rFonts w:hint="eastAsia" w:ascii="宋体" w:hAnsi="宋体" w:cs="宋体"/>
          <w:b/>
          <w:bCs w:val="0"/>
          <w:color w:val="000000"/>
          <w:sz w:val="24"/>
          <w:highlight w:val="none"/>
          <w:lang w:val="en-US" w:eastAsia="zh-CN"/>
        </w:rPr>
        <w:t xml:space="preserve">③项目网络安全负责人（2分）：</w:t>
      </w:r>
      <w:r>
        <w:rPr>
          <w:rFonts w:hint="eastAsia" w:ascii="宋体" w:hAnsi="宋体" w:cs="宋体"/>
          <w:bCs/>
          <w:color w:val="000000"/>
          <w:sz w:val="24"/>
          <w:highlight w:val="none"/>
          <w:lang w:val="en-US" w:eastAsia="zh-CN"/>
        </w:rPr>
        <w:t xml:space="preserve">投标人为本项目配备一名网络安全负责人（与项目经理、项目技术负责人不能是同一人），该技术负责人具有该网络安全负责人具有注册信息安全专业人员（注册信息安全工程师CISP-CISE）、CISAW信息安全保障人员证书，每提供一个证书得1分，本项最高2分。【提供以上有效证书扫描件、投标人缴纳近一年中任意一个月份（不含投标当月）为其缴纳社保的证明上传至电子投标文件，未按要求提供不得分】</w:t>
      </w:r>
      <w:r>
        <w:rPr>
          <w:rFonts w:hint="eastAsia" w:ascii="宋体" w:hAnsi="宋体" w:cs="宋体"/>
          <w:bCs/>
          <w:color w:val="000000"/>
          <w:sz w:val="24"/>
          <w:highlight w:val="none"/>
          <w:lang w:val="en-US" w:eastAsia="zh-CN"/>
        </w:rPr>
      </w:r>
      <w:r/>
    </w:p>
    <w:p>
      <w:pPr>
        <w:pStyle w:val="670"/>
        <w:ind w:firstLine="482"/>
        <w:spacing w:line="360" w:lineRule="auto"/>
        <w:tabs>
          <w:tab w:val="left" w:pos="945" w:leader="none"/>
          <w:tab w:val="left" w:pos="1155" w:leader="none"/>
        </w:tabs>
        <w:rPr>
          <w:rFonts w:hint="eastAsia" w:ascii="宋体" w:hAnsi="宋体" w:cs="宋体"/>
          <w:bCs/>
          <w:color w:val="000000"/>
          <w:sz w:val="24"/>
          <w:highlight w:val="none"/>
          <w:lang w:val="en-US" w:eastAsia="zh-CN"/>
        </w:rPr>
      </w:pPr>
      <w:r>
        <w:rPr>
          <w:rFonts w:hint="eastAsia" w:ascii="宋体" w:hAnsi="宋体" w:cs="宋体"/>
          <w:b/>
          <w:bCs w:val="0"/>
          <w:color w:val="000000"/>
          <w:sz w:val="24"/>
          <w:highlight w:val="none"/>
          <w:lang w:val="en-US" w:eastAsia="zh-CN"/>
        </w:rPr>
        <w:t xml:space="preserve">④项目组成员（除项目经理、技术负责人、网络安全负责人外）（2分）：</w:t>
      </w:r>
      <w:r>
        <w:rPr>
          <w:rFonts w:hint="eastAsia" w:ascii="宋体" w:hAnsi="宋体" w:cs="宋体"/>
          <w:bCs/>
          <w:color w:val="000000"/>
          <w:sz w:val="24"/>
          <w:highlight w:val="none"/>
          <w:lang w:val="en-US" w:eastAsia="zh-CN"/>
        </w:rPr>
        <w:t xml:space="preserve"> 具有网络工程师证书、ITSS认证的IT服务工程师证书，每提供一个证书得1分，本项最高2分。【一人多证不重复得分，提供以上有效证书扫描件、投标人缴纳近一年中任意一个月份（不含投标当月）为其缴纳社保的证明上传至电子投标文件，未按要求提供不得分】</w:t>
      </w:r>
      <w:r>
        <w:rPr>
          <w:rFonts w:hint="eastAsia" w:ascii="宋体" w:hAnsi="宋体" w:cs="宋体"/>
          <w:bCs/>
          <w:color w:val="000000"/>
          <w:sz w:val="24"/>
          <w:highlight w:val="none"/>
          <w:lang w:val="en-US" w:eastAsia="zh-CN"/>
        </w:rPr>
      </w:r>
      <w:r/>
    </w:p>
    <w:p>
      <w:pPr>
        <w:pStyle w:val="670"/>
        <w:ind w:firstLine="482"/>
        <w:spacing w:line="360" w:lineRule="auto"/>
        <w:tabs>
          <w:tab w:val="left" w:pos="945" w:leader="none"/>
          <w:tab w:val="left" w:pos="1155" w:leader="none"/>
        </w:tabs>
        <w:rPr>
          <w:rFonts w:ascii="宋体" w:hAnsi="宋体" w:cs="宋体"/>
          <w:b w:val="0"/>
          <w:bCs/>
          <w:color w:val="000000"/>
          <w:sz w:val="24"/>
          <w:highlight w:val="none"/>
          <w:lang w:val="en-US" w:eastAsia="zh-CN"/>
        </w:rPr>
      </w:pPr>
      <w:r>
        <w:rPr>
          <w:rFonts w:hint="eastAsia" w:ascii="宋体" w:hAnsi="宋体" w:cs="宋体"/>
          <w:bCs/>
          <w:color w:val="000000"/>
          <w:sz w:val="24"/>
          <w:highlight w:val="none"/>
          <w:lang w:val="en-US" w:eastAsia="zh-CN"/>
        </w:rPr>
        <w:t xml:space="preserve">2.3</w:t>
      </w:r>
      <w:r>
        <w:rPr>
          <w:rFonts w:hint="eastAsia" w:ascii="宋体" w:hAnsi="宋体" w:cs="宋体"/>
          <w:b/>
          <w:bCs w:val="0"/>
          <w:color w:val="000000"/>
          <w:sz w:val="24"/>
          <w:highlight w:val="none"/>
          <w:lang w:val="en-US" w:eastAsia="zh-CN"/>
        </w:rPr>
        <w:t xml:space="preserve">检测报告</w:t>
      </w:r>
      <w:r>
        <w:rPr>
          <w:rFonts w:hint="eastAsia" w:ascii="宋体" w:hAnsi="宋体" w:eastAsia="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12</w:t>
      </w:r>
      <w:r>
        <w:rPr>
          <w:rFonts w:hint="eastAsia" w:ascii="宋体" w:hAnsi="宋体" w:eastAsia="宋体" w:cs="宋体"/>
          <w:b/>
          <w:bCs w:val="0"/>
          <w:color w:val="000000"/>
          <w:sz w:val="24"/>
          <w:highlight w:val="none"/>
        </w:rPr>
        <w:t xml:space="preserve">分）：</w:t>
      </w:r>
      <w:r>
        <w:rPr>
          <w:rFonts w:hint="eastAsia" w:ascii="宋体" w:hAnsi="宋体" w:cs="宋体"/>
          <w:b w:val="0"/>
          <w:bCs/>
          <w:color w:val="000000"/>
          <w:sz w:val="24"/>
          <w:highlight w:val="none"/>
          <w:lang w:val="en-US" w:eastAsia="zh-CN"/>
        </w:rPr>
        <w:t xml:space="preserve">以下内容</w:t>
      </w:r>
      <w:r>
        <w:rPr>
          <w:rFonts w:hint="eastAsia" w:ascii="宋体" w:hAnsi="宋体" w:eastAsia="宋体" w:cs="宋体"/>
          <w:b w:val="0"/>
          <w:bCs/>
          <w:color w:val="000000"/>
          <w:sz w:val="24"/>
          <w:highlight w:val="none"/>
        </w:rPr>
        <w:t xml:space="preserve">每满足1项得</w:t>
      </w:r>
      <w:r>
        <w:rPr>
          <w:rFonts w:hint="eastAsia" w:ascii="宋体" w:hAnsi="宋体" w:cs="宋体"/>
          <w:b w:val="0"/>
          <w:bCs/>
          <w:color w:val="000000"/>
          <w:sz w:val="24"/>
          <w:highlight w:val="none"/>
          <w:lang w:val="en-US" w:eastAsia="zh-CN"/>
        </w:rPr>
        <w:t xml:space="preserve">2</w:t>
      </w:r>
      <w:r>
        <w:rPr>
          <w:rFonts w:hint="eastAsia" w:ascii="宋体" w:hAnsi="宋体" w:eastAsia="宋体" w:cs="宋体"/>
          <w:b w:val="0"/>
          <w:bCs/>
          <w:color w:val="000000"/>
          <w:sz w:val="24"/>
          <w:highlight w:val="none"/>
        </w:rPr>
        <w:t xml:space="preserve">分，最高得</w:t>
      </w:r>
      <w:r>
        <w:rPr>
          <w:rFonts w:hint="eastAsia" w:ascii="宋体" w:hAnsi="宋体" w:cs="宋体"/>
          <w:b w:val="0"/>
          <w:bCs/>
          <w:color w:val="000000"/>
          <w:sz w:val="24"/>
          <w:highlight w:val="none"/>
          <w:lang w:val="en-US" w:eastAsia="zh-CN"/>
        </w:rPr>
        <w:t xml:space="preserve">12</w:t>
      </w:r>
      <w:r>
        <w:rPr>
          <w:rFonts w:hint="eastAsia" w:ascii="宋体" w:hAnsi="宋体" w:eastAsia="宋体" w:cs="宋体"/>
          <w:b w:val="0"/>
          <w:bCs/>
          <w:color w:val="000000"/>
          <w:sz w:val="24"/>
          <w:highlight w:val="none"/>
        </w:rPr>
        <w:t xml:space="preserve">分</w:t>
      </w:r>
      <w:r>
        <w:rPr>
          <w:rFonts w:hint="eastAsia" w:ascii="宋体" w:hAnsi="宋体" w:cs="宋体"/>
          <w:b w:val="0"/>
          <w:bCs/>
          <w:color w:val="000000"/>
          <w:sz w:val="24"/>
          <w:highlight w:val="none"/>
          <w:lang w:eastAsia="zh-CN"/>
        </w:rPr>
        <w:t xml:space="preserve">。</w:t>
      </w:r>
      <w:r>
        <w:rPr>
          <w:rFonts w:ascii="宋体" w:hAnsi="宋体" w:cs="宋体"/>
          <w:b w:val="0"/>
          <w:bCs/>
          <w:color w:val="000000"/>
          <w:sz w:val="24"/>
          <w:highlight w:val="none"/>
          <w:lang w:val="en-US" w:eastAsia="zh-CN"/>
        </w:rPr>
        <w:t xml:space="preserve">提供CMA或CNAS标识的检测报告扫描件并加盖</w:t>
      </w:r>
      <w:r>
        <w:rPr>
          <w:rFonts w:hint="eastAsia" w:ascii="宋体" w:hAnsi="宋体" w:cs="宋体"/>
          <w:b w:val="0"/>
          <w:bCs/>
          <w:color w:val="000000"/>
          <w:sz w:val="24"/>
          <w:highlight w:val="none"/>
          <w:lang w:val="en-US" w:eastAsia="zh-CN"/>
        </w:rPr>
        <w:t xml:space="preserve">原厂</w:t>
      </w:r>
      <w:r>
        <w:rPr>
          <w:rFonts w:ascii="宋体" w:hAnsi="宋体" w:cs="宋体"/>
          <w:b w:val="0"/>
          <w:bCs/>
          <w:color w:val="000000"/>
          <w:sz w:val="24"/>
          <w:highlight w:val="none"/>
          <w:lang w:val="en-US" w:eastAsia="zh-CN"/>
        </w:rPr>
        <w:t xml:space="preserve">公章</w:t>
      </w:r>
      <w:r>
        <w:rPr>
          <w:rFonts w:hint="eastAsia" w:ascii="宋体" w:hAnsi="宋体" w:cs="宋体"/>
          <w:b w:val="0"/>
          <w:bCs/>
          <w:color w:val="000000"/>
          <w:sz w:val="24"/>
          <w:highlight w:val="none"/>
          <w:lang w:val="en-US" w:eastAsia="zh-CN"/>
        </w:rPr>
        <w:t xml:space="preserve">，否则不得分。</w:t>
      </w:r>
      <w:r>
        <w:rPr>
          <w:rFonts w:ascii="宋体" w:hAnsi="宋体" w:cs="宋体"/>
          <w:b w:val="0"/>
          <w:bCs/>
          <w:color w:val="000000"/>
          <w:sz w:val="24"/>
          <w:highlight w:val="none"/>
          <w:lang w:val="en-US" w:eastAsia="zh-CN"/>
        </w:rPr>
        <w:t xml:space="preserve">（检测报告须清晰且完整含封底及封面，检测报告不完整视作无效）</w:t>
      </w:r>
      <w:r>
        <w:rPr>
          <w:rFonts w:ascii="宋体" w:hAnsi="宋体" w:cs="宋体"/>
          <w:b w:val="0"/>
          <w:bCs/>
          <w:color w:val="000000"/>
          <w:sz w:val="24"/>
          <w:highlight w:val="none"/>
          <w:lang w:val="en-US" w:eastAsia="zh-CN"/>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696"/>
        <w:gridCol w:w="7145"/>
      </w:tblGrid>
      <w:tr>
        <w:trPr>
          <w:trHeight w:val="285"/>
        </w:trPr>
        <w:tc>
          <w:tcPr>
            <w:tcW w:w="696" w:type="dxa"/>
            <w:vAlign w:val="center"/>
            <w:textDirection w:val="lrTb"/>
            <w:noWrap/>
          </w:tcPr>
          <w:p>
            <w:pPr>
              <w:pStyle w:val="67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1696" w:type="dxa"/>
            <w:vAlign w:val="center"/>
            <w:textDirection w:val="lrTb"/>
            <w:noWrap/>
          </w:tcPr>
          <w:p>
            <w:pPr>
              <w:pStyle w:val="67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rPr>
                <w:rFonts w:hint="eastAsia" w:ascii="宋体" w:hAnsi="宋体" w:eastAsia="宋体" w:cs="宋体"/>
                <w:i w:val="0"/>
                <w:iCs w:val="0"/>
                <w:color w:val="000000"/>
                <w:sz w:val="24"/>
                <w:szCs w:val="24"/>
                <w:u w:val="none"/>
              </w:rPr>
            </w:r>
            <w:r/>
          </w:p>
        </w:tc>
        <w:tc>
          <w:tcPr>
            <w:tcW w:w="7145" w:type="dxa"/>
            <w:vAlign w:val="center"/>
            <w:textDirection w:val="lrTb"/>
            <w:noWrap w:val="false"/>
          </w:tcPr>
          <w:p>
            <w:pPr>
              <w:pStyle w:val="67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采购要求</w:t>
            </w:r>
            <w:r>
              <w:rPr>
                <w:rFonts w:hint="eastAsia" w:ascii="宋体" w:hAnsi="宋体" w:eastAsia="宋体" w:cs="宋体"/>
                <w:i w:val="0"/>
                <w:iCs w:val="0"/>
                <w:color w:val="000000"/>
                <w:sz w:val="24"/>
                <w:szCs w:val="24"/>
                <w:u w:val="none"/>
              </w:rPr>
            </w:r>
            <w:r/>
          </w:p>
        </w:tc>
      </w:tr>
      <w:tr>
        <w:trPr>
          <w:trHeight w:val="1140"/>
        </w:trPr>
        <w:tc>
          <w:tcPr>
            <w:tcW w:w="696" w:type="dxa"/>
            <w:vAlign w:val="center"/>
            <w:textDirection w:val="lrTb"/>
            <w:noWrap/>
          </w:tcPr>
          <w:p>
            <w:pPr>
              <w:pStyle w:val="67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696" w:type="dxa"/>
            <w:vAlign w:val="center"/>
            <w:textDirection w:val="lrTb"/>
            <w:noWrap/>
          </w:tcPr>
          <w:p>
            <w:pPr>
              <w:pStyle w:val="67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视频汇聚平台软件（融合赋能节点）</w:t>
            </w:r>
            <w:r>
              <w:rPr>
                <w:rFonts w:hint="eastAsia" w:ascii="宋体" w:hAnsi="宋体" w:eastAsia="宋体" w:cs="宋体"/>
                <w:i w:val="0"/>
                <w:iCs w:val="0"/>
                <w:color w:val="000000"/>
                <w:sz w:val="24"/>
                <w:szCs w:val="24"/>
                <w:u w:val="none"/>
              </w:rPr>
            </w:r>
            <w:r/>
          </w:p>
        </w:tc>
        <w:tc>
          <w:tcPr>
            <w:tcW w:w="7145"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查看自定义基础资源目录的资源挂载情况，支持查看点位挂载的成功数量、失败数量和总数量；查看自定义基础资源目录挂载失败的点位列表，包括视频点位名称、视频点位编码、行业、原始基础目录路径、挂载失败原因；支持手动批量挂载自动挂载失败的点位到自定义基础资源目录。</w:t>
            </w:r>
            <w:r>
              <w:rPr>
                <w:rFonts w:hint="eastAsia" w:ascii="宋体" w:hAnsi="宋体" w:eastAsia="宋体" w:cs="宋体"/>
                <w:i w:val="0"/>
                <w:iCs w:val="0"/>
                <w:color w:val="000000"/>
                <w:sz w:val="24"/>
                <w:szCs w:val="24"/>
                <w:u w:val="none"/>
              </w:rPr>
            </w:r>
            <w:r/>
          </w:p>
        </w:tc>
      </w:tr>
      <w:tr>
        <w:trPr>
          <w:trHeight w:val="1140"/>
        </w:trPr>
        <w:tc>
          <w:tcPr>
            <w:tcW w:w="696" w:type="dxa"/>
            <w:vAlign w:val="center"/>
            <w:textDirection w:val="lrTb"/>
            <w:noWrap/>
          </w:tcPr>
          <w:p>
            <w:pPr>
              <w:pStyle w:val="67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696" w:type="dxa"/>
            <w:vAlign w:val="center"/>
            <w:vMerge w:val="restart"/>
            <w:textDirection w:val="lrTb"/>
            <w:noWrap/>
          </w:tcPr>
          <w:p>
            <w:pPr>
              <w:pStyle w:val="67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视频资产管理软件（一体化运维服务平台）</w:t>
            </w:r>
            <w:r>
              <w:rPr>
                <w:rFonts w:hint="eastAsia" w:ascii="宋体" w:hAnsi="宋体" w:eastAsia="宋体" w:cs="宋体"/>
                <w:i w:val="0"/>
                <w:iCs w:val="0"/>
                <w:color w:val="000000"/>
                <w:sz w:val="24"/>
                <w:szCs w:val="24"/>
                <w:u w:val="none"/>
              </w:rPr>
            </w:r>
            <w:r/>
          </w:p>
        </w:tc>
        <w:tc>
          <w:tcPr>
            <w:tcW w:w="7145"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查看视频联网平台媒体调度情况，可展示当前路数、24小时成功率等关键信息。支持以饼状图形式展示联网资源汇聚点位的编码规范率、码流规范率、经纬度规范率信息；支持统计展示下级平台离线总时长、离线次数、在线率、最近离线时间等信息；</w:t>
            </w:r>
            <w:r>
              <w:rPr>
                <w:rFonts w:hint="eastAsia" w:ascii="宋体" w:hAnsi="宋体" w:eastAsia="宋体" w:cs="宋体"/>
                <w:i w:val="0"/>
                <w:iCs w:val="0"/>
                <w:color w:val="000000"/>
                <w:sz w:val="24"/>
                <w:szCs w:val="24"/>
                <w:u w:val="none"/>
              </w:rPr>
            </w:r>
            <w:r/>
          </w:p>
        </w:tc>
      </w:tr>
      <w:tr>
        <w:trPr>
          <w:trHeight w:val="1425"/>
        </w:trPr>
        <w:tc>
          <w:tcPr>
            <w:tcW w:w="696" w:type="dxa"/>
            <w:vAlign w:val="center"/>
            <w:textDirection w:val="lrTb"/>
            <w:noWrap/>
          </w:tcPr>
          <w:p>
            <w:pPr>
              <w:pStyle w:val="67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696" w:type="dxa"/>
            <w:vAlign w:val="center"/>
            <w:vMerge w:val="continue"/>
            <w:textDirection w:val="lrTb"/>
            <w:noWrap/>
          </w:tcPr>
          <w:p>
            <w:pPr>
              <w:pStyle w:val="67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145"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支持对设备编码规则进行实时正确性校验，校验内容包括：编码是否空缺、 GB/T 28181、设备编码规则是否不符合规范;支持对设备名称进行实时正确性校验，校验内容包括：名称是否空缺、名称是否为非汉字；支持对设备经纬度进行实时正确性校验，校验内容包括：经纬度是否空缺、 经纬度是否不在辖区、经纬度精度是否过低；</w:t>
            </w:r>
            <w:r>
              <w:rPr>
                <w:rFonts w:hint="eastAsia" w:ascii="宋体" w:hAnsi="宋体" w:eastAsia="宋体" w:cs="宋体"/>
                <w:i w:val="0"/>
                <w:iCs w:val="0"/>
                <w:color w:val="000000"/>
                <w:sz w:val="24"/>
                <w:szCs w:val="24"/>
                <w:u w:val="none"/>
              </w:rPr>
            </w:r>
            <w:r/>
          </w:p>
        </w:tc>
      </w:tr>
      <w:tr>
        <w:trPr>
          <w:trHeight w:val="1425"/>
        </w:trPr>
        <w:tc>
          <w:tcPr>
            <w:tcW w:w="696" w:type="dxa"/>
            <w:vAlign w:val="center"/>
            <w:textDirection w:val="lrTb"/>
            <w:noWrap/>
          </w:tcPr>
          <w:p>
            <w:pPr>
              <w:pStyle w:val="67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696" w:type="dxa"/>
            <w:vAlign w:val="center"/>
            <w:vMerge w:val="continue"/>
            <w:textDirection w:val="lrTb"/>
            <w:noWrap/>
          </w:tcPr>
          <w:p>
            <w:pPr>
              <w:pStyle w:val="67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145"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项目创建、编辑、删除，其中项目创建填写信息包括项目名称、项目编号、报建资产数、项目阶段、项目开始和验收时间、中标金额、项目介绍、中标单位、承建单位、监理单位、运营商、维保单位、项目资产以及项目材料等信息；支持提供维保单位关系拓扑图，包括项目名称、维保单位、中标单位、承建单位，并支持维保单位的续约和更换。</w:t>
            </w:r>
            <w:r>
              <w:rPr>
                <w:rFonts w:hint="eastAsia" w:ascii="宋体" w:hAnsi="宋体" w:eastAsia="宋体" w:cs="宋体"/>
                <w:i w:val="0"/>
                <w:iCs w:val="0"/>
                <w:color w:val="000000"/>
                <w:sz w:val="24"/>
                <w:szCs w:val="24"/>
                <w:u w:val="none"/>
              </w:rPr>
            </w:r>
            <w:r/>
          </w:p>
        </w:tc>
      </w:tr>
      <w:tr>
        <w:trPr>
          <w:trHeight w:val="1710"/>
        </w:trPr>
        <w:tc>
          <w:tcPr>
            <w:tcW w:w="696" w:type="dxa"/>
            <w:vAlign w:val="center"/>
            <w:textDirection w:val="lrTb"/>
            <w:noWrap/>
          </w:tcPr>
          <w:p>
            <w:pPr>
              <w:pStyle w:val="67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696" w:type="dxa"/>
            <w:vAlign w:val="center"/>
            <w:vMerge w:val="continue"/>
            <w:textDirection w:val="lrTb"/>
            <w:noWrap/>
          </w:tcPr>
          <w:p>
            <w:pPr>
              <w:pStyle w:val="67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145" w:type="dxa"/>
            <w:vAlign w:val="center"/>
            <w:textDirection w:val="lrTb"/>
            <w:noWrap w:val="false"/>
          </w:tcPr>
          <w:p>
            <w:pPr>
              <w:pStyle w:val="67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提供资产入网、退网、资产治理（设备与监控点关系治理和设备与监控点关系导入）操作；支持提供自动扫描发现的方式进行资产建档，扫描发现结果页面中展示各类型资产、发现数量以及资产明细，并提供建档、忽略、导出等操作；支持提供资产类型与合规性配置，可设置不同类型资产档案校验的开启和关闭，并可对每类资产的属性字段进行启用状态、合规性规则、校验资源范围进行配置；</w:t>
            </w:r>
            <w:r>
              <w:rPr>
                <w:rFonts w:hint="eastAsia" w:ascii="宋体" w:hAnsi="宋体" w:eastAsia="宋体" w:cs="宋体"/>
                <w:i w:val="0"/>
                <w:iCs w:val="0"/>
                <w:color w:val="000000"/>
                <w:sz w:val="24"/>
                <w:szCs w:val="24"/>
                <w:u w:val="none"/>
              </w:rPr>
            </w:r>
            <w:r/>
          </w:p>
        </w:tc>
      </w:tr>
      <w:tr>
        <w:trPr>
          <w:trHeight w:val="570"/>
        </w:trPr>
        <w:tc>
          <w:tcPr>
            <w:tcW w:w="696" w:type="dxa"/>
            <w:vAlign w:val="center"/>
            <w:textDirection w:val="lrTb"/>
            <w:noWrap/>
          </w:tcPr>
          <w:p>
            <w:pPr>
              <w:pStyle w:val="670"/>
              <w:jc w:val="center"/>
              <w:rPr>
                <w:rFonts w:hint="eastAsia" w:ascii="宋体" w:hAnsi="宋体" w:eastAsia="宋体" w:cs="宋体"/>
                <w:i w:val="0"/>
                <w:iCs w:val="0"/>
                <w:color w:val="000000"/>
                <w:sz w:val="24"/>
                <w:szCs w:val="24"/>
                <w:u w:val="none"/>
              </w:rPr>
            </w:pPr>
            <w:r>
              <w:rPr>
                <w:rFonts w:hint="eastAsia"/>
                <w:color w:val="000000"/>
                <w:sz w:val="24"/>
                <w:szCs w:val="24"/>
                <w:vertAlign w:val="baseline"/>
                <w:lang w:val="en-US" w:eastAsia="zh-CN"/>
              </w:rPr>
              <w:t xml:space="preserve">6</w:t>
            </w:r>
            <w:r>
              <w:rPr>
                <w:rFonts w:hint="eastAsia" w:ascii="宋体" w:hAnsi="宋体" w:eastAsia="宋体" w:cs="宋体"/>
                <w:i w:val="0"/>
                <w:iCs w:val="0"/>
                <w:color w:val="000000"/>
                <w:sz w:val="24"/>
                <w:szCs w:val="24"/>
                <w:u w:val="none"/>
              </w:rPr>
            </w:r>
            <w:r/>
          </w:p>
        </w:tc>
        <w:tc>
          <w:tcPr>
            <w:tcW w:w="1696" w:type="dxa"/>
            <w:vAlign w:val="center"/>
            <w:textDirection w:val="lrTb"/>
            <w:noWrap/>
          </w:tcPr>
          <w:p>
            <w:pPr>
              <w:pStyle w:val="670"/>
              <w:jc w:val="center"/>
              <w:rPr>
                <w:rFonts w:hint="eastAsia" w:ascii="宋体" w:hAnsi="宋体" w:eastAsia="宋体" w:cs="宋体"/>
                <w:i w:val="0"/>
                <w:iCs w:val="0"/>
                <w:color w:val="000000"/>
                <w:sz w:val="24"/>
                <w:szCs w:val="24"/>
                <w:u w:val="none"/>
              </w:rPr>
            </w:pPr>
            <w:r>
              <w:rPr>
                <w:rFonts w:hint="eastAsia"/>
                <w:color w:val="000000"/>
                <w:sz w:val="24"/>
                <w:szCs w:val="24"/>
                <w:vertAlign w:val="baseline"/>
              </w:rPr>
              <w:t xml:space="preserve">安全接入网关</w:t>
            </w:r>
            <w:r>
              <w:rPr>
                <w:rFonts w:hint="eastAsia" w:ascii="宋体" w:hAnsi="宋体" w:eastAsia="宋体" w:cs="宋体"/>
                <w:i w:val="0"/>
                <w:iCs w:val="0"/>
                <w:color w:val="000000"/>
                <w:sz w:val="24"/>
                <w:szCs w:val="24"/>
                <w:u w:val="none"/>
              </w:rPr>
            </w:r>
            <w:r/>
          </w:p>
        </w:tc>
        <w:tc>
          <w:tcPr>
            <w:tcW w:w="7145" w:type="dxa"/>
            <w:vAlign w:val="top"/>
            <w:textDirection w:val="lrTb"/>
            <w:noWrap w:val="false"/>
          </w:tcPr>
          <w:p>
            <w:pPr>
              <w:pStyle w:val="670"/>
              <w:rPr>
                <w:rFonts w:hint="eastAsia"/>
                <w:color w:val="000000"/>
                <w:sz w:val="24"/>
                <w:szCs w:val="24"/>
                <w:vertAlign w:val="baseline"/>
              </w:rPr>
            </w:pPr>
            <w:r>
              <w:rPr>
                <w:rFonts w:hint="eastAsia"/>
                <w:color w:val="000000"/>
                <w:sz w:val="24"/>
                <w:szCs w:val="24"/>
                <w:vertAlign w:val="baseline"/>
                <w:lang w:val="en-US" w:eastAsia="zh-CN"/>
              </w:rPr>
              <w:t xml:space="preserve">1</w:t>
            </w:r>
            <w:r>
              <w:rPr>
                <w:rFonts w:hint="eastAsia"/>
                <w:color w:val="000000"/>
                <w:sz w:val="24"/>
                <w:szCs w:val="24"/>
                <w:vertAlign w:val="baseline"/>
              </w:rPr>
              <w:t xml:space="preserve">、支持包过滤，产品安全策略应包含基于源IP地址、目的IP地址、源端口、目的端口、协议(TCP/UDP/ICMP等)的访问控制；</w:t>
            </w:r>
            <w:r>
              <w:rPr>
                <w:rFonts w:hint="eastAsia"/>
                <w:color w:val="000000"/>
                <w:sz w:val="24"/>
                <w:szCs w:val="24"/>
                <w:vertAlign w:val="baseline"/>
              </w:rPr>
            </w:r>
            <w:r/>
          </w:p>
          <w:p>
            <w:pPr>
              <w:pStyle w:val="670"/>
              <w:rPr>
                <w:rFonts w:hint="eastAsia" w:ascii="宋体" w:hAnsi="宋体" w:eastAsia="宋体" w:cs="宋体"/>
                <w:i w:val="0"/>
                <w:iCs w:val="0"/>
                <w:color w:val="000000"/>
                <w:sz w:val="24"/>
                <w:szCs w:val="24"/>
                <w:u w:val="none"/>
              </w:rPr>
            </w:pPr>
            <w:r>
              <w:rPr>
                <w:rFonts w:hint="eastAsia"/>
                <w:color w:val="000000"/>
                <w:sz w:val="24"/>
                <w:szCs w:val="24"/>
                <w:vertAlign w:val="baseline"/>
                <w:lang w:val="en-US" w:eastAsia="zh-CN"/>
              </w:rPr>
              <w:t xml:space="preserve">2</w:t>
            </w:r>
            <w:r>
              <w:rPr>
                <w:rFonts w:hint="eastAsia"/>
                <w:color w:val="000000"/>
                <w:sz w:val="24"/>
                <w:szCs w:val="24"/>
                <w:vertAlign w:val="baseline"/>
              </w:rPr>
              <w:t xml:space="preserve">、支持运维管理，支持SNMP网管协议方式的监控和管理，读取设备的系统运行时间、设备时间、内存信息、接口信息、接口IP、路由表、arp表等参数；</w:t>
            </w:r>
            <w:r>
              <w:rPr>
                <w:rFonts w:hint="eastAsia" w:ascii="宋体" w:hAnsi="宋体" w:eastAsia="宋体" w:cs="宋体"/>
                <w:i w:val="0"/>
                <w:iCs w:val="0"/>
                <w:color w:val="000000"/>
                <w:sz w:val="24"/>
                <w:szCs w:val="24"/>
                <w:u w:val="none"/>
              </w:rPr>
            </w:r>
            <w:r/>
          </w:p>
        </w:tc>
      </w:tr>
    </w:tbl>
    <w:p>
      <w:pPr>
        <w:pStyle w:val="670"/>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sz w:val="24"/>
          <w:szCs w:val="24"/>
        </w:rPr>
      </w:r>
      <w:r/>
    </w:p>
    <w:p>
      <w:pPr>
        <w:pStyle w:val="758"/>
        <w:ind w:firstLine="360"/>
        <w:spacing w:before="0" w:after="0" w:line="500" w:lineRule="exact"/>
        <w:rPr>
          <w:rFonts w:hint="eastAsia" w:ascii="宋体" w:hAnsi="宋体"/>
          <w:b/>
          <w:color w:val="0000ff"/>
          <w:sz w:val="28"/>
          <w:szCs w:val="28"/>
        </w:rPr>
      </w:pPr>
      <w:r>
        <w:rPr>
          <w:rFonts w:ascii="宋体" w:hAnsi="宋体"/>
          <w:color w:val="000000"/>
        </w:rPr>
        <w:br w:type="page" w:clear="all"/>
      </w:r>
      <w:r>
        <w:rPr>
          <w:rFonts w:hint="eastAsia" w:ascii="宋体" w:hAnsi="宋体"/>
          <w:b/>
          <w:sz w:val="28"/>
          <w:szCs w:val="28"/>
        </w:rPr>
        <w:t xml:space="preserve">（二）</w:t>
      </w:r>
      <w:r>
        <w:rPr>
          <w:rFonts w:hint="eastAsia" w:ascii="宋体" w:hAnsi="宋体"/>
          <w:b/>
          <w:color w:val="0000ff"/>
          <w:sz w:val="28"/>
          <w:szCs w:val="28"/>
        </w:rPr>
        <w:t xml:space="preserve">技术部分（</w:t>
      </w:r>
      <w:r>
        <w:rPr>
          <w:rFonts w:hint="eastAsia" w:ascii="宋体" w:hAnsi="宋体"/>
          <w:b/>
          <w:color w:val="0000ff"/>
          <w:sz w:val="28"/>
          <w:szCs w:val="28"/>
          <w:lang w:val="en-US" w:eastAsia="zh-CN"/>
        </w:rPr>
        <w:t xml:space="preserve">43</w:t>
      </w:r>
      <w:r>
        <w:rPr>
          <w:rFonts w:hint="eastAsia" w:ascii="宋体" w:hAnsi="宋体"/>
          <w:b/>
          <w:color w:val="0000ff"/>
          <w:sz w:val="28"/>
          <w:szCs w:val="28"/>
        </w:rPr>
        <w:t xml:space="preserve">分）</w:t>
      </w:r>
      <w:r>
        <w:rPr>
          <w:rFonts w:hint="eastAsia" w:ascii="宋体" w:hAnsi="宋体"/>
          <w:b/>
          <w:color w:val="0000ff"/>
          <w:sz w:val="28"/>
          <w:szCs w:val="28"/>
        </w:rPr>
      </w:r>
      <w:r/>
    </w:p>
    <w:p>
      <w:pPr>
        <w:pStyle w:val="758"/>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注：技术部分属于暗标，投标人在制作技术部分相关内容时不得有体现投标人身份的内容，否则投标无效。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670"/>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43</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sz w:val="24"/>
          <w:szCs w:val="24"/>
        </w:rPr>
      </w:r>
      <w:r/>
    </w:p>
    <w:p>
      <w:pPr>
        <w:pStyle w:val="670"/>
        <w:ind w:firstLine="480"/>
        <w:keepLines w:val="0"/>
        <w:keepNext w:val="0"/>
        <w:pageBreakBefore w:val="0"/>
        <w:spacing w:line="360" w:lineRule="auto"/>
        <w:widowControl w:val="off"/>
        <w:rPr>
          <w:rFonts w:hint="eastAsia" w:ascii="宋体" w:hAnsi="宋体" w:eastAsia="宋体" w:cs="Times New Roman"/>
          <w:b/>
          <w:bCs w:val="0"/>
          <w:color w:val="000000"/>
          <w:sz w:val="24"/>
          <w:highlight w:val="none"/>
        </w:rPr>
      </w:pP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.1  </w:t>
      </w:r>
      <w:r>
        <w:rPr>
          <w:rFonts w:hint="eastAsia" w:ascii="宋体" w:hAnsi="宋体" w:eastAsia="宋体" w:cs="Times New Roman"/>
          <w:b/>
          <w:bCs w:val="0"/>
          <w:color w:val="000000"/>
          <w:sz w:val="24"/>
          <w:highlight w:val="none"/>
        </w:rPr>
        <w:t xml:space="preserve">项目技术方案（</w:t>
      </w:r>
      <w:r>
        <w:rPr>
          <w:rFonts w:hint="eastAsia" w:ascii="宋体" w:hAnsi="宋体" w:eastAsia="宋体" w:cs="Times New Roman"/>
          <w:b/>
          <w:bCs w:val="0"/>
          <w:color w:val="000000"/>
          <w:sz w:val="24"/>
          <w:highlight w:val="none"/>
          <w:lang w:val="en-US" w:eastAsia="zh-CN"/>
        </w:rPr>
        <w:t xml:space="preserve">13</w:t>
      </w:r>
      <w:r>
        <w:rPr>
          <w:rFonts w:hint="eastAsia" w:ascii="宋体" w:hAnsi="宋体" w:eastAsia="宋体" w:cs="Times New Roman"/>
          <w:b/>
          <w:bCs w:val="0"/>
          <w:color w:val="000000"/>
          <w:sz w:val="24"/>
          <w:highlight w:val="none"/>
        </w:rPr>
        <w:t xml:space="preserve">分）</w:t>
      </w:r>
      <w:r>
        <w:rPr>
          <w:rFonts w:hint="eastAsia" w:ascii="宋体" w:hAnsi="宋体" w:eastAsia="宋体" w:cs="Times New Roman"/>
          <w:b/>
          <w:bCs w:val="0"/>
          <w:color w:val="000000"/>
          <w:sz w:val="24"/>
          <w:highlight w:val="none"/>
        </w:rPr>
      </w:r>
      <w:r/>
    </w:p>
    <w:p>
      <w:pPr>
        <w:pStyle w:val="670"/>
        <w:ind w:firstLine="480"/>
        <w:keepLines w:val="0"/>
        <w:keepNext w:val="0"/>
        <w:pageBreakBefore w:val="0"/>
        <w:spacing w:line="360" w:lineRule="auto"/>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根据招标文件采购要求，在充分理解用户需求的基础上，编制针对性的</w:t>
      </w:r>
      <w:r>
        <w:rPr>
          <w:rFonts w:hint="eastAsia" w:ascii="宋体" w:hAnsi="宋体" w:eastAsia="宋体" w:cs="Times New Roman"/>
          <w:bCs/>
          <w:color w:val="000000"/>
          <w:sz w:val="24"/>
          <w:highlight w:val="none"/>
          <w:lang w:val="en-US" w:eastAsia="zh-CN"/>
        </w:rPr>
        <w:t xml:space="preserve">技术</w:t>
      </w:r>
      <w:r>
        <w:rPr>
          <w:rFonts w:hint="eastAsia" w:ascii="宋体" w:hAnsi="宋体" w:eastAsia="宋体" w:cs="Times New Roman"/>
          <w:bCs/>
          <w:color w:val="000000"/>
          <w:sz w:val="24"/>
          <w:highlight w:val="none"/>
        </w:rPr>
        <w:t xml:space="preserve">方案。需阐述①平台总体建设方案概述，②视频资源汇聚和应用方案，③平台视频联网运维管理方案，④平台设备资产管理方案，⑤平台资产档案管理方案。</w:t>
      </w:r>
      <w:r>
        <w:rPr>
          <w:rFonts w:hint="eastAsia" w:ascii="宋体" w:hAnsi="宋体" w:eastAsia="宋体" w:cs="Times New Roman"/>
          <w:bCs/>
          <w:color w:val="000000"/>
          <w:sz w:val="24"/>
          <w:highlight w:val="none"/>
        </w:rPr>
      </w:r>
      <w:r/>
    </w:p>
    <w:p>
      <w:pPr>
        <w:pStyle w:val="670"/>
        <w:ind w:firstLine="480"/>
        <w:keepLines w:val="0"/>
        <w:keepNext w:val="0"/>
        <w:pageBreakBefore w:val="0"/>
        <w:spacing w:line="360" w:lineRule="auto"/>
        <w:widowControl w:val="off"/>
        <w:rPr>
          <w:rFonts w:ascii="宋体" w:hAnsi="宋体"/>
          <w:bCs/>
          <w:color w:val="000000"/>
          <w:sz w:val="24"/>
          <w:szCs w:val="24"/>
        </w:rPr>
      </w:pPr>
      <w:r>
        <w:rPr>
          <w:rFonts w:hint="eastAsia" w:ascii="宋体" w:hAnsi="宋体" w:eastAsia="宋体" w:cs="Times New Roman"/>
          <w:bCs/>
          <w:color w:val="000000"/>
          <w:sz w:val="24"/>
          <w:highlight w:val="none"/>
        </w:rPr>
        <w:t xml:space="preserve">评审标准如下：方案完整，科学合理，设计清晰详细，完全符合本项目需求，且能够提供上述5项全部方案的，得</w:t>
      </w:r>
      <w:r>
        <w:rPr>
          <w:rFonts w:hint="eastAsia" w:ascii="宋体" w:hAnsi="宋体" w:eastAsia="宋体" w:cs="Times New Roman"/>
          <w:bCs/>
          <w:color w:val="000000"/>
          <w:sz w:val="24"/>
          <w:highlight w:val="none"/>
          <w:lang w:val="en-US" w:eastAsia="zh-CN"/>
        </w:rPr>
        <w:t xml:space="preserve">13</w:t>
      </w:r>
      <w:r>
        <w:rPr>
          <w:rFonts w:hint="eastAsia" w:ascii="宋体" w:hAnsi="宋体" w:eastAsia="宋体" w:cs="Times New Roman"/>
          <w:bCs/>
          <w:color w:val="000000"/>
          <w:sz w:val="24"/>
          <w:highlight w:val="none"/>
        </w:rPr>
        <w:t xml:space="preserve">分；方案较完整，科学合理性较强，设计较清晰详细，能够符合本项目需求，能够提供上述4-5项方案的，得</w:t>
      </w:r>
      <w:r>
        <w:rPr>
          <w:rFonts w:hint="eastAsia" w:ascii="宋体" w:hAnsi="宋体" w:eastAsia="宋体" w:cs="Times New Roman"/>
          <w:bCs/>
          <w:color w:val="000000"/>
          <w:sz w:val="24"/>
          <w:highlight w:val="none"/>
          <w:lang w:val="en-US" w:eastAsia="zh-CN"/>
        </w:rPr>
        <w:t xml:space="preserve">10</w:t>
      </w:r>
      <w:r>
        <w:rPr>
          <w:rFonts w:hint="eastAsia" w:ascii="宋体" w:hAnsi="宋体" w:eastAsia="宋体" w:cs="Times New Roman"/>
          <w:bCs/>
          <w:color w:val="000000"/>
          <w:sz w:val="24"/>
          <w:highlight w:val="none"/>
        </w:rPr>
        <w:t xml:space="preserve">分；方案完整性一般，科学合理性一般，设计清晰详细程度一般，能够符合本项目需求，能够提供上述3-5项方案的，得</w:t>
      </w:r>
      <w:r>
        <w:rPr>
          <w:rFonts w:hint="eastAsia" w:ascii="宋体" w:hAnsi="宋体" w:eastAsia="宋体" w:cs="Times New Roman"/>
          <w:bCs/>
          <w:color w:val="000000"/>
          <w:sz w:val="24"/>
          <w:highlight w:val="none"/>
          <w:lang w:val="en-US" w:eastAsia="zh-CN"/>
        </w:rPr>
        <w:t xml:space="preserve">7</w:t>
      </w:r>
      <w:r>
        <w:rPr>
          <w:rFonts w:hint="eastAsia" w:ascii="宋体" w:hAnsi="宋体" w:eastAsia="宋体" w:cs="Times New Roman"/>
          <w:bCs/>
          <w:color w:val="000000"/>
          <w:sz w:val="24"/>
          <w:highlight w:val="none"/>
        </w:rPr>
        <w:t xml:space="preserve">分；方案完整性、科学合理性、设计的清晰详细程度只能基本满足要求，能够提供上述2-5项方案的，得</w:t>
      </w: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rPr>
        <w:t xml:space="preserve">分；提供方案不足2项或无方案的，不得分。</w:t>
      </w:r>
      <w:r>
        <w:rPr>
          <w:rFonts w:ascii="宋体" w:hAnsi="宋体"/>
          <w:bCs/>
          <w:color w:val="000000"/>
          <w:sz w:val="24"/>
          <w:szCs w:val="24"/>
        </w:rPr>
      </w:r>
      <w:r/>
    </w:p>
    <w:p>
      <w:pPr>
        <w:pStyle w:val="670"/>
        <w:ind w:firstLine="480"/>
        <w:jc w:val="left"/>
        <w:keepLines w:val="0"/>
        <w:keepNext w:val="0"/>
        <w:pageBreakBefore w:val="0"/>
        <w:spacing w:line="360" w:lineRule="auto"/>
        <w:widowControl w:val="off"/>
        <w:rPr>
          <w:rFonts w:hint="eastAsia" w:ascii="宋体" w:hAnsi="宋体" w:eastAsia="宋体" w:cs="Times New Roman"/>
          <w:b/>
          <w:bCs w:val="0"/>
          <w:color w:val="000000"/>
          <w:sz w:val="24"/>
          <w:szCs w:val="24"/>
          <w:highlight w:val="none"/>
        </w:rPr>
      </w:pP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.2  </w:t>
      </w:r>
      <w:r>
        <w:rPr>
          <w:rFonts w:hint="eastAsia" w:ascii="宋体" w:hAnsi="宋体" w:eastAsia="宋体" w:cs="Times New Roman"/>
          <w:b/>
          <w:bCs w:val="0"/>
          <w:color w:val="000000"/>
          <w:sz w:val="24"/>
          <w:szCs w:val="24"/>
          <w:highlight w:val="none"/>
        </w:rPr>
        <w:t xml:space="preserve">项目实施方案（</w:t>
      </w:r>
      <w:r>
        <w:rPr>
          <w:rFonts w:hint="eastAsia" w:ascii="宋体" w:hAnsi="宋体" w:eastAsia="宋体" w:cs="Times New Roman"/>
          <w:b/>
          <w:bCs w:val="0"/>
          <w:color w:val="000000"/>
          <w:sz w:val="24"/>
          <w:szCs w:val="24"/>
          <w:highlight w:val="none"/>
          <w:lang w:val="en-US" w:eastAsia="zh-CN"/>
        </w:rPr>
        <w:t xml:space="preserve">10</w:t>
      </w:r>
      <w:r>
        <w:rPr>
          <w:rFonts w:hint="eastAsia" w:ascii="宋体" w:hAnsi="宋体" w:eastAsia="宋体" w:cs="Times New Roman"/>
          <w:b/>
          <w:bCs w:val="0"/>
          <w:color w:val="000000"/>
          <w:sz w:val="24"/>
          <w:szCs w:val="24"/>
          <w:highlight w:val="none"/>
        </w:rPr>
        <w:t xml:space="preserve">分）：</w:t>
      </w:r>
      <w:r>
        <w:rPr>
          <w:rFonts w:hint="eastAsia" w:ascii="宋体" w:hAnsi="宋体" w:eastAsia="宋体" w:cs="Times New Roman"/>
          <w:b/>
          <w:bCs w:val="0"/>
          <w:color w:val="000000"/>
          <w:sz w:val="24"/>
          <w:szCs w:val="24"/>
          <w:highlight w:val="none"/>
        </w:rPr>
      </w:r>
      <w:r/>
    </w:p>
    <w:p>
      <w:pPr>
        <w:pStyle w:val="670"/>
        <w:ind w:firstLine="480"/>
        <w:jc w:val="left"/>
        <w:keepLines w:val="0"/>
        <w:keepNext w:val="0"/>
        <w:pageBreakBefore w:val="0"/>
        <w:spacing w:line="360"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根据招标文件采购要求，在充分理解用户需求的基础上，编制针对性的项目实施方案</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需阐述①项目实施进度计划，②项目风险管理方案，③项目质量管理方案，④项目安全管理方案，⑤项目成本及资源管理方案。</w:t>
      </w:r>
      <w:r>
        <w:rPr>
          <w:rFonts w:hint="eastAsia" w:ascii="宋体" w:hAnsi="宋体" w:eastAsia="宋体" w:cs="Times New Roman"/>
          <w:bCs/>
          <w:color w:val="000000"/>
          <w:sz w:val="24"/>
          <w:szCs w:val="24"/>
          <w:highlight w:val="none"/>
          <w:lang w:eastAsia="zh-CN"/>
        </w:rPr>
      </w:r>
      <w:r/>
    </w:p>
    <w:p>
      <w:pPr>
        <w:pStyle w:val="670"/>
        <w:ind w:firstLine="480"/>
        <w:spacing w:line="500" w:lineRule="exact"/>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评审标准如下：</w:t>
      </w: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10分；方案较完整，科学合理性较强，设计较清晰详细，能够符合本项目需求，能够提供上述4-5项方案的，得7分；方案完整性一般，科学合理性一般，设计清晰详细程度一般，能够符合本项目需求，能够提供上述3-5项方案的，得4分；方案完整性、科学合理性、设计的清晰详细程度只能基本满足要求，能够提供上述2-5项方案的，得2分；提供方案不足2项或无方案的，不得分。 </w:t>
      </w:r>
      <w:r>
        <w:rPr>
          <w:rFonts w:hint="eastAsia" w:ascii="宋体" w:hAnsi="宋体" w:eastAsia="宋体" w:cs="Times New Roman"/>
          <w:bCs/>
          <w:color w:val="000000"/>
          <w:sz w:val="24"/>
          <w:szCs w:val="24"/>
          <w:highlight w:val="none"/>
          <w:lang w:val="en-US" w:eastAsia="zh-CN"/>
        </w:rPr>
      </w:r>
      <w:r/>
    </w:p>
    <w:p>
      <w:pPr>
        <w:pStyle w:val="670"/>
        <w:ind w:firstLine="480"/>
        <w:jc w:val="left"/>
        <w:keepLines w:val="0"/>
        <w:keepNext w:val="0"/>
        <w:pageBreakBefore w:val="0"/>
        <w:spacing w:line="360" w:lineRule="auto"/>
        <w:widowControl w:val="off"/>
        <w:rPr>
          <w:rFonts w:hint="eastAsia" w:ascii="宋体" w:hAnsi="宋体" w:eastAsia="宋体" w:cs="Times New Roman"/>
          <w:b/>
          <w:bCs w:val="0"/>
          <w:color w:val="000000"/>
          <w:sz w:val="24"/>
          <w:szCs w:val="24"/>
          <w:highlight w:val="none"/>
        </w:rPr>
      </w:pP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.3  </w:t>
      </w:r>
      <w:r>
        <w:rPr>
          <w:rFonts w:hint="eastAsia" w:ascii="宋体" w:hAnsi="宋体" w:eastAsia="宋体" w:cs="Times New Roman"/>
          <w:b/>
          <w:bCs w:val="0"/>
          <w:color w:val="000000"/>
          <w:sz w:val="24"/>
          <w:szCs w:val="24"/>
          <w:highlight w:val="none"/>
          <w:lang w:val="en-US" w:eastAsia="zh-CN"/>
        </w:rPr>
        <w:t xml:space="preserve">配合采购人</w:t>
      </w:r>
      <w:r>
        <w:rPr>
          <w:rFonts w:hint="eastAsia" w:ascii="宋体" w:hAnsi="宋体" w:eastAsia="宋体" w:cs="Times New Roman"/>
          <w:b/>
          <w:bCs w:val="0"/>
          <w:color w:val="000000"/>
          <w:sz w:val="24"/>
          <w:szCs w:val="24"/>
          <w:highlight w:val="none"/>
        </w:rPr>
        <w:t xml:space="preserve">验收与培训方案（</w:t>
      </w:r>
      <w:r>
        <w:rPr>
          <w:rFonts w:hint="eastAsia" w:ascii="宋体" w:hAnsi="宋体" w:eastAsia="宋体" w:cs="Times New Roman"/>
          <w:b/>
          <w:bCs w:val="0"/>
          <w:color w:val="000000"/>
          <w:sz w:val="24"/>
          <w:szCs w:val="24"/>
          <w:highlight w:val="none"/>
          <w:lang w:val="en-US" w:eastAsia="zh-CN"/>
        </w:rPr>
        <w:t xml:space="preserve">10</w:t>
      </w:r>
      <w:r>
        <w:rPr>
          <w:rFonts w:hint="eastAsia" w:ascii="宋体" w:hAnsi="宋体" w:eastAsia="宋体" w:cs="Times New Roman"/>
          <w:b/>
          <w:bCs w:val="0"/>
          <w:color w:val="000000"/>
          <w:sz w:val="24"/>
          <w:szCs w:val="24"/>
          <w:highlight w:val="none"/>
        </w:rPr>
        <w:t xml:space="preserve">分）：</w:t>
      </w:r>
      <w:r>
        <w:rPr>
          <w:rFonts w:hint="eastAsia" w:ascii="宋体" w:hAnsi="宋体" w:eastAsia="宋体" w:cs="Times New Roman"/>
          <w:b/>
          <w:bCs w:val="0"/>
          <w:color w:val="000000"/>
          <w:sz w:val="24"/>
          <w:szCs w:val="24"/>
          <w:highlight w:val="none"/>
        </w:rPr>
      </w:r>
      <w:r/>
    </w:p>
    <w:p>
      <w:pPr>
        <w:pStyle w:val="670"/>
        <w:ind w:firstLine="480"/>
        <w:jc w:val="left"/>
        <w:keepLines w:val="0"/>
        <w:keepNext w:val="0"/>
        <w:pageBreakBefore w:val="0"/>
        <w:spacing w:line="360"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根据招标文件采购要求，在充分理解用户需求的基础上，编制针对性的项目验收与培训方案</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需阐述①项目验收流程管理方案；②项目验收标准管理方案；③项目验收资料管理方案；④项目验收方法管理方案；⑤项目培训方案。</w:t>
      </w:r>
      <w:r>
        <w:rPr>
          <w:rFonts w:hint="eastAsia" w:ascii="宋体" w:hAnsi="宋体" w:eastAsia="宋体" w:cs="Times New Roman"/>
          <w:bCs/>
          <w:color w:val="000000"/>
          <w:sz w:val="24"/>
          <w:szCs w:val="24"/>
          <w:highlight w:val="none"/>
          <w:lang w:eastAsia="zh-CN"/>
        </w:rPr>
      </w:r>
      <w:r/>
    </w:p>
    <w:p>
      <w:pPr>
        <w:pStyle w:val="670"/>
        <w:ind w:firstLine="480"/>
        <w:keepLines w:val="0"/>
        <w:keepNext w:val="0"/>
        <w:pageBreakBefore w:val="0"/>
        <w:spacing w:line="360" w:lineRule="auto"/>
        <w:widowControl w:val="off"/>
        <w:rPr>
          <w:rFonts w:ascii="宋体" w:hAnsi="宋体"/>
          <w:bCs/>
          <w:color w:val="000000"/>
          <w:sz w:val="24"/>
          <w:szCs w:val="24"/>
        </w:rPr>
      </w:pPr>
      <w:r>
        <w:rPr>
          <w:rFonts w:hint="eastAsia" w:ascii="宋体" w:hAnsi="宋体" w:eastAsia="宋体" w:cs="Times New Roman"/>
          <w:bCs/>
          <w:color w:val="000000"/>
          <w:sz w:val="24"/>
          <w:szCs w:val="24"/>
          <w:highlight w:val="none"/>
        </w:rPr>
        <w:t xml:space="preserve">评审标准如下：</w:t>
      </w: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10分；方案较完整，科学合理性较强，设计较清晰详细，能够符合本项目需求，能够提供上述4-5项方案的，得7分；方案完整性一般，科学合理性一般，设计清晰详细程度一般，能够符合本项目需求，能够提供上述3-5项方案的，得4分；方案完整性、科学合理性、设计的清晰详细程度只能基本满足要求，能够提供上述2-5项方案的，得2分；提供方案不足2项或无方案的，不得分。</w:t>
      </w:r>
      <w:r>
        <w:rPr>
          <w:rFonts w:ascii="宋体" w:hAnsi="宋体"/>
          <w:bCs/>
          <w:color w:val="000000"/>
          <w:sz w:val="24"/>
          <w:szCs w:val="24"/>
        </w:rPr>
      </w:r>
      <w:r/>
    </w:p>
    <w:p>
      <w:pPr>
        <w:pStyle w:val="670"/>
        <w:ind w:firstLine="480"/>
        <w:jc w:val="left"/>
        <w:keepLines w:val="0"/>
        <w:keepNext w:val="0"/>
        <w:pageBreakBefore w:val="0"/>
        <w:spacing w:line="360" w:lineRule="auto"/>
        <w:widowControl w:val="off"/>
        <w:rPr>
          <w:rFonts w:hint="eastAsia" w:ascii="宋体" w:hAnsi="宋体" w:eastAsia="宋体" w:cs="Times New Roman"/>
          <w:b/>
          <w:bCs w:val="0"/>
          <w:color w:val="000000"/>
          <w:sz w:val="24"/>
          <w:szCs w:val="24"/>
          <w:highlight w:val="none"/>
        </w:rPr>
      </w:pP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.4  </w:t>
      </w:r>
      <w:r>
        <w:rPr>
          <w:rFonts w:hint="eastAsia" w:ascii="宋体" w:hAnsi="宋体" w:eastAsia="宋体" w:cs="Times New Roman"/>
          <w:b/>
          <w:bCs w:val="0"/>
          <w:color w:val="000000"/>
          <w:sz w:val="24"/>
          <w:szCs w:val="24"/>
          <w:highlight w:val="none"/>
        </w:rPr>
        <w:t xml:space="preserve">运维服务方案（</w:t>
      </w:r>
      <w:r>
        <w:rPr>
          <w:rFonts w:hint="eastAsia" w:ascii="宋体" w:hAnsi="宋体" w:eastAsia="宋体" w:cs="Times New Roman"/>
          <w:b/>
          <w:bCs w:val="0"/>
          <w:color w:val="000000"/>
          <w:sz w:val="24"/>
          <w:szCs w:val="24"/>
          <w:highlight w:val="none"/>
          <w:lang w:val="en-US" w:eastAsia="zh-CN"/>
        </w:rPr>
        <w:t xml:space="preserve">10</w:t>
      </w:r>
      <w:r>
        <w:rPr>
          <w:rFonts w:hint="eastAsia" w:ascii="宋体" w:hAnsi="宋体" w:eastAsia="宋体" w:cs="Times New Roman"/>
          <w:b/>
          <w:bCs w:val="0"/>
          <w:color w:val="000000"/>
          <w:sz w:val="24"/>
          <w:szCs w:val="24"/>
          <w:highlight w:val="none"/>
        </w:rPr>
        <w:t xml:space="preserve">分）：</w:t>
      </w:r>
      <w:r>
        <w:rPr>
          <w:rFonts w:hint="eastAsia" w:ascii="宋体" w:hAnsi="宋体" w:eastAsia="宋体" w:cs="Times New Roman"/>
          <w:b/>
          <w:bCs w:val="0"/>
          <w:color w:val="000000"/>
          <w:sz w:val="24"/>
          <w:szCs w:val="24"/>
          <w:highlight w:val="none"/>
        </w:rPr>
      </w:r>
      <w:r/>
    </w:p>
    <w:p>
      <w:pPr>
        <w:pStyle w:val="670"/>
        <w:ind w:firstLine="480"/>
        <w:jc w:val="left"/>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根据招标文件采购要求，在充分理解用户需求的基础上，编制针对性的运维服务方案</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需阐述①项目运维团队与资源；②项目运维流程与制度；③项目运维质量管理方案；④项目运维安全与风险管理方案；⑤项目运维服务与保障管理方案。</w:t>
      </w:r>
      <w:r>
        <w:rPr>
          <w:rFonts w:hint="eastAsia" w:ascii="宋体" w:hAnsi="宋体" w:eastAsia="宋体" w:cs="Times New Roman"/>
          <w:bCs/>
          <w:color w:val="000000"/>
          <w:sz w:val="24"/>
          <w:szCs w:val="24"/>
          <w:highlight w:val="none"/>
        </w:rPr>
      </w:r>
      <w:r/>
    </w:p>
    <w:p>
      <w:pPr>
        <w:pStyle w:val="670"/>
        <w:ind w:firstLine="480"/>
        <w:keepLines w:val="0"/>
        <w:keepNext w:val="0"/>
        <w:pageBreakBefore w:val="0"/>
        <w:spacing w:line="360" w:lineRule="auto"/>
        <w:widowControl w:val="off"/>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szCs w:val="24"/>
          <w:highlight w:val="none"/>
        </w:rPr>
        <w:t xml:space="preserve">评审标准如下：</w:t>
      </w: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10分；方案较完整，科学合理性较强，设计较清晰详细，能够符合本项目需求，能够提供上述4-5项方案的，得7分；方案完整性一般，科学合理性一般，设计清晰详细程度一般，能够符合本项目需求，能够提供上述3-5项方案的，得4分；方案完整性、科学合理性、设计的清晰详细程度只能基本满足要求，能够提供上述2-5项方案的，得2分；提供方案不足2项或无方案的，不得分。</w:t>
      </w:r>
      <w:r>
        <w:rPr>
          <w:rFonts w:hint="eastAsia" w:ascii="宋体" w:hAnsi="宋体" w:eastAsia="宋体" w:cs="Times New Roman"/>
          <w:bCs/>
          <w:color w:val="000000"/>
          <w:sz w:val="24"/>
          <w:highlight w:val="none"/>
          <w:lang w:eastAsia="zh-CN"/>
        </w:rPr>
      </w:r>
      <w:r/>
    </w:p>
    <w:p>
      <w:pPr>
        <w:pStyle w:val="670"/>
        <w:ind w:firstLine="480"/>
        <w:spacing w:line="500" w:lineRule="exact"/>
        <w:tabs>
          <w:tab w:val="left" w:pos="945" w:leader="none"/>
          <w:tab w:val="left" w:pos="1155" w:leader="none"/>
          <w:tab w:val="left" w:pos="3823" w:leader="none"/>
        </w:tabs>
        <w:rPr>
          <w:rFonts w:ascii="宋体" w:hAnsi="宋体"/>
          <w:bCs/>
          <w:color w:val="000000"/>
          <w:sz w:val="24"/>
          <w:szCs w:val="24"/>
        </w:rPr>
      </w:pPr>
      <w:r>
        <w:rPr>
          <w:rFonts w:ascii="宋体" w:hAnsi="宋体"/>
          <w:bCs/>
          <w:color w:val="000000"/>
          <w:sz w:val="24"/>
          <w:szCs w:val="24"/>
        </w:rPr>
      </w:r>
      <w:r/>
    </w:p>
    <w:p>
      <w:pPr>
        <w:pStyle w:val="758"/>
        <w:spacing w:before="0" w:after="0" w:line="500" w:lineRule="exact"/>
        <w:rPr>
          <w:rFonts w:hint="eastAsia" w:ascii="宋体" w:hAnsi="宋体"/>
          <w:color w:val="000000"/>
        </w:rPr>
      </w:pPr>
      <w:r>
        <w:rPr>
          <w:rFonts w:hint="eastAsia" w:ascii="宋体" w:hAnsi="宋体"/>
          <w:color w:val="000000"/>
        </w:rPr>
      </w:r>
      <w:r/>
    </w:p>
    <w:p>
      <w:pPr>
        <w:pStyle w:val="670"/>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58"/>
        <w:ind w:firstLine="602"/>
        <w:spacing w:before="0" w:after="0" w:line="500" w:lineRule="exact"/>
        <w:rPr>
          <w:rFonts w:hint="eastAsia" w:cs="Arial"/>
          <w:b/>
          <w:sz w:val="30"/>
          <w:szCs w:val="30"/>
        </w:rPr>
      </w:pPr>
      <w:r/>
      <w:bookmarkStart w:id="196" w:name="_Hlt26671244"/>
      <w:r/>
      <w:bookmarkEnd w:id="196"/>
      <w:r/>
      <w:bookmarkStart w:id="197" w:name="_Toc120614282"/>
      <w:r/>
      <w:bookmarkStart w:id="198" w:name="_Toc49090576"/>
      <w:r/>
      <w:bookmarkStart w:id="199" w:name="_Toc26554094"/>
      <w:r/>
      <w:bookmarkStart w:id="200" w:name="_Hlt26955039"/>
      <w:r/>
      <w:bookmarkEnd w:id="200"/>
      <w:r>
        <w:rPr>
          <w:rFonts w:hint="eastAsia" w:cs="Arial"/>
          <w:b/>
          <w:sz w:val="30"/>
          <w:szCs w:val="30"/>
        </w:rPr>
        <w:t xml:space="preserve">第一部分  投标文件内容</w:t>
      </w:r>
      <w:r>
        <w:rPr>
          <w:rFonts w:hint="eastAsia" w:cs="Arial"/>
          <w:b/>
          <w:sz w:val="30"/>
          <w:szCs w:val="30"/>
        </w:rPr>
      </w:r>
      <w:r/>
    </w:p>
    <w:p>
      <w:pPr>
        <w:pStyle w:val="758"/>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58"/>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58"/>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58"/>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46"/>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58"/>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758"/>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758"/>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758"/>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58"/>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758"/>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58"/>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58"/>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670"/>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0"/>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0"/>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670"/>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0"/>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0"/>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0"/>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58"/>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58"/>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58"/>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58"/>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58"/>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58"/>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58"/>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58"/>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58"/>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58"/>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58"/>
              <w:ind w:firstLine="0"/>
              <w:jc w:val="both"/>
              <w:spacing w:before="0" w:after="0" w:line="240" w:lineRule="auto"/>
              <w:rPr>
                <w:rFonts w:hint="eastAsia" w:cs="Arial"/>
              </w:rPr>
            </w:pPr>
            <w:r>
              <w:rPr>
                <w:rFonts w:hint="eastAsia" w:cs="Arial"/>
              </w:rPr>
            </w:r>
            <w:r/>
          </w:p>
        </w:tc>
      </w:tr>
    </w:tbl>
    <w:p>
      <w:pPr>
        <w:pStyle w:val="670"/>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0"/>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0"/>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0"/>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0"/>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670"/>
        <w:rPr>
          <w:rFonts w:hint="eastAsia"/>
          <w:b/>
          <w:sz w:val="28"/>
          <w:szCs w:val="28"/>
        </w:rPr>
      </w:pPr>
      <w:r>
        <w:rPr>
          <w:rFonts w:hint="eastAsia"/>
          <w:b/>
          <w:sz w:val="28"/>
          <w:szCs w:val="28"/>
        </w:rPr>
        <w:t xml:space="preserve">（二）其他证明文件</w:t>
      </w:r>
      <w:r>
        <w:rPr>
          <w:rFonts w:hint="eastAsia"/>
          <w:b/>
          <w:sz w:val="28"/>
          <w:szCs w:val="28"/>
        </w:rPr>
      </w:r>
      <w:r/>
    </w:p>
    <w:p>
      <w:pPr>
        <w:pStyle w:val="670"/>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0"/>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670"/>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58"/>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ind w:firstLine="1800"/>
        <w:rPr>
          <w:rFonts w:hint="eastAsia" w:ascii="黑体" w:hAnsi="华文中宋" w:eastAsia="黑体" w:cs="Times New Roman"/>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cs="Times New Roman"/>
          <w:bCs/>
          <w:color w:val="000000"/>
          <w:sz w:val="30"/>
          <w:szCs w:val="30"/>
        </w:rPr>
        <w:t xml:space="preserve">：JSZC-320214-JZCG-G2026-0079</w:t>
      </w:r>
      <w:r>
        <w:rPr>
          <w:rFonts w:hint="eastAsia" w:ascii="黑体" w:hAnsi="华文中宋" w:eastAsia="黑体" w:cs="Times New Roman"/>
          <w:bCs/>
          <w:color w:val="000000"/>
          <w:sz w:val="30"/>
          <w:szCs w:val="30"/>
        </w:rPr>
      </w:r>
      <w:r/>
    </w:p>
    <w:p>
      <w:pPr>
        <w:pStyle w:val="670"/>
        <w:ind w:firstLine="1800"/>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项目名称：旺庄街道视频监控运营服务平台项目</w:t>
      </w:r>
      <w:r>
        <w:rPr>
          <w:rFonts w:hint="eastAsia" w:ascii="黑体" w:hAnsi="华文中宋" w:eastAsia="黑体" w:cs="Times New Roman"/>
          <w:bCs/>
          <w:color w:val="000000"/>
          <w:sz w:val="30"/>
          <w:szCs w:val="30"/>
        </w:rPr>
      </w:r>
      <w:r/>
    </w:p>
    <w:p>
      <w:pPr>
        <w:pStyle w:val="670"/>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0"/>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0"/>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0"/>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56"/>
        <w:ind w:firstLine="480"/>
        <w:tabs>
          <w:tab w:val="left" w:pos="360" w:leader="none"/>
        </w:tabs>
        <w:rPr>
          <w:rFonts w:hint="eastAsia"/>
          <w:sz w:val="24"/>
          <w:szCs w:val="24"/>
        </w:rPr>
      </w:pPr>
      <w:r>
        <w:rPr>
          <w:rFonts w:hint="eastAsia"/>
          <w:sz w:val="24"/>
          <w:szCs w:val="24"/>
        </w:rPr>
        <w:t xml:space="preserve">我公司（单位、</w:t>
      </w:r>
      <w:r>
        <w:rPr>
          <w:rFonts w:hint="eastAsia" w:ascii="Times New Roman" w:hAnsi="Times New Roman" w:eastAsia="宋体" w:cs="Times New Roman"/>
          <w:sz w:val="24"/>
          <w:szCs w:val="24"/>
        </w:rPr>
        <w:t xml:space="preserve">联合体）针对JSZC-320214-JZCG-G2026-0079项目</w:t>
      </w:r>
      <w:r>
        <w:rPr>
          <w:rFonts w:hint="eastAsia" w:ascii="宋体" w:hAnsi="宋体"/>
          <w:bCs/>
          <w:sz w:val="24"/>
          <w:szCs w:val="24"/>
        </w:rPr>
        <w:t xml:space="preserve">，兹授权：</w:t>
      </w:r>
      <w:r>
        <w:rPr>
          <w:rFonts w:hint="eastAsia"/>
          <w:sz w:val="24"/>
          <w:szCs w:val="24"/>
        </w:rPr>
      </w:r>
      <w:r/>
    </w:p>
    <w:p>
      <w:pPr>
        <w:pStyle w:val="756"/>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56"/>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56"/>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56"/>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56"/>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56"/>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56"/>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56"/>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56"/>
        <w:ind w:firstLine="0"/>
        <w:spacing w:line="360" w:lineRule="auto"/>
        <w:tabs>
          <w:tab w:val="left" w:pos="360" w:leader="none"/>
        </w:tabs>
        <w:rPr>
          <w:rFonts w:hint="eastAsia"/>
          <w:sz w:val="21"/>
          <w:szCs w:val="21"/>
        </w:rPr>
      </w:pPr>
      <w:r>
        <w:rPr>
          <w:rFonts w:hint="eastAsia"/>
          <w:sz w:val="21"/>
          <w:szCs w:val="21"/>
        </w:rPr>
      </w:r>
      <w:r/>
    </w:p>
    <w:p>
      <w:pPr>
        <w:pStyle w:val="756"/>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56"/>
        <w:numPr>
          <w:ilvl w:val="0"/>
          <w:numId w:val="10"/>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56"/>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56"/>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56"/>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56"/>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70"/>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0"/>
        <w:jc w:val="center"/>
        <w:spacing w:line="480" w:lineRule="auto"/>
        <w:rPr>
          <w:rFonts w:ascii="宋体"/>
          <w:bCs/>
          <w:color w:val="000000"/>
          <w:sz w:val="24"/>
          <w:szCs w:val="24"/>
        </w:rPr>
      </w:pPr>
      <w:r>
        <w:rPr>
          <w:rFonts w:ascii="宋体"/>
          <w:bCs/>
          <w:color w:val="000000"/>
          <w:sz w:val="24"/>
          <w:szCs w:val="24"/>
        </w:rPr>
      </w:r>
      <w:r/>
    </w:p>
    <w:p>
      <w:pPr>
        <w:pStyle w:val="670"/>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0"/>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Times New Roman" w:hAnsi="Times New Roman" w:eastAsia="宋体" w:cs="Times New Roman"/>
          <w:sz w:val="24"/>
          <w:szCs w:val="24"/>
        </w:rPr>
        <w:t xml:space="preserve">JSZC-320214-JZCG-G2026-0079</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7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0"/>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0"/>
        <w:spacing w:line="480" w:lineRule="auto"/>
        <w:rPr>
          <w:rFonts w:ascii="宋体"/>
          <w:bCs/>
          <w:color w:val="000000"/>
          <w:sz w:val="24"/>
          <w:szCs w:val="24"/>
        </w:rPr>
      </w:pPr>
      <w:r>
        <w:rPr>
          <w:rFonts w:ascii="宋体"/>
          <w:bCs/>
          <w:color w:val="000000"/>
          <w:sz w:val="24"/>
          <w:szCs w:val="24"/>
        </w:rPr>
      </w:r>
      <w:r/>
    </w:p>
    <w:p>
      <w:pPr>
        <w:pStyle w:val="670"/>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0"/>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670"/>
        <w:ind w:firstLine="560"/>
        <w:jc w:val="center"/>
        <w:spacing w:line="360" w:lineRule="auto"/>
        <w:rPr>
          <w:rFonts w:ascii="黑体" w:eastAsia="黑体"/>
          <w:bCs/>
          <w:color w:val="0000ff"/>
          <w:sz w:val="28"/>
          <w:szCs w:val="28"/>
        </w:rPr>
      </w:pPr>
      <w:r>
        <w:rPr>
          <w:rFonts w:ascii="黑体" w:eastAsia="黑体"/>
          <w:bCs/>
          <w:color w:val="0000ff"/>
          <w:sz w:val="28"/>
          <w:szCs w:val="28"/>
        </w:rPr>
        <w:t xml:space="preserve">中小企业声明函（服务）</w:t>
      </w:r>
      <w:r>
        <w:rPr>
          <w:rFonts w:ascii="黑体" w:eastAsia="黑体"/>
          <w:bCs/>
          <w:color w:val="0000ff"/>
          <w:sz w:val="28"/>
          <w:szCs w:val="28"/>
        </w:rPr>
      </w:r>
      <w:r/>
    </w:p>
    <w:p>
      <w:pPr>
        <w:pStyle w:val="670"/>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70"/>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0"/>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0"/>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670"/>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0"/>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0"/>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0"/>
        <w:ind w:firstLine="420"/>
        <w:spacing w:line="360" w:lineRule="auto"/>
        <w:rPr>
          <w:rFonts w:hint="eastAsia"/>
        </w:rPr>
      </w:pPr>
      <w:r>
        <w:rPr>
          <w:rFonts w:hint="eastAsia"/>
        </w:rPr>
      </w:r>
      <w:r/>
    </w:p>
    <w:p>
      <w:pPr>
        <w:pStyle w:val="670"/>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670"/>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0"/>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670"/>
        <w:ind w:firstLine="560"/>
        <w:jc w:val="center"/>
        <w:spacing w:line="360" w:lineRule="auto"/>
        <w:rPr>
          <w:rFonts w:hint="eastAsia" w:ascii="黑体" w:eastAsia="宋体"/>
          <w:bCs/>
          <w:color w:val="000000"/>
          <w:sz w:val="28"/>
          <w:szCs w:val="28"/>
          <w:highlight w:val="none"/>
          <w:lang w:eastAsia="zh-CN"/>
        </w:rPr>
      </w:pPr>
      <w:r>
        <w:rPr>
          <w:rFonts w:hint="eastAsia"/>
          <w:color w:val="00b050"/>
        </w:rPr>
        <w:br w:type="page" w:clear="all"/>
      </w:r>
      <w:r>
        <w:rPr>
          <w:rFonts w:hint="eastAsia" w:ascii="黑体" w:eastAsia="黑体"/>
          <w:bCs/>
          <w:color w:val="000000"/>
          <w:sz w:val="28"/>
          <w:szCs w:val="28"/>
          <w:highlight w:val="none"/>
        </w:rPr>
        <w:t xml:space="preserve">关于符合本国产品标准的声明函</w:t>
      </w:r>
      <w:r>
        <w:rPr>
          <w:rFonts w:hint="eastAsia" w:ascii="黑体" w:eastAsia="宋体"/>
          <w:bCs/>
          <w:color w:val="000000"/>
          <w:sz w:val="28"/>
          <w:szCs w:val="28"/>
          <w:highlight w:val="none"/>
          <w:lang w:eastAsia="zh-CN"/>
        </w:rPr>
      </w:r>
      <w:r/>
    </w:p>
    <w:p>
      <w:pPr>
        <w:pStyle w:val="670"/>
        <w:ind w:firstLine="420"/>
        <w:spacing w:line="360" w:lineRule="auto"/>
        <w:rPr>
          <w:color w:val="000000"/>
          <w:highlight w:val="none"/>
        </w:rPr>
      </w:pPr>
      <w:r>
        <w:rPr>
          <w:color w:val="000000"/>
          <w:highlight w:val="none"/>
        </w:rPr>
        <w:t xml:space="preserve"> </w:t>
      </w:r>
      <w:r>
        <w:rPr>
          <w:color w:val="000000"/>
          <w:highlight w:val="none"/>
        </w:rPr>
      </w:r>
      <w:r/>
    </w:p>
    <w:p>
      <w:pPr>
        <w:pStyle w:val="67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highlight w:val="none"/>
        </w:rPr>
      </w:r>
      <w:r/>
    </w:p>
    <w:p>
      <w:pPr>
        <w:pStyle w:val="67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67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670"/>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7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rPr>
          <w:rFonts w:hint="eastAsia" w:ascii="宋体" w:hAnsi="宋体"/>
          <w:bCs/>
          <w:color w:val="000000"/>
          <w:sz w:val="24"/>
          <w:szCs w:val="24"/>
          <w:highlight w:val="none"/>
        </w:rPr>
      </w:r>
      <w:r/>
    </w:p>
    <w:p>
      <w:pPr>
        <w:pStyle w:val="670"/>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670"/>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rPr>
          <w:rFonts w:ascii="宋体" w:hAnsi="宋体"/>
          <w:bCs/>
          <w:color w:val="000000"/>
          <w:sz w:val="24"/>
          <w:szCs w:val="24"/>
          <w:highlight w:val="none"/>
        </w:rPr>
      </w:r>
      <w:r/>
    </w:p>
    <w:p>
      <w:pPr>
        <w:pStyle w:val="670"/>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rPr>
          <w:rFonts w:hint="eastAsia" w:ascii="宋体" w:hAnsi="宋体"/>
          <w:bCs/>
          <w:color w:val="000000"/>
          <w:sz w:val="24"/>
          <w:szCs w:val="24"/>
          <w:highlight w:val="none"/>
        </w:rPr>
      </w:r>
      <w:r/>
    </w:p>
    <w:p>
      <w:pPr>
        <w:pStyle w:val="670"/>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rPr>
          <w:rFonts w:hint="eastAsia" w:ascii="inherit" w:hAnsi="inherit" w:eastAsia="仿宋" w:cs="宋体"/>
          <w:color w:val="000000"/>
          <w:sz w:val="28"/>
          <w:szCs w:val="28"/>
          <w:highlight w:val="none"/>
        </w:rPr>
      </w:r>
      <w:r/>
    </w:p>
    <w:p>
      <w:pPr>
        <w:pStyle w:val="670"/>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rPr>
          <w:rFonts w:hint="eastAsia" w:ascii="宋体" w:hAnsi="宋体" w:cs="宋体"/>
          <w:color w:val="000000"/>
          <w:sz w:val="18"/>
          <w:szCs w:val="18"/>
          <w:highlight w:val="none"/>
        </w:rPr>
      </w:r>
      <w:r/>
    </w:p>
    <w:p>
      <w:pPr>
        <w:pStyle w:val="670"/>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rPr>
          <w:rFonts w:hint="eastAsia" w:ascii="宋体" w:hAnsi="宋体" w:cs="宋体"/>
          <w:color w:val="000000"/>
          <w:sz w:val="18"/>
          <w:szCs w:val="18"/>
          <w:highlight w:val="none"/>
        </w:rPr>
      </w:r>
      <w:r/>
    </w:p>
    <w:p>
      <w:pPr>
        <w:pStyle w:val="670"/>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rPr>
          <w:rFonts w:hint="eastAsia" w:ascii="宋体" w:hAnsi="宋体" w:cs="宋体"/>
          <w:color w:val="000000"/>
          <w:sz w:val="18"/>
          <w:szCs w:val="18"/>
          <w:highlight w:val="none"/>
        </w:rPr>
      </w:r>
      <w:r/>
    </w:p>
    <w:p>
      <w:pPr>
        <w:pStyle w:val="670"/>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rPr>
          <w:rFonts w:hint="eastAsia" w:ascii="宋体" w:hAnsi="宋体" w:cs="宋体"/>
          <w:color w:val="000000"/>
          <w:sz w:val="18"/>
          <w:szCs w:val="18"/>
          <w:highlight w:val="none"/>
        </w:rPr>
      </w:r>
      <w:r/>
    </w:p>
    <w:p>
      <w:pPr>
        <w:pStyle w:val="670"/>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rPr>
          <w:rFonts w:ascii="宋体" w:hAnsi="宋体"/>
          <w:color w:val="000000"/>
          <w:sz w:val="18"/>
          <w:szCs w:val="18"/>
          <w:highlight w:val="none"/>
        </w:rPr>
      </w:r>
      <w:r/>
    </w:p>
    <w:p>
      <w:pPr>
        <w:pStyle w:val="670"/>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6.划删除线的地方无需填写。</w:t>
      </w:r>
      <w:r>
        <w:rPr>
          <w:rFonts w:hint="eastAsia" w:ascii="宋体" w:hAnsi="宋体" w:cs="宋体"/>
          <w:b/>
          <w:color w:val="000000"/>
          <w:sz w:val="18"/>
          <w:szCs w:val="18"/>
          <w:highlight w:val="none"/>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0"/>
        <w:ind w:firstLine="482"/>
        <w:spacing w:line="440" w:lineRule="exact"/>
        <w:rPr>
          <w:rFonts w:ascii="Arial" w:hAnsi="Arial"/>
          <w:b/>
          <w:sz w:val="24"/>
        </w:rPr>
      </w:pPr>
      <w:r>
        <w:rPr>
          <w:rFonts w:ascii="Arial" w:hAnsi="Arial"/>
          <w:b/>
          <w:sz w:val="24"/>
        </w:rPr>
      </w:r>
      <w:r/>
    </w:p>
    <w:p>
      <w:pPr>
        <w:pStyle w:val="670"/>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0"/>
        <w:jc w:val="center"/>
        <w:rPr>
          <w:rFonts w:ascii="黑体" w:eastAsia="黑体"/>
          <w:bCs/>
          <w:color w:val="000000"/>
          <w:sz w:val="28"/>
          <w:szCs w:val="28"/>
        </w:rPr>
      </w:pPr>
      <w:r>
        <w:rPr>
          <w:rFonts w:ascii="黑体" w:eastAsia="黑体"/>
          <w:bCs/>
          <w:color w:val="000000"/>
          <w:sz w:val="28"/>
          <w:szCs w:val="28"/>
        </w:rPr>
      </w:r>
      <w:r/>
    </w:p>
    <w:p>
      <w:pPr>
        <w:pStyle w:val="67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0"/>
        <w:ind w:firstLine="480"/>
        <w:spacing w:line="580" w:lineRule="exact"/>
        <w:rPr>
          <w:rFonts w:ascii="宋体" w:hAnsi="宋体"/>
          <w:bCs/>
          <w:color w:val="000000"/>
          <w:sz w:val="24"/>
          <w:szCs w:val="24"/>
        </w:rPr>
      </w:pPr>
      <w:r>
        <w:rPr>
          <w:rFonts w:ascii="宋体" w:hAnsi="宋体"/>
          <w:bCs/>
          <w:color w:val="000000"/>
          <w:sz w:val="24"/>
          <w:szCs w:val="24"/>
        </w:rPr>
      </w:r>
      <w:r/>
    </w:p>
    <w:p>
      <w:pPr>
        <w:pStyle w:val="670"/>
        <w:ind w:firstLine="480"/>
        <w:spacing w:line="580" w:lineRule="exact"/>
        <w:rPr>
          <w:rFonts w:ascii="宋体" w:hAnsi="宋体"/>
          <w:bCs/>
          <w:color w:val="000000"/>
          <w:sz w:val="24"/>
          <w:szCs w:val="24"/>
        </w:rPr>
      </w:pPr>
      <w:r>
        <w:rPr>
          <w:rFonts w:ascii="宋体" w:hAnsi="宋体"/>
          <w:bCs/>
          <w:color w:val="000000"/>
          <w:sz w:val="24"/>
          <w:szCs w:val="24"/>
        </w:rPr>
      </w:r>
      <w:r/>
    </w:p>
    <w:p>
      <w:pPr>
        <w:pStyle w:val="670"/>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0"/>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0"/>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0"/>
        <w:spacing w:line="360" w:lineRule="auto"/>
        <w:rPr>
          <w:rFonts w:hint="eastAsia"/>
          <w:b/>
          <w:sz w:val="30"/>
          <w:szCs w:val="30"/>
        </w:rPr>
      </w:pPr>
      <w:r>
        <w:rPr>
          <w:rFonts w:hint="eastAsia"/>
          <w:b/>
          <w:sz w:val="30"/>
          <w:szCs w:val="30"/>
        </w:rPr>
      </w:r>
      <w:r/>
    </w:p>
    <w:p>
      <w:pPr>
        <w:pStyle w:val="670"/>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0"/>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0"/>
        <w:ind w:firstLine="480"/>
        <w:spacing w:line="400" w:lineRule="exact"/>
        <w:rPr>
          <w:rFonts w:ascii="宋体"/>
          <w:bCs/>
          <w:color w:val="000000"/>
          <w:sz w:val="24"/>
          <w:szCs w:val="24"/>
        </w:rPr>
      </w:pPr>
      <w:r>
        <w:rPr>
          <w:rFonts w:ascii="宋体"/>
          <w:bCs/>
          <w:color w:val="000000"/>
          <w:sz w:val="24"/>
          <w:szCs w:val="24"/>
        </w:rPr>
      </w:r>
      <w:r/>
    </w:p>
    <w:p>
      <w:pPr>
        <w:pStyle w:val="670"/>
        <w:ind w:firstLine="480"/>
        <w:spacing w:line="400" w:lineRule="exact"/>
        <w:rPr>
          <w:rFonts w:ascii="宋体"/>
          <w:bCs/>
          <w:color w:val="000000"/>
          <w:sz w:val="24"/>
          <w:szCs w:val="24"/>
        </w:rPr>
      </w:pPr>
      <w:r>
        <w:rPr>
          <w:rFonts w:hint="eastAsia" w:ascii="宋体" w:hAnsi="宋体"/>
          <w:bCs/>
          <w:color w:val="000000"/>
          <w:sz w:val="24"/>
          <w:szCs w:val="24"/>
        </w:rPr>
        <w:t xml:space="preserve">我方收到</w:t>
      </w:r>
      <w:r>
        <w:rPr>
          <w:rFonts w:hint="eastAsia" w:ascii="宋体" w:hAnsi="宋体" w:eastAsia="宋体" w:cs="Times New Roman"/>
          <w:bCs/>
          <w:color w:val="000000"/>
          <w:sz w:val="24"/>
          <w:szCs w:val="24"/>
        </w:rPr>
        <w:t xml:space="preserve">贵方JSZC-320214-JZCG-G2026-0079招标</w:t>
      </w:r>
      <w:r>
        <w:rPr>
          <w:rFonts w:hint="eastAsia" w:ascii="宋体" w:hAnsi="宋体"/>
          <w:bCs/>
          <w:color w:val="000000"/>
          <w:sz w:val="24"/>
          <w:szCs w:val="24"/>
        </w:rPr>
        <w:t xml:space="preserve">文件，经仔细阅读和研究，我方决定参加此项目的投标。</w:t>
      </w:r>
      <w:r>
        <w:rPr>
          <w:rFonts w:ascii="宋体"/>
          <w:bCs/>
          <w:color w:val="000000"/>
          <w:sz w:val="24"/>
          <w:szCs w:val="24"/>
        </w:rPr>
      </w:r>
      <w:r/>
    </w:p>
    <w:p>
      <w:pPr>
        <w:pStyle w:val="670"/>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0"/>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44"/>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44"/>
          <w:bCs/>
          <w:color w:val="000000"/>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0"/>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0"/>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0"/>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0"/>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670"/>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670"/>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eastAsia="宋体" w:cs="Times New Roman"/>
          <w:bCs/>
          <w:color w:val="000000"/>
          <w:sz w:val="24"/>
          <w:szCs w:val="24"/>
        </w:rPr>
        <w:t xml:space="preserve">JSZC-320214-JZCG-G2026-0079在此承诺</w:t>
      </w:r>
      <w:r>
        <w:rPr>
          <w:rFonts w:hint="eastAsia" w:ascii="宋体" w:hAnsi="宋体"/>
          <w:sz w:val="24"/>
          <w:szCs w:val="24"/>
        </w:rPr>
        <w:t xml:space="preserve">：</w:t>
      </w:r>
      <w:r>
        <w:rPr>
          <w:rFonts w:ascii="宋体" w:hAnsi="宋体"/>
          <w:sz w:val="24"/>
          <w:szCs w:val="24"/>
        </w:rPr>
      </w:r>
      <w:r/>
    </w:p>
    <w:p>
      <w:pPr>
        <w:pStyle w:val="670"/>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670"/>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670"/>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670"/>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670"/>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670"/>
        <w:ind w:firstLine="480"/>
        <w:spacing w:line="480" w:lineRule="auto"/>
        <w:rPr>
          <w:rFonts w:hint="eastAsia" w:ascii="宋体"/>
          <w:bCs/>
          <w:color w:val="ff0000"/>
          <w:sz w:val="24"/>
          <w:szCs w:val="24"/>
        </w:rPr>
      </w:pPr>
      <w:r>
        <w:rPr>
          <w:rFonts w:hint="eastAsia" w:ascii="宋体"/>
          <w:bCs/>
          <w:color w:val="ff0000"/>
          <w:sz w:val="24"/>
          <w:szCs w:val="24"/>
        </w:rPr>
      </w:r>
      <w:r/>
    </w:p>
    <w:p>
      <w:pPr>
        <w:pStyle w:val="670"/>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670"/>
        <w:ind w:firstLine="480"/>
        <w:spacing w:line="480" w:lineRule="auto"/>
        <w:rPr>
          <w:rFonts w:hint="eastAsia" w:ascii="宋体"/>
          <w:bCs/>
          <w:color w:val="ff0000"/>
          <w:sz w:val="24"/>
          <w:szCs w:val="24"/>
        </w:rPr>
      </w:pPr>
      <w:r>
        <w:rPr>
          <w:rFonts w:hint="eastAsia" w:ascii="宋体"/>
          <w:bCs/>
          <w:color w:val="ff0000"/>
          <w:sz w:val="24"/>
          <w:szCs w:val="24"/>
        </w:rPr>
      </w:r>
      <w:r/>
    </w:p>
    <w:p>
      <w:pPr>
        <w:pStyle w:val="670"/>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670"/>
        <w:ind w:firstLine="5400"/>
        <w:spacing w:line="480" w:lineRule="auto"/>
        <w:rPr>
          <w:rFonts w:ascii="宋体" w:hAnsi="宋体"/>
          <w:bCs/>
          <w:sz w:val="24"/>
          <w:szCs w:val="24"/>
        </w:rPr>
      </w:pPr>
      <w:r>
        <w:rPr>
          <w:rFonts w:ascii="宋体" w:hAnsi="宋体"/>
          <w:bCs/>
          <w:sz w:val="24"/>
          <w:szCs w:val="24"/>
        </w:rPr>
      </w:r>
      <w:r/>
    </w:p>
    <w:p>
      <w:pPr>
        <w:pStyle w:val="670"/>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670"/>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70"/>
        <w:ind w:firstLine="482"/>
        <w:spacing w:line="440" w:lineRule="exact"/>
        <w:rPr>
          <w:rFonts w:hint="eastAsia" w:ascii="Arial" w:hAnsi="Arial"/>
          <w:b/>
          <w:sz w:val="24"/>
        </w:rPr>
      </w:pPr>
      <w:r>
        <w:rPr>
          <w:rFonts w:hint="eastAsia" w:ascii="Arial" w:hAnsi="Arial"/>
          <w:b/>
          <w:sz w:val="24"/>
        </w:rPr>
      </w:r>
      <w:r/>
    </w:p>
    <w:p>
      <w:pPr>
        <w:pStyle w:val="670"/>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0"/>
        <w:jc w:val="center"/>
        <w:rPr>
          <w:rFonts w:ascii="黑体" w:eastAsia="黑体"/>
          <w:bCs/>
          <w:color w:val="000000"/>
          <w:sz w:val="28"/>
          <w:szCs w:val="28"/>
        </w:rPr>
        <w:outlineLvl w:val="0"/>
      </w:pPr>
      <w:r>
        <w:rPr>
          <w:rFonts w:ascii="黑体" w:eastAsia="黑体"/>
          <w:bCs/>
          <w:color w:val="000000"/>
          <w:sz w:val="28"/>
          <w:szCs w:val="28"/>
        </w:rPr>
      </w:r>
      <w:r/>
    </w:p>
    <w:p>
      <w:pPr>
        <w:pStyle w:val="670"/>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hint="eastAsia" w:ascii="黑体" w:hAnsi="Times New Roman" w:eastAsia="黑体" w:cs="Times New Roman"/>
          <w:bCs/>
          <w:color w:val="000000"/>
          <w:sz w:val="24"/>
          <w:szCs w:val="24"/>
        </w:rPr>
        <w:t xml:space="preserve">：JSZC-320214-JZCG-G2026-0079</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0"/>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0"/>
              <w:jc w:val="center"/>
              <w:rPr>
                <w:rFonts w:ascii="宋体"/>
                <w:b/>
                <w:bCs/>
                <w:color w:val="000000"/>
                <w:sz w:val="24"/>
                <w:szCs w:val="24"/>
              </w:rPr>
            </w:pPr>
            <w:r>
              <w:rPr>
                <w:rFonts w:hint="eastAsia" w:ascii="宋体" w:hAnsi="宋体" w:eastAsia="宋体" w:cs="Times New Roman"/>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670"/>
              <w:jc w:val="center"/>
              <w:rPr>
                <w:rFonts w:hAnsi="宋体"/>
                <w:bCs/>
                <w:color w:val="000000"/>
                <w:szCs w:val="24"/>
              </w:rPr>
            </w:pPr>
            <w:r>
              <w:rPr>
                <w:rFonts w:hint="eastAsia" w:ascii="黑体" w:hAnsi="Times New Roman" w:eastAsia="黑体" w:cs="Times New Roman"/>
                <w:color w:val="000000"/>
                <w:sz w:val="24"/>
              </w:rPr>
              <w:t xml:space="preserve">旺庄街道视频监控运营服务平台项目</w:t>
            </w:r>
            <w:r>
              <w:rPr>
                <w:rFonts w:hAnsi="宋体"/>
                <w:bCs/>
                <w:color w:val="000000"/>
                <w:szCs w:val="24"/>
              </w:rPr>
            </w:r>
            <w:r/>
          </w:p>
        </w:tc>
        <w:tc>
          <w:tcPr>
            <w:tcW w:w="3188" w:type="dxa"/>
            <w:vAlign w:val="center"/>
            <w:textDirection w:val="lrTb"/>
            <w:noWrap w:val="false"/>
          </w:tcPr>
          <w:p>
            <w:pPr>
              <w:pStyle w:val="784"/>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70"/>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670"/>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7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0"/>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70"/>
        <w:numPr>
          <w:ilvl w:val="0"/>
          <w:numId w:val="12"/>
        </w:num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分项</w:t>
      </w:r>
      <w:r>
        <w:rPr>
          <w:b/>
          <w:sz w:val="28"/>
          <w:szCs w:val="28"/>
        </w:rPr>
        <w:t xml:space="preserve">报价表</w:t>
      </w:r>
      <w:r>
        <w:rPr>
          <w:rFonts w:hint="eastAsia"/>
          <w:b/>
          <w:sz w:val="28"/>
          <w:szCs w:val="28"/>
        </w:rPr>
        <w:t xml:space="preserve">（给定格式）：</w:t>
      </w:r>
      <w:bookmarkEnd w:id="197"/>
      <w:r/>
      <w:bookmarkEnd w:id="198"/>
      <w:r/>
      <w:bookmarkEnd w:id="199"/>
      <w:r/>
      <w:bookmarkStart w:id="202" w:name="_Toc120614284"/>
      <w:r>
        <w:rPr>
          <w:rFonts w:hint="eastAsia"/>
          <w:b/>
          <w:sz w:val="28"/>
          <w:szCs w:val="28"/>
        </w:rPr>
      </w:r>
      <w:r/>
    </w:p>
    <w:p>
      <w:pPr>
        <w:pStyle w:val="670"/>
        <w:numPr>
          <w:ilvl w:val="0"/>
          <w:numId w:val="0"/>
        </w:numPr>
        <w:jc w:val="center"/>
        <w:spacing w:line="360" w:lineRule="auto"/>
        <w:rPr>
          <w:rFonts w:ascii="黑体" w:eastAsia="黑体"/>
          <w:bCs/>
          <w:color w:val="000000"/>
          <w:sz w:val="28"/>
          <w:szCs w:val="28"/>
        </w:rPr>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670"/>
        <w:spacing w:line="400" w:lineRule="exact"/>
        <w:rPr>
          <w:rFonts w:hint="eastAsia" w:ascii="黑体" w:hAnsi="Times New Roman" w:eastAsia="黑体" w:cs="Times New Roman"/>
          <w:bCs/>
          <w:color w:val="000000"/>
          <w:sz w:val="24"/>
          <w:szCs w:val="24"/>
        </w:rPr>
      </w:pPr>
      <w:r>
        <w:rPr>
          <w:rFonts w:hint="eastAsia" w:ascii="黑体" w:hAnsi="Times New Roman" w:eastAsia="黑体" w:cs="Times New Roman"/>
          <w:bCs/>
          <w:color w:val="000000"/>
          <w:sz w:val="24"/>
          <w:szCs w:val="24"/>
        </w:rPr>
        <w:t xml:space="preserve">项目编号：JSZC-320214-JZCG-G2026-0079</w:t>
      </w:r>
      <w:r>
        <w:rPr>
          <w:rFonts w:hint="eastAsia" w:ascii="黑体" w:hAnsi="Times New Roman" w:eastAsia="黑体" w:cs="Times New Roman"/>
          <w:bCs/>
          <w:color w:val="000000"/>
          <w:sz w:val="24"/>
          <w:szCs w:val="24"/>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670"/>
              <w:spacing w:before="5"/>
              <w:rPr>
                <w:sz w:val="18"/>
              </w:rPr>
            </w:pPr>
            <w:r>
              <w:rPr>
                <w:rFonts w:hint="eastAsia"/>
                <w:b/>
                <w:bCs/>
                <w:sz w:val="24"/>
                <w:szCs w:val="24"/>
              </w:rPr>
              <w:t xml:space="preserve">货物部分</w:t>
            </w:r>
            <w:r>
              <w:rPr>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70"/>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670"/>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670"/>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670"/>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670"/>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670"/>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670"/>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670"/>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670"/>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19"/>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719"/>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719"/>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670"/>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70"/>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0"/>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70"/>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670"/>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19"/>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670"/>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70"/>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0"/>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670"/>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670"/>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19"/>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670"/>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70"/>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0"/>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670"/>
              <w:spacing w:before="5"/>
              <w:rPr>
                <w:rFonts w:hint="eastAsia"/>
                <w:b/>
                <w:bCs/>
                <w:sz w:val="24"/>
                <w:szCs w:val="24"/>
              </w:rPr>
            </w:pPr>
            <w:r>
              <w:rPr>
                <w:rFonts w:hint="eastAsia"/>
                <w:b/>
                <w:bCs/>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670"/>
              <w:spacing w:before="5"/>
              <w:rPr>
                <w:rFonts w:hint="eastAsia"/>
                <w:sz w:val="18"/>
              </w:rPr>
            </w:pPr>
            <w:r>
              <w:rPr>
                <w:rFonts w:hint="eastAsia"/>
                <w:b/>
                <w:bCs/>
                <w:sz w:val="24"/>
                <w:szCs w:val="24"/>
              </w:rPr>
              <w:t xml:space="preserve">服务部分</w:t>
            </w:r>
            <w:r>
              <w:rPr>
                <w:rFonts w:hint="eastAsia"/>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70"/>
              <w:jc w:val="center"/>
              <w:spacing w:before="5"/>
              <w:rPr>
                <w:sz w:val="18"/>
              </w:rPr>
            </w:pPr>
            <w:r>
              <w:rPr>
                <w:rFonts w:hint="eastAsia"/>
                <w:sz w:val="18"/>
              </w:rPr>
              <w:t xml:space="preserve">序号</w:t>
            </w:r>
            <w:r>
              <w:rPr>
                <w:sz w:val="18"/>
              </w:rPr>
            </w:r>
            <w:r/>
          </w:p>
        </w:tc>
        <w:tc>
          <w:tcPr>
            <w:gridSpan w:val="4"/>
            <w:tcMar>
              <w:left w:w="15" w:type="dxa"/>
              <w:top w:w="15" w:type="dxa"/>
              <w:right w:w="15" w:type="dxa"/>
              <w:bottom w:w="0" w:type="dxa"/>
            </w:tcMar>
            <w:tcW w:w="5639" w:type="dxa"/>
            <w:vAlign w:val="center"/>
            <w:textDirection w:val="lrTb"/>
            <w:noWrap/>
          </w:tcPr>
          <w:p>
            <w:pPr>
              <w:pStyle w:val="670"/>
              <w:jc w:val="center"/>
              <w:spacing w:before="5"/>
              <w:rPr>
                <w:rFonts w:hint="eastAsia"/>
                <w:sz w:val="18"/>
              </w:rPr>
            </w:pPr>
            <w:r>
              <w:rPr>
                <w:rFonts w:hint="eastAsia"/>
                <w:sz w:val="18"/>
              </w:rPr>
              <w:t xml:space="preserve">服务内容</w:t>
            </w:r>
            <w:r>
              <w:rPr>
                <w:rFonts w:hint="eastAsia"/>
                <w:sz w:val="18"/>
              </w:rPr>
            </w:r>
            <w:r/>
          </w:p>
        </w:tc>
        <w:tc>
          <w:tcPr>
            <w:tcW w:w="1276" w:type="dxa"/>
            <w:vAlign w:val="center"/>
            <w:textDirection w:val="lrTb"/>
            <w:noWrap w:val="false"/>
          </w:tcPr>
          <w:p>
            <w:pPr>
              <w:pStyle w:val="670"/>
              <w:jc w:val="center"/>
              <w:spacing w:before="5"/>
              <w:rPr>
                <w:rFonts w:hint="eastAsia"/>
                <w:sz w:val="18"/>
              </w:rPr>
            </w:pPr>
            <w:r>
              <w:rPr>
                <w:rFonts w:hint="eastAsia"/>
                <w:sz w:val="18"/>
              </w:rPr>
              <w:t xml:space="preserve">数量</w:t>
            </w:r>
            <w:r>
              <w:rPr>
                <w:rFonts w:hint="eastAsia"/>
                <w:sz w:val="18"/>
              </w:rPr>
            </w:r>
            <w:r/>
          </w:p>
        </w:tc>
        <w:tc>
          <w:tcPr>
            <w:tcMar>
              <w:left w:w="15" w:type="dxa"/>
              <w:top w:w="15" w:type="dxa"/>
              <w:right w:w="15" w:type="dxa"/>
              <w:bottom w:w="0" w:type="dxa"/>
            </w:tcMar>
            <w:tcW w:w="992" w:type="dxa"/>
            <w:vAlign w:val="center"/>
            <w:textDirection w:val="lrTb"/>
            <w:noWrap/>
          </w:tcPr>
          <w:p>
            <w:pPr>
              <w:pStyle w:val="670"/>
              <w:jc w:val="center"/>
              <w:spacing w:before="5"/>
              <w:rPr>
                <w:rFonts w:hint="eastAsia"/>
                <w:sz w:val="18"/>
              </w:rPr>
            </w:pPr>
            <w:r>
              <w:rPr>
                <w:rFonts w:hint="eastAsia"/>
                <w:sz w:val="18"/>
              </w:rPr>
              <w:t xml:space="preserve">单位</w:t>
            </w:r>
            <w:r>
              <w:rPr>
                <w:rFonts w:hint="eastAsia"/>
                <w:sz w:val="18"/>
              </w:rPr>
            </w:r>
            <w:r/>
          </w:p>
        </w:tc>
        <w:tc>
          <w:tcPr>
            <w:tcW w:w="709" w:type="dxa"/>
            <w:vAlign w:val="center"/>
            <w:textDirection w:val="lrTb"/>
            <w:noWrap w:val="false"/>
          </w:tcPr>
          <w:p>
            <w:pPr>
              <w:pStyle w:val="670"/>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670"/>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19"/>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670"/>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0"/>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70"/>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670"/>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0"/>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670"/>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670"/>
              <w:jc w:val="center"/>
              <w:rPr>
                <w:rFonts w:hint="eastAsia" w:ascii="黑体" w:eastAsia="黑体"/>
                <w:b/>
                <w:bCs/>
                <w:color w:val="000000"/>
              </w:rPr>
            </w:pPr>
            <w:r>
              <w:rPr>
                <w:rFonts w:ascii="宋体"/>
                <w:color w:val="000000"/>
              </w:rPr>
              <w:t xml:space="preserve">……</w:t>
            </w:r>
            <w:r>
              <w:rPr>
                <w:rFonts w:hint="eastAsia" w:ascii="黑体" w:eastAsia="黑体"/>
                <w:b/>
                <w:bCs/>
                <w:color w:val="000000"/>
              </w:rPr>
            </w:r>
            <w:r/>
          </w:p>
        </w:tc>
        <w:tc>
          <w:tcPr>
            <w:tcW w:w="1276"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0"/>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0"/>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gridSpan w:val="9"/>
            <w:tcMar>
              <w:left w:w="15" w:type="dxa"/>
              <w:top w:w="15" w:type="dxa"/>
              <w:right w:w="15" w:type="dxa"/>
              <w:bottom w:w="0" w:type="dxa"/>
            </w:tcMar>
            <w:tcW w:w="9975" w:type="dxa"/>
            <w:vAlign w:val="center"/>
            <w:textDirection w:val="lrTb"/>
            <w:noWrap/>
          </w:tcPr>
          <w:p>
            <w:pPr>
              <w:pStyle w:val="670"/>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rPr>
                <w:rFonts w:hint="eastAsia" w:ascii="楷体" w:hAnsi="楷体" w:eastAsia="楷体"/>
                <w:bCs/>
                <w:color w:val="000000"/>
                <w:sz w:val="28"/>
                <w:szCs w:val="28"/>
                <w:highlight w:val="none"/>
              </w:rPr>
            </w:r>
            <w:r/>
          </w:p>
          <w:p>
            <w:pPr>
              <w:pStyle w:val="670"/>
              <w:jc w:val="left"/>
              <w:rPr>
                <w:rFonts w:ascii="黑体" w:hAnsi="宋体" w:eastAsia="黑体"/>
                <w:b/>
                <w:bCs/>
                <w:color w:val="000000"/>
                <w:sz w:val="24"/>
                <w:szCs w:val="24"/>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rPr>
                <w:rFonts w:ascii="黑体" w:hAnsi="宋体" w:eastAsia="黑体"/>
                <w:b/>
                <w:bCs/>
                <w:color w:val="000000"/>
                <w:sz w:val="24"/>
                <w:szCs w:val="24"/>
              </w:rPr>
            </w:r>
            <w:r/>
          </w:p>
        </w:tc>
      </w:tr>
    </w:tbl>
    <w:p>
      <w:pPr>
        <w:pStyle w:val="670"/>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670"/>
        <w:spacing w:line="400" w:lineRule="exact"/>
        <w:rPr>
          <w:rFonts w:hint="eastAsia" w:ascii="宋体" w:hAnsi="宋体"/>
          <w:b/>
          <w:color w:val="000000"/>
        </w:rPr>
        <w:outlineLvl w:val="0"/>
      </w:pPr>
      <w:r>
        <w:rPr>
          <w:rFonts w:hint="eastAsia" w:ascii="宋体" w:hAnsi="宋体"/>
          <w:b/>
          <w:color w:val="000000"/>
        </w:rPr>
      </w:r>
      <w:r/>
    </w:p>
    <w:p>
      <w:pPr>
        <w:pStyle w:val="670"/>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ff"/>
        </w:rPr>
        <w:t xml:space="preserve">投标人本项目提供的服务全部由符合政策要求的中小企业承接的，须提供按格式填写的《中小企业声明函》（服务）；</w:t>
      </w:r>
      <w:r>
        <w:rPr>
          <w:rFonts w:hint="eastAsia" w:ascii="宋体"/>
          <w:bCs/>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无锡市公共资源交易中心新吴分中心</w:t>
      </w:r>
      <w:r>
        <w:rPr>
          <w:rFonts w:hint="eastAsia" w:ascii="宋体"/>
          <w:bCs/>
        </w:rPr>
        <w:t xml:space="preserve">有权将相关内容进行公示；</w:t>
      </w:r>
      <w:r>
        <w:rPr>
          <w:rFonts w:ascii="宋体"/>
          <w:bCs/>
          <w:color w:val="000000"/>
        </w:rPr>
      </w:r>
      <w:r/>
    </w:p>
    <w:p>
      <w:pPr>
        <w:pStyle w:val="670"/>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rPr>
        <w:t xml:space="preserve">采购需求</w:t>
      </w:r>
      <w:r>
        <w:rPr>
          <w:rFonts w:hint="eastAsia" w:ascii="宋体" w:hAnsi="宋体"/>
          <w:bCs/>
          <w:color w:val="000000"/>
        </w:rPr>
        <w:t xml:space="preserve">”的内容在上表中详细填写；</w:t>
      </w:r>
      <w:r>
        <w:rPr>
          <w:rFonts w:ascii="宋体"/>
          <w:bCs/>
          <w:color w:val="000000"/>
        </w:rPr>
      </w:r>
      <w:r/>
    </w:p>
    <w:p>
      <w:pPr>
        <w:pStyle w:val="670"/>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670"/>
        <w:ind w:firstLine="315"/>
        <w:spacing w:line="400" w:lineRule="exact"/>
        <w:rPr>
          <w:rFonts w:hint="eastAsia" w:ascii="宋体" w:hAnsi="宋体"/>
          <w:bCs/>
          <w:color w:val="000000"/>
          <w:highlight w:val="yellow"/>
        </w:rPr>
        <w:outlineLvl w:val="0"/>
      </w:pPr>
      <w:r>
        <w:rPr>
          <w:rFonts w:hint="eastAsia" w:ascii="宋体" w:hAnsi="宋体"/>
          <w:bCs/>
          <w:color w:val="000000"/>
          <w:highlight w:val="yellow"/>
        </w:rPr>
        <w:t xml:space="preserve">（4）</w:t>
      </w:r>
      <w:r>
        <w:rPr>
          <w:rFonts w:hint="eastAsia" w:ascii="宋体" w:hAnsi="宋体"/>
          <w:bCs/>
          <w:color w:val="000000"/>
          <w:highlight w:val="yellow"/>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highlight w:val="yellow"/>
        </w:rPr>
      </w:r>
      <w:r/>
    </w:p>
    <w:p>
      <w:pPr>
        <w:pStyle w:val="670"/>
        <w:ind w:firstLine="315"/>
        <w:spacing w:line="400" w:lineRule="exact"/>
        <w:rPr>
          <w:rFonts w:hint="eastAsia" w:ascii="宋体" w:hAnsi="宋体"/>
          <w:bCs/>
          <w:color w:val="000000"/>
          <w:highlight w:val="yellow"/>
          <w:u w:val="single"/>
        </w:rPr>
        <w:outlineLvl w:val="0"/>
      </w:pPr>
      <w:r>
        <w:rPr>
          <w:rFonts w:hint="eastAsia" w:ascii="宋体" w:hAnsi="宋体"/>
          <w:bCs/>
          <w:color w:val="000000"/>
          <w:highlight w:val="yellow"/>
          <w:u w:val="single"/>
        </w:rPr>
        <w:t xml:space="preserve">特别注意！！“符合本国产品标准的产品成本之和”是指本项目或采购包中符合本国产品标准的</w:t>
      </w:r>
      <w:r>
        <w:rPr>
          <w:rFonts w:hint="eastAsia" w:ascii="宋体" w:hAnsi="宋体"/>
          <w:b/>
          <w:bCs/>
          <w:color w:val="000000"/>
          <w:highlight w:val="yellow"/>
          <w:u w:val="single"/>
        </w:rPr>
        <w:t xml:space="preserve">货物成本之和</w:t>
      </w:r>
      <w:r>
        <w:rPr>
          <w:rFonts w:hint="eastAsia" w:ascii="宋体" w:hAnsi="宋体"/>
          <w:bCs/>
          <w:color w:val="000000"/>
          <w:highlight w:val="yellow"/>
          <w:u w:val="single"/>
        </w:rPr>
        <w:t xml:space="preserve">；“全部产品成本之和”是指货物或服务项目（或者采购包）中包含的</w:t>
      </w:r>
      <w:r>
        <w:rPr>
          <w:rFonts w:hint="eastAsia" w:ascii="宋体" w:hAnsi="宋体"/>
          <w:b/>
          <w:bCs/>
          <w:color w:val="000000"/>
          <w:highlight w:val="yellow"/>
          <w:u w:val="single"/>
        </w:rPr>
        <w:t xml:space="preserve">全部货物、服务产品的成本之和</w:t>
      </w:r>
      <w:r>
        <w:rPr>
          <w:rFonts w:hint="eastAsia" w:ascii="宋体" w:hAnsi="宋体"/>
          <w:bCs/>
          <w:color w:val="000000"/>
          <w:highlight w:val="yellow"/>
          <w:u w:val="single"/>
        </w:rPr>
        <w:t xml:space="preserve">。</w:t>
      </w:r>
      <w:r>
        <w:rPr>
          <w:rFonts w:hint="eastAsia" w:ascii="宋体" w:hAnsi="宋体"/>
          <w:bCs/>
          <w:color w:val="000000"/>
          <w:highlight w:val="yellow"/>
          <w:u w:val="single"/>
        </w:rPr>
      </w:r>
      <w:r/>
    </w:p>
    <w:p>
      <w:pPr>
        <w:pStyle w:val="670"/>
        <w:ind w:right="65"/>
        <w:spacing w:before="1" w:line="334" w:lineRule="auto"/>
        <w:rPr>
          <w:rFonts w:ascii="宋体" w:hAnsi="宋体" w:eastAsia="宋体" w:cs="宋体"/>
          <w:lang w:eastAsia="zh-CN"/>
        </w:rPr>
      </w:pPr>
      <w:r>
        <w:rPr>
          <w:rFonts w:ascii="宋体" w:hAnsi="宋体" w:eastAsia="宋体" w:cs="宋体"/>
          <w:lang w:eastAsia="zh-CN"/>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sz w:val="28"/>
          <w:szCs w:val="28"/>
        </w:rPr>
      </w:pPr>
      <w:r>
        <w:rPr>
          <w:rFonts w:hint="eastAsia"/>
          <w:b/>
          <w:sz w:val="28"/>
          <w:szCs w:val="28"/>
        </w:rPr>
      </w:r>
      <w:r/>
    </w:p>
    <w:p>
      <w:pPr>
        <w:pStyle w:val="670"/>
        <w:spacing w:line="360" w:lineRule="auto"/>
        <w:rPr>
          <w:rFonts w:hint="eastAsia"/>
          <w:b/>
          <w:color w:val="000000"/>
          <w:sz w:val="28"/>
          <w:szCs w:val="28"/>
        </w:rPr>
      </w:pP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rPr>
          <w:rFonts w:hint="eastAsia"/>
          <w:b/>
          <w:color w:val="000000"/>
          <w:sz w:val="28"/>
          <w:szCs w:val="28"/>
        </w:rPr>
      </w:r>
      <w:r/>
    </w:p>
    <w:p>
      <w:pPr>
        <w:pStyle w:val="670"/>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0"/>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0"/>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0"/>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0"/>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ascii="Segoe UI" w:hAnsi="Segoe UI" w:eastAsia="Segoe UI" w:cs="Segoe UI"/>
          <w:i w:val="0"/>
          <w:iCs w:val="0"/>
          <w:caps w:val="0"/>
          <w:color w:val="000000"/>
          <w:spacing w:val="0"/>
          <w:sz w:val="21"/>
          <w:szCs w:val="21"/>
          <w:u w:val="none"/>
        </w:rPr>
        <w:t xml:space="preserve">JSZC-320214-JZCG-G2026-0079</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0"/>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0"/>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0"/>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0"/>
              <w:jc w:val="center"/>
              <w:rPr>
                <w:rFonts w:ascii="宋体"/>
                <w:bCs/>
                <w:color w:val="000000"/>
              </w:rPr>
            </w:pPr>
            <w:r>
              <w:rPr>
                <w:rFonts w:ascii="宋体"/>
                <w:bCs/>
                <w:color w:val="000000"/>
              </w:rPr>
            </w:r>
            <w:r/>
          </w:p>
        </w:tc>
      </w:tr>
    </w:tbl>
    <w:p>
      <w:pPr>
        <w:pStyle w:val="670"/>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0"/>
        <w:rPr>
          <w:rFonts w:ascii="宋体"/>
          <w:bCs/>
          <w:color w:val="000000"/>
          <w:sz w:val="30"/>
        </w:rPr>
      </w:pPr>
      <w:r>
        <w:rPr>
          <w:rFonts w:ascii="宋体"/>
          <w:bCs/>
          <w:color w:val="000000"/>
          <w:sz w:val="30"/>
        </w:rPr>
      </w:r>
      <w:r/>
    </w:p>
    <w:p>
      <w:pPr>
        <w:pStyle w:val="670"/>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0"/>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670"/>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Hlt26609389"/>
      <w:r/>
      <w:bookmarkEnd w:id="203"/>
      <w:r/>
      <w:bookmarkStart w:id="204" w:name="_格式2__法定代表人授权书"/>
      <w:r/>
      <w:bookmarkEnd w:id="204"/>
      <w:r/>
      <w:bookmarkStart w:id="205" w:name="_Hlt26671374"/>
      <w:r/>
      <w:bookmarkEnd w:id="205"/>
      <w:r/>
      <w:bookmarkStart w:id="206" w:name="_Hlt26955066"/>
      <w:r/>
      <w:bookmarkEnd w:id="206"/>
      <w:r>
        <w:rPr>
          <w:rFonts w:hint="eastAsia" w:ascii="宋体" w:hAnsi="宋体"/>
          <w:bCs/>
          <w:color w:val="000000"/>
          <w:sz w:val="24"/>
          <w:szCs w:val="24"/>
        </w:rPr>
      </w:r>
      <w:r/>
    </w:p>
    <w:p>
      <w:pPr>
        <w:pStyle w:val="670"/>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70"/>
        <w:ind w:firstLine="420"/>
        <w:rPr>
          <w:rFonts w:ascii="宋体" w:hAnsi="宋体"/>
          <w:bCs/>
          <w:color w:val="000000"/>
          <w:sz w:val="24"/>
          <w:szCs w:val="24"/>
        </w:rPr>
        <w:outlineLvl w:val="0"/>
      </w:pPr>
      <w:r>
        <w:rPr>
          <w:rFonts w:ascii="宋体" w:hAnsi="宋体"/>
          <w:bCs/>
          <w:color w:val="000000"/>
          <w:sz w:val="24"/>
          <w:szCs w:val="24"/>
        </w:rPr>
      </w:r>
      <w:r/>
    </w:p>
    <w:p>
      <w:pPr>
        <w:pStyle w:val="670"/>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670"/>
        <w:spacing w:line="400" w:lineRule="exact"/>
        <w:rPr>
          <w:rFonts w:ascii="黑体" w:eastAsia="黑体"/>
          <w:bCs/>
          <w:color w:val="000000"/>
          <w:sz w:val="28"/>
          <w:szCs w:val="28"/>
        </w:rPr>
      </w:pPr>
      <w:r>
        <w:rPr>
          <w:rFonts w:ascii="黑体" w:eastAsia="黑体"/>
          <w:bCs/>
          <w:color w:val="000000"/>
          <w:sz w:val="28"/>
          <w:szCs w:val="28"/>
        </w:rPr>
      </w:r>
      <w:r/>
    </w:p>
    <w:p>
      <w:pPr>
        <w:pStyle w:val="670"/>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670"/>
        <w:jc w:val="center"/>
        <w:spacing w:line="400" w:lineRule="exact"/>
        <w:rPr>
          <w:rFonts w:ascii="黑体" w:eastAsia="黑体"/>
          <w:bCs/>
          <w:color w:val="000000"/>
          <w:sz w:val="28"/>
          <w:szCs w:val="28"/>
        </w:rPr>
      </w:pPr>
      <w:r>
        <w:rPr>
          <w:rFonts w:ascii="黑体" w:eastAsia="黑体"/>
          <w:bCs/>
          <w:color w:val="000000"/>
          <w:sz w:val="28"/>
          <w:szCs w:val="28"/>
        </w:rPr>
      </w:r>
      <w:r/>
    </w:p>
    <w:p>
      <w:pPr>
        <w:pStyle w:val="670"/>
        <w:rPr>
          <w:rFonts w:ascii="黑体" w:eastAsia="黑体"/>
          <w:bCs/>
          <w:color w:val="000000"/>
          <w:sz w:val="24"/>
          <w:szCs w:val="24"/>
        </w:rPr>
      </w:pPr>
      <w:r>
        <w:rPr>
          <w:rFonts w:hint="eastAsia" w:ascii="黑体" w:eastAsia="黑体"/>
          <w:bCs/>
          <w:color w:val="000000"/>
          <w:sz w:val="24"/>
          <w:szCs w:val="24"/>
        </w:rPr>
        <w:t xml:space="preserve">项目编号：</w:t>
      </w:r>
      <w:r>
        <w:rPr>
          <w:rFonts w:ascii="Segoe UI" w:hAnsi="Segoe UI" w:eastAsia="Segoe UI" w:cs="Segoe UI"/>
          <w:i w:val="0"/>
          <w:iCs w:val="0"/>
          <w:caps w:val="0"/>
          <w:color w:val="000000"/>
          <w:spacing w:val="0"/>
          <w:sz w:val="21"/>
          <w:szCs w:val="21"/>
          <w:u w:val="none"/>
        </w:rPr>
        <w:t xml:space="preserve">JSZC-320214-JZCG-G2026-0079</w:t>
      </w:r>
      <w:r>
        <w:rPr>
          <w:rFonts w:ascii="黑体" w:eastAsia="黑体"/>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670"/>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670"/>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670"/>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670"/>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670"/>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0"/>
              <w:rPr>
                <w:rFonts w:ascii="黑体" w:eastAsia="黑体"/>
                <w:bCs/>
                <w:color w:val="000000"/>
                <w:sz w:val="24"/>
                <w:szCs w:val="24"/>
              </w:rPr>
              <w:outlineLvl w:val="0"/>
            </w:pPr>
            <w:r>
              <w:rPr>
                <w:rFonts w:ascii="黑体" w:eastAsia="黑体"/>
                <w:bCs/>
                <w:color w:val="000000"/>
                <w:sz w:val="24"/>
                <w:szCs w:val="24"/>
              </w:rPr>
            </w:r>
            <w:r/>
          </w:p>
        </w:tc>
      </w:tr>
    </w:tbl>
    <w:p>
      <w:pPr>
        <w:pStyle w:val="670"/>
        <w:rPr>
          <w:b/>
          <w:bCs/>
          <w:sz w:val="24"/>
          <w:szCs w:val="24"/>
        </w:rPr>
      </w:pPr>
      <w:r>
        <w:rPr>
          <w:rFonts w:hint="eastAsia" w:ascii="黑体" w:eastAsia="黑体"/>
          <w:bCs/>
          <w:sz w:val="24"/>
          <w:szCs w:val="24"/>
        </w:rPr>
        <w:t xml:space="preserve">投标人名称（盖章）</w:t>
      </w:r>
      <w:r>
        <w:rPr>
          <w:b/>
          <w:bCs/>
          <w:sz w:val="24"/>
          <w:szCs w:val="24"/>
        </w:rPr>
      </w:r>
      <w:r/>
    </w:p>
    <w:p>
      <w:pPr>
        <w:pStyle w:val="670"/>
        <w:rPr>
          <w:rFonts w:hint="eastAsia" w:ascii="宋体" w:hAnsi="宋体"/>
          <w:bCs/>
          <w:color w:val="000000"/>
        </w:rPr>
      </w:pPr>
      <w:r>
        <w:rPr>
          <w:rFonts w:hint="eastAsia" w:ascii="宋体" w:hAnsi="宋体"/>
          <w:bCs/>
          <w:color w:val="000000"/>
        </w:rPr>
      </w:r>
      <w:r/>
    </w:p>
    <w:p>
      <w:pPr>
        <w:pStyle w:val="670"/>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670"/>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670"/>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rPr>
        <w:rStyle w:val="742"/>
        <w:rFonts w:ascii="宋体" w:hAnsi="宋体"/>
      </w:rPr>
      <w:framePr w:wrap="around" w:vAnchor="text" w:hAnchor="margin" w:xAlign="center" w:y="1"/>
    </w:pPr>
    <w:r>
      <w:rPr>
        <w:rFonts w:ascii="宋体" w:hAnsi="宋体"/>
      </w:rPr>
      <w:fldChar w:fldCharType="begin"/>
    </w:r>
    <w:r>
      <w:rPr>
        <w:rStyle w:val="742"/>
        <w:rFonts w:ascii="宋体" w:hAnsi="宋体"/>
      </w:rPr>
      <w:instrText xml:space="preserve">PAGE  </w:instrText>
    </w:r>
    <w:r>
      <w:rPr>
        <w:rFonts w:ascii="宋体" w:hAnsi="宋体"/>
      </w:rPr>
      <w:fldChar w:fldCharType="separate"/>
    </w:r>
    <w:r>
      <w:rPr>
        <w:rStyle w:val="742"/>
        <w:rFonts w:ascii="宋体" w:hAnsi="宋体"/>
      </w:rPr>
      <w:t xml:space="preserve">１５</w:t>
    </w:r>
    <w:r>
      <w:rPr>
        <w:rFonts w:ascii="宋体" w:hAnsi="宋体"/>
      </w:rPr>
      <w:fldChar w:fldCharType="end"/>
    </w:r>
    <w:r>
      <w:rPr>
        <w:rStyle w:val="742"/>
        <w:rFonts w:ascii="宋体" w:hAnsi="宋体"/>
      </w:rPr>
    </w:r>
    <w:r/>
  </w:p>
  <w:p>
    <w:pPr>
      <w:pStyle w:val="717"/>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rPr>
        <w:rStyle w:val="742"/>
      </w:rPr>
      <w:framePr w:wrap="around" w:vAnchor="text" w:hAnchor="margin" w:xAlign="center" w:y="1"/>
    </w:pPr>
    <w:r>
      <w:fldChar w:fldCharType="begin"/>
    </w:r>
    <w:r>
      <w:rPr>
        <w:rStyle w:val="742"/>
      </w:rPr>
      <w:instrText xml:space="preserve">PAGE  </w:instrText>
    </w:r>
    <w:r>
      <w:fldChar w:fldCharType="separate"/>
    </w:r>
    <w:r>
      <w:rPr>
        <w:rStyle w:val="742"/>
      </w:rPr>
      <w:t xml:space="preserve">1</w:t>
    </w:r>
    <w:r>
      <w:fldChar w:fldCharType="end"/>
    </w:r>
    <w:r>
      <w:rPr>
        <w:rStyle w:val="742"/>
      </w:rPr>
    </w:r>
    <w:r/>
  </w:p>
  <w:p>
    <w:pPr>
      <w:pStyle w:val="7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0"/>
        <w:ind w:left="1080" w:hanging="1080"/>
        <w:tabs>
          <w:tab w:val="num" w:pos="1080" w:leader="none"/>
        </w:tabs>
      </w:pPr>
      <w:rPr>
        <w:rFonts w:hint="eastAsia" w:cs="Times New Roman"/>
      </w:rPr>
    </w:lvl>
    <w:lvl w:ilvl="1">
      <w:start w:val="1"/>
      <w:numFmt w:val="decimal"/>
      <w:isLgl w:val="false"/>
      <w:suff w:val="tab"/>
      <w:lvlText w:val="%2."/>
      <w:lvlJc w:val="left"/>
      <w:pPr>
        <w:pStyle w:val="67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0"/>
        <w:ind w:left="1260" w:hanging="420"/>
        <w:tabs>
          <w:tab w:val="num" w:pos="1260" w:leader="none"/>
        </w:tabs>
      </w:pPr>
      <w:rPr>
        <w:rFonts w:cs="Times New Roman"/>
      </w:rPr>
    </w:lvl>
    <w:lvl w:ilvl="3">
      <w:start w:val="1"/>
      <w:numFmt w:val="decimal"/>
      <w:isLgl w:val="false"/>
      <w:suff w:val="tab"/>
      <w:lvlText w:val="%4."/>
      <w:lvlJc w:val="left"/>
      <w:pPr>
        <w:pStyle w:val="670"/>
        <w:ind w:left="1680" w:hanging="420"/>
        <w:tabs>
          <w:tab w:val="num" w:pos="1680" w:leader="none"/>
        </w:tabs>
      </w:pPr>
      <w:rPr>
        <w:rFonts w:cs="Times New Roman"/>
      </w:rPr>
    </w:lvl>
    <w:lvl w:ilvl="4">
      <w:start w:val="1"/>
      <w:numFmt w:val="lowerLetter"/>
      <w:isLgl w:val="false"/>
      <w:suff w:val="tab"/>
      <w:lvlText w:val="%5)"/>
      <w:lvlJc w:val="left"/>
      <w:pPr>
        <w:pStyle w:val="670"/>
        <w:ind w:left="2100" w:hanging="420"/>
        <w:tabs>
          <w:tab w:val="num" w:pos="2100" w:leader="none"/>
        </w:tabs>
      </w:pPr>
      <w:rPr>
        <w:rFonts w:cs="Times New Roman"/>
      </w:rPr>
    </w:lvl>
    <w:lvl w:ilvl="5">
      <w:start w:val="1"/>
      <w:numFmt w:val="lowerRoman"/>
      <w:isLgl w:val="false"/>
      <w:suff w:val="tab"/>
      <w:lvlText w:val="%6."/>
      <w:lvlJc w:val="right"/>
      <w:pPr>
        <w:pStyle w:val="670"/>
        <w:ind w:left="2520" w:hanging="420"/>
        <w:tabs>
          <w:tab w:val="num" w:pos="2520" w:leader="none"/>
        </w:tabs>
      </w:pPr>
      <w:rPr>
        <w:rFonts w:cs="Times New Roman"/>
      </w:rPr>
    </w:lvl>
    <w:lvl w:ilvl="6">
      <w:start w:val="1"/>
      <w:numFmt w:val="decimal"/>
      <w:isLgl w:val="false"/>
      <w:suff w:val="tab"/>
      <w:lvlText w:val="%7."/>
      <w:lvlJc w:val="left"/>
      <w:pPr>
        <w:pStyle w:val="670"/>
        <w:ind w:left="2940" w:hanging="420"/>
        <w:tabs>
          <w:tab w:val="num" w:pos="2940" w:leader="none"/>
        </w:tabs>
      </w:pPr>
      <w:rPr>
        <w:rFonts w:cs="Times New Roman"/>
      </w:rPr>
    </w:lvl>
    <w:lvl w:ilvl="7">
      <w:start w:val="1"/>
      <w:numFmt w:val="lowerLetter"/>
      <w:isLgl w:val="false"/>
      <w:suff w:val="tab"/>
      <w:lvlText w:val="%8)"/>
      <w:lvlJc w:val="left"/>
      <w:pPr>
        <w:pStyle w:val="670"/>
        <w:ind w:left="3360" w:hanging="420"/>
        <w:tabs>
          <w:tab w:val="num" w:pos="3360" w:leader="none"/>
        </w:tabs>
      </w:pPr>
      <w:rPr>
        <w:rFonts w:cs="Times New Roman"/>
      </w:rPr>
    </w:lvl>
    <w:lvl w:ilvl="8">
      <w:start w:val="1"/>
      <w:numFmt w:val="lowerRoman"/>
      <w:isLgl w:val="false"/>
      <w:suff w:val="tab"/>
      <w:lvlText w:val="%9."/>
      <w:lvlJc w:val="right"/>
      <w:pPr>
        <w:pStyle w:val="670"/>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50"/>
      <w:isLgl w:val="false"/>
      <w:suff w:val="tab"/>
      <w:lvlText w:val="附录%1."/>
      <w:lvlJc w:val="left"/>
      <w:pPr>
        <w:pStyle w:val="67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670"/>
        <w:ind w:left="1080" w:hanging="1080"/>
        <w:tabs>
          <w:tab w:val="num" w:pos="1080" w:leader="none"/>
        </w:tabs>
      </w:pPr>
      <w:rPr>
        <w:rFonts w:hint="eastAsia" w:cs="Times New Roman"/>
      </w:rPr>
    </w:lvl>
    <w:lvl w:ilvl="1">
      <w:start w:val="1"/>
      <w:numFmt w:val="decimal"/>
      <w:isLgl w:val="false"/>
      <w:suff w:val="tab"/>
      <w:lvlText w:val="%2."/>
      <w:lvlJc w:val="left"/>
      <w:pPr>
        <w:pStyle w:val="67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0"/>
        <w:ind w:left="1260" w:hanging="420"/>
        <w:tabs>
          <w:tab w:val="num" w:pos="1260" w:leader="none"/>
        </w:tabs>
      </w:pPr>
      <w:rPr>
        <w:rFonts w:cs="Times New Roman"/>
      </w:rPr>
    </w:lvl>
    <w:lvl w:ilvl="3">
      <w:start w:val="1"/>
      <w:numFmt w:val="decimal"/>
      <w:isLgl w:val="false"/>
      <w:suff w:val="tab"/>
      <w:lvlText w:val="%4."/>
      <w:lvlJc w:val="left"/>
      <w:pPr>
        <w:pStyle w:val="670"/>
        <w:ind w:left="1680" w:hanging="420"/>
        <w:tabs>
          <w:tab w:val="num" w:pos="1680" w:leader="none"/>
        </w:tabs>
      </w:pPr>
      <w:rPr>
        <w:rFonts w:cs="Times New Roman"/>
      </w:rPr>
    </w:lvl>
    <w:lvl w:ilvl="4">
      <w:start w:val="1"/>
      <w:numFmt w:val="lowerLetter"/>
      <w:isLgl w:val="false"/>
      <w:suff w:val="tab"/>
      <w:lvlText w:val="%5)"/>
      <w:lvlJc w:val="left"/>
      <w:pPr>
        <w:pStyle w:val="670"/>
        <w:ind w:left="2100" w:hanging="420"/>
        <w:tabs>
          <w:tab w:val="num" w:pos="2100" w:leader="none"/>
        </w:tabs>
      </w:pPr>
      <w:rPr>
        <w:rFonts w:cs="Times New Roman"/>
      </w:rPr>
    </w:lvl>
    <w:lvl w:ilvl="5">
      <w:start w:val="1"/>
      <w:numFmt w:val="lowerRoman"/>
      <w:isLgl w:val="false"/>
      <w:suff w:val="tab"/>
      <w:lvlText w:val="%6."/>
      <w:lvlJc w:val="right"/>
      <w:pPr>
        <w:pStyle w:val="670"/>
        <w:ind w:left="2520" w:hanging="420"/>
        <w:tabs>
          <w:tab w:val="num" w:pos="2520" w:leader="none"/>
        </w:tabs>
      </w:pPr>
      <w:rPr>
        <w:rFonts w:cs="Times New Roman"/>
      </w:rPr>
    </w:lvl>
    <w:lvl w:ilvl="6">
      <w:start w:val="1"/>
      <w:numFmt w:val="decimal"/>
      <w:isLgl w:val="false"/>
      <w:suff w:val="tab"/>
      <w:lvlText w:val="%7."/>
      <w:lvlJc w:val="left"/>
      <w:pPr>
        <w:pStyle w:val="670"/>
        <w:ind w:left="2940" w:hanging="420"/>
        <w:tabs>
          <w:tab w:val="num" w:pos="2940" w:leader="none"/>
        </w:tabs>
      </w:pPr>
      <w:rPr>
        <w:rFonts w:cs="Times New Roman"/>
      </w:rPr>
    </w:lvl>
    <w:lvl w:ilvl="7">
      <w:start w:val="1"/>
      <w:numFmt w:val="lowerLetter"/>
      <w:isLgl w:val="false"/>
      <w:suff w:val="tab"/>
      <w:lvlText w:val="%8)"/>
      <w:lvlJc w:val="left"/>
      <w:pPr>
        <w:pStyle w:val="670"/>
        <w:ind w:left="3360" w:hanging="420"/>
        <w:tabs>
          <w:tab w:val="num" w:pos="3360" w:leader="none"/>
        </w:tabs>
      </w:pPr>
      <w:rPr>
        <w:rFonts w:cs="Times New Roman"/>
      </w:rPr>
    </w:lvl>
    <w:lvl w:ilvl="8">
      <w:start w:val="1"/>
      <w:numFmt w:val="lowerRoman"/>
      <w:isLgl w:val="false"/>
      <w:suff w:val="tab"/>
      <w:lvlText w:val="%9."/>
      <w:lvlJc w:val="right"/>
      <w:pPr>
        <w:pStyle w:val="670"/>
        <w:ind w:left="3780" w:hanging="420"/>
        <w:tabs>
          <w:tab w:val="num" w:pos="3780" w:leader="none"/>
        </w:tabs>
      </w:pPr>
      <w:rPr>
        <w:rFonts w:cs="Times New Roman"/>
      </w:rPr>
    </w:lvl>
  </w:abstractNum>
  <w:abstractNum w:abstractNumId="5">
    <w:multiLevelType w:val="hybridMultilevel"/>
    <w:lvl w:ilvl="0">
      <w:start w:val="1"/>
      <w:numFmt w:val="decimal"/>
      <w:pStyle w:val="767"/>
      <w:isLgl w:val="false"/>
      <w:suff w:val="tab"/>
      <w:lvlText w:val="%1."/>
      <w:lvlJc w:val="left"/>
      <w:pPr>
        <w:pStyle w:val="670"/>
        <w:ind w:left="709" w:hanging="709"/>
        <w:tabs>
          <w:tab w:val="num" w:pos="709" w:leader="none"/>
        </w:tabs>
      </w:pPr>
      <w:rPr>
        <w:rFonts w:hint="eastAsia"/>
      </w:rPr>
    </w:lvl>
    <w:lvl w:ilvl="1">
      <w:start w:val="1"/>
      <w:numFmt w:val="decimal"/>
      <w:isLgl w:val="false"/>
      <w:suff w:val="tab"/>
      <w:lvlText w:val="%1.%2"/>
      <w:lvlJc w:val="left"/>
      <w:pPr>
        <w:pStyle w:val="670"/>
        <w:ind w:left="709" w:hanging="709"/>
        <w:tabs>
          <w:tab w:val="num" w:pos="709" w:leader="none"/>
        </w:tabs>
      </w:pPr>
      <w:rPr>
        <w:rFonts w:hint="eastAsia"/>
      </w:rPr>
    </w:lvl>
    <w:lvl w:ilvl="2">
      <w:start w:val="1"/>
      <w:numFmt w:val="decimal"/>
      <w:isLgl w:val="false"/>
      <w:suff w:val="tab"/>
      <w:lvlText w:val="%1.%2.%3."/>
      <w:lvlJc w:val="left"/>
      <w:pPr>
        <w:pStyle w:val="670"/>
        <w:ind w:left="425" w:hanging="425"/>
        <w:tabs>
          <w:tab w:val="num" w:pos="425" w:leader="none"/>
        </w:tabs>
      </w:pPr>
      <w:rPr>
        <w:rFonts w:hint="eastAsia"/>
      </w:rPr>
    </w:lvl>
    <w:lvl w:ilvl="3">
      <w:start w:val="1"/>
      <w:numFmt w:val="decimal"/>
      <w:isLgl w:val="false"/>
      <w:suff w:val="tab"/>
      <w:lvlText w:val="%1.%2.%3.%4."/>
      <w:lvlJc w:val="left"/>
      <w:pPr>
        <w:pStyle w:val="670"/>
        <w:ind w:left="851" w:hanging="851"/>
        <w:tabs>
          <w:tab w:val="num" w:pos="851" w:leader="none"/>
        </w:tabs>
      </w:pPr>
      <w:rPr>
        <w:rFonts w:hint="eastAsia"/>
      </w:rPr>
    </w:lvl>
    <w:lvl w:ilvl="4">
      <w:start w:val="1"/>
      <w:numFmt w:val="decimal"/>
      <w:isLgl w:val="false"/>
      <w:suff w:val="tab"/>
      <w:lvlText w:val="%1.%2.%3.%4.%5."/>
      <w:lvlJc w:val="left"/>
      <w:pPr>
        <w:pStyle w:val="670"/>
        <w:ind w:left="992" w:hanging="992"/>
        <w:tabs>
          <w:tab w:val="num" w:pos="992" w:leader="none"/>
        </w:tabs>
      </w:pPr>
      <w:rPr>
        <w:rFonts w:hint="eastAsia"/>
      </w:rPr>
    </w:lvl>
    <w:lvl w:ilvl="5">
      <w:start w:val="1"/>
      <w:numFmt w:val="decimal"/>
      <w:isLgl w:val="false"/>
      <w:suff w:val="tab"/>
      <w:lvlText w:val="%1.%2.%3.%4.%5.%6."/>
      <w:lvlJc w:val="left"/>
      <w:pPr>
        <w:pStyle w:val="670"/>
        <w:ind w:left="1134" w:hanging="1134"/>
        <w:tabs>
          <w:tab w:val="num" w:pos="1134" w:leader="none"/>
        </w:tabs>
      </w:pPr>
      <w:rPr>
        <w:rFonts w:hint="eastAsia"/>
      </w:rPr>
    </w:lvl>
    <w:lvl w:ilvl="6">
      <w:start w:val="1"/>
      <w:numFmt w:val="decimal"/>
      <w:isLgl w:val="false"/>
      <w:suff w:val="tab"/>
      <w:lvlText w:val="%1.%2.%3.%4.%5.%6.%7."/>
      <w:lvlJc w:val="left"/>
      <w:pPr>
        <w:pStyle w:val="670"/>
        <w:ind w:left="1276" w:hanging="1276"/>
        <w:tabs>
          <w:tab w:val="num" w:pos="1276" w:leader="none"/>
        </w:tabs>
      </w:pPr>
      <w:rPr>
        <w:rFonts w:hint="eastAsia"/>
      </w:rPr>
    </w:lvl>
    <w:lvl w:ilvl="7">
      <w:start w:val="1"/>
      <w:numFmt w:val="decimal"/>
      <w:isLgl w:val="false"/>
      <w:suff w:val="tab"/>
      <w:lvlText w:val="%1.%2.%3.%4.%5.%6.%7.%8."/>
      <w:lvlJc w:val="left"/>
      <w:pPr>
        <w:pStyle w:val="670"/>
        <w:ind w:left="1418" w:hanging="1418"/>
        <w:tabs>
          <w:tab w:val="num" w:pos="1418" w:leader="none"/>
        </w:tabs>
      </w:pPr>
      <w:rPr>
        <w:rFonts w:hint="eastAsia"/>
      </w:rPr>
    </w:lvl>
    <w:lvl w:ilvl="8">
      <w:start w:val="1"/>
      <w:numFmt w:val="decimal"/>
      <w:isLgl w:val="false"/>
      <w:suff w:val="tab"/>
      <w:lvlText w:val="%1.%2.%3.%4.%5.%6.%7.%8.%9."/>
      <w:lvlJc w:val="left"/>
      <w:pPr>
        <w:pStyle w:val="670"/>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670"/>
        <w:ind w:left="0" w:firstLine="0"/>
      </w:pPr>
      <w:rPr>
        <w:rFonts w:hint="eastAsia"/>
      </w:rPr>
    </w:lvl>
    <w:lvl w:ilvl="1">
      <w:start w:val="1"/>
      <w:numFmt w:val="decimal"/>
      <w:isLgl w:val="false"/>
      <w:suff w:val="nothing"/>
      <w:lvlText w:val="%2、"/>
      <w:lvlJc w:val="left"/>
      <w:pPr>
        <w:pStyle w:val="670"/>
        <w:ind w:left="0" w:firstLine="0"/>
      </w:pPr>
      <w:rPr>
        <w:rFonts w:hint="eastAsia"/>
      </w:rPr>
    </w:lvl>
    <w:lvl w:ilvl="2">
      <w:start w:val="1"/>
      <w:numFmt w:val="decimal"/>
      <w:isLgl w:val="false"/>
      <w:suff w:val="nothing"/>
      <w:lvlText w:val="%2.%3 "/>
      <w:lvlJc w:val="left"/>
      <w:pPr>
        <w:pStyle w:val="670"/>
        <w:ind w:left="0" w:firstLine="0"/>
      </w:pPr>
      <w:rPr>
        <w:rFonts w:hint="eastAsia"/>
      </w:rPr>
    </w:lvl>
    <w:lvl w:ilvl="3">
      <w:start w:val="1"/>
      <w:numFmt w:val="decimal"/>
      <w:isLgl w:val="false"/>
      <w:suff w:val="nothing"/>
      <w:lvlText w:val="%2.%3.%4 "/>
      <w:lvlJc w:val="left"/>
      <w:pPr>
        <w:pStyle w:val="670"/>
        <w:ind w:left="0" w:firstLine="0"/>
      </w:pPr>
      <w:rPr>
        <w:rFonts w:hint="eastAsia"/>
      </w:rPr>
    </w:lvl>
    <w:lvl w:ilvl="4">
      <w:start w:val="1"/>
      <w:numFmt w:val="decimal"/>
      <w:isLgl w:val="false"/>
      <w:suff w:val="nothing"/>
      <w:lvlText w:val="%2.%3.%4.%5 "/>
      <w:lvlJc w:val="left"/>
      <w:pPr>
        <w:pStyle w:val="670"/>
        <w:ind w:left="0" w:firstLine="0"/>
      </w:pPr>
      <w:rPr>
        <w:rFonts w:hint="eastAsia"/>
      </w:rPr>
    </w:lvl>
    <w:lvl w:ilvl="5">
      <w:start w:val="1"/>
      <w:numFmt w:val="decimal"/>
      <w:pStyle w:val="676"/>
      <w:isLgl w:val="false"/>
      <w:suff w:val="nothing"/>
      <w:lvlText w:val=""/>
      <w:lvlJc w:val="left"/>
      <w:pPr>
        <w:pStyle w:val="670"/>
        <w:ind w:left="0" w:firstLine="0"/>
      </w:pPr>
      <w:rPr>
        <w:rFonts w:hint="eastAsia"/>
      </w:rPr>
    </w:lvl>
    <w:lvl w:ilvl="6">
      <w:start w:val="1"/>
      <w:numFmt w:val="decimal"/>
      <w:pStyle w:val="677"/>
      <w:isLgl w:val="false"/>
      <w:suff w:val="nothing"/>
      <w:lvlText w:val=""/>
      <w:lvlJc w:val="left"/>
      <w:pPr>
        <w:pStyle w:val="670"/>
        <w:ind w:left="0" w:firstLine="0"/>
      </w:pPr>
      <w:rPr>
        <w:rFonts w:hint="eastAsia"/>
      </w:rPr>
    </w:lvl>
    <w:lvl w:ilvl="7">
      <w:start w:val="1"/>
      <w:numFmt w:val="decimal"/>
      <w:pStyle w:val="678"/>
      <w:isLgl w:val="false"/>
      <w:suff w:val="nothing"/>
      <w:lvlText w:val=""/>
      <w:lvlJc w:val="left"/>
      <w:pPr>
        <w:pStyle w:val="670"/>
        <w:ind w:left="0" w:firstLine="0"/>
      </w:pPr>
      <w:rPr>
        <w:rFonts w:hint="eastAsia"/>
      </w:rPr>
    </w:lvl>
    <w:lvl w:ilvl="8">
      <w:start w:val="1"/>
      <w:numFmt w:val="decimal"/>
      <w:pStyle w:val="679"/>
      <w:isLgl w:val="false"/>
      <w:suff w:val="nothing"/>
      <w:lvlText w:val=""/>
      <w:lvlJc w:val="left"/>
      <w:pPr>
        <w:pStyle w:val="670"/>
        <w:ind w:left="0" w:firstLine="0"/>
      </w:pPr>
      <w:rPr>
        <w:rFonts w:hint="eastAsia"/>
      </w:rPr>
    </w:lvl>
  </w:abstractNum>
  <w:abstractNum w:abstractNumId="7">
    <w:multiLevelType w:val="hybridMultilevel"/>
    <w:lvl w:ilvl="0">
      <w:start w:val="1"/>
      <w:numFmt w:val="decimal"/>
      <w:isLgl w:val="false"/>
      <w:suff w:val="tab"/>
      <w:lvlText w:val="%1."/>
      <w:lvlJc w:val="left"/>
      <w:pPr>
        <w:pStyle w:val="670"/>
        <w:ind w:left="510" w:hanging="360"/>
        <w:tabs>
          <w:tab w:val="num" w:pos="510" w:leader="none"/>
        </w:tabs>
      </w:pPr>
      <w:rPr>
        <w:rFonts w:hint="eastAsia" w:cs="Times New Roman"/>
      </w:rPr>
    </w:lvl>
    <w:lvl w:ilvl="1">
      <w:start w:val="1"/>
      <w:numFmt w:val="decimal"/>
      <w:isLgl w:val="false"/>
      <w:suff w:val="tab"/>
      <w:lvlText w:val="%2．"/>
      <w:lvlJc w:val="left"/>
      <w:pPr>
        <w:pStyle w:val="670"/>
        <w:ind w:left="1290" w:hanging="720"/>
        <w:tabs>
          <w:tab w:val="num" w:pos="1290" w:leader="none"/>
        </w:tabs>
      </w:pPr>
      <w:rPr>
        <w:rFonts w:hint="eastAsia" w:cs="Times New Roman"/>
      </w:rPr>
    </w:lvl>
    <w:lvl w:ilvl="2">
      <w:start w:val="3"/>
      <w:numFmt w:val="decimal"/>
      <w:isLgl w:val="false"/>
      <w:suff w:val="tab"/>
      <w:lvlText w:val="（%3）"/>
      <w:lvlJc w:val="left"/>
      <w:pPr>
        <w:pStyle w:val="670"/>
        <w:ind w:left="1140" w:hanging="720"/>
        <w:tabs>
          <w:tab w:val="num" w:pos="1140" w:leader="none"/>
        </w:tabs>
      </w:pPr>
      <w:rPr>
        <w:rFonts w:hint="eastAsia" w:cs="Times New Roman"/>
      </w:rPr>
    </w:lvl>
    <w:lvl w:ilvl="3">
      <w:start w:val="1"/>
      <w:numFmt w:val="decimal"/>
      <w:isLgl w:val="false"/>
      <w:suff w:val="tab"/>
      <w:lvlText w:val="（%4）"/>
      <w:lvlJc w:val="left"/>
      <w:pPr>
        <w:pStyle w:val="670"/>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0"/>
        <w:ind w:left="2250" w:hanging="420"/>
        <w:tabs>
          <w:tab w:val="num" w:pos="2250" w:leader="none"/>
        </w:tabs>
      </w:pPr>
      <w:rPr>
        <w:rFonts w:hint="eastAsia"/>
        <w:b/>
        <w:lang w:val="en-US"/>
      </w:rPr>
    </w:lvl>
    <w:lvl w:ilvl="5">
      <w:start w:val="10"/>
      <w:numFmt w:val="japaneseCounting"/>
      <w:isLgl w:val="false"/>
      <w:suff w:val="tab"/>
      <w:lvlText w:val="（%6）"/>
      <w:lvlJc w:val="left"/>
      <w:pPr>
        <w:pStyle w:val="670"/>
        <w:ind w:left="2970" w:hanging="720"/>
      </w:pPr>
      <w:rPr>
        <w:rFonts w:cs="Times New Roman"/>
      </w:rPr>
    </w:lvl>
    <w:lvl w:ilvl="6">
      <w:start w:val="1"/>
      <w:numFmt w:val="decimal"/>
      <w:isLgl w:val="false"/>
      <w:suff w:val="tab"/>
      <w:lvlText w:val="（%7）"/>
      <w:lvlJc w:val="left"/>
      <w:pPr>
        <w:pStyle w:val="670"/>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0"/>
        <w:ind w:left="3510" w:hanging="420"/>
        <w:tabs>
          <w:tab w:val="num" w:pos="3510" w:leader="none"/>
        </w:tabs>
      </w:pPr>
      <w:rPr>
        <w:rFonts w:cs="Times New Roman"/>
      </w:rPr>
    </w:lvl>
    <w:lvl w:ilvl="8">
      <w:start w:val="1"/>
      <w:numFmt w:val="lowerRoman"/>
      <w:isLgl w:val="false"/>
      <w:suff w:val="tab"/>
      <w:lvlText w:val="%9."/>
      <w:lvlJc w:val="right"/>
      <w:pPr>
        <w:pStyle w:val="670"/>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670"/>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0"/>
        <w:ind w:left="840" w:hanging="420"/>
        <w:tabs>
          <w:tab w:val="num" w:pos="840" w:leader="none"/>
        </w:tabs>
      </w:pPr>
      <w:rPr>
        <w:rFonts w:cs="Times New Roman"/>
      </w:rPr>
    </w:lvl>
    <w:lvl w:ilvl="2">
      <w:start w:val="10"/>
      <w:numFmt w:val="decimal"/>
      <w:isLgl w:val="false"/>
      <w:suff w:val="tab"/>
      <w:lvlText w:val="%3."/>
      <w:lvlJc w:val="left"/>
      <w:pPr>
        <w:pStyle w:val="670"/>
        <w:ind w:left="1200" w:hanging="360"/>
        <w:tabs>
          <w:tab w:val="num" w:pos="1200" w:leader="none"/>
        </w:tabs>
      </w:pPr>
      <w:rPr>
        <w:rFonts w:cs="Times New Roman"/>
      </w:rPr>
    </w:lvl>
    <w:lvl w:ilvl="3">
      <w:start w:val="1"/>
      <w:numFmt w:val="decimal"/>
      <w:isLgl w:val="false"/>
      <w:suff w:val="tab"/>
      <w:lvlText w:val="%4."/>
      <w:lvlJc w:val="left"/>
      <w:pPr>
        <w:pStyle w:val="670"/>
        <w:ind w:left="1680" w:hanging="420"/>
        <w:tabs>
          <w:tab w:val="num" w:pos="1680" w:leader="none"/>
        </w:tabs>
      </w:pPr>
      <w:rPr>
        <w:rFonts w:cs="Times New Roman"/>
      </w:rPr>
    </w:lvl>
    <w:lvl w:ilvl="4">
      <w:start w:val="1"/>
      <w:numFmt w:val="lowerLetter"/>
      <w:isLgl w:val="false"/>
      <w:suff w:val="tab"/>
      <w:lvlText w:val="%5)"/>
      <w:lvlJc w:val="left"/>
      <w:pPr>
        <w:pStyle w:val="670"/>
        <w:ind w:left="2100" w:hanging="420"/>
        <w:tabs>
          <w:tab w:val="num" w:pos="2100" w:leader="none"/>
        </w:tabs>
      </w:pPr>
      <w:rPr>
        <w:rFonts w:cs="Times New Roman"/>
      </w:rPr>
    </w:lvl>
    <w:lvl w:ilvl="5">
      <w:start w:val="1"/>
      <w:numFmt w:val="lowerRoman"/>
      <w:isLgl w:val="false"/>
      <w:suff w:val="tab"/>
      <w:lvlText w:val="%6."/>
      <w:lvlJc w:val="right"/>
      <w:pPr>
        <w:pStyle w:val="670"/>
        <w:ind w:left="2520" w:hanging="420"/>
        <w:tabs>
          <w:tab w:val="num" w:pos="2520" w:leader="none"/>
        </w:tabs>
      </w:pPr>
      <w:rPr>
        <w:rFonts w:cs="Times New Roman"/>
      </w:rPr>
    </w:lvl>
    <w:lvl w:ilvl="6">
      <w:start w:val="1"/>
      <w:numFmt w:val="decimal"/>
      <w:isLgl w:val="false"/>
      <w:suff w:val="tab"/>
      <w:lvlText w:val="%7."/>
      <w:lvlJc w:val="left"/>
      <w:pPr>
        <w:pStyle w:val="670"/>
        <w:ind w:left="2940" w:hanging="420"/>
        <w:tabs>
          <w:tab w:val="num" w:pos="2940" w:leader="none"/>
        </w:tabs>
      </w:pPr>
      <w:rPr>
        <w:rFonts w:cs="Times New Roman"/>
      </w:rPr>
    </w:lvl>
    <w:lvl w:ilvl="7">
      <w:start w:val="1"/>
      <w:numFmt w:val="lowerLetter"/>
      <w:isLgl w:val="false"/>
      <w:suff w:val="tab"/>
      <w:lvlText w:val="%8)"/>
      <w:lvlJc w:val="left"/>
      <w:pPr>
        <w:pStyle w:val="670"/>
        <w:ind w:left="3360" w:hanging="420"/>
        <w:tabs>
          <w:tab w:val="num" w:pos="3360" w:leader="none"/>
        </w:tabs>
      </w:pPr>
      <w:rPr>
        <w:rFonts w:cs="Times New Roman"/>
      </w:rPr>
    </w:lvl>
    <w:lvl w:ilvl="8">
      <w:start w:val="1"/>
      <w:numFmt w:val="lowerRoman"/>
      <w:isLgl w:val="false"/>
      <w:suff w:val="tab"/>
      <w:lvlText w:val="%9."/>
      <w:lvlJc w:val="right"/>
      <w:pPr>
        <w:pStyle w:val="670"/>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670"/>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9"/>
      <w:numFmt w:val="chineseCounting"/>
      <w:isLgl w:val="false"/>
      <w:suff w:val="nothing"/>
      <w:lvlText w:val="%1、"/>
      <w:lvlJc w:val="left"/>
      <w:pPr>
        <w:pStyle w:val="6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0"/>
    <w:next w:val="6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0"/>
    <w:next w:val="6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0"/>
    <w:next w:val="6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0"/>
    <w:next w:val="6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0"/>
    <w:next w:val="6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0"/>
    <w:next w:val="6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0"/>
    <w:next w:val="6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0"/>
    <w:next w:val="6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0"/>
    <w:next w:val="6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0"/>
    <w:next w:val="6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0"/>
    <w:next w:val="6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next w:val="670"/>
    <w:link w:val="670"/>
    <w:qFormat/>
    <w:pPr>
      <w:jc w:val="both"/>
      <w:widowControl w:val="off"/>
    </w:pPr>
    <w:rPr>
      <w:rFonts w:ascii="Times New Roman" w:hAnsi="Times New Roman"/>
      <w:sz w:val="21"/>
      <w:szCs w:val="21"/>
      <w:lang w:val="en-US" w:eastAsia="zh-CN" w:bidi="ar-SA"/>
    </w:rPr>
  </w:style>
  <w:style w:type="paragraph" w:styleId="671">
    <w:name w:val="标题 1"/>
    <w:basedOn w:val="670"/>
    <w:next w:val="670"/>
    <w:link w:val="682"/>
    <w:qFormat/>
    <w:pPr>
      <w:jc w:val="center"/>
      <w:keepNext/>
      <w:outlineLvl w:val="0"/>
    </w:pPr>
    <w:rPr>
      <w:rFonts w:ascii="楷体_GB2312" w:eastAsia="楷体_GB2312"/>
      <w:sz w:val="28"/>
      <w:szCs w:val="28"/>
    </w:rPr>
  </w:style>
  <w:style w:type="paragraph" w:styleId="672">
    <w:name w:val="标题 2"/>
    <w:basedOn w:val="670"/>
    <w:next w:val="684"/>
    <w:link w:val="683"/>
    <w:qFormat/>
    <w:pPr>
      <w:jc w:val="center"/>
      <w:keepLines/>
      <w:keepNext/>
      <w:spacing w:before="260" w:after="260" w:line="416" w:lineRule="auto"/>
      <w:outlineLvl w:val="1"/>
    </w:pPr>
    <w:rPr>
      <w:rFonts w:ascii="Arial" w:hAnsi="Arial" w:eastAsia="幼圆"/>
      <w:b/>
      <w:bCs/>
      <w:sz w:val="44"/>
      <w:szCs w:val="44"/>
    </w:rPr>
  </w:style>
  <w:style w:type="paragraph" w:styleId="673">
    <w:name w:val="标题 3"/>
    <w:basedOn w:val="670"/>
    <w:next w:val="684"/>
    <w:link w:val="686"/>
    <w:qFormat/>
    <w:pPr>
      <w:keepLines/>
      <w:keepNext/>
      <w:spacing w:before="260" w:after="260" w:line="416" w:lineRule="auto"/>
      <w:outlineLvl w:val="2"/>
    </w:pPr>
    <w:rPr>
      <w:b/>
      <w:bCs/>
      <w:sz w:val="32"/>
      <w:szCs w:val="32"/>
    </w:rPr>
  </w:style>
  <w:style w:type="paragraph" w:styleId="674">
    <w:name w:val="标题 4"/>
    <w:basedOn w:val="670"/>
    <w:next w:val="684"/>
    <w:link w:val="687"/>
    <w:qFormat/>
    <w:pPr>
      <w:keepLines/>
      <w:keepNext/>
      <w:spacing w:before="280" w:after="290" w:line="376" w:lineRule="auto"/>
      <w:outlineLvl w:val="3"/>
    </w:pPr>
    <w:rPr>
      <w:rFonts w:ascii="Arial" w:hAnsi="Arial" w:eastAsia="黑体"/>
      <w:b/>
      <w:bCs/>
      <w:sz w:val="28"/>
      <w:szCs w:val="28"/>
    </w:rPr>
  </w:style>
  <w:style w:type="paragraph" w:styleId="675">
    <w:name w:val="标题 5"/>
    <w:basedOn w:val="670"/>
    <w:next w:val="684"/>
    <w:link w:val="688"/>
    <w:qFormat/>
    <w:pPr>
      <w:keepNext/>
      <w:outlineLvl w:val="4"/>
    </w:pPr>
    <w:rPr>
      <w:rFonts w:ascii="宋体"/>
      <w:color w:val="000000"/>
      <w:sz w:val="28"/>
      <w:szCs w:val="28"/>
    </w:rPr>
  </w:style>
  <w:style w:type="paragraph" w:styleId="676">
    <w:name w:val="标题 6"/>
    <w:basedOn w:val="670"/>
    <w:next w:val="670"/>
    <w:link w:val="689"/>
    <w:qFormat/>
    <w:pPr>
      <w:numPr>
        <w:ilvl w:val="5"/>
        <w:numId w:val="1"/>
      </w:numPr>
      <w:keepLines/>
      <w:keepNext/>
      <w:spacing w:before="240" w:after="64" w:line="320" w:lineRule="auto"/>
      <w:outlineLvl w:val="5"/>
    </w:pPr>
    <w:rPr>
      <w:rFonts w:ascii="Arial" w:hAnsi="Arial" w:eastAsia="黑体"/>
      <w:b/>
      <w:bCs/>
      <w:sz w:val="24"/>
      <w:szCs w:val="24"/>
    </w:rPr>
  </w:style>
  <w:style w:type="paragraph" w:styleId="677">
    <w:name w:val="标题 7"/>
    <w:basedOn w:val="670"/>
    <w:next w:val="670"/>
    <w:link w:val="690"/>
    <w:qFormat/>
    <w:pPr>
      <w:numPr>
        <w:ilvl w:val="6"/>
        <w:numId w:val="1"/>
      </w:numPr>
      <w:keepLines/>
      <w:keepNext/>
      <w:spacing w:before="240" w:after="64" w:line="320" w:lineRule="auto"/>
      <w:outlineLvl w:val="6"/>
    </w:pPr>
    <w:rPr>
      <w:b/>
      <w:bCs/>
      <w:sz w:val="24"/>
      <w:szCs w:val="24"/>
    </w:rPr>
  </w:style>
  <w:style w:type="paragraph" w:styleId="678">
    <w:name w:val="标题 8"/>
    <w:basedOn w:val="670"/>
    <w:next w:val="670"/>
    <w:link w:val="691"/>
    <w:qFormat/>
    <w:pPr>
      <w:numPr>
        <w:ilvl w:val="7"/>
        <w:numId w:val="1"/>
      </w:numPr>
      <w:keepLines/>
      <w:keepNext/>
      <w:spacing w:before="240" w:after="64" w:line="320" w:lineRule="auto"/>
      <w:outlineLvl w:val="7"/>
    </w:pPr>
    <w:rPr>
      <w:rFonts w:ascii="Arial" w:hAnsi="Arial" w:eastAsia="黑体"/>
      <w:sz w:val="24"/>
      <w:szCs w:val="24"/>
    </w:rPr>
  </w:style>
  <w:style w:type="paragraph" w:styleId="679">
    <w:name w:val="标题 9"/>
    <w:basedOn w:val="670"/>
    <w:next w:val="670"/>
    <w:link w:val="692"/>
    <w:qFormat/>
    <w:pPr>
      <w:numPr>
        <w:ilvl w:val="8"/>
        <w:numId w:val="1"/>
      </w:numPr>
      <w:keepLines/>
      <w:keepNext/>
      <w:spacing w:before="240" w:after="64" w:line="320" w:lineRule="auto"/>
      <w:outlineLvl w:val="8"/>
    </w:pPr>
    <w:rPr>
      <w:rFonts w:ascii="Arial" w:hAnsi="Arial" w:eastAsia="黑体"/>
      <w:sz w:val="20"/>
    </w:rPr>
  </w:style>
  <w:style w:type="character" w:styleId="680">
    <w:name w:val="默认段落字体"/>
    <w:next w:val="680"/>
    <w:link w:val="670"/>
    <w:uiPriority w:val="1"/>
    <w:unhideWhenUsed/>
  </w:style>
  <w:style w:type="table" w:styleId="681">
    <w:name w:val="普通表格"/>
    <w:next w:val="681"/>
    <w:link w:val="670"/>
    <w:uiPriority w:val="99"/>
    <w:unhideWhenUsed/>
    <w:tblPr/>
  </w:style>
  <w:style w:type="character" w:styleId="682">
    <w:name w:val="标题 1 Char"/>
    <w:next w:val="682"/>
    <w:link w:val="671"/>
    <w:rPr>
      <w:rFonts w:ascii="楷体_GB2312" w:hAnsi="Times New Roman" w:eastAsia="楷体_GB2312" w:cs="Times New Roman"/>
      <w:sz w:val="28"/>
      <w:szCs w:val="28"/>
    </w:rPr>
  </w:style>
  <w:style w:type="character" w:styleId="683">
    <w:name w:val="标题 2 Char"/>
    <w:next w:val="683"/>
    <w:link w:val="672"/>
    <w:rPr>
      <w:rFonts w:ascii="Arial" w:hAnsi="Arial" w:eastAsia="幼圆" w:cs="Arial"/>
      <w:b/>
      <w:bCs/>
      <w:sz w:val="44"/>
      <w:szCs w:val="44"/>
    </w:rPr>
  </w:style>
  <w:style w:type="paragraph" w:styleId="684">
    <w:name w:val="正文缩进"/>
    <w:basedOn w:val="670"/>
    <w:next w:val="684"/>
    <w:link w:val="685"/>
    <w:pPr>
      <w:ind w:firstLine="420"/>
    </w:pPr>
    <w:rPr>
      <w:sz w:val="20"/>
    </w:rPr>
  </w:style>
  <w:style w:type="character" w:styleId="685">
    <w:name w:val="正文缩进 Char"/>
    <w:next w:val="685"/>
    <w:link w:val="684"/>
    <w:rPr>
      <w:rFonts w:ascii="Times New Roman" w:hAnsi="Times New Roman" w:eastAsia="宋体" w:cs="Times New Roman"/>
      <w:szCs w:val="21"/>
    </w:rPr>
  </w:style>
  <w:style w:type="character" w:styleId="686">
    <w:name w:val="标题 3 Char"/>
    <w:next w:val="686"/>
    <w:link w:val="673"/>
    <w:rPr>
      <w:rFonts w:ascii="Times New Roman" w:hAnsi="Times New Roman" w:eastAsia="宋体" w:cs="Times New Roman"/>
      <w:b/>
      <w:bCs/>
      <w:sz w:val="32"/>
      <w:szCs w:val="32"/>
    </w:rPr>
  </w:style>
  <w:style w:type="character" w:styleId="687">
    <w:name w:val="标题 4 Char"/>
    <w:next w:val="687"/>
    <w:link w:val="674"/>
    <w:rPr>
      <w:rFonts w:ascii="Arial" w:hAnsi="Arial" w:eastAsia="黑体" w:cs="Arial"/>
      <w:b/>
      <w:bCs/>
      <w:sz w:val="28"/>
      <w:szCs w:val="28"/>
    </w:rPr>
  </w:style>
  <w:style w:type="character" w:styleId="688">
    <w:name w:val="标题 5 Char"/>
    <w:next w:val="688"/>
    <w:link w:val="675"/>
    <w:rPr>
      <w:rFonts w:ascii="宋体" w:hAnsi="Times New Roman" w:eastAsia="宋体" w:cs="Times New Roman"/>
      <w:color w:val="000000"/>
      <w:sz w:val="28"/>
      <w:szCs w:val="28"/>
    </w:rPr>
  </w:style>
  <w:style w:type="character" w:styleId="689">
    <w:name w:val="标题 6 Char"/>
    <w:next w:val="689"/>
    <w:link w:val="676"/>
    <w:rPr>
      <w:rFonts w:ascii="Arial" w:hAnsi="Arial" w:eastAsia="黑体" w:cs="Times New Roman"/>
      <w:b/>
      <w:bCs/>
      <w:sz w:val="24"/>
      <w:szCs w:val="24"/>
    </w:rPr>
  </w:style>
  <w:style w:type="character" w:styleId="690">
    <w:name w:val="标题 7 Char"/>
    <w:next w:val="690"/>
    <w:link w:val="677"/>
    <w:rPr>
      <w:rFonts w:ascii="Times New Roman" w:hAnsi="Times New Roman" w:eastAsia="宋体" w:cs="Times New Roman"/>
      <w:b/>
      <w:bCs/>
      <w:sz w:val="24"/>
      <w:szCs w:val="24"/>
    </w:rPr>
  </w:style>
  <w:style w:type="character" w:styleId="691">
    <w:name w:val="标题 8 Char"/>
    <w:next w:val="691"/>
    <w:link w:val="678"/>
    <w:rPr>
      <w:rFonts w:ascii="Arial" w:hAnsi="Arial" w:eastAsia="黑体" w:cs="Times New Roman"/>
      <w:sz w:val="24"/>
      <w:szCs w:val="24"/>
    </w:rPr>
  </w:style>
  <w:style w:type="character" w:styleId="692">
    <w:name w:val="标题 9 Char"/>
    <w:next w:val="692"/>
    <w:link w:val="679"/>
    <w:rPr>
      <w:rFonts w:ascii="Arial" w:hAnsi="Arial" w:eastAsia="黑体" w:cs="Times New Roman"/>
      <w:szCs w:val="21"/>
    </w:rPr>
  </w:style>
  <w:style w:type="paragraph" w:styleId="693">
    <w:name w:val="列表 3"/>
    <w:basedOn w:val="670"/>
    <w:next w:val="693"/>
    <w:link w:val="670"/>
    <w:pPr>
      <w:ind w:left="100" w:hanging="200"/>
    </w:pPr>
  </w:style>
  <w:style w:type="paragraph" w:styleId="694">
    <w:name w:val="目录 7"/>
    <w:basedOn w:val="670"/>
    <w:next w:val="670"/>
    <w:link w:val="670"/>
    <w:semiHidden/>
    <w:pPr>
      <w:ind w:left="1260"/>
      <w:jc w:val="left"/>
    </w:pPr>
  </w:style>
  <w:style w:type="paragraph" w:styleId="695">
    <w:name w:val="文档结构图"/>
    <w:basedOn w:val="670"/>
    <w:next w:val="695"/>
    <w:link w:val="696"/>
    <w:semiHidden/>
    <w:pPr>
      <w:shd w:val="clear" w:color="auto" w:fill="000080"/>
    </w:pPr>
    <w:rPr>
      <w:sz w:val="20"/>
    </w:rPr>
  </w:style>
  <w:style w:type="character" w:styleId="696">
    <w:name w:val="文档结构图 Char"/>
    <w:next w:val="696"/>
    <w:link w:val="695"/>
    <w:semiHidden/>
    <w:rPr>
      <w:rFonts w:ascii="Times New Roman" w:hAnsi="Times New Roman" w:eastAsia="宋体" w:cs="Times New Roman"/>
      <w:szCs w:val="21"/>
      <w:shd w:val="clear" w:color="auto" w:fill="000080"/>
    </w:rPr>
  </w:style>
  <w:style w:type="paragraph" w:styleId="697">
    <w:name w:val="批注文字"/>
    <w:basedOn w:val="670"/>
    <w:next w:val="697"/>
    <w:link w:val="698"/>
    <w:semiHidden/>
    <w:pPr>
      <w:jc w:val="left"/>
    </w:pPr>
    <w:rPr>
      <w:sz w:val="20"/>
    </w:rPr>
  </w:style>
  <w:style w:type="character" w:styleId="698">
    <w:name w:val="批注文字 Char"/>
    <w:next w:val="698"/>
    <w:link w:val="697"/>
    <w:semiHidden/>
    <w:rPr>
      <w:rFonts w:ascii="Times New Roman" w:hAnsi="Times New Roman" w:eastAsia="宋体" w:cs="Times New Roman"/>
      <w:szCs w:val="21"/>
    </w:rPr>
  </w:style>
  <w:style w:type="paragraph" w:styleId="699">
    <w:name w:val="正文文本 3"/>
    <w:basedOn w:val="670"/>
    <w:next w:val="699"/>
    <w:link w:val="700"/>
    <w:rPr>
      <w:rFonts w:ascii="仿宋_GB2312" w:hAnsi="Arial" w:eastAsia="仿宋_GB2312"/>
      <w:sz w:val="32"/>
      <w:szCs w:val="32"/>
    </w:rPr>
  </w:style>
  <w:style w:type="character" w:styleId="700">
    <w:name w:val="正文文本 3 Char"/>
    <w:next w:val="700"/>
    <w:link w:val="699"/>
    <w:rPr>
      <w:rFonts w:ascii="仿宋_GB2312" w:hAnsi="Arial" w:eastAsia="仿宋_GB2312" w:cs="Times New Roman"/>
      <w:sz w:val="32"/>
      <w:szCs w:val="32"/>
    </w:rPr>
  </w:style>
  <w:style w:type="paragraph" w:styleId="701">
    <w:name w:val="正文文本"/>
    <w:basedOn w:val="670"/>
    <w:next w:val="701"/>
    <w:link w:val="702"/>
    <w:rPr>
      <w:rFonts w:ascii="楷体_GB2312" w:hAnsi="Arial" w:eastAsia="楷体_GB2312"/>
      <w:sz w:val="28"/>
      <w:szCs w:val="28"/>
    </w:rPr>
  </w:style>
  <w:style w:type="character" w:styleId="702">
    <w:name w:val="正文文本 Char"/>
    <w:next w:val="702"/>
    <w:link w:val="701"/>
    <w:rPr>
      <w:rFonts w:ascii="楷体_GB2312" w:hAnsi="Arial" w:eastAsia="楷体_GB2312" w:cs="Times New Roman"/>
      <w:sz w:val="28"/>
      <w:szCs w:val="28"/>
    </w:rPr>
  </w:style>
  <w:style w:type="paragraph" w:styleId="703">
    <w:name w:val="正文文本缩进"/>
    <w:basedOn w:val="670"/>
    <w:next w:val="703"/>
    <w:link w:val="704"/>
    <w:pPr>
      <w:ind w:firstLine="645"/>
    </w:pPr>
    <w:rPr>
      <w:rFonts w:ascii="楷体_GB2312" w:eastAsia="楷体_GB2312"/>
      <w:sz w:val="32"/>
      <w:szCs w:val="32"/>
    </w:rPr>
  </w:style>
  <w:style w:type="character" w:styleId="704">
    <w:name w:val="正文文本缩进 Char"/>
    <w:next w:val="704"/>
    <w:link w:val="703"/>
    <w:rPr>
      <w:rFonts w:ascii="楷体_GB2312" w:hAnsi="Times New Roman" w:eastAsia="楷体_GB2312" w:cs="Times New Roman"/>
      <w:sz w:val="32"/>
      <w:szCs w:val="32"/>
    </w:rPr>
  </w:style>
  <w:style w:type="paragraph" w:styleId="705">
    <w:name w:val="列表 2"/>
    <w:basedOn w:val="670"/>
    <w:next w:val="705"/>
    <w:link w:val="670"/>
    <w:pPr>
      <w:ind w:left="100" w:hanging="200"/>
    </w:pPr>
  </w:style>
  <w:style w:type="paragraph" w:styleId="706">
    <w:name w:val="目录 5"/>
    <w:basedOn w:val="670"/>
    <w:next w:val="670"/>
    <w:link w:val="670"/>
    <w:semiHidden/>
    <w:pPr>
      <w:ind w:left="840"/>
      <w:jc w:val="left"/>
    </w:pPr>
  </w:style>
  <w:style w:type="paragraph" w:styleId="707">
    <w:name w:val="目录 3"/>
    <w:basedOn w:val="670"/>
    <w:next w:val="670"/>
    <w:link w:val="670"/>
    <w:semiHidden/>
    <w:pPr>
      <w:ind w:left="420"/>
      <w:jc w:val="left"/>
    </w:pPr>
    <w:rPr>
      <w:i/>
      <w:iCs/>
      <w:szCs w:val="24"/>
    </w:rPr>
  </w:style>
  <w:style w:type="paragraph" w:styleId="708">
    <w:name w:val="纯文本"/>
    <w:basedOn w:val="670"/>
    <w:next w:val="708"/>
    <w:link w:val="709"/>
    <w:rPr>
      <w:rFonts w:ascii="宋体" w:hAnsi="Courier New"/>
      <w:sz w:val="20"/>
    </w:rPr>
  </w:style>
  <w:style w:type="character" w:styleId="709">
    <w:name w:val="纯文本 Char"/>
    <w:next w:val="709"/>
    <w:link w:val="708"/>
    <w:rPr>
      <w:rFonts w:ascii="宋体" w:hAnsi="Courier New" w:eastAsia="宋体" w:cs="Courier New"/>
      <w:szCs w:val="21"/>
    </w:rPr>
  </w:style>
  <w:style w:type="paragraph" w:styleId="710">
    <w:name w:val="目录 8"/>
    <w:basedOn w:val="670"/>
    <w:next w:val="670"/>
    <w:link w:val="670"/>
    <w:semiHidden/>
    <w:pPr>
      <w:ind w:left="1470"/>
      <w:jc w:val="left"/>
    </w:pPr>
  </w:style>
  <w:style w:type="paragraph" w:styleId="711">
    <w:name w:val="日期"/>
    <w:basedOn w:val="670"/>
    <w:next w:val="670"/>
    <w:link w:val="712"/>
    <w:rPr>
      <w:sz w:val="24"/>
      <w:szCs w:val="24"/>
    </w:rPr>
  </w:style>
  <w:style w:type="character" w:styleId="712">
    <w:name w:val="日期 Char"/>
    <w:next w:val="712"/>
    <w:link w:val="711"/>
    <w:rPr>
      <w:rFonts w:ascii="Times New Roman" w:hAnsi="Times New Roman" w:eastAsia="宋体" w:cs="Times New Roman"/>
      <w:sz w:val="24"/>
      <w:szCs w:val="24"/>
    </w:rPr>
  </w:style>
  <w:style w:type="paragraph" w:styleId="713">
    <w:name w:val="正文文本缩进 2"/>
    <w:basedOn w:val="670"/>
    <w:next w:val="713"/>
    <w:link w:val="714"/>
    <w:pPr>
      <w:ind w:left="630" w:firstLine="645"/>
    </w:pPr>
    <w:rPr>
      <w:rFonts w:ascii="Arial" w:hAnsi="Arial" w:eastAsia="仿宋_GB2312"/>
      <w:sz w:val="32"/>
      <w:szCs w:val="32"/>
    </w:rPr>
  </w:style>
  <w:style w:type="character" w:styleId="714">
    <w:name w:val="正文文本缩进 2 Char"/>
    <w:next w:val="714"/>
    <w:link w:val="713"/>
    <w:rPr>
      <w:rFonts w:ascii="Arial" w:hAnsi="Arial" w:eastAsia="仿宋_GB2312" w:cs="Arial"/>
      <w:sz w:val="32"/>
      <w:szCs w:val="32"/>
    </w:rPr>
  </w:style>
  <w:style w:type="paragraph" w:styleId="715">
    <w:name w:val="批注框文本"/>
    <w:basedOn w:val="670"/>
    <w:next w:val="715"/>
    <w:link w:val="716"/>
    <w:semiHidden/>
    <w:rPr>
      <w:sz w:val="18"/>
      <w:szCs w:val="18"/>
    </w:rPr>
  </w:style>
  <w:style w:type="character" w:styleId="716">
    <w:name w:val="批注框文本 Char"/>
    <w:next w:val="716"/>
    <w:link w:val="715"/>
    <w:semiHidden/>
    <w:rPr>
      <w:rFonts w:ascii="Times New Roman" w:hAnsi="Times New Roman" w:eastAsia="宋体" w:cs="Times New Roman"/>
      <w:sz w:val="18"/>
      <w:szCs w:val="18"/>
    </w:rPr>
  </w:style>
  <w:style w:type="paragraph" w:styleId="717">
    <w:name w:val="页脚"/>
    <w:basedOn w:val="670"/>
    <w:next w:val="717"/>
    <w:link w:val="718"/>
    <w:pPr>
      <w:jc w:val="left"/>
      <w:tabs>
        <w:tab w:val="center" w:pos="4153" w:leader="none"/>
        <w:tab w:val="right" w:pos="8306" w:leader="none"/>
      </w:tabs>
    </w:pPr>
    <w:rPr>
      <w:sz w:val="18"/>
      <w:szCs w:val="18"/>
    </w:rPr>
  </w:style>
  <w:style w:type="character" w:styleId="718">
    <w:name w:val="页脚 Char"/>
    <w:next w:val="718"/>
    <w:link w:val="717"/>
    <w:rPr>
      <w:rFonts w:ascii="Times New Roman" w:hAnsi="Times New Roman" w:eastAsia="宋体" w:cs="Times New Roman"/>
      <w:sz w:val="18"/>
      <w:szCs w:val="18"/>
    </w:rPr>
  </w:style>
  <w:style w:type="paragraph" w:styleId="719">
    <w:name w:val="页眉"/>
    <w:basedOn w:val="670"/>
    <w:next w:val="719"/>
    <w:link w:val="720"/>
    <w:uiPriority w:val="99"/>
    <w:qFormat/>
    <w:pPr>
      <w:jc w:val="center"/>
      <w:tabs>
        <w:tab w:val="center" w:pos="4153" w:leader="none"/>
        <w:tab w:val="right" w:pos="8306" w:leader="none"/>
      </w:tabs>
      <w:pBdr>
        <w:bottom w:val="single" w:color="000000" w:sz="6" w:space="1"/>
      </w:pBdr>
    </w:pPr>
    <w:rPr>
      <w:sz w:val="18"/>
      <w:szCs w:val="18"/>
    </w:rPr>
  </w:style>
  <w:style w:type="character" w:styleId="720">
    <w:name w:val="页眉 Char"/>
    <w:next w:val="720"/>
    <w:link w:val="719"/>
    <w:uiPriority w:val="99"/>
    <w:qFormat/>
    <w:rPr>
      <w:rFonts w:ascii="Times New Roman" w:hAnsi="Times New Roman" w:eastAsia="宋体" w:cs="Times New Roman"/>
      <w:sz w:val="18"/>
      <w:szCs w:val="18"/>
    </w:rPr>
  </w:style>
  <w:style w:type="paragraph" w:styleId="721">
    <w:name w:val="目录 1"/>
    <w:basedOn w:val="670"/>
    <w:next w:val="670"/>
    <w:link w:val="670"/>
    <w:semiHidden/>
    <w:pPr>
      <w:jc w:val="left"/>
      <w:spacing w:before="120" w:after="120" w:line="400" w:lineRule="exact"/>
      <w:tabs>
        <w:tab w:val="right" w:pos="8720" w:leader="dot"/>
      </w:tabs>
    </w:pPr>
    <w:rPr>
      <w:rFonts w:ascii="宋体" w:hAnsi="宋体"/>
      <w:caps/>
      <w:sz w:val="24"/>
      <w:szCs w:val="24"/>
    </w:rPr>
  </w:style>
  <w:style w:type="paragraph" w:styleId="722">
    <w:name w:val="目录 4"/>
    <w:basedOn w:val="670"/>
    <w:next w:val="670"/>
    <w:link w:val="670"/>
    <w:semiHidden/>
    <w:pPr>
      <w:ind w:left="630"/>
      <w:jc w:val="left"/>
    </w:pPr>
  </w:style>
  <w:style w:type="paragraph" w:styleId="723">
    <w:name w:val="列表"/>
    <w:basedOn w:val="670"/>
    <w:next w:val="723"/>
    <w:link w:val="670"/>
    <w:pPr>
      <w:ind w:left="200" w:hanging="200"/>
    </w:pPr>
  </w:style>
  <w:style w:type="paragraph" w:styleId="724">
    <w:name w:val="目录 6"/>
    <w:basedOn w:val="670"/>
    <w:next w:val="670"/>
    <w:link w:val="670"/>
    <w:semiHidden/>
    <w:pPr>
      <w:ind w:left="1050"/>
      <w:jc w:val="left"/>
    </w:pPr>
  </w:style>
  <w:style w:type="paragraph" w:styleId="725">
    <w:name w:val="正文文本缩进 3"/>
    <w:basedOn w:val="670"/>
    <w:next w:val="725"/>
    <w:link w:val="726"/>
    <w:pPr>
      <w:ind w:left="645" w:firstLine="645"/>
    </w:pPr>
    <w:rPr>
      <w:rFonts w:ascii="Arial" w:hAnsi="Arial" w:eastAsia="仿宋_GB2312"/>
      <w:color w:val="ffff00"/>
      <w:sz w:val="32"/>
      <w:szCs w:val="32"/>
    </w:rPr>
  </w:style>
  <w:style w:type="character" w:styleId="726">
    <w:name w:val="正文文本缩进 3 Char"/>
    <w:next w:val="726"/>
    <w:link w:val="725"/>
    <w:rPr>
      <w:rFonts w:ascii="Arial" w:hAnsi="Arial" w:eastAsia="仿宋_GB2312" w:cs="Arial"/>
      <w:color w:val="ffff00"/>
      <w:sz w:val="32"/>
      <w:szCs w:val="32"/>
    </w:rPr>
  </w:style>
  <w:style w:type="paragraph" w:styleId="727">
    <w:name w:val="图表目录"/>
    <w:basedOn w:val="670"/>
    <w:next w:val="670"/>
    <w:link w:val="670"/>
    <w:semiHidden/>
    <w:pPr>
      <w:ind w:left="840" w:hanging="420"/>
    </w:pPr>
  </w:style>
  <w:style w:type="paragraph" w:styleId="728">
    <w:name w:val="目录 2"/>
    <w:basedOn w:val="670"/>
    <w:next w:val="670"/>
    <w:link w:val="670"/>
    <w:semiHidden/>
    <w:pPr>
      <w:ind w:left="210"/>
      <w:jc w:val="left"/>
    </w:pPr>
    <w:rPr>
      <w:smallCaps/>
      <w:szCs w:val="24"/>
    </w:rPr>
  </w:style>
  <w:style w:type="paragraph" w:styleId="729">
    <w:name w:val="目录 9"/>
    <w:basedOn w:val="670"/>
    <w:next w:val="670"/>
    <w:link w:val="670"/>
    <w:semiHidden/>
    <w:pPr>
      <w:ind w:left="1680"/>
      <w:jc w:val="left"/>
    </w:pPr>
  </w:style>
  <w:style w:type="paragraph" w:styleId="730">
    <w:name w:val="正文文本 2"/>
    <w:basedOn w:val="670"/>
    <w:next w:val="730"/>
    <w:link w:val="731"/>
    <w:pPr>
      <w:jc w:val="center"/>
      <w:widowControl/>
    </w:pPr>
    <w:rPr>
      <w:rFonts w:ascii="楷体_GB2312" w:eastAsia="楷体_GB2312"/>
      <w:sz w:val="28"/>
      <w:szCs w:val="28"/>
    </w:rPr>
  </w:style>
  <w:style w:type="character" w:styleId="731">
    <w:name w:val="正文文本 2 Char"/>
    <w:next w:val="731"/>
    <w:link w:val="730"/>
    <w:rPr>
      <w:rFonts w:ascii="楷体_GB2312" w:hAnsi="Times New Roman" w:eastAsia="楷体_GB2312" w:cs="Times New Roman"/>
      <w:sz w:val="28"/>
      <w:szCs w:val="28"/>
    </w:rPr>
  </w:style>
  <w:style w:type="paragraph" w:styleId="732">
    <w:name w:val="普通(网站)"/>
    <w:basedOn w:val="670"/>
    <w:next w:val="732"/>
    <w:link w:val="670"/>
    <w:uiPriority w:val="99"/>
    <w:pPr>
      <w:jc w:val="left"/>
      <w:spacing w:before="100" w:beforeAutospacing="1" w:after="100" w:afterAutospacing="1"/>
      <w:widowControl/>
    </w:pPr>
    <w:rPr>
      <w:rFonts w:ascii="宋体" w:hAnsi="宋体" w:cs="宋体"/>
      <w:sz w:val="24"/>
      <w:szCs w:val="24"/>
    </w:rPr>
  </w:style>
  <w:style w:type="paragraph" w:styleId="733">
    <w:name w:val="索引 1"/>
    <w:basedOn w:val="670"/>
    <w:next w:val="670"/>
    <w:link w:val="670"/>
    <w:semiHidden/>
    <w:pPr>
      <w:spacing w:line="240" w:lineRule="atLeast"/>
    </w:pPr>
    <w:rPr>
      <w:b/>
      <w:bCs/>
    </w:rPr>
  </w:style>
  <w:style w:type="paragraph" w:styleId="734">
    <w:name w:val="批注主题"/>
    <w:basedOn w:val="697"/>
    <w:next w:val="697"/>
    <w:link w:val="735"/>
    <w:semiHidden/>
    <w:rPr>
      <w:b/>
      <w:bCs/>
    </w:rPr>
  </w:style>
  <w:style w:type="character" w:styleId="735">
    <w:name w:val="批注主题 Char"/>
    <w:next w:val="735"/>
    <w:link w:val="734"/>
    <w:semiHidden/>
    <w:rPr>
      <w:rFonts w:ascii="Times New Roman" w:hAnsi="Times New Roman" w:eastAsia="宋体" w:cs="Times New Roman"/>
      <w:b/>
      <w:bCs/>
      <w:szCs w:val="21"/>
    </w:rPr>
  </w:style>
  <w:style w:type="paragraph" w:styleId="736">
    <w:name w:val="正文首行缩进"/>
    <w:basedOn w:val="670"/>
    <w:next w:val="736"/>
    <w:link w:val="737"/>
    <w:pPr>
      <w:ind w:firstLine="200"/>
      <w:spacing w:line="360" w:lineRule="auto"/>
    </w:pPr>
    <w:rPr>
      <w:rFonts w:ascii="仿宋_GB2312" w:eastAsia="仿宋_GB2312"/>
      <w:sz w:val="30"/>
      <w:szCs w:val="30"/>
    </w:rPr>
  </w:style>
  <w:style w:type="character" w:styleId="737">
    <w:name w:val="正文首行缩进 Char"/>
    <w:next w:val="737"/>
    <w:link w:val="736"/>
    <w:rPr>
      <w:rFonts w:ascii="仿宋_GB2312" w:hAnsi="Times New Roman" w:eastAsia="仿宋_GB2312" w:cs="Times New Roman"/>
      <w:sz w:val="30"/>
      <w:szCs w:val="30"/>
    </w:rPr>
  </w:style>
  <w:style w:type="paragraph" w:styleId="738">
    <w:name w:val="正文首行缩进 2"/>
    <w:basedOn w:val="703"/>
    <w:next w:val="738"/>
    <w:link w:val="739"/>
    <w:pPr>
      <w:ind w:firstLine="420"/>
      <w:spacing w:line="360" w:lineRule="auto"/>
    </w:pPr>
    <w:rPr>
      <w:rFonts w:ascii="宋体" w:hAnsi="宋体" w:eastAsia="宋体"/>
      <w:szCs w:val="20"/>
    </w:rPr>
  </w:style>
  <w:style w:type="character" w:styleId="739">
    <w:name w:val="正文首行缩进 2 Char"/>
    <w:next w:val="739"/>
    <w:link w:val="738"/>
    <w:rPr>
      <w:rFonts w:ascii="宋体" w:hAnsi="宋体" w:eastAsia="宋体" w:cs="Times New Roman"/>
      <w:sz w:val="32"/>
      <w:szCs w:val="20"/>
    </w:rPr>
  </w:style>
  <w:style w:type="table" w:styleId="740">
    <w:name w:val="网格型"/>
    <w:basedOn w:val="681"/>
    <w:next w:val="740"/>
    <w:link w:val="670"/>
    <w:pPr>
      <w:jc w:val="both"/>
      <w:widowControl w:val="off"/>
    </w:pPr>
    <w:rPr>
      <w:rFonts w:ascii="Times New Roman" w:hAnsi="Times New Roman" w:eastAsia="宋体" w:cs="Times New Roman"/>
      <w:sz w:val="20"/>
      <w:szCs w:val="20"/>
    </w:rPr>
    <w:tblPr/>
  </w:style>
  <w:style w:type="character" w:styleId="741">
    <w:name w:val="要点"/>
    <w:next w:val="741"/>
    <w:link w:val="670"/>
    <w:qFormat/>
    <w:rPr>
      <w:b/>
      <w:bCs/>
    </w:rPr>
  </w:style>
  <w:style w:type="character" w:styleId="742">
    <w:name w:val="页码"/>
    <w:next w:val="742"/>
    <w:link w:val="670"/>
  </w:style>
  <w:style w:type="character" w:styleId="743">
    <w:name w:val="已访问的超链接"/>
    <w:next w:val="743"/>
    <w:link w:val="670"/>
    <w:rPr>
      <w:color w:val="800080"/>
      <w:u w:val="single"/>
    </w:rPr>
  </w:style>
  <w:style w:type="character" w:styleId="744">
    <w:name w:val="HTML 打字机"/>
    <w:next w:val="744"/>
    <w:link w:val="670"/>
    <w:uiPriority w:val="99"/>
    <w:rPr>
      <w:rFonts w:ascii="宋体" w:hAnsi="宋体" w:eastAsia="宋体" w:cs="宋体"/>
      <w:sz w:val="24"/>
      <w:szCs w:val="24"/>
    </w:rPr>
  </w:style>
  <w:style w:type="character" w:styleId="745">
    <w:name w:val="超链接"/>
    <w:next w:val="745"/>
    <w:link w:val="670"/>
    <w:rPr>
      <w:color w:val="0000ff"/>
      <w:u w:val="single"/>
    </w:rPr>
  </w:style>
  <w:style w:type="character" w:styleId="746">
    <w:name w:val="批注引用"/>
    <w:next w:val="746"/>
    <w:link w:val="670"/>
    <w:semiHidden/>
    <w:rPr>
      <w:sz w:val="21"/>
      <w:szCs w:val="21"/>
    </w:rPr>
  </w:style>
  <w:style w:type="paragraph" w:styleId="747">
    <w:name w:val="正文文本1"/>
    <w:basedOn w:val="670"/>
    <w:next w:val="747"/>
    <w:link w:val="670"/>
    <w:qFormat/>
    <w:rPr>
      <w:rFonts w:ascii="楷体_GB2312" w:hAnsi="Arial" w:eastAsia="楷体_GB2312"/>
      <w:sz w:val="28"/>
      <w:szCs w:val="28"/>
    </w:rPr>
  </w:style>
  <w:style w:type="character" w:styleId="748">
    <w:name w:val="font5 Char"/>
    <w:next w:val="748"/>
    <w:link w:val="670"/>
    <w:rPr>
      <w:rFonts w:ascii="宋体" w:hAnsi="宋体" w:eastAsia="宋体"/>
      <w:sz w:val="28"/>
      <w:szCs w:val="28"/>
      <w:lang w:val="en-US" w:eastAsia="zh-CN" w:bidi="ar-SA"/>
    </w:rPr>
  </w:style>
  <w:style w:type="character" w:styleId="749">
    <w:name w:val="二级目录 Char"/>
    <w:next w:val="749"/>
    <w:link w:val="750"/>
    <w:rPr>
      <w:b/>
      <w:sz w:val="30"/>
      <w:szCs w:val="28"/>
      <w:lang w:val="en-US" w:eastAsia="zh-CN" w:bidi="ar-SA"/>
    </w:rPr>
  </w:style>
  <w:style w:type="paragraph" w:styleId="750">
    <w:name w:val="二级目录"/>
    <w:next w:val="670"/>
    <w:link w:val="749"/>
    <w:pPr>
      <w:numPr>
        <w:ilvl w:val="0"/>
        <w:numId w:val="2"/>
      </w:numPr>
      <w:tabs>
        <w:tab w:val="left" w:pos="907" w:leader="none"/>
        <w:tab w:val="left" w:pos="1145" w:leader="none"/>
      </w:tabs>
      <w:outlineLvl w:val="1"/>
    </w:pPr>
    <w:rPr>
      <w:b/>
      <w:sz w:val="30"/>
      <w:szCs w:val="28"/>
      <w:lang w:val="en-US" w:eastAsia="zh-CN" w:bidi="ar-SA"/>
    </w:rPr>
  </w:style>
  <w:style w:type="character" w:styleId="751">
    <w:name w:val="列出段落 Char,Bullet List Char,numbered Char,FooterText Char,List Paragraph1 Char,Paragraphe de liste1 Char"/>
    <w:next w:val="751"/>
    <w:link w:val="752"/>
    <w:rPr>
      <w:rFonts w:ascii="Calibri" w:hAnsi="Calibri"/>
      <w:sz w:val="24"/>
      <w:szCs w:val="24"/>
      <w:lang w:eastAsia="en-US" w:bidi="en-US"/>
    </w:rPr>
  </w:style>
  <w:style w:type="paragraph" w:styleId="752">
    <w:name w:val="列出段落1"/>
    <w:basedOn w:val="670"/>
    <w:next w:val="752"/>
    <w:link w:val="751"/>
    <w:qFormat/>
    <w:pPr>
      <w:contextualSpacing/>
      <w:ind w:left="720"/>
      <w:jc w:val="left"/>
      <w:widowControl/>
    </w:pPr>
    <w:rPr>
      <w:rFonts w:ascii="Calibri" w:hAnsi="Calibri"/>
      <w:sz w:val="24"/>
      <w:szCs w:val="24"/>
      <w:lang w:eastAsia="en-US" w:bidi="en-US"/>
    </w:rPr>
  </w:style>
  <w:style w:type="paragraph" w:styleId="753">
    <w:name w:val="Body Text(ch)"/>
    <w:basedOn w:val="670"/>
    <w:next w:val="701"/>
    <w:link w:val="670"/>
    <w:pPr>
      <w:spacing w:after="120"/>
    </w:pPr>
    <w:rPr>
      <w:rFonts w:ascii="宋体" w:hAnsi="Arial"/>
      <w:bCs/>
      <w:iCs/>
      <w:szCs w:val="24"/>
    </w:rPr>
  </w:style>
  <w:style w:type="paragraph" w:styleId="754">
    <w:name w:val="xl27"/>
    <w:basedOn w:val="670"/>
    <w:next w:val="754"/>
    <w:link w:val="6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5">
    <w:name w:val="xl26"/>
    <w:basedOn w:val="670"/>
    <w:next w:val="755"/>
    <w:link w:val="6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6">
    <w:name w:val="Char"/>
    <w:basedOn w:val="670"/>
    <w:next w:val="756"/>
    <w:link w:val="670"/>
    <w:pPr>
      <w:ind w:firstLine="200"/>
      <w:tabs>
        <w:tab w:val="left" w:pos="360" w:leader="none"/>
      </w:tabs>
    </w:pPr>
    <w:rPr>
      <w:sz w:val="28"/>
      <w:szCs w:val="30"/>
    </w:rPr>
  </w:style>
  <w:style w:type="paragraph" w:styleId="757">
    <w:name w:val=" Char"/>
    <w:basedOn w:val="695"/>
    <w:next w:val="757"/>
    <w:link w:val="670"/>
    <w:rPr>
      <w:rFonts w:ascii="Tahoma" w:hAnsi="Tahoma"/>
      <w:sz w:val="24"/>
      <w:szCs w:val="24"/>
    </w:rPr>
  </w:style>
  <w:style w:type="paragraph" w:styleId="758">
    <w:name w:val="普通正文"/>
    <w:basedOn w:val="670"/>
    <w:next w:val="758"/>
    <w:link w:val="670"/>
    <w:pPr>
      <w:ind w:firstLine="480"/>
      <w:jc w:val="left"/>
      <w:spacing w:before="120" w:after="120" w:line="360" w:lineRule="auto"/>
    </w:pPr>
    <w:rPr>
      <w:rFonts w:ascii="Arial" w:hAnsi="Arial"/>
      <w:sz w:val="24"/>
      <w:szCs w:val="24"/>
    </w:rPr>
  </w:style>
  <w:style w:type="paragraph" w:styleId="759">
    <w:name w:val="table_lines"/>
    <w:basedOn w:val="670"/>
    <w:next w:val="759"/>
    <w:link w:val="670"/>
    <w:pPr>
      <w:jc w:val="left"/>
      <w:widowControl/>
    </w:pPr>
    <w:rPr>
      <w:sz w:val="20"/>
      <w:szCs w:val="20"/>
      <w:lang w:val="de-DE" w:eastAsia="de-DE"/>
    </w:rPr>
  </w:style>
  <w:style w:type="paragraph" w:styleId="760">
    <w:name w:val="附录1"/>
    <w:next w:val="760"/>
    <w:link w:val="67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1">
    <w:name w:val="font7"/>
    <w:basedOn w:val="670"/>
    <w:next w:val="761"/>
    <w:link w:val="670"/>
    <w:pPr>
      <w:jc w:val="left"/>
      <w:spacing w:before="100" w:beforeAutospacing="1" w:after="100" w:afterAutospacing="1"/>
      <w:widowControl/>
    </w:pPr>
    <w:rPr>
      <w:rFonts w:hint="eastAsia" w:ascii="宋体" w:hAnsi="宋体"/>
      <w:sz w:val="18"/>
      <w:szCs w:val="18"/>
    </w:rPr>
  </w:style>
  <w:style w:type="paragraph" w:styleId="762">
    <w:name w:val=" Char Char Char Char"/>
    <w:basedOn w:val="695"/>
    <w:next w:val="762"/>
    <w:link w:val="670"/>
    <w:pPr>
      <w:spacing w:line="360" w:lineRule="auto"/>
    </w:pPr>
    <w:rPr>
      <w:rFonts w:ascii="Tahoma" w:hAnsi="Tahoma"/>
      <w:sz w:val="24"/>
      <w:szCs w:val="24"/>
    </w:rPr>
  </w:style>
  <w:style w:type="paragraph" w:styleId="763">
    <w:name w:val="列出段落"/>
    <w:basedOn w:val="670"/>
    <w:next w:val="763"/>
    <w:link w:val="670"/>
    <w:uiPriority w:val="99"/>
    <w:qFormat/>
    <w:pPr>
      <w:contextualSpacing/>
      <w:ind w:left="720"/>
      <w:jc w:val="left"/>
      <w:widowControl/>
    </w:pPr>
    <w:rPr>
      <w:rFonts w:ascii="Calibri" w:hAnsi="Calibri"/>
      <w:sz w:val="24"/>
      <w:szCs w:val="24"/>
      <w:lang w:eastAsia="en-US" w:bidi="en-US"/>
    </w:rPr>
  </w:style>
  <w:style w:type="paragraph" w:styleId="764">
    <w:name w:val="4"/>
    <w:basedOn w:val="670"/>
    <w:next w:val="725"/>
    <w:link w:val="670"/>
    <w:pPr>
      <w:ind w:firstLine="420"/>
      <w:spacing w:line="360" w:lineRule="auto"/>
    </w:pPr>
    <w:rPr>
      <w:color w:val="ff0000"/>
      <w:sz w:val="24"/>
      <w:szCs w:val="24"/>
    </w:rPr>
  </w:style>
  <w:style w:type="paragraph" w:styleId="765">
    <w:name w:val="普通 (Web)"/>
    <w:basedOn w:val="670"/>
    <w:next w:val="765"/>
    <w:link w:val="670"/>
    <w:pPr>
      <w:jc w:val="left"/>
      <w:spacing w:before="100" w:beforeAutospacing="1" w:after="100" w:afterAutospacing="1"/>
      <w:widowControl/>
    </w:pPr>
    <w:rPr>
      <w:rFonts w:ascii="宋体" w:hAnsi="宋体"/>
      <w:sz w:val="24"/>
      <w:szCs w:val="24"/>
    </w:rPr>
  </w:style>
  <w:style w:type="paragraph" w:styleId="766">
    <w:name w:val=" Char Char Char Char Char Char Char Char Char Char"/>
    <w:basedOn w:val="670"/>
    <w:next w:val="766"/>
    <w:link w:val="670"/>
    <w:pPr>
      <w:spacing w:line="360" w:lineRule="auto"/>
    </w:pPr>
    <w:rPr>
      <w:sz w:val="24"/>
      <w:szCs w:val="20"/>
    </w:rPr>
  </w:style>
  <w:style w:type="paragraph" w:styleId="767">
    <w:name w:val="样式1"/>
    <w:basedOn w:val="670"/>
    <w:next w:val="767"/>
    <w:link w:val="670"/>
    <w:pPr>
      <w:numPr>
        <w:ilvl w:val="0"/>
        <w:numId w:val="3"/>
      </w:numPr>
      <w:tabs>
        <w:tab w:val="left" w:pos="709" w:leader="none"/>
      </w:tabs>
    </w:pPr>
    <w:rPr>
      <w:rFonts w:ascii="宋体" w:hAnsi="宋体"/>
    </w:rPr>
  </w:style>
  <w:style w:type="paragraph" w:styleId="768">
    <w:name w:val="font6"/>
    <w:basedOn w:val="670"/>
    <w:next w:val="768"/>
    <w:link w:val="670"/>
    <w:pPr>
      <w:jc w:val="left"/>
      <w:spacing w:before="100" w:beforeAutospacing="1" w:after="100" w:afterAutospacing="1"/>
      <w:widowControl/>
    </w:pPr>
    <w:rPr>
      <w:rFonts w:hint="eastAsia" w:ascii="宋体" w:hAnsi="宋体"/>
      <w:sz w:val="28"/>
      <w:szCs w:val="28"/>
      <w:u w:val="single"/>
    </w:rPr>
  </w:style>
  <w:style w:type="paragraph" w:styleId="769">
    <w:name w:val="xl25"/>
    <w:basedOn w:val="670"/>
    <w:next w:val="769"/>
    <w:link w:val="67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0">
    <w:name w:val="图标"/>
    <w:basedOn w:val="670"/>
    <w:next w:val="670"/>
    <w:link w:val="67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1">
    <w:name w:val="标题3"/>
    <w:basedOn w:val="670"/>
    <w:next w:val="670"/>
    <w:link w:val="670"/>
    <w:pPr>
      <w:ind w:firstLine="624"/>
      <w:spacing w:line="590" w:lineRule="atLeast"/>
    </w:pPr>
    <w:rPr>
      <w:rFonts w:ascii="方正黑体_GBK" w:eastAsia="方正黑体_GBK"/>
      <w:sz w:val="32"/>
      <w:szCs w:val="32"/>
    </w:rPr>
  </w:style>
  <w:style w:type="paragraph" w:styleId="772">
    <w:name w:val="xl24"/>
    <w:basedOn w:val="670"/>
    <w:next w:val="772"/>
    <w:link w:val="6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3">
    <w:name w:val="xl29"/>
    <w:basedOn w:val="670"/>
    <w:next w:val="773"/>
    <w:link w:val="67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4">
    <w:name w:val="Char Char Char Char Char Char Char Char"/>
    <w:basedOn w:val="670"/>
    <w:next w:val="774"/>
    <w:link w:val="670"/>
    <w:pPr>
      <w:jc w:val="left"/>
      <w:spacing w:after="160" w:line="240" w:lineRule="exact"/>
      <w:widowControl/>
    </w:pPr>
    <w:rPr>
      <w:rFonts w:ascii="Verdana" w:hAnsi="Verdana"/>
      <w:sz w:val="20"/>
      <w:szCs w:val="20"/>
      <w:lang w:eastAsia="en-US"/>
    </w:rPr>
  </w:style>
  <w:style w:type="paragraph" w:styleId="775">
    <w:name w:val="xl28"/>
    <w:basedOn w:val="670"/>
    <w:next w:val="775"/>
    <w:link w:val="6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6">
    <w:name w:val=" Char Char Char Char Char Char Char Char"/>
    <w:basedOn w:val="670"/>
    <w:next w:val="776"/>
    <w:link w:val="670"/>
    <w:pPr>
      <w:jc w:val="left"/>
      <w:spacing w:after="160" w:line="240" w:lineRule="exact"/>
      <w:widowControl/>
    </w:pPr>
    <w:rPr>
      <w:rFonts w:ascii="Verdana" w:hAnsi="Verdana"/>
      <w:sz w:val="20"/>
      <w:szCs w:val="20"/>
      <w:lang w:eastAsia="en-US"/>
    </w:rPr>
  </w:style>
  <w:style w:type="paragraph" w:styleId="777">
    <w:name w:val="xl30"/>
    <w:basedOn w:val="670"/>
    <w:next w:val="777"/>
    <w:link w:val="670"/>
    <w:pPr>
      <w:jc w:val="center"/>
      <w:spacing w:before="100" w:beforeAutospacing="1" w:after="100" w:afterAutospacing="1"/>
      <w:widowControl/>
    </w:pPr>
    <w:rPr>
      <w:rFonts w:ascii="宋体" w:hAnsi="宋体"/>
      <w:b/>
      <w:bCs/>
      <w:sz w:val="36"/>
      <w:szCs w:val="36"/>
    </w:rPr>
  </w:style>
  <w:style w:type="paragraph" w:styleId="778">
    <w:name w:val="Char Char Char Char"/>
    <w:basedOn w:val="695"/>
    <w:next w:val="778"/>
    <w:link w:val="670"/>
    <w:pPr>
      <w:spacing w:line="360" w:lineRule="auto"/>
    </w:pPr>
    <w:rPr>
      <w:rFonts w:ascii="Tahoma" w:hAnsi="Tahoma"/>
      <w:sz w:val="24"/>
      <w:szCs w:val="24"/>
    </w:rPr>
  </w:style>
  <w:style w:type="paragraph" w:styleId="779">
    <w:name w:val="table_1stline"/>
    <w:basedOn w:val="670"/>
    <w:next w:val="779"/>
    <w:link w:val="670"/>
    <w:pPr>
      <w:jc w:val="left"/>
      <w:spacing w:before="120"/>
      <w:widowControl/>
    </w:pPr>
    <w:rPr>
      <w:bCs/>
      <w:sz w:val="20"/>
      <w:szCs w:val="20"/>
      <w:lang w:val="de-DE" w:eastAsia="de-DE"/>
    </w:rPr>
  </w:style>
  <w:style w:type="paragraph" w:styleId="780">
    <w:name w:val="font5"/>
    <w:basedOn w:val="670"/>
    <w:next w:val="780"/>
    <w:link w:val="670"/>
    <w:pPr>
      <w:jc w:val="left"/>
      <w:spacing w:before="100" w:beforeAutospacing="1" w:after="100" w:afterAutospacing="1"/>
      <w:widowControl/>
    </w:pPr>
    <w:rPr>
      <w:rFonts w:hint="eastAsia" w:ascii="宋体" w:hAnsi="宋体"/>
      <w:sz w:val="28"/>
      <w:szCs w:val="28"/>
    </w:rPr>
  </w:style>
  <w:style w:type="paragraph" w:styleId="781">
    <w:name w:val="标题1"/>
    <w:basedOn w:val="670"/>
    <w:next w:val="670"/>
    <w:link w:val="670"/>
    <w:pPr>
      <w:jc w:val="center"/>
      <w:spacing w:line="700" w:lineRule="atLeast"/>
      <w:tabs>
        <w:tab w:val="left" w:pos="9193" w:leader="none"/>
        <w:tab w:val="left" w:pos="9827" w:leader="none"/>
      </w:tabs>
    </w:pPr>
    <w:rPr>
      <w:rFonts w:ascii="方正小标宋_GBK" w:eastAsia="方正小标宋_GBK"/>
      <w:sz w:val="44"/>
      <w:szCs w:val="20"/>
    </w:rPr>
  </w:style>
  <w:style w:type="paragraph" w:styleId="782">
    <w:name w:val="修订"/>
    <w:next w:val="782"/>
    <w:link w:val="670"/>
    <w:uiPriority w:val="99"/>
    <w:semiHidden/>
    <w:rPr>
      <w:rFonts w:ascii="Times New Roman" w:hAnsi="Times New Roman"/>
      <w:sz w:val="21"/>
      <w:szCs w:val="21"/>
      <w:lang w:val="en-US" w:eastAsia="zh-CN" w:bidi="ar-SA"/>
    </w:rPr>
  </w:style>
  <w:style w:type="paragraph" w:styleId="783">
    <w:name w:val="无间隔"/>
    <w:next w:val="783"/>
    <w:link w:val="670"/>
    <w:uiPriority w:val="99"/>
    <w:qFormat/>
    <w:pPr>
      <w:jc w:val="both"/>
      <w:widowControl w:val="off"/>
    </w:pPr>
    <w:rPr>
      <w:rFonts w:ascii="Times New Roman" w:hAnsi="Times New Roman"/>
      <w:sz w:val="21"/>
      <w:szCs w:val="21"/>
      <w:lang w:val="en-US" w:eastAsia="zh-CN" w:bidi="ar-SA"/>
    </w:rPr>
  </w:style>
  <w:style w:type="paragraph" w:styleId="784">
    <w:name w:val="普通文字"/>
    <w:basedOn w:val="670"/>
    <w:next w:val="670"/>
    <w:link w:val="670"/>
    <w:uiPriority w:val="99"/>
    <w:rPr>
      <w:rFonts w:ascii="宋体" w:hAnsi="Times New Roman" w:eastAsia="宋体" w:cs="Times New Roman"/>
      <w:sz w:val="24"/>
      <w:szCs w:val="20"/>
      <w:u w:val="none"/>
    </w:rPr>
  </w:style>
  <w:style w:type="paragraph" w:styleId="785">
    <w:name w:val="目录 111"/>
    <w:basedOn w:val="670"/>
    <w:next w:val="670"/>
    <w:link w:val="670"/>
    <w:uiPriority w:val="39"/>
    <w:unhideWhenUsed/>
    <w:qFormat/>
    <w:pPr>
      <w:jc w:val="left"/>
      <w:spacing w:after="100" w:line="259" w:lineRule="auto"/>
      <w:widowControl/>
    </w:pPr>
    <w:rPr>
      <w:rFonts w:ascii="Calibri" w:hAnsi="Calibri" w:eastAsia="宋体"/>
      <w:sz w:val="22"/>
      <w:szCs w:val="22"/>
    </w:rPr>
  </w:style>
  <w:style w:type="paragraph" w:styleId="786">
    <w:name w:val="Table Text"/>
    <w:basedOn w:val="670"/>
    <w:next w:val="786"/>
    <w:link w:val="670"/>
    <w:semiHidden/>
    <w:qFormat/>
    <w:rPr>
      <w:rFonts w:ascii="宋体" w:hAnsi="宋体" w:eastAsia="宋体" w:cs="宋体"/>
      <w:sz w:val="21"/>
      <w:szCs w:val="21"/>
      <w:lang w:val="en-US" w:eastAsia="en-US" w:bidi="ar-SA"/>
    </w:rPr>
  </w:style>
  <w:style w:type="paragraph" w:styleId="787">
    <w:name w:val="标题 21"/>
    <w:basedOn w:val="670"/>
    <w:next w:val="670"/>
    <w:link w:val="670"/>
    <w:qFormat/>
    <w:pPr>
      <w:jc w:val="center"/>
      <w:keepLines/>
      <w:keepNext/>
      <w:spacing w:before="260" w:after="260" w:line="416" w:lineRule="auto"/>
      <w:outlineLvl w:val="1"/>
    </w:pPr>
    <w:rPr>
      <w:rFonts w:ascii="Arial" w:hAnsi="Arial" w:eastAsia="幼圆"/>
      <w:b/>
      <w:bCs/>
      <w:sz w:val="44"/>
      <w:szCs w:val="44"/>
    </w:rPr>
  </w:style>
  <w:style w:type="paragraph" w:styleId="788">
    <w:name w:val="标题 31"/>
    <w:basedOn w:val="670"/>
    <w:next w:val="670"/>
    <w:link w:val="670"/>
    <w:qFormat/>
    <w:pPr>
      <w:keepLines/>
      <w:keepNext/>
      <w:spacing w:before="260" w:after="260" w:line="416" w:lineRule="auto"/>
      <w:outlineLvl w:val="2"/>
    </w:pPr>
    <w:rPr>
      <w:b/>
      <w:bCs/>
      <w:sz w:val="32"/>
      <w:szCs w:val="32"/>
    </w:rPr>
  </w:style>
  <w:style w:type="paragraph" w:styleId="789">
    <w:name w:val="acbfdd8b-e11b-4d36-88ff-6049b138f862"/>
    <w:basedOn w:val="670"/>
    <w:next w:val="789"/>
    <w:link w:val="670"/>
    <w:qFormat/>
    <w:pPr>
      <w:jc w:val="left"/>
      <w:spacing w:line="288" w:lineRule="auto"/>
      <w:widowControl/>
    </w:pPr>
    <w:rPr>
      <w:rFonts w:ascii="微软雅黑" w:hAnsi="微软雅黑" w:eastAsia="微软雅黑" w:cs="宋体"/>
      <w:bCs/>
      <w:color w:val="000000"/>
      <w:sz w:val="22"/>
    </w:rPr>
  </w:style>
  <w:style w:type="character" w:styleId="11028" w:default="1">
    <w:name w:val="Default Paragraph Font"/>
    <w:uiPriority w:val="1"/>
    <w:semiHidden/>
    <w:unhideWhenUsed/>
  </w:style>
  <w:style w:type="numbering" w:styleId="11029" w:default="1">
    <w:name w:val="No List"/>
    <w:uiPriority w:val="99"/>
    <w:semiHidden/>
    <w:unhideWhenUsed/>
  </w:style>
  <w:style w:type="table" w:styleId="1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52</cp:revision>
  <dcterms:created xsi:type="dcterms:W3CDTF">2023-03-16T02:16:00Z</dcterms:created>
  <dcterms:modified xsi:type="dcterms:W3CDTF">2026-08-18T06:29:17Z</dcterms:modified>
</cp:coreProperties>
</file>