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right="-58"/>
        <w:jc w:val="right"/>
        <w:spacing w:line="360" w:lineRule="auto"/>
        <w:rPr>
          <w:rFonts w:hint="eastAsia" w:ascii="宋体" w:hAnsi="宋体" w:cs="宋体"/>
          <w:b/>
          <w:bCs/>
          <w:color w:val="000000"/>
          <w:sz w:val="24"/>
          <w:szCs w:val="18"/>
          <w:highlight w:val="none"/>
        </w:rPr>
      </w:pPr>
      <w:r>
        <w:rPr>
          <w:rFonts w:hint="eastAsia" w:ascii="宋体" w:hAnsi="宋体" w:cs="宋体"/>
          <w:b/>
          <w:bCs/>
          <w:color w:val="000000"/>
          <w:sz w:val="24"/>
          <w:szCs w:val="18"/>
          <w:highlight w:val="none"/>
        </w:rPr>
      </w:r>
      <w:r/>
    </w:p>
    <w:p>
      <w:pPr>
        <w:pStyle w:val="901"/>
        <w:ind w:right="-58"/>
        <w:jc w:val="right"/>
        <w:spacing w:line="360" w:lineRule="auto"/>
        <w:rPr>
          <w:rFonts w:hint="eastAsia" w:ascii="宋体" w:hAnsi="宋体" w:eastAsia="宋体" w:cs="宋体"/>
          <w:b/>
          <w:bCs/>
          <w:color w:val="000000"/>
          <w:sz w:val="24"/>
          <w:szCs w:val="18"/>
          <w:highlight w:val="none"/>
          <w:lang w:eastAsia="zh-CN"/>
        </w:rPr>
      </w:pPr>
      <w:r>
        <w:rPr>
          <w:rFonts w:hint="eastAsia" w:ascii="宋体" w:hAnsi="宋体" w:cs="宋体"/>
          <w:b/>
          <w:bCs/>
          <w:color w:val="000000"/>
          <w:sz w:val="24"/>
          <w:szCs w:val="18"/>
          <w:highlight w:val="none"/>
          <w:lang w:val="en-US" w:eastAsia="zh-CN"/>
        </w:rPr>
        <w:t xml:space="preserve">项目</w:t>
      </w:r>
      <w:r>
        <w:rPr>
          <w:rFonts w:hint="eastAsia" w:ascii="宋体" w:hAnsi="宋体" w:cs="宋体"/>
          <w:b/>
          <w:bCs/>
          <w:color w:val="000000"/>
          <w:sz w:val="24"/>
          <w:szCs w:val="18"/>
          <w:highlight w:val="none"/>
        </w:rPr>
        <w:t xml:space="preserve">编号：</w:t>
      </w:r>
      <w:r>
        <w:rPr>
          <w:rFonts w:hint="eastAsia" w:ascii="宋体" w:hAnsi="宋体" w:cs="宋体"/>
          <w:b/>
          <w:bCs/>
          <w:color w:val="000000"/>
          <w:sz w:val="24"/>
          <w:szCs w:val="18"/>
          <w:highlight w:val="none"/>
          <w:lang w:eastAsia="zh-CN"/>
        </w:rPr>
        <w:t xml:space="preserve">JSZC-320000-JSYR-G2026-0013</w:t>
      </w:r>
      <w:r>
        <w:rPr>
          <w:rFonts w:hint="eastAsia" w:ascii="宋体" w:hAnsi="宋体" w:eastAsia="宋体" w:cs="宋体"/>
          <w:b/>
          <w:bCs/>
          <w:color w:val="000000"/>
          <w:sz w:val="24"/>
          <w:szCs w:val="18"/>
          <w:highlight w:val="none"/>
          <w:lang w:eastAsia="zh-CN"/>
        </w:rPr>
      </w:r>
      <w:r/>
    </w:p>
    <w:p>
      <w:pPr>
        <w:pStyle w:val="901"/>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pStyle w:val="901"/>
        <w:jc w:val="center"/>
        <w:spacing w:line="360" w:lineRule="auto"/>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lang w:eastAsia="zh-CN"/>
        </w:rPr>
      </w:r>
      <w:r>
        <w:rPr>
          <w:rFonts w:hint="eastAsia" w:ascii="宋体" w:hAnsi="宋体" w:cs="宋体"/>
          <w:b/>
          <w:bCs/>
          <w:color w:val="000000"/>
          <w:sz w:val="40"/>
          <w:szCs w:val="40"/>
          <w:highlight w:val="none"/>
          <w:lang w:eastAsia="zh-CN"/>
        </w:rPr>
        <w:t xml:space="preserve">扬州大学动物实验中心机电设备自控系统和弱电系统工程</w:t>
      </w:r>
      <w:r>
        <w:rPr>
          <w:rFonts w:hint="eastAsia" w:ascii="宋体" w:hAnsi="宋体" w:cs="宋体"/>
          <w:b/>
          <w:bCs/>
          <w:color w:val="000000"/>
          <w:sz w:val="40"/>
          <w:szCs w:val="40"/>
          <w:highlight w:val="none"/>
          <w:lang w:eastAsia="zh-CN"/>
        </w:rPr>
      </w:r>
      <w:r>
        <w:rPr>
          <w:rFonts w:hint="eastAsia" w:ascii="宋体" w:hAnsi="宋体" w:cs="宋体"/>
          <w:b/>
          <w:bCs/>
          <w:color w:val="000000"/>
          <w:sz w:val="40"/>
          <w:szCs w:val="40"/>
          <w:highlight w:val="none"/>
        </w:rPr>
        <w:t xml:space="preserve">招标文件</w:t>
      </w:r>
      <w:r>
        <w:rPr>
          <w:rFonts w:hint="eastAsia" w:ascii="宋体" w:hAnsi="宋体" w:cs="宋体"/>
          <w:b/>
          <w:bCs/>
          <w:color w:val="000000"/>
          <w:sz w:val="40"/>
          <w:szCs w:val="40"/>
          <w:highlight w:val="none"/>
        </w:rPr>
      </w:r>
      <w:r/>
    </w:p>
    <w:p>
      <w:pPr>
        <w:pStyle w:val="901"/>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901"/>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mc:AlternateContent>
          <mc:Choice Requires="wpg">
            <w:drawing>
              <wp:inline xmlns:wp="http://schemas.openxmlformats.org/drawingml/2006/wordprocessingDrawing" distT="0" distB="0" distL="0" distR="0">
                <wp:extent cx="5267858" cy="37330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7858" cy="37330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8pt;height:293.9pt;mso-wrap-distance-left:0.0pt;mso-wrap-distance-top:0.0pt;mso-wrap-distance-right:0.0pt;mso-wrap-distance-bottom:0.0pt;" stroked="f">
                <v:path textboxrect="0,0,0,0"/>
                <v:imagedata r:id="rId16" o:title=""/>
              </v:shape>
            </w:pict>
          </mc:Fallback>
        </mc:AlternateContent>
      </w:r>
      <w:r>
        <w:rPr>
          <w:rFonts w:hint="eastAsia" w:ascii="宋体" w:hAnsi="宋体" w:cs="宋体"/>
          <w:color w:val="000000"/>
          <w:sz w:val="36"/>
          <w:highlight w:val="none"/>
        </w:rPr>
      </w:r>
      <w:r/>
    </w:p>
    <w:p>
      <w:pPr>
        <w:pStyle w:val="901"/>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901"/>
        <w:jc w:val="center"/>
        <w:spacing w:line="360" w:lineRule="auto"/>
        <w:rPr>
          <w:rFonts w:hint="eastAsia" w:ascii="宋体" w:hAnsi="宋体" w:cs="宋体"/>
          <w:color w:val="000000"/>
          <w:sz w:val="36"/>
          <w:highlight w:val="none"/>
        </w:rPr>
      </w:pPr>
      <w:r>
        <w:rPr>
          <w:rFonts w:hint="eastAsia" w:ascii="宋体" w:hAnsi="宋体" w:cs="宋体"/>
          <w:color w:val="000000"/>
          <w:sz w:val="36"/>
          <w:highlight w:val="none"/>
        </w:rPr>
      </w:r>
      <w:r/>
    </w:p>
    <w:p>
      <w:pPr>
        <w:pStyle w:val="901"/>
        <w:jc w:val="center"/>
        <w:spacing w:line="360" w:lineRule="auto"/>
        <w:rPr>
          <w:rFonts w:hint="eastAsia" w:ascii="宋体" w:hAnsi="宋体" w:eastAsia="宋体" w:cs="宋体"/>
          <w:b/>
          <w:bCs/>
          <w:color w:val="000000"/>
          <w:sz w:val="32"/>
          <w:szCs w:val="32"/>
          <w:highlight w:val="none"/>
          <w:lang w:eastAsia="zh-CN"/>
        </w:rPr>
      </w:pPr>
      <w:r>
        <w:rPr>
          <w:rFonts w:hint="eastAsia" w:ascii="宋体" w:hAnsi="宋体" w:cs="宋体"/>
          <w:b/>
          <w:bCs/>
          <w:color w:val="000000"/>
          <w:sz w:val="32"/>
          <w:szCs w:val="32"/>
          <w:highlight w:val="none"/>
          <w:lang w:eastAsia="zh-CN"/>
        </w:rPr>
        <w:t xml:space="preserve">江苏远锐工程管理咨询有限公司</w:t>
      </w:r>
      <w:r>
        <w:rPr>
          <w:rFonts w:hint="eastAsia" w:ascii="宋体" w:hAnsi="宋体" w:eastAsia="宋体" w:cs="宋体"/>
          <w:b/>
          <w:bCs/>
          <w:color w:val="000000"/>
          <w:sz w:val="32"/>
          <w:szCs w:val="32"/>
          <w:highlight w:val="none"/>
          <w:lang w:eastAsia="zh-CN"/>
        </w:rPr>
      </w:r>
      <w:r/>
    </w:p>
    <w:p>
      <w:pPr>
        <w:pStyle w:val="901"/>
        <w:jc w:val="center"/>
        <w:spacing w:line="360" w:lineRule="auto"/>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2026年</w:t>
      </w:r>
      <w:r>
        <w:rPr>
          <w:rFonts w:hint="eastAsia" w:ascii="宋体" w:hAnsi="宋体" w:cs="宋体"/>
          <w:b/>
          <w:bCs/>
          <w:color w:val="000000"/>
          <w:sz w:val="32"/>
          <w:szCs w:val="32"/>
          <w:highlight w:val="none"/>
          <w:lang w:val="en-US" w:eastAsia="zh-CN"/>
        </w:rPr>
        <w:t xml:space="preserve">7</w:t>
      </w:r>
      <w:r>
        <w:rPr>
          <w:rFonts w:hint="eastAsia" w:ascii="宋体" w:hAnsi="宋体" w:cs="宋体"/>
          <w:b/>
          <w:bCs/>
          <w:color w:val="000000"/>
          <w:sz w:val="32"/>
          <w:szCs w:val="32"/>
          <w:highlight w:val="none"/>
        </w:rPr>
        <w:t xml:space="preserve">月</w:t>
      </w:r>
      <w:r>
        <w:rPr>
          <w:rFonts w:hint="eastAsia" w:ascii="宋体" w:hAnsi="宋体" w:cs="宋体"/>
          <w:b/>
          <w:bCs/>
          <w:color w:val="000000"/>
          <w:sz w:val="32"/>
          <w:szCs w:val="32"/>
          <w:highlight w:val="none"/>
          <w:lang w:val="en-US" w:eastAsia="zh-CN"/>
        </w:rPr>
        <w:t xml:space="preserve">29</w:t>
      </w:r>
      <w:r>
        <w:rPr>
          <w:rFonts w:hint="eastAsia" w:ascii="宋体" w:hAnsi="宋体" w:cs="宋体"/>
          <w:b/>
          <w:bCs/>
          <w:color w:val="000000"/>
          <w:sz w:val="32"/>
          <w:szCs w:val="32"/>
          <w:highlight w:val="none"/>
        </w:rPr>
        <w:t xml:space="preserve">日</w:t>
      </w:r>
      <w:r>
        <w:rPr>
          <w:rFonts w:hint="eastAsia" w:ascii="宋体" w:hAnsi="宋体" w:cs="宋体"/>
          <w:b/>
          <w:bCs/>
          <w:color w:val="000000"/>
          <w:sz w:val="32"/>
          <w:szCs w:val="32"/>
          <w:highlight w:val="none"/>
        </w:rPr>
      </w:r>
      <w:r/>
    </w:p>
    <w:p>
      <w:pPr>
        <w:pStyle w:val="938"/>
        <w:spacing w:line="360" w:lineRule="auto"/>
        <w:tabs>
          <w:tab w:val="center" w:pos="4153" w:leader="none"/>
          <w:tab w:val="right" w:pos="8306" w:leader="none"/>
        </w:tabs>
        <w:rPr>
          <w:rFonts w:hint="eastAsia" w:ascii="宋体" w:hAnsi="宋体" w:cs="宋体"/>
          <w:color w:val="000000"/>
          <w:highlight w:val="none"/>
        </w:rPr>
      </w:pPr>
      <w:r>
        <w:rPr>
          <w:rFonts w:hint="eastAsia" w:ascii="宋体" w:hAnsi="宋体" w:cs="宋体"/>
          <w:color w:val="000000"/>
          <w:highlight w:val="none"/>
        </w:rPr>
      </w:r>
      <w:r/>
    </w:p>
    <w:p>
      <w:pPr>
        <w:pStyle w:val="901"/>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p>
    <w:p>
      <w:pPr>
        <w:pStyle w:val="941"/>
        <w:spacing w:line="360" w:lineRule="auto"/>
        <w:tabs>
          <w:tab w:val="right" w:pos="8300" w:leader="dot"/>
        </w:tabs>
        <w:rPr>
          <w:rFonts w:hint="eastAsia" w:ascii="宋体" w:hAnsi="宋体" w:cs="宋体"/>
          <w:color w:val="000000"/>
          <w:sz w:val="24"/>
          <w:szCs w:val="44"/>
          <w:highlight w:val="none"/>
        </w:rPr>
      </w:pPr>
      <w:r>
        <w:rPr>
          <w:rFonts w:hint="eastAsia" w:ascii="宋体" w:hAnsi="宋体" w:cs="宋体"/>
          <w:b/>
          <w:bCs/>
          <w:color w:val="000000"/>
          <w:sz w:val="36"/>
          <w:szCs w:val="28"/>
          <w:highlight w:val="none"/>
        </w:rPr>
        <w:fldChar w:fldCharType="begin"/>
      </w:r>
      <w:r>
        <w:rPr>
          <w:rFonts w:hint="eastAsia" w:ascii="宋体" w:hAnsi="宋体" w:cs="宋体"/>
          <w:b/>
          <w:bCs/>
          <w:color w:val="000000"/>
          <w:sz w:val="36"/>
          <w:szCs w:val="28"/>
          <w:highlight w:val="none"/>
        </w:rPr>
        <w:instrText xml:space="preserve"> TOC \o "1-3" \f </w:instrText>
      </w:r>
      <w:r>
        <w:rPr>
          <w:rFonts w:hint="eastAsia" w:ascii="宋体" w:hAnsi="宋体" w:cs="宋体"/>
          <w:b/>
          <w:bCs/>
          <w:color w:val="000000"/>
          <w:sz w:val="36"/>
          <w:szCs w:val="28"/>
          <w:highlight w:val="none"/>
        </w:rPr>
        <w:fldChar w:fldCharType="separate"/>
      </w:r>
      <w:r>
        <w:rPr>
          <w:rFonts w:hint="eastAsia" w:ascii="宋体" w:hAnsi="宋体" w:cs="宋体"/>
          <w:color w:val="000000"/>
          <w:sz w:val="24"/>
          <w:szCs w:val="44"/>
          <w:highlight w:val="none"/>
        </w:rPr>
      </w:r>
      <w:r/>
    </w:p>
    <w:p>
      <w:pPr>
        <w:pStyle w:val="901"/>
        <w:jc w:val="center"/>
        <w:rPr>
          <w:rFonts w:hint="eastAsia" w:ascii="宋体" w:hAnsi="宋体"/>
          <w:color w:val="000000"/>
          <w:sz w:val="40"/>
          <w:szCs w:val="44"/>
          <w:highlight w:val="none"/>
        </w:rPr>
        <w:sectPr>
          <w:headerReference w:type="default" r:id="rId9"/>
          <w:footnotePr/>
          <w:endnotePr/>
          <w:type w:val="nextPage"/>
          <w:pgSz w:w="11906" w:h="16838" w:orient="portrait"/>
          <w:pgMar w:top="1440" w:right="1803" w:bottom="1440" w:left="1803" w:header="851" w:footer="992" w:gutter="0"/>
          <w:pgNumType w:start="2"/>
          <w:cols w:num="1" w:sep="0" w:space="1701" w:equalWidth="1"/>
          <w:docGrid w:linePitch="360"/>
        </w:sectPr>
      </w:pPr>
      <w:r>
        <w:rPr>
          <w:rFonts w:hint="eastAsia" w:ascii="宋体" w:hAnsi="宋体"/>
          <w:color w:val="000000"/>
          <w:sz w:val="40"/>
          <w:szCs w:val="44"/>
          <w:highlight w:val="none"/>
        </w:rPr>
      </w:r>
      <w:r/>
    </w:p>
    <w:p>
      <w:pPr>
        <w:pStyle w:val="901"/>
        <w:jc w:val="center"/>
        <w:rPr>
          <w:color w:val="000000"/>
          <w:sz w:val="40"/>
          <w:szCs w:val="44"/>
          <w:highlight w:val="none"/>
        </w:rPr>
      </w:pPr>
      <w:r>
        <w:rPr>
          <w:rFonts w:hint="eastAsia" w:ascii="宋体" w:hAnsi="宋体"/>
          <w:color w:val="000000"/>
          <w:sz w:val="40"/>
          <w:szCs w:val="44"/>
          <w:highlight w:val="none"/>
        </w:rPr>
        <w:t xml:space="preserve">总  </w:t>
      </w:r>
      <w:r>
        <w:rPr>
          <w:rFonts w:ascii="宋体" w:hAnsi="宋体"/>
          <w:color w:val="000000"/>
          <w:sz w:val="40"/>
          <w:szCs w:val="44"/>
          <w:highlight w:val="none"/>
        </w:rPr>
        <w:t xml:space="preserve">目</w:t>
      </w:r>
      <w:r>
        <w:rPr>
          <w:rFonts w:hint="eastAsia" w:ascii="宋体" w:hAnsi="宋体"/>
          <w:color w:val="000000"/>
          <w:sz w:val="40"/>
          <w:szCs w:val="44"/>
          <w:highlight w:val="none"/>
        </w:rPr>
        <w:t xml:space="preserve"> </w:t>
      </w:r>
      <w:r>
        <w:rPr>
          <w:rFonts w:ascii="宋体" w:hAnsi="宋体"/>
          <w:color w:val="000000"/>
          <w:sz w:val="40"/>
          <w:szCs w:val="44"/>
          <w:highlight w:val="none"/>
        </w:rPr>
        <w:t xml:space="preserve">录</w:t>
      </w:r>
      <w:r>
        <w:rPr>
          <w:color w:val="000000"/>
          <w:sz w:val="40"/>
          <w:szCs w:val="44"/>
          <w:highlight w:val="none"/>
        </w:rPr>
      </w:r>
      <w:r/>
    </w:p>
    <w:p>
      <w:pPr>
        <w:pStyle w:val="941"/>
        <w:spacing w:line="360" w:lineRule="auto"/>
        <w:tabs>
          <w:tab w:val="right" w:pos="8300" w:leader="dot"/>
        </w:tabs>
        <w:rPr>
          <w:color w:val="000000"/>
          <w:sz w:val="28"/>
          <w:szCs w:val="32"/>
          <w:highlight w:val="none"/>
        </w:rPr>
      </w:pPr>
      <w:r>
        <w:rPr>
          <w:color w:val="000000"/>
          <w:sz w:val="28"/>
          <w:szCs w:val="32"/>
          <w:highlight w:val="none"/>
        </w:rPr>
      </w:r>
      <w:r/>
    </w:p>
    <w:p>
      <w:pPr>
        <w:pStyle w:val="941"/>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TOC \o "1-1" \h \u </w:instrText>
      </w:r>
      <w:r>
        <w:rPr>
          <w:color w:val="000000"/>
          <w:sz w:val="28"/>
          <w:szCs w:val="32"/>
          <w:highlight w:val="none"/>
        </w:rPr>
        <w:fldChar w:fldCharType="separate"/>
      </w:r>
      <w:r>
        <w:rPr>
          <w:color w:val="000000"/>
          <w:sz w:val="28"/>
          <w:szCs w:val="32"/>
          <w:highlight w:val="none"/>
        </w:rPr>
        <w:fldChar w:fldCharType="begin"/>
      </w:r>
      <w:r>
        <w:rPr>
          <w:color w:val="000000"/>
          <w:sz w:val="28"/>
          <w:szCs w:val="32"/>
          <w:highlight w:val="none"/>
        </w:rPr>
        <w:instrText xml:space="preserve"> HYPERLINK \l _Toc19247 </w:instrText>
      </w:r>
      <w:r>
        <w:rPr>
          <w:color w:val="000000"/>
          <w:sz w:val="28"/>
          <w:szCs w:val="32"/>
          <w:highlight w:val="none"/>
        </w:rPr>
        <w:fldChar w:fldCharType="separate"/>
      </w:r>
      <w:r>
        <w:rPr>
          <w:rFonts w:hint="eastAsia" w:ascii="宋体" w:hAnsi="宋体" w:cs="宋体"/>
          <w:color w:val="000000"/>
          <w:sz w:val="28"/>
          <w:szCs w:val="48"/>
          <w:highlight w:val="none"/>
        </w:rPr>
        <w:t xml:space="preserve">第一章 投标邀请</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_Toc19247 \h </w:instrText>
      </w:r>
      <w:r>
        <w:rPr>
          <w:color w:val="000000"/>
          <w:sz w:val="28"/>
          <w:szCs w:val="32"/>
          <w:highlight w:val="none"/>
        </w:rPr>
        <w:fldChar w:fldCharType="separate"/>
      </w:r>
      <w:r>
        <w:rPr>
          <w:color w:val="000000"/>
          <w:sz w:val="28"/>
          <w:szCs w:val="32"/>
          <w:highlight w:val="none"/>
        </w:rPr>
        <w:t xml:space="preserve">2</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941"/>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_Toc3930 </w:instrText>
      </w:r>
      <w:r>
        <w:rPr>
          <w:color w:val="000000"/>
          <w:sz w:val="28"/>
          <w:szCs w:val="32"/>
          <w:highlight w:val="none"/>
        </w:rPr>
        <w:fldChar w:fldCharType="separate"/>
      </w:r>
      <w:r>
        <w:rPr>
          <w:rFonts w:hint="eastAsia" w:ascii="宋体" w:hAnsi="宋体" w:cs="宋体"/>
          <w:color w:val="000000"/>
          <w:sz w:val="28"/>
          <w:szCs w:val="48"/>
          <w:highlight w:val="none"/>
        </w:rPr>
        <w:t xml:space="preserve">第二章 供应商须知</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_Toc3930 \h </w:instrText>
      </w:r>
      <w:r>
        <w:rPr>
          <w:color w:val="000000"/>
          <w:sz w:val="28"/>
          <w:szCs w:val="32"/>
          <w:highlight w:val="none"/>
        </w:rPr>
        <w:fldChar w:fldCharType="separate"/>
      </w:r>
      <w:r>
        <w:rPr>
          <w:color w:val="000000"/>
          <w:sz w:val="28"/>
          <w:szCs w:val="32"/>
          <w:highlight w:val="none"/>
        </w:rPr>
        <w:t xml:space="preserve">6</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941"/>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_Toc11127 </w:instrText>
      </w:r>
      <w:r>
        <w:rPr>
          <w:color w:val="000000"/>
          <w:sz w:val="28"/>
          <w:szCs w:val="32"/>
          <w:highlight w:val="none"/>
        </w:rPr>
        <w:fldChar w:fldCharType="separate"/>
      </w:r>
      <w:r>
        <w:rPr>
          <w:rFonts w:hint="eastAsia" w:ascii="宋体" w:hAnsi="宋体" w:cs="宋体"/>
          <w:color w:val="000000"/>
          <w:sz w:val="28"/>
          <w:szCs w:val="48"/>
          <w:highlight w:val="none"/>
        </w:rPr>
        <w:t xml:space="preserve">第三章 合同文本</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_Toc11127 \h </w:instrText>
      </w:r>
      <w:r>
        <w:rPr>
          <w:color w:val="000000"/>
          <w:sz w:val="28"/>
          <w:szCs w:val="32"/>
          <w:highlight w:val="none"/>
        </w:rPr>
        <w:fldChar w:fldCharType="separate"/>
      </w:r>
      <w:r>
        <w:rPr>
          <w:color w:val="000000"/>
          <w:sz w:val="28"/>
          <w:szCs w:val="32"/>
          <w:highlight w:val="none"/>
        </w:rPr>
        <w:t xml:space="preserve">16</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941"/>
        <w:spacing w:line="360" w:lineRule="auto"/>
        <w:tabs>
          <w:tab w:val="right" w:pos="8300" w:leader="dot"/>
        </w:tabs>
        <w:rPr>
          <w:rFonts w:hint="eastAsia" w:eastAsia="宋体"/>
          <w:color w:val="000000"/>
          <w:sz w:val="28"/>
          <w:szCs w:val="32"/>
          <w:highlight w:val="none"/>
          <w:lang w:val="en-US" w:eastAsia="zh-CN"/>
        </w:rPr>
      </w:pPr>
      <w:r>
        <w:rPr>
          <w:color w:val="000000"/>
          <w:sz w:val="28"/>
          <w:szCs w:val="32"/>
          <w:highlight w:val="none"/>
        </w:rPr>
        <w:fldChar w:fldCharType="begin"/>
      </w:r>
      <w:r>
        <w:rPr>
          <w:color w:val="000000"/>
          <w:sz w:val="28"/>
          <w:szCs w:val="32"/>
          <w:highlight w:val="none"/>
        </w:rPr>
        <w:instrText xml:space="preserve"> HYPERLINK \l _Toc4787 </w:instrText>
      </w:r>
      <w:r>
        <w:rPr>
          <w:color w:val="000000"/>
          <w:sz w:val="28"/>
          <w:szCs w:val="32"/>
          <w:highlight w:val="none"/>
        </w:rPr>
        <w:fldChar w:fldCharType="separate"/>
      </w:r>
      <w:r>
        <w:rPr>
          <w:rFonts w:hint="eastAsia" w:ascii="宋体" w:hAnsi="宋体" w:cs="宋体"/>
          <w:color w:val="000000"/>
          <w:sz w:val="28"/>
          <w:szCs w:val="48"/>
          <w:highlight w:val="none"/>
        </w:rPr>
        <w:t xml:space="preserve">第四章 采购需求</w:t>
      </w:r>
      <w:r>
        <w:rPr>
          <w:color w:val="000000"/>
          <w:sz w:val="28"/>
          <w:szCs w:val="32"/>
          <w:highlight w:val="none"/>
        </w:rPr>
        <w:tab/>
      </w:r>
      <w:r>
        <w:rPr>
          <w:rFonts w:hint="eastAsia"/>
          <w:color w:val="000000"/>
          <w:sz w:val="28"/>
          <w:szCs w:val="32"/>
          <w:highlight w:val="none"/>
          <w:lang w:val="en-US" w:eastAsia="zh-CN"/>
        </w:rPr>
        <w:t xml:space="preserve">4</w:t>
      </w:r>
      <w:r>
        <w:rPr>
          <w:color w:val="000000"/>
          <w:sz w:val="28"/>
          <w:szCs w:val="32"/>
          <w:highlight w:val="none"/>
        </w:rPr>
        <w:fldChar w:fldCharType="end"/>
      </w:r>
      <w:r>
        <w:rPr>
          <w:rFonts w:hint="eastAsia"/>
          <w:color w:val="000000"/>
          <w:sz w:val="28"/>
          <w:szCs w:val="32"/>
          <w:highlight w:val="none"/>
          <w:lang w:val="en-US" w:eastAsia="zh-CN"/>
        </w:rPr>
        <w:t xml:space="preserve">4</w:t>
      </w:r>
      <w:r>
        <w:rPr>
          <w:rFonts w:hint="eastAsia" w:eastAsia="宋体"/>
          <w:color w:val="000000"/>
          <w:sz w:val="28"/>
          <w:szCs w:val="32"/>
          <w:highlight w:val="none"/>
          <w:lang w:val="en-US" w:eastAsia="zh-CN"/>
        </w:rPr>
      </w:r>
      <w:r/>
    </w:p>
    <w:p>
      <w:pPr>
        <w:pStyle w:val="941"/>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_Toc2548 </w:instrText>
      </w:r>
      <w:r>
        <w:rPr>
          <w:color w:val="000000"/>
          <w:sz w:val="28"/>
          <w:szCs w:val="32"/>
          <w:highlight w:val="none"/>
        </w:rPr>
        <w:fldChar w:fldCharType="separate"/>
      </w:r>
      <w:r>
        <w:rPr>
          <w:rFonts w:hint="eastAsia" w:ascii="宋体" w:hAnsi="宋体" w:cs="宋体"/>
          <w:color w:val="000000"/>
          <w:sz w:val="28"/>
          <w:szCs w:val="32"/>
          <w:highlight w:val="none"/>
        </w:rPr>
        <w:t xml:space="preserve">第五章 </w:t>
      </w:r>
      <w:r>
        <w:rPr>
          <w:rFonts w:hint="eastAsia" w:ascii="宋体" w:hAnsi="宋体"/>
          <w:color w:val="000000"/>
          <w:sz w:val="28"/>
          <w:szCs w:val="32"/>
          <w:highlight w:val="none"/>
        </w:rPr>
        <w:t xml:space="preserve">评标方法与评标标准</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_Toc2548 \h </w:instrText>
      </w:r>
      <w:r>
        <w:rPr>
          <w:color w:val="000000"/>
          <w:sz w:val="28"/>
          <w:szCs w:val="32"/>
          <w:highlight w:val="none"/>
        </w:rPr>
        <w:fldChar w:fldCharType="separate"/>
      </w:r>
      <w:r>
        <w:rPr>
          <w:color w:val="000000"/>
          <w:sz w:val="28"/>
          <w:szCs w:val="32"/>
          <w:highlight w:val="none"/>
        </w:rPr>
        <w:t xml:space="preserve">4</w:t>
      </w:r>
      <w:r>
        <w:rPr>
          <w:rFonts w:hint="eastAsia"/>
          <w:color w:val="000000"/>
          <w:sz w:val="28"/>
          <w:szCs w:val="32"/>
          <w:highlight w:val="none"/>
          <w:lang w:val="en-US" w:eastAsia="zh-CN"/>
        </w:rPr>
        <w:t xml:space="preserve">7</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941"/>
        <w:spacing w:line="360" w:lineRule="auto"/>
        <w:tabs>
          <w:tab w:val="right" w:pos="8300" w:leader="dot"/>
        </w:tabs>
        <w:rPr>
          <w:color w:val="000000"/>
          <w:sz w:val="28"/>
          <w:szCs w:val="32"/>
          <w:highlight w:val="none"/>
        </w:rPr>
      </w:pPr>
      <w:r>
        <w:rPr>
          <w:color w:val="000000"/>
          <w:sz w:val="28"/>
          <w:szCs w:val="32"/>
          <w:highlight w:val="none"/>
        </w:rPr>
        <w:fldChar w:fldCharType="begin"/>
      </w:r>
      <w:r>
        <w:rPr>
          <w:color w:val="000000"/>
          <w:sz w:val="28"/>
          <w:szCs w:val="32"/>
          <w:highlight w:val="none"/>
        </w:rPr>
        <w:instrText xml:space="preserve"> HYPERLINK \l _Toc15941 </w:instrText>
      </w:r>
      <w:r>
        <w:rPr>
          <w:color w:val="000000"/>
          <w:sz w:val="28"/>
          <w:szCs w:val="32"/>
          <w:highlight w:val="none"/>
        </w:rPr>
        <w:fldChar w:fldCharType="separate"/>
      </w:r>
      <w:r>
        <w:rPr>
          <w:rFonts w:hint="eastAsia" w:ascii="宋体" w:hAnsi="宋体" w:cs="宋体"/>
          <w:color w:val="000000"/>
          <w:sz w:val="28"/>
          <w:szCs w:val="32"/>
          <w:highlight w:val="none"/>
        </w:rPr>
        <w:t xml:space="preserve">第六章 投标文件格式</w:t>
      </w:r>
      <w:r>
        <w:rPr>
          <w:color w:val="000000"/>
          <w:sz w:val="28"/>
          <w:szCs w:val="32"/>
          <w:highlight w:val="none"/>
        </w:rPr>
        <w:tab/>
      </w:r>
      <w:r>
        <w:rPr>
          <w:color w:val="000000"/>
          <w:sz w:val="28"/>
          <w:szCs w:val="32"/>
          <w:highlight w:val="none"/>
        </w:rPr>
        <w:fldChar w:fldCharType="begin"/>
      </w:r>
      <w:r>
        <w:rPr>
          <w:color w:val="000000"/>
          <w:sz w:val="28"/>
          <w:szCs w:val="32"/>
          <w:highlight w:val="none"/>
        </w:rPr>
        <w:instrText xml:space="preserve"> PAGEREF _Toc15941 \h </w:instrText>
      </w:r>
      <w:r>
        <w:rPr>
          <w:color w:val="000000"/>
          <w:sz w:val="28"/>
          <w:szCs w:val="32"/>
          <w:highlight w:val="none"/>
        </w:rPr>
        <w:fldChar w:fldCharType="separate"/>
      </w:r>
      <w:r>
        <w:rPr>
          <w:color w:val="000000"/>
          <w:sz w:val="28"/>
          <w:szCs w:val="32"/>
          <w:highlight w:val="none"/>
        </w:rPr>
        <w:t xml:space="preserve">4</w:t>
      </w:r>
      <w:r>
        <w:rPr>
          <w:rFonts w:hint="eastAsia"/>
          <w:color w:val="000000"/>
          <w:sz w:val="28"/>
          <w:szCs w:val="32"/>
          <w:highlight w:val="none"/>
          <w:lang w:val="en-US" w:eastAsia="zh-CN"/>
        </w:rPr>
        <w:t xml:space="preserve">8</w:t>
      </w:r>
      <w:r>
        <w:rPr>
          <w:color w:val="000000"/>
          <w:sz w:val="28"/>
          <w:szCs w:val="32"/>
          <w:highlight w:val="none"/>
        </w:rPr>
        <w:fldChar w:fldCharType="end"/>
      </w:r>
      <w:r>
        <w:rPr>
          <w:color w:val="000000"/>
          <w:sz w:val="28"/>
          <w:szCs w:val="32"/>
          <w:highlight w:val="none"/>
        </w:rPr>
        <w:fldChar w:fldCharType="end"/>
      </w:r>
      <w:r>
        <w:rPr>
          <w:color w:val="000000"/>
          <w:sz w:val="28"/>
          <w:szCs w:val="32"/>
          <w:highlight w:val="none"/>
        </w:rPr>
      </w:r>
      <w:r/>
    </w:p>
    <w:p>
      <w:pPr>
        <w:pStyle w:val="901"/>
        <w:spacing w:line="360" w:lineRule="auto"/>
        <w:rPr>
          <w:color w:val="000000"/>
          <w:highlight w:val="none"/>
        </w:rPr>
      </w:pPr>
      <w:r>
        <w:rPr>
          <w:color w:val="000000"/>
          <w:sz w:val="24"/>
          <w:szCs w:val="24"/>
          <w:highlight w:val="none"/>
        </w:rPr>
        <w:fldChar w:fldCharType="end"/>
      </w:r>
      <w:r>
        <w:rPr>
          <w:color w:val="000000"/>
          <w:highlight w:val="none"/>
        </w:rPr>
      </w:r>
      <w:r/>
    </w:p>
    <w:p>
      <w:pPr>
        <w:pStyle w:val="901"/>
        <w:rPr>
          <w:color w:val="000000"/>
          <w:highlight w:val="none"/>
        </w:rPr>
      </w:pPr>
      <w:r>
        <w:rPr>
          <w:color w:val="000000"/>
          <w:highlight w:val="none"/>
        </w:rPr>
      </w:r>
      <w:r/>
    </w:p>
    <w:p>
      <w:pPr>
        <w:pStyle w:val="901"/>
        <w:spacing w:line="360" w:lineRule="auto"/>
        <w:rPr>
          <w:rFonts w:hint="eastAsia" w:ascii="宋体" w:hAnsi="宋体" w:cs="宋体"/>
          <w:b/>
          <w:bCs/>
          <w:color w:val="000000"/>
          <w:sz w:val="36"/>
          <w:szCs w:val="36"/>
          <w:highlight w:val="none"/>
        </w:rPr>
      </w:pPr>
      <w:r>
        <w:rPr>
          <w:rFonts w:hint="eastAsia" w:ascii="宋体" w:hAnsi="宋体" w:cs="宋体"/>
          <w:bCs/>
          <w:color w:val="000000"/>
          <w:sz w:val="24"/>
          <w:szCs w:val="28"/>
          <w:highlight w:val="none"/>
        </w:rPr>
        <w:fldChar w:fldCharType="end"/>
      </w:r>
      <w:bookmarkStart w:id="0" w:name="_Toc55204177"/>
      <w:r>
        <w:rPr>
          <w:rFonts w:hint="eastAsia" w:ascii="宋体" w:hAnsi="宋体" w:cs="宋体"/>
          <w:b/>
          <w:bCs/>
          <w:color w:val="000000"/>
          <w:sz w:val="36"/>
          <w:szCs w:val="36"/>
          <w:highlight w:val="none"/>
        </w:rPr>
      </w:r>
      <w:r/>
    </w:p>
    <w:p>
      <w:pPr>
        <w:pStyle w:val="902"/>
        <w:jc w:val="center"/>
        <w:spacing w:line="360" w:lineRule="auto"/>
        <w:rPr>
          <w:rFonts w:hint="eastAsia" w:ascii="宋体" w:hAnsi="宋体" w:cs="宋体"/>
          <w:color w:val="000000"/>
          <w:sz w:val="36"/>
          <w:szCs w:val="36"/>
          <w:highlight w:val="none"/>
        </w:rPr>
        <w:sectPr>
          <w:footerReference w:type="default" r:id="rId13"/>
          <w:footnotePr/>
          <w:endnotePr/>
          <w:type w:val="nextPage"/>
          <w:pgSz w:w="11906" w:h="16838" w:orient="portrait"/>
          <w:pgMar w:top="1440" w:right="1803" w:bottom="1440" w:left="1803" w:header="851" w:footer="992" w:gutter="0"/>
          <w:pgNumType w:start="1"/>
          <w:cols w:num="1" w:sep="0" w:space="1701" w:equalWidth="1"/>
          <w:docGrid w:linePitch="360"/>
        </w:sectPr>
      </w:pPr>
      <w:r>
        <w:rPr>
          <w:rFonts w:hint="eastAsia" w:ascii="宋体" w:hAnsi="宋体" w:cs="宋体"/>
          <w:color w:val="000000"/>
          <w:sz w:val="36"/>
          <w:szCs w:val="36"/>
          <w:highlight w:val="none"/>
        </w:rPr>
      </w:r>
      <w:r/>
    </w:p>
    <w:p>
      <w:pPr>
        <w:pStyle w:val="902"/>
        <w:numPr>
          <w:ilvl w:val="0"/>
          <w:numId w:val="3"/>
        </w:numPr>
        <w:jc w:val="center"/>
        <w:spacing w:line="360" w:lineRule="auto"/>
        <w:rPr>
          <w:rFonts w:hint="eastAsia" w:ascii="宋体" w:hAnsi="宋体" w:cs="宋体"/>
          <w:color w:val="000000"/>
          <w:sz w:val="36"/>
          <w:szCs w:val="36"/>
          <w:highlight w:val="none"/>
        </w:rPr>
      </w:pPr>
      <w:r/>
      <w:bookmarkStart w:id="1" w:name="_Toc17588"/>
      <w:r>
        <w:rPr>
          <w:rFonts w:hint="eastAsia" w:ascii="宋体" w:hAnsi="宋体" w:cs="宋体"/>
          <w:color w:val="000000"/>
          <w:sz w:val="36"/>
          <w:szCs w:val="36"/>
          <w:highlight w:val="none"/>
        </w:rPr>
        <w:t xml:space="preserve"> </w:t>
      </w:r>
      <w:bookmarkEnd w:id="0"/>
      <w:r/>
      <w:bookmarkEnd w:id="1"/>
      <w:r/>
      <w:bookmarkStart w:id="2" w:name="_Toc19247"/>
      <w:r>
        <w:rPr>
          <w:rFonts w:hint="eastAsia" w:ascii="宋体" w:hAnsi="宋体" w:cs="宋体"/>
          <w:color w:val="000000"/>
          <w:sz w:val="36"/>
          <w:szCs w:val="36"/>
          <w:highlight w:val="none"/>
        </w:rPr>
        <w:t xml:space="preserve">投标邀请</w:t>
      </w:r>
      <w:bookmarkEnd w:id="2"/>
      <w:r>
        <w:rPr>
          <w:rFonts w:hint="eastAsia" w:ascii="宋体" w:hAnsi="宋体" w:cs="宋体"/>
          <w:color w:val="000000"/>
          <w:sz w:val="36"/>
          <w:szCs w:val="36"/>
          <w:highlight w:val="none"/>
        </w:rPr>
      </w:r>
      <w:r/>
    </w:p>
    <w:p>
      <w:pPr>
        <w:pStyle w:val="901"/>
        <w:ind w:firstLine="422"/>
        <w:keepLines w:val="0"/>
        <w:keepNext w:val="0"/>
        <w:pageBreakBefore w:val="0"/>
        <w:spacing w:line="360" w:lineRule="auto"/>
        <w:rPr>
          <w:rFonts w:hint="eastAsia" w:ascii="宋体" w:hAnsi="宋体" w:eastAsia="宋体" w:cs="宋体"/>
          <w:b/>
          <w:bCs/>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1"/>
          <w:szCs w:val="21"/>
          <w:highlight w:val="none"/>
        </w:rPr>
        <w:t xml:space="preserve">项目概况：</w:t>
      </w:r>
      <w:r>
        <w:rPr>
          <w:rFonts w:hint="eastAsia" w:ascii="宋体" w:hAnsi="宋体" w:eastAsia="宋体" w:cs="宋体"/>
          <w:b/>
          <w:bCs/>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1"/>
          <w:szCs w:val="21"/>
          <w:highlight w:val="none"/>
          <w:u w:val="single"/>
          <w:lang w:eastAsia="zh-CN"/>
        </w:rPr>
      </w:r>
      <w:r>
        <w:rPr>
          <w:rFonts w:hint="eastAsia" w:ascii="宋体" w:hAnsi="宋体" w:eastAsia="宋体" w:cs="宋体"/>
          <w:color w:val="000000"/>
          <w:sz w:val="21"/>
          <w:szCs w:val="21"/>
          <w:highlight w:val="none"/>
          <w:u w:val="none"/>
          <w:lang w:eastAsia="zh-CN"/>
        </w:rPr>
        <w:t xml:space="preserve">扬州大学动物实验中心机电设备自控系统和弱电系统工程 JSZC-320000-JSYR-G2026-0013 招标项目的潜在投标人应在“江苏省政府采购网”自行下载 获取招标文件，并于2026-08-21 09:30 （北京时间）前递交投标文件。</w:t>
      </w:r>
      <w:r>
        <w:rPr>
          <w:rFonts w:hint="eastAsia" w:ascii="宋体" w:hAnsi="宋体" w:eastAsia="宋体" w:cs="宋体"/>
          <w:color w:val="000000"/>
          <w:sz w:val="21"/>
          <w:szCs w:val="21"/>
          <w:highlight w:val="none"/>
          <w:u w:val="none"/>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bookmarkStart w:id="3" w:name="_Toc28359079"/>
      <w:r/>
      <w:bookmarkStart w:id="4" w:name="_Toc35393621"/>
      <w:r/>
      <w:bookmarkStart w:id="5" w:name="_Toc28359002"/>
      <w:r/>
      <w:bookmarkStart w:id="6" w:name="_Toc38985263"/>
      <w:r/>
      <w:bookmarkStart w:id="7" w:name="_Toc35393790"/>
      <w:r/>
      <w:bookmarkStart w:id="8" w:name="_Hlk24379207"/>
      <w:r>
        <w:rPr>
          <w:rFonts w:hint="eastAsia" w:ascii="宋体" w:hAnsi="宋体" w:eastAsia="宋体" w:cs="宋体"/>
          <w:b/>
          <w:bCs/>
          <w:color w:val="000000"/>
          <w:sz w:val="21"/>
          <w:szCs w:val="21"/>
          <w:highlight w:val="none"/>
        </w:rPr>
        <w:t xml:space="preserve">一、项目基本情况</w:t>
      </w:r>
      <w:bookmarkEnd w:id="3"/>
      <w:r/>
      <w:bookmarkEnd w:id="4"/>
      <w:r/>
      <w:bookmarkEnd w:id="5"/>
      <w:r/>
      <w:bookmarkEnd w:id="6"/>
      <w:r/>
      <w:bookmarkEnd w:id="7"/>
      <w:r>
        <w:rPr>
          <w:rFonts w:hint="eastAsia" w:ascii="宋体" w:hAnsi="宋体" w:eastAsia="宋体" w:cs="宋体"/>
          <w:b/>
          <w:bCs/>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highlight w:val="none"/>
          <w:lang w:eastAsia="zh-CN"/>
        </w:rPr>
        <w:t xml:space="preserve">JSZC-320000-JSYR-G2026-0013</w:t>
      </w:r>
      <w:r>
        <w:rPr>
          <w:rFonts w:hint="eastAsia" w:ascii="宋体" w:hAnsi="宋体" w:eastAsia="宋体" w:cs="宋体"/>
          <w:color w:val="000000"/>
          <w:sz w:val="21"/>
          <w:szCs w:val="21"/>
          <w:highlight w:val="none"/>
          <w:lang w:eastAsia="zh-CN"/>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项目名称：</w:t>
      </w:r>
      <w:r>
        <w:rPr>
          <w:rFonts w:ascii="Arial" w:hAnsi="Arial" w:eastAsia="Arial" w:cs="Arial"/>
          <w:color w:val="000000"/>
          <w:sz w:val="21"/>
          <w:szCs w:val="21"/>
          <w:highlight w:val="white"/>
        </w:rPr>
        <w:t xml:space="preserve">扬州大学动物实验中心机电设备自控系统和弱电系统工程</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rPr>
        <w:t xml:space="preserve">493.000000万元</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最高限价：本项目设定最高限价，最高限价为人民币</w:t>
      </w:r>
      <w:r>
        <w:rPr>
          <w:rFonts w:hint="eastAsia" w:ascii="宋体" w:hAnsi="宋体" w:eastAsia="宋体" w:cs="宋体"/>
          <w:color w:val="000000"/>
          <w:sz w:val="21"/>
          <w:szCs w:val="21"/>
          <w:highlight w:val="none"/>
          <w:lang w:val="en-US" w:eastAsia="zh-CN"/>
        </w:rPr>
        <w:t xml:space="preserve">484.14</w:t>
      </w:r>
      <w:r>
        <w:rPr>
          <w:rFonts w:hint="eastAsia" w:ascii="宋体" w:hAnsi="宋体" w:eastAsia="宋体" w:cs="宋体"/>
          <w:color w:val="000000"/>
          <w:sz w:val="21"/>
          <w:szCs w:val="21"/>
          <w:highlight w:val="none"/>
        </w:rPr>
        <w:t xml:space="preserve">万元，报价超过最高限价的为无效报价，按照无效响应处理。</w:t>
      </w:r>
      <w:r>
        <w:rPr>
          <w:rFonts w:hint="eastAsia" w:ascii="宋体" w:hAnsi="宋体" w:eastAsia="宋体" w:cs="宋体"/>
          <w:color w:val="000000"/>
          <w:sz w:val="21"/>
          <w:szCs w:val="21"/>
          <w:highlight w:val="none"/>
        </w:rPr>
      </w:r>
      <w:r/>
    </w:p>
    <w:p>
      <w:pPr>
        <w:pStyle w:val="901"/>
        <w:ind w:firstLine="420"/>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rPr>
        <w:t xml:space="preserve">采购需求：</w:t>
      </w:r>
      <w:r>
        <w:rPr>
          <w:rFonts w:hint="eastAsia" w:ascii="宋体" w:hAnsi="宋体" w:cs="宋体"/>
          <w:color w:val="000000"/>
          <w:szCs w:val="21"/>
          <w:highlight w:val="none"/>
          <w:lang w:eastAsia="zh-CN"/>
        </w:rPr>
        <w:t xml:space="preserve">主要范围为</w:t>
      </w:r>
      <w:r>
        <w:rPr>
          <w:rFonts w:hint="eastAsia" w:ascii="宋体" w:hAnsi="宋体" w:cs="宋体"/>
          <w:color w:val="000000"/>
          <w:szCs w:val="21"/>
          <w:highlight w:val="none"/>
          <w:lang w:eastAsia="zh-CN"/>
        </w:rPr>
        <w:t xml:space="preserve">扬州大学动物实验中心机电设备自控系统和弱电系统工程</w:t>
      </w:r>
      <w:r>
        <w:rPr>
          <w:rFonts w:hint="eastAsia" w:ascii="宋体" w:hAnsi="宋体" w:cs="宋体"/>
          <w:color w:val="000000"/>
          <w:szCs w:val="21"/>
          <w:highlight w:val="none"/>
          <w:lang w:eastAsia="zh-CN"/>
        </w:rPr>
      </w:r>
      <w:r>
        <w:rPr>
          <w:rFonts w:hint="eastAsia" w:ascii="宋体" w:hAnsi="宋体" w:eastAsia="宋体" w:cs="宋体"/>
          <w:color w:val="000000"/>
          <w:sz w:val="21"/>
          <w:szCs w:val="21"/>
          <w:highlight w:val="none"/>
          <w:lang w:val="en-US" w:eastAsia="zh-CN"/>
        </w:rPr>
        <w:t xml:space="preserve">施工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包含但不限于本项目施工图纸及工程量清单范围内的所有施工内容。具体详见</w:t>
      </w:r>
      <w:r>
        <w:rPr>
          <w:rFonts w:hint="eastAsia" w:ascii="宋体" w:hAnsi="宋体" w:cs="宋体"/>
          <w:color w:val="000000"/>
          <w:szCs w:val="21"/>
          <w:highlight w:val="none"/>
          <w:lang w:val="en-US" w:eastAsia="zh-CN"/>
        </w:rPr>
        <w:t xml:space="preserve">招标文件需求</w:t>
      </w:r>
      <w:r>
        <w:rPr>
          <w:rFonts w:hint="eastAsia" w:ascii="宋体" w:hAnsi="宋体" w:cs="宋体"/>
          <w:color w:val="000000"/>
          <w:szCs w:val="21"/>
          <w:highlight w:val="none"/>
        </w:rPr>
        <w:t xml:space="preserve">、图纸及工程量清单；</w:t>
      </w:r>
      <w:r>
        <w:rPr>
          <w:rFonts w:ascii="宋体" w:hAnsi="宋体" w:cs="宋体"/>
          <w:color w:val="000000"/>
          <w:szCs w:val="21"/>
          <w:highlight w:val="none"/>
        </w:rPr>
      </w:r>
      <w:r/>
    </w:p>
    <w:p>
      <w:pPr>
        <w:pStyle w:val="901"/>
        <w:ind w:left="210" w:firstLine="21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合同履行期限：施工工期150</w:t>
      </w:r>
      <w:r>
        <w:rPr>
          <w:rFonts w:hint="eastAsia" w:ascii="宋体" w:hAnsi="宋体" w:eastAsia="宋体" w:cs="宋体"/>
          <w:color w:val="000000"/>
          <w:sz w:val="21"/>
          <w:szCs w:val="21"/>
          <w:highlight w:val="none"/>
          <w:lang w:val="en-US" w:eastAsia="zh-CN"/>
        </w:rPr>
      </w:r>
      <w:r>
        <w:rPr>
          <w:rFonts w:hint="eastAsia" w:ascii="宋体" w:hAnsi="宋体" w:eastAsia="宋体" w:cs="宋体"/>
          <w:color w:val="000000"/>
          <w:sz w:val="21"/>
          <w:szCs w:val="21"/>
          <w:highlight w:val="none"/>
          <w:lang w:val="en-US" w:eastAsia="zh-CN"/>
        </w:rPr>
        <w:t xml:space="preserve">日历</w:t>
      </w:r>
      <w:r>
        <w:rPr>
          <w:rFonts w:hint="eastAsia" w:ascii="宋体" w:hAnsi="宋体" w:eastAsia="宋体" w:cs="宋体"/>
          <w:color w:val="000000"/>
          <w:sz w:val="21"/>
          <w:szCs w:val="21"/>
          <w:highlight w:val="none"/>
        </w:rPr>
        <w:t xml:space="preserve">天。</w:t>
      </w:r>
      <w:r>
        <w:rPr>
          <w:rFonts w:hint="eastAsia" w:ascii="宋体" w:hAnsi="宋体" w:eastAsia="宋体" w:cs="宋体"/>
          <w:color w:val="000000"/>
          <w:sz w:val="21"/>
          <w:szCs w:val="21"/>
          <w:highlight w:val="none"/>
        </w:rPr>
        <w:t xml:space="preserve">计划开工日期：2026年</w:t>
      </w:r>
      <w:r>
        <w:rPr>
          <w:rFonts w:hint="eastAsia" w:ascii="宋体" w:hAnsi="宋体" w:eastAsia="宋体" w:cs="宋体"/>
          <w:color w:val="000000"/>
          <w:sz w:val="21"/>
          <w:szCs w:val="21"/>
          <w:highlight w:val="none"/>
          <w:lang w:val="en-US" w:eastAsia="zh-CN"/>
        </w:rPr>
        <w:t xml:space="preserve">08</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日，计划竣工日期：202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01</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日。</w:t>
      </w:r>
      <w:r>
        <w:rPr>
          <w:rFonts w:hint="eastAsia" w:ascii="宋体" w:hAnsi="宋体" w:eastAsia="宋体" w:cs="宋体"/>
          <w:color w:val="000000"/>
          <w:sz w:val="21"/>
          <w:szCs w:val="21"/>
          <w:highlight w:val="none"/>
        </w:rPr>
        <w:t xml:space="preserve">（具体开工日期以甲方签发的书面开工通知为准）；</w:t>
      </w:r>
      <w:r>
        <w:rPr>
          <w:rFonts w:hint="eastAsia" w:ascii="宋体" w:hAnsi="宋体" w:eastAsia="宋体" w:cs="宋体"/>
          <w:color w:val="000000"/>
          <w:sz w:val="21"/>
          <w:szCs w:val="21"/>
          <w:highlight w:val="none"/>
        </w:rPr>
      </w:r>
      <w:r/>
    </w:p>
    <w:p>
      <w:pPr>
        <w:pStyle w:val="901"/>
        <w:numPr>
          <w:ilvl w:val="0"/>
          <w:numId w:val="0"/>
        </w:numPr>
        <w:ind w:firstLine="420"/>
        <w:keepLines w:val="0"/>
        <w:keepNext w:val="0"/>
        <w:pageBreakBefore w:val="0"/>
        <w:spacing w:line="360" w:lineRule="auto"/>
        <w:rPr>
          <w:rFonts w:ascii="宋体" w:hAnsi="宋体" w:cs="宋体"/>
          <w:b/>
          <w:bCs/>
          <w:color w:val="000000"/>
          <w:sz w:val="21"/>
          <w:szCs w:val="21"/>
          <w:highlight w:val="none"/>
          <w:lang w:val="en-US" w:eastAsia="zh-CN"/>
        </w:rPr>
      </w:pPr>
      <w:r/>
      <w:bookmarkStart w:id="9" w:name="_Toc35393791"/>
      <w:r/>
      <w:bookmarkStart w:id="10" w:name="_Toc35393622"/>
      <w:r/>
      <w:bookmarkStart w:id="11" w:name="_Toc38985264"/>
      <w:r/>
      <w:bookmarkStart w:id="12" w:name="_Toc28359003"/>
      <w:r/>
      <w:bookmarkStart w:id="13" w:name="_Toc28359080"/>
      <w:r>
        <w:rPr>
          <w:rFonts w:hint="eastAsia" w:ascii="宋体" w:hAnsi="宋体" w:eastAsia="宋体" w:cs="宋体"/>
          <w:color w:val="000000"/>
          <w:sz w:val="21"/>
          <w:szCs w:val="21"/>
          <w:highlight w:val="none"/>
        </w:rPr>
        <w:t xml:space="preserve">本项目（是/否）接受联合体：</w:t>
      </w:r>
      <w:r>
        <w:rPr>
          <w:rFonts w:hint="eastAsia" w:ascii="宋体" w:hAnsi="宋体" w:cs="宋体"/>
          <w:b/>
          <w:bCs/>
          <w:color w:val="000000"/>
          <w:sz w:val="21"/>
          <w:szCs w:val="21"/>
          <w:highlight w:val="none"/>
          <w:lang w:val="en-US" w:eastAsia="zh-CN"/>
        </w:rPr>
        <w:t xml:space="preserve">否</w:t>
      </w:r>
      <w:r>
        <w:rPr>
          <w:rFonts w:ascii="宋体" w:hAnsi="宋体" w:cs="宋体"/>
          <w:b/>
          <w:bCs/>
          <w:color w:val="000000"/>
          <w:sz w:val="21"/>
          <w:szCs w:val="21"/>
          <w:highlight w:val="none"/>
          <w:lang w:val="en-US" w:eastAsia="zh-CN"/>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二、申请人的资格要求：</w:t>
      </w:r>
      <w:bookmarkEnd w:id="9"/>
      <w:r/>
      <w:bookmarkEnd w:id="10"/>
      <w:r/>
      <w:bookmarkEnd w:id="11"/>
      <w:r/>
      <w:bookmarkEnd w:id="12"/>
      <w:r/>
      <w:bookmarkEnd w:id="13"/>
      <w:r>
        <w:rPr>
          <w:rFonts w:hint="eastAsia" w:ascii="宋体" w:hAnsi="宋体" w:eastAsia="宋体" w:cs="宋体"/>
          <w:b/>
          <w:bCs/>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w:t>
      </w:r>
      <w:r>
        <w:rPr>
          <w:rFonts w:hint="eastAsia" w:ascii="宋体" w:hAnsi="宋体" w:eastAsia="宋体" w:cs="宋体"/>
          <w:color w:val="000000"/>
          <w:sz w:val="21"/>
          <w:szCs w:val="21"/>
          <w:highlight w:val="none"/>
        </w:rPr>
        <w:t xml:space="preserve">满足《中华人民共和国政府采购法》第二十二条规定，并提供下列材料：</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1.法人或者其他组织的营业执照等证明文件，自然人的身份证明（原件扫描上传）。</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2.上一年度的财务状况报告（成立不满一年无需提供）（原件扫描上传）。</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3.依法缴纳税收和社会保障资金的相关材料（提供提交投标文件截止时间前一年内至少一个月依法缴纳税收及缴纳社会保障资金的证明材料原件扫描上传。供应商依法享受缓缴、免缴税收、社会保障资金的，提供证明材料）。</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4.具备履行合同所必需的设备和专业技术能力的书面声明（原件扫描上传）。</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5.参加政府采购活动前3年内在经营活动中没有重大违法记录的书面声明（原件扫描上传）。</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b w:val="0"/>
          <w:bCs w:val="0"/>
          <w:i w:val="0"/>
          <w:u w:val="none"/>
        </w:rPr>
      </w:pPr>
      <w:r>
        <w:rPr>
          <w:rFonts w:hint="eastAsia" w:ascii="宋体" w:hAnsi="宋体" w:eastAsia="宋体" w:cs="宋体"/>
          <w:b w:val="0"/>
          <w:bCs w:val="0"/>
          <w:i w:val="0"/>
          <w:iCs w:val="0"/>
          <w:color w:val="000000"/>
          <w:sz w:val="21"/>
          <w:szCs w:val="21"/>
          <w:highlight w:val="none"/>
          <w:u w:val="none"/>
        </w:rPr>
        <w:t xml:space="preserve">6.供应商信用承诺书（原件扫描上传）。</w:t>
      </w:r>
      <w:r>
        <w:rPr>
          <w:rFonts w:hint="eastAsia" w:ascii="宋体" w:hAnsi="宋体" w:eastAsia="宋体" w:cs="宋体"/>
          <w:b w:val="0"/>
          <w:bCs w:val="0"/>
          <w:i w:val="0"/>
          <w:iCs w:val="0"/>
          <w:color w:val="000000"/>
          <w:sz w:val="21"/>
          <w:szCs w:val="21"/>
          <w:highlight w:val="none"/>
          <w:u w:val="none"/>
        </w:rPr>
      </w:r>
    </w:p>
    <w:p>
      <w:pPr>
        <w:pStyle w:val="901"/>
        <w:ind w:firstLine="420"/>
        <w:keepLines w:val="0"/>
        <w:keepNext w:val="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b w:val="0"/>
          <w:bCs w:val="0"/>
          <w:i w:val="0"/>
          <w:iCs w:val="0"/>
          <w:color w:val="000000"/>
          <w:sz w:val="21"/>
          <w:szCs w:val="21"/>
          <w:highlight w:val="none"/>
          <w:u w:val="none"/>
        </w:rPr>
        <w:t xml:space="preserve">7.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eastAsia="宋体" w:cs="宋体"/>
          <w:b w:val="0"/>
          <w:bCs w:val="0"/>
          <w:i w:val="0"/>
          <w:iCs w:val="0"/>
          <w:color w:val="000000"/>
          <w:sz w:val="21"/>
          <w:szCs w:val="21"/>
          <w:highlight w:val="none"/>
          <w:u w:val="none"/>
        </w:rPr>
      </w:r>
      <w:r/>
    </w:p>
    <w:p>
      <w:pPr>
        <w:pStyle w:val="901"/>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w:t>
      </w:r>
      <w:r>
        <w:rPr>
          <w:rFonts w:hint="eastAsia" w:ascii="宋体" w:hAnsi="宋体" w:eastAsia="宋体" w:cs="宋体"/>
          <w:color w:val="000000"/>
          <w:sz w:val="21"/>
          <w:szCs w:val="21"/>
          <w:highlight w:val="none"/>
        </w:rPr>
        <w:t xml:space="preserve">落实政府采购政策需满足的资格要求：</w:t>
      </w:r>
      <w:r>
        <w:rPr>
          <w:rFonts w:hint="eastAsia" w:ascii="宋体" w:hAnsi="宋体" w:eastAsia="宋体" w:cs="宋体"/>
          <w:b w:val="0"/>
          <w:bCs w:val="0"/>
          <w:color w:val="000000"/>
          <w:sz w:val="21"/>
          <w:szCs w:val="21"/>
          <w:highlight w:val="none"/>
          <w:u w:val="none"/>
          <w:lang w:eastAsia="zh-CN"/>
        </w:rPr>
      </w:r>
    </w:p>
    <w:p>
      <w:pPr>
        <w:numPr>
          <w:ilvl w:val="0"/>
          <w:numId w:val="0"/>
        </w:numPr>
        <w:ind w:firstLine="420"/>
        <w:keepLines w:val="0"/>
        <w:keepNext w:val="0"/>
        <w:pageBreakBefore w:val="0"/>
        <w:spacing w:line="360" w:lineRule="auto"/>
        <w:rPr>
          <w:rFonts w:hint="eastAsia" w:ascii="宋体" w:hAnsi="宋体" w:eastAsia="宋体" w:cs="宋体"/>
          <w:b w:val="0"/>
          <w:bCs w:val="0"/>
          <w:color w:val="000000"/>
          <w:sz w:val="21"/>
          <w:szCs w:val="21"/>
          <w:highlight w:val="none"/>
          <w:u w:val="none"/>
          <w:lang w:eastAsia="zh-CN"/>
        </w:rPr>
      </w:pPr>
      <w:r>
        <w:rPr>
          <w:rFonts w:hint="eastAsia" w:ascii="宋体" w:hAnsi="宋体" w:eastAsia="宋体" w:cs="宋体"/>
          <w:color w:val="000000"/>
          <w:sz w:val="21"/>
          <w:szCs w:val="21"/>
          <w:highlight w:val="none"/>
        </w:rPr>
        <w:t xml:space="preserve">1.</w:t>
      </w:r>
      <w:r>
        <w:rPr>
          <w:rFonts w:hint="eastAsia" w:ascii="宋体" w:hAnsi="宋体" w:eastAsia="宋体" w:cs="宋体"/>
          <w:b w:val="0"/>
          <w:bCs w:val="0"/>
          <w:color w:val="000000"/>
          <w:sz w:val="21"/>
          <w:szCs w:val="21"/>
          <w:highlight w:val="none"/>
          <w:u w:val="none"/>
          <w:lang w:eastAsia="zh-CN"/>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原件扫描上传）</w:t>
      </w:r>
      <w:r/>
      <w:r/>
    </w:p>
    <w:p>
      <w:pPr>
        <w:pStyle w:val="901"/>
        <w:numPr>
          <w:ilvl w:val="0"/>
          <w:numId w:val="0"/>
        </w:numPr>
        <w:ind w:firstLine="420"/>
        <w:keepLines w:val="0"/>
        <w:keepNext w:val="0"/>
        <w:pageBreakBefore w:val="0"/>
        <w:spacing w:line="360" w:lineRule="auto"/>
        <w:rPr>
          <w:rFonts w:ascii="宋体" w:hAnsi="宋体" w:cs="宋体"/>
          <w:i/>
          <w:color w:val="000000"/>
          <w:szCs w:val="21"/>
          <w:highlight w:val="none"/>
        </w:rPr>
      </w:pPr>
      <w:r>
        <w:rPr>
          <w:rFonts w:hint="eastAsia" w:ascii="宋体" w:hAnsi="宋体" w:eastAsia="宋体" w:cs="宋体"/>
          <w:b w:val="0"/>
          <w:bCs w:val="0"/>
          <w:color w:val="000000"/>
          <w:sz w:val="21"/>
          <w:szCs w:val="21"/>
          <w:highlight w:val="none"/>
          <w:u w:val="none"/>
          <w:lang w:eastAsia="zh-CN"/>
        </w:rPr>
        <w:t xml:space="preserve">注：本项目中小企业划分标准参照《关于印发中小企业划型标准规定的通知》（工信部联企〔2011〕300号）中（三）条：建筑业</w:t>
      </w:r>
      <w:r>
        <w:rPr>
          <w:rFonts w:hint="eastAsia" w:ascii="宋体" w:hAnsi="宋体" w:eastAsia="宋体" w:cs="宋体"/>
          <w:b/>
          <w:bCs/>
          <w:color w:val="000000"/>
          <w:sz w:val="21"/>
          <w:szCs w:val="21"/>
          <w:highlight w:val="none"/>
          <w:lang w:eastAsia="zh-CN"/>
        </w:rPr>
        <w:t xml:space="preserve"> </w:t>
      </w:r>
      <w:r>
        <w:rPr>
          <w:rFonts w:ascii="宋体" w:hAnsi="宋体" w:cs="宋体"/>
          <w:i/>
          <w:color w:val="000000"/>
          <w:szCs w:val="21"/>
          <w:highlight w:val="none"/>
        </w:rPr>
      </w:r>
      <w:r/>
    </w:p>
    <w:p>
      <w:pPr>
        <w:pStyle w:val="901"/>
        <w:ind w:left="420" w:firstLine="0"/>
        <w:keepLines w:val="0"/>
        <w:keepNext w:val="0"/>
        <w:pageBreakBefore w:val="0"/>
        <w:spacing w:line="360" w:lineRule="auto"/>
        <w:tabs>
          <w:tab w:val="left" w:pos="312"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w:t>
      </w:r>
      <w:r>
        <w:rPr>
          <w:rFonts w:hint="eastAsia" w:ascii="宋体" w:hAnsi="宋体" w:eastAsia="宋体" w:cs="宋体"/>
          <w:color w:val="000000"/>
          <w:sz w:val="21"/>
          <w:szCs w:val="21"/>
          <w:highlight w:val="none"/>
        </w:rPr>
        <w:t xml:space="preserve">本项目的特定资格要求：</w:t>
      </w:r>
      <w:r>
        <w:rPr>
          <w:rFonts w:hint="eastAsia" w:ascii="宋体" w:hAnsi="宋体" w:eastAsia="宋体" w:cs="宋体"/>
          <w:color w:val="000000"/>
          <w:sz w:val="21"/>
          <w:szCs w:val="21"/>
          <w:highlight w:val="none"/>
        </w:rPr>
      </w:r>
      <w:r/>
    </w:p>
    <w:p>
      <w:pPr>
        <w:pStyle w:val="901"/>
        <w:ind w:firstLine="420"/>
        <w:spacing w:line="360" w:lineRule="auto"/>
      </w:pPr>
      <w:r>
        <w:rPr>
          <w:rFonts w:eastAsia="宋体"/>
          <w:color w:val="000000"/>
          <w:highlight w:val="none"/>
          <w:lang w:val="en-US" w:eastAsia="zh-CN"/>
        </w:rPr>
        <w:t xml:space="preserve">1.投标人具有有效期内的建筑机电安装工程专业承包三级及以上资质(证书原件扫描上传) ；</w:t>
      </w:r>
      <w:r>
        <w:rPr>
          <w:rFonts w:eastAsia="宋体"/>
          <w:color w:val="000000"/>
          <w:highlight w:val="none"/>
          <w:lang w:val="en-US" w:eastAsia="zh-CN"/>
        </w:rPr>
      </w:r>
    </w:p>
    <w:p>
      <w:pPr>
        <w:pStyle w:val="901"/>
        <w:ind w:firstLine="420"/>
        <w:spacing w:line="360" w:lineRule="auto"/>
      </w:pPr>
      <w:r>
        <w:rPr>
          <w:rFonts w:eastAsia="宋体"/>
          <w:color w:val="000000"/>
          <w:highlight w:val="none"/>
          <w:lang w:val="en-US" w:eastAsia="zh-CN"/>
        </w:rPr>
        <w:t xml:space="preserve">2.投标人具备安全生产条件，并取得有效期内的安全生产许可证(证书原件扫描上传)</w:t>
      </w:r>
      <w:r>
        <w:rPr>
          <w:rFonts w:eastAsia="宋体"/>
          <w:color w:val="000000"/>
          <w:highlight w:val="none"/>
          <w:lang w:val="en-US" w:eastAsia="zh-CN"/>
        </w:rPr>
      </w:r>
    </w:p>
    <w:p>
      <w:pPr>
        <w:pStyle w:val="901"/>
        <w:ind w:firstLine="420"/>
        <w:spacing w:line="360" w:lineRule="auto"/>
      </w:pPr>
      <w:r>
        <w:rPr>
          <w:rFonts w:eastAsia="宋体"/>
          <w:color w:val="000000"/>
          <w:highlight w:val="none"/>
          <w:lang w:val="en-US" w:eastAsia="zh-CN"/>
        </w:rPr>
        <w:t xml:space="preserve">3.投标人拟派项目经理为公司正式员工，具备机电工程专业二级及以上注册建造师执业资格，并具备有效的安全生产考核合格证B证(提供证书、投标人近一年内任意一个月为其缴纳社保的证明材料，原件扫描上传）</w:t>
      </w:r>
      <w:r>
        <w:rPr>
          <w:rFonts w:eastAsia="宋体"/>
          <w:color w:val="000000"/>
          <w:highlight w:val="none"/>
          <w:lang w:val="en-US" w:eastAsia="zh-CN"/>
        </w:rPr>
      </w:r>
    </w:p>
    <w:p>
      <w:pPr>
        <w:pStyle w:val="901"/>
        <w:ind w:firstLine="420"/>
        <w:spacing w:line="360" w:lineRule="auto"/>
      </w:pPr>
      <w:r>
        <w:rPr>
          <w:rFonts w:eastAsia="宋体"/>
          <w:color w:val="000000"/>
          <w:highlight w:val="none"/>
          <w:lang w:val="en-US" w:eastAsia="zh-CN"/>
        </w:rPr>
        <w:t xml:space="preserve">4.拟派项目经理无在建工程，不得同时在两个或者两个以上单位受聘或者执业；不得在其他工程项目上担任项目经理、施工项目负责人。（提供承诺书原件扫描上传）</w:t>
      </w:r>
      <w:r>
        <w:rPr>
          <w:rFonts w:eastAsia="宋体"/>
          <w:color w:val="000000"/>
          <w:highlight w:val="none"/>
          <w:lang w:val="en-US" w:eastAsia="zh-CN"/>
        </w:rPr>
      </w:r>
    </w:p>
    <w:p>
      <w:pPr>
        <w:pStyle w:val="901"/>
        <w:ind w:firstLine="420"/>
        <w:spacing w:line="360" w:lineRule="auto"/>
        <w:rPr>
          <w:rFonts w:eastAsia="宋体"/>
          <w:color w:val="000000"/>
          <w:highlight w:val="none"/>
          <w:lang w:val="en-US" w:eastAsia="zh-CN"/>
        </w:rPr>
      </w:pPr>
      <w:r>
        <w:rPr>
          <w:rFonts w:eastAsia="宋体"/>
          <w:color w:val="000000"/>
          <w:highlight w:val="none"/>
          <w:lang w:val="en-US" w:eastAsia="zh-CN"/>
        </w:rPr>
        <w:t xml:space="preserve">5.供应商递交截止时间当日，建筑业企业资质动态监管结果不处于不合格状态。（响应文件中无需提供证明材料）</w:t>
      </w:r>
      <w:r>
        <w:rPr>
          <w:rFonts w:eastAsia="宋体"/>
          <w:color w:val="000000"/>
          <w:highlight w:val="none"/>
          <w:lang w:val="en-US" w:eastAsia="zh-CN"/>
        </w:rPr>
      </w:r>
      <w:r>
        <w:rPr>
          <w:rFonts w:eastAsia="宋体"/>
          <w:color w:val="000000"/>
          <w:highlight w:val="none"/>
          <w:lang w:val="en-US" w:eastAsia="zh-CN"/>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三、获取招标文件</w:t>
      </w:r>
      <w:r>
        <w:rPr>
          <w:rFonts w:hint="eastAsia" w:ascii="宋体" w:hAnsi="宋体" w:eastAsia="宋体" w:cs="宋体"/>
          <w:b/>
          <w:bCs/>
          <w:color w:val="000000"/>
          <w:sz w:val="21"/>
          <w:szCs w:val="21"/>
          <w:highlight w:val="none"/>
        </w:rPr>
      </w:r>
      <w:r/>
    </w:p>
    <w:p>
      <w:pPr>
        <w:pStyle w:val="901"/>
        <w:ind w:firstLine="540"/>
        <w:pageBreakBefore w:val="0"/>
        <w:spacing w:line="360" w:lineRule="auto"/>
      </w:pPr>
      <w:r>
        <w:rPr>
          <w:rFonts w:hint="eastAsia" w:ascii="宋体" w:hAnsi="宋体" w:eastAsia="宋体" w:cs="宋体"/>
          <w:bCs/>
          <w:color w:val="000000"/>
          <w:sz w:val="21"/>
          <w:szCs w:val="21"/>
          <w:highlight w:val="none"/>
        </w:rPr>
        <w:t xml:space="preserve">时间：自招标文件公告发布之日起5个工作日 </w:t>
      </w:r>
      <w:r>
        <w:rPr>
          <w:rFonts w:hint="eastAsia" w:ascii="宋体" w:hAnsi="宋体" w:eastAsia="宋体" w:cs="宋体"/>
          <w:bCs/>
          <w:color w:val="000000"/>
          <w:sz w:val="21"/>
          <w:szCs w:val="21"/>
          <w:highlight w:val="none"/>
        </w:rPr>
      </w:r>
    </w:p>
    <w:p>
      <w:pPr>
        <w:pStyle w:val="901"/>
        <w:ind w:firstLine="540"/>
        <w:pageBreakBefore w:val="0"/>
        <w:spacing w:line="360" w:lineRule="auto"/>
      </w:pPr>
      <w:r>
        <w:rPr>
          <w:rFonts w:hint="eastAsia" w:ascii="宋体" w:hAnsi="宋体" w:eastAsia="宋体" w:cs="宋体"/>
          <w:bCs/>
          <w:color w:val="000000"/>
          <w:sz w:val="21"/>
          <w:szCs w:val="21"/>
          <w:highlight w:val="none"/>
        </w:rPr>
        <w:t xml:space="preserve">地点：“江苏省政府采购网”自行下载 </w:t>
      </w:r>
      <w:r>
        <w:rPr>
          <w:rFonts w:hint="eastAsia" w:ascii="宋体" w:hAnsi="宋体" w:eastAsia="宋体" w:cs="宋体"/>
          <w:bCs/>
          <w:color w:val="000000"/>
          <w:sz w:val="21"/>
          <w:szCs w:val="21"/>
          <w:highlight w:val="none"/>
        </w:rPr>
      </w:r>
    </w:p>
    <w:p>
      <w:pPr>
        <w:pStyle w:val="901"/>
        <w:ind w:firstLine="540"/>
        <w:pageBreakBefore w:val="0"/>
        <w:spacing w:line="360" w:lineRule="auto"/>
      </w:pPr>
      <w:r>
        <w:rPr>
          <w:rFonts w:hint="eastAsia" w:ascii="宋体" w:hAnsi="宋体" w:eastAsia="宋体" w:cs="宋体"/>
          <w:bCs/>
          <w:color w:val="000000"/>
          <w:sz w:val="21"/>
          <w:szCs w:val="21"/>
          <w:highlight w:val="none"/>
        </w:rPr>
        <w:t xml:space="preserve">方式：本项目采用网上注册登记方式 </w:t>
      </w:r>
      <w:r>
        <w:rPr>
          <w:rFonts w:hint="eastAsia" w:ascii="宋体" w:hAnsi="宋体" w:eastAsia="宋体" w:cs="宋体"/>
          <w:bCs/>
          <w:color w:val="000000"/>
          <w:sz w:val="21"/>
          <w:szCs w:val="21"/>
          <w:highlight w:val="none"/>
        </w:rPr>
      </w:r>
    </w:p>
    <w:p>
      <w:pPr>
        <w:pStyle w:val="901"/>
        <w:ind w:firstLine="54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售价：0.00元 </w:t>
      </w:r>
      <w:r>
        <w:rPr>
          <w:rFonts w:hint="eastAsia" w:ascii="宋体" w:hAnsi="宋体" w:eastAsia="宋体" w:cs="宋体"/>
          <w:bCs/>
          <w:color w:val="000000"/>
          <w:sz w:val="21"/>
          <w:szCs w:val="21"/>
          <w:highlight w:val="none"/>
        </w:rPr>
      </w:r>
      <w:r>
        <w:rPr>
          <w:rFonts w:hint="eastAsia" w:ascii="宋体" w:hAnsi="宋体" w:eastAsia="宋体" w:cs="宋体"/>
          <w:bCs/>
          <w:color w:val="000000"/>
          <w:sz w:val="21"/>
          <w:szCs w:val="21"/>
          <w:highlight w:val="none"/>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四、提交投标文件</w:t>
      </w:r>
      <w:bookmarkEnd w:id="14"/>
      <w:r/>
      <w:bookmarkEnd w:id="15"/>
      <w:r>
        <w:rPr>
          <w:rFonts w:hint="eastAsia" w:ascii="宋体" w:hAnsi="宋体" w:eastAsia="宋体" w:cs="宋体"/>
          <w:b/>
          <w:bCs/>
          <w:color w:val="000000"/>
          <w:sz w:val="21"/>
          <w:szCs w:val="21"/>
          <w:highlight w:val="none"/>
        </w:rPr>
        <w:t xml:space="preserve">截止时间、开标时间和地点</w:t>
      </w:r>
      <w:bookmarkEnd w:id="16"/>
      <w:r/>
      <w:bookmarkEnd w:id="17"/>
      <w:r/>
      <w:bookmarkEnd w:id="18"/>
      <w:r>
        <w:rPr>
          <w:rFonts w:hint="eastAsia" w:ascii="宋体" w:hAnsi="宋体" w:eastAsia="宋体" w:cs="宋体"/>
          <w:b/>
          <w:bCs/>
          <w:color w:val="000000"/>
          <w:sz w:val="21"/>
          <w:szCs w:val="21"/>
          <w:highlight w:val="none"/>
        </w:rPr>
      </w:r>
      <w:r/>
    </w:p>
    <w:p>
      <w:pPr>
        <w:pStyle w:val="901"/>
        <w:ind w:firstLine="420"/>
        <w:keepLines w:val="0"/>
        <w:keepNext w:val="0"/>
        <w:pageBreakBefore w:val="0"/>
        <w:spacing w:line="360" w:lineRule="auto"/>
      </w:pPr>
      <w:r>
        <w:rPr>
          <w:rFonts w:hint="eastAsia" w:ascii="宋体" w:hAnsi="宋体" w:eastAsia="宋体" w:cs="宋体"/>
          <w:color w:val="000000"/>
          <w:sz w:val="21"/>
          <w:szCs w:val="21"/>
          <w:highlight w:val="none"/>
        </w:rPr>
        <w:t xml:space="preserve">2026-08-21 09:30 （北京时间）</w:t>
      </w:r>
      <w:r>
        <w:rPr>
          <w:rFonts w:hint="eastAsia" w:ascii="宋体" w:hAnsi="宋体" w:eastAsia="宋体" w:cs="宋体"/>
          <w:color w:val="000000"/>
          <w:sz w:val="21"/>
          <w:szCs w:val="21"/>
          <w:highlight w:val="none"/>
        </w:rP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地点：“苏采云”政府采购交易系统 </w:t>
      </w:r>
      <w:r>
        <w:rPr>
          <w:rFonts w:hint="eastAsia" w:ascii="宋体" w:hAnsi="宋体" w:eastAsia="宋体" w:cs="宋体"/>
          <w:color w:val="000000"/>
          <w:sz w:val="21"/>
          <w:szCs w:val="21"/>
          <w:highlight w:val="none"/>
        </w:rPr>
      </w:r>
      <w:r>
        <w:rPr>
          <w:rFonts w:hint="eastAsia" w:ascii="宋体" w:hAnsi="宋体" w:eastAsia="宋体" w:cs="宋体"/>
          <w:color w:val="000000"/>
          <w:sz w:val="21"/>
          <w:szCs w:val="21"/>
          <w:highlight w:val="none"/>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五、公告期限</w:t>
      </w:r>
      <w:bookmarkEnd w:id="19"/>
      <w:r/>
      <w:bookmarkEnd w:id="20"/>
      <w:r/>
      <w:bookmarkEnd w:id="21"/>
      <w:r/>
      <w:bookmarkEnd w:id="22"/>
      <w:r/>
      <w:bookmarkEnd w:id="23"/>
      <w:r>
        <w:rPr>
          <w:rFonts w:hint="eastAsia" w:ascii="宋体" w:hAnsi="宋体" w:eastAsia="宋体" w:cs="宋体"/>
          <w:b/>
          <w:bCs/>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bookmarkStart w:id="24" w:name="_Toc35393795"/>
      <w:r/>
      <w:bookmarkStart w:id="25" w:name="_Toc38985268"/>
      <w:r/>
      <w:bookmarkStart w:id="26" w:name="_Toc35393626"/>
      <w:r>
        <w:rPr>
          <w:rFonts w:hint="eastAsia" w:ascii="宋体" w:hAnsi="宋体" w:eastAsia="宋体" w:cs="宋体"/>
          <w:color w:val="000000"/>
          <w:sz w:val="21"/>
          <w:szCs w:val="21"/>
          <w:highlight w:val="none"/>
        </w:rPr>
        <w:t xml:space="preserve">自本公告发布之日起5个工作日</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六、其他补充事宜</w:t>
      </w:r>
      <w:bookmarkEnd w:id="24"/>
      <w:r/>
      <w:bookmarkEnd w:id="25"/>
      <w:r/>
      <w:bookmarkEnd w:id="26"/>
      <w:r>
        <w:rPr>
          <w:rFonts w:hint="eastAsia" w:ascii="宋体" w:hAnsi="宋体" w:eastAsia="宋体" w:cs="宋体"/>
          <w:b/>
          <w:bCs/>
          <w:color w:val="000000"/>
          <w:sz w:val="21"/>
          <w:szCs w:val="21"/>
          <w:highlight w:val="none"/>
        </w:rPr>
      </w:r>
      <w:r/>
    </w:p>
    <w:p>
      <w:pPr>
        <w:pStyle w:val="901"/>
        <w:ind w:firstLine="422"/>
        <w:jc w:val="left"/>
        <w:spacing w:line="360" w:lineRule="auto"/>
        <w:rPr>
          <w:rFonts w:hint="eastAsia" w:ascii="Times New Roman" w:hAnsi="Times New Roman" w:eastAsia="宋体" w:cs="宋体"/>
          <w:b/>
          <w:bCs/>
          <w:color w:val="000000"/>
          <w:highlight w:val="none"/>
        </w:rPr>
      </w:pPr>
      <w:r/>
      <w:bookmarkStart w:id="27" w:name="_Toc38985269"/>
      <w:r/>
      <w:bookmarkStart w:id="28" w:name="_Toc35393627"/>
      <w:r/>
      <w:bookmarkStart w:id="29" w:name="_Toc35393796"/>
      <w:r/>
      <w:bookmarkStart w:id="30" w:name="_Toc28359008"/>
      <w:r/>
      <w:bookmarkStart w:id="31" w:name="_Toc28359085"/>
      <w:r>
        <w:rPr>
          <w:rFonts w:hint="eastAsia" w:ascii="宋体" w:hAnsi="宋体" w:eastAsia="宋体" w:cs="宋体"/>
          <w:b/>
          <w:bCs/>
          <w:color w:val="000000"/>
          <w:sz w:val="21"/>
          <w:szCs w:val="21"/>
          <w:highlight w:val="none"/>
        </w:rPr>
        <w:t xml:space="preserve">1.</w:t>
      </w:r>
      <w:r>
        <w:rPr>
          <w:rFonts w:hint="eastAsia" w:ascii="Times New Roman" w:hAnsi="Times New Roman" w:eastAsia="宋体" w:cs="宋体"/>
          <w:b/>
          <w:bCs/>
          <w:color w:val="000000"/>
          <w:highlight w:val="none"/>
        </w:rPr>
        <w:t xml:space="preserve">本次采购采用“政府采购管理交易系统（苏采云）”，招标、投标、评标和</w:t>
      </w:r>
      <w:r>
        <w:rPr>
          <w:rFonts w:hint="eastAsia" w:ascii="Times New Roman" w:hAnsi="Times New Roman" w:eastAsia="宋体" w:cs="宋体"/>
          <w:b/>
          <w:bCs/>
          <w:color w:val="000000"/>
          <w:highlight w:val="none"/>
          <w:lang w:val="en-US" w:eastAsia="zh-CN"/>
        </w:rPr>
        <w:t xml:space="preserve">成交</w:t>
      </w:r>
      <w:r>
        <w:rPr>
          <w:rFonts w:hint="eastAsia" w:ascii="Times New Roman" w:hAnsi="Times New Roman" w:eastAsia="宋体" w:cs="宋体"/>
          <w:b/>
          <w:bCs/>
          <w:color w:val="000000"/>
          <w:highlight w:val="none"/>
        </w:rPr>
        <w:t xml:space="preserve">结果发布全程电子化，开标方式为不见面开标。供应商应当按照《政府采购管理交易系统（苏采云）供应商操作手册》参加投标活动。如供应商未按要求操作，由此所产生的风险由供应商自行承担。</w:t>
      </w:r>
      <w:r>
        <w:rPr>
          <w:rFonts w:hint="eastAsia" w:ascii="Times New Roman" w:hAnsi="Times New Roman" w:eastAsia="宋体" w:cs="宋体"/>
          <w:b/>
          <w:bCs/>
          <w:color w:val="000000"/>
          <w:highlight w:val="none"/>
        </w:rPr>
      </w:r>
      <w:r/>
    </w:p>
    <w:p>
      <w:pPr>
        <w:pStyle w:val="901"/>
        <w:ind w:firstLine="422"/>
        <w:jc w:val="left"/>
        <w:spacing w:line="360" w:lineRule="auto"/>
        <w:rPr>
          <w:rFonts w:hint="eastAsia" w:ascii="Times New Roman" w:hAnsi="Times New Roman" w:eastAsia="宋体" w:cs="宋体"/>
          <w:b/>
          <w:bCs/>
          <w:color w:val="000000"/>
          <w:highlight w:val="none"/>
          <w:lang w:eastAsia="zh-CN"/>
        </w:rPr>
      </w:pPr>
      <w:r>
        <w:rPr>
          <w:rFonts w:hint="eastAsia" w:ascii="Times New Roman" w:hAnsi="Times New Roman" w:eastAsia="宋体" w:cs="宋体"/>
          <w:b/>
          <w:bCs/>
          <w:color w:val="000000"/>
          <w:highlight w:val="none"/>
        </w:rPr>
        <w:t xml:space="preserve">2.供应商如确定参加</w:t>
      </w:r>
      <w:r>
        <w:rPr>
          <w:rFonts w:hint="eastAsia" w:ascii="Times New Roman" w:hAnsi="Times New Roman" w:eastAsia="宋体" w:cs="宋体"/>
          <w:b/>
          <w:bCs/>
          <w:color w:val="000000"/>
          <w:highlight w:val="none"/>
          <w:lang w:val="en-US" w:eastAsia="zh-CN"/>
        </w:rPr>
        <w:t xml:space="preserve">投标</w:t>
      </w:r>
      <w:r>
        <w:rPr>
          <w:rFonts w:hint="eastAsia" w:ascii="Times New Roman" w:hAnsi="Times New Roman" w:eastAsia="宋体" w:cs="宋体"/>
          <w:b/>
          <w:bCs/>
          <w:color w:val="000000"/>
          <w:highlight w:val="none"/>
        </w:rPr>
        <w:t xml:space="preserve">，可自行下载</w:t>
      </w:r>
      <w:r>
        <w:rPr>
          <w:rFonts w:hint="eastAsia" w:ascii="Times New Roman" w:hAnsi="Times New Roman" w:eastAsia="宋体" w:cs="宋体"/>
          <w:b/>
          <w:bCs/>
          <w:color w:val="000000"/>
          <w:highlight w:val="none"/>
          <w:lang w:val="en-US" w:eastAsia="zh-CN"/>
        </w:rPr>
        <w:t xml:space="preserve">招标</w:t>
      </w:r>
      <w:r>
        <w:rPr>
          <w:rFonts w:hint="eastAsia" w:ascii="Times New Roman" w:hAnsi="Times New Roman" w:eastAsia="宋体" w:cs="宋体"/>
          <w:b/>
          <w:bCs/>
          <w:color w:val="000000"/>
          <w:highlight w:val="none"/>
        </w:rPr>
        <w:t xml:space="preserve">文件及有关资料，按照《操作手册》进行注册，领取CA和办理电子签章，并按《操作手册》要求制作、上传电子</w:t>
      </w:r>
      <w:r>
        <w:rPr>
          <w:rFonts w:hint="eastAsia" w:ascii="Times New Roman" w:hAnsi="Times New Roman" w:eastAsia="宋体" w:cs="宋体"/>
          <w:b/>
          <w:bCs/>
          <w:color w:val="000000"/>
          <w:highlight w:val="none"/>
          <w:lang w:val="en-US" w:eastAsia="zh-CN"/>
        </w:rPr>
        <w:t xml:space="preserve">投标</w:t>
      </w:r>
      <w:r>
        <w:rPr>
          <w:rFonts w:hint="eastAsia" w:ascii="Times New Roman" w:hAnsi="Times New Roman" w:eastAsia="宋体" w:cs="宋体"/>
          <w:b/>
          <w:bCs/>
          <w:color w:val="000000"/>
          <w:highlight w:val="none"/>
        </w:rPr>
        <w:t xml:space="preserve">文件</w:t>
      </w:r>
      <w:r>
        <w:rPr>
          <w:rFonts w:hint="eastAsia" w:ascii="Times New Roman" w:hAnsi="Times New Roman" w:eastAsia="宋体" w:cs="宋体"/>
          <w:b/>
          <w:bCs/>
          <w:color w:val="000000"/>
          <w:highlight w:val="none"/>
          <w:lang w:eastAsia="zh-CN"/>
        </w:rPr>
        <w:t xml:space="preserve">。</w:t>
      </w:r>
      <w:r>
        <w:rPr>
          <w:rFonts w:hint="eastAsia" w:ascii="Times New Roman" w:hAnsi="Times New Roman" w:eastAsia="宋体" w:cs="宋体"/>
          <w:b/>
          <w:bCs/>
          <w:color w:val="000000"/>
          <w:highlight w:val="none"/>
        </w:rPr>
        <w:t xml:space="preserve">技术支持联系方式：</w:t>
      </w:r>
      <w:r>
        <w:rPr>
          <w:rFonts w:hint="eastAsia" w:ascii="Times New Roman" w:hAnsi="Times New Roman" w:eastAsia="宋体"/>
          <w:b/>
          <w:bCs/>
          <w:color w:val="000000"/>
          <w:szCs w:val="21"/>
          <w:highlight w:val="none"/>
        </w:rPr>
        <w:t xml:space="preserve">13813140731</w:t>
      </w:r>
      <w:r>
        <w:rPr>
          <w:rFonts w:hint="eastAsia" w:ascii="Times New Roman" w:hAnsi="Times New Roman" w:eastAsia="宋体" w:cs="宋体"/>
          <w:b/>
          <w:bCs/>
          <w:color w:val="000000"/>
          <w:highlight w:val="none"/>
        </w:rPr>
        <w:t xml:space="preserve">。</w:t>
      </w:r>
      <w:r>
        <w:rPr>
          <w:rFonts w:hint="eastAsia" w:ascii="Times New Roman" w:hAnsi="Times New Roman" w:eastAsia="宋体" w:cs="宋体"/>
          <w:b/>
          <w:bCs/>
          <w:color w:val="000000"/>
          <w:highlight w:val="none"/>
          <w:lang w:eastAsia="zh-CN"/>
        </w:rPr>
      </w:r>
      <w:r/>
    </w:p>
    <w:p>
      <w:pPr>
        <w:pStyle w:val="901"/>
        <w:ind w:firstLine="420"/>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ascii="宋体" w:hAnsi="宋体" w:eastAsia="宋体" w:cs="宋体"/>
          <w:i/>
          <w:iCs/>
          <w:color w:val="000000"/>
          <w:sz w:val="21"/>
          <w:szCs w:val="21"/>
          <w:highlight w:val="none"/>
          <w:u w:val="single"/>
          <w:lang w:val="en-US" w:eastAsia="zh-CN"/>
        </w:rPr>
        <w:t xml:space="preserve">3</w:t>
      </w:r>
      <w:r>
        <w:rPr>
          <w:rFonts w:hint="eastAsia" w:ascii="宋体" w:hAnsi="宋体" w:eastAsia="宋体" w:cs="宋体"/>
          <w:i/>
          <w:iCs/>
          <w:color w:val="000000"/>
          <w:sz w:val="21"/>
          <w:szCs w:val="21"/>
          <w:highlight w:val="none"/>
          <w:u w:val="single"/>
        </w:rPr>
        <w:t xml:space="preserve">.本项目招标文件中所有斜体下划线部分为实质性条款，如不满足，则为无效投标。</w:t>
      </w:r>
      <w:r>
        <w:rPr>
          <w:rFonts w:hint="eastAsia" w:ascii="宋体" w:hAnsi="宋体" w:eastAsia="宋体" w:cs="宋体"/>
          <w:i/>
          <w:iCs/>
          <w:color w:val="000000"/>
          <w:sz w:val="21"/>
          <w:szCs w:val="21"/>
          <w:highlight w:val="none"/>
          <w:u w:val="singl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.有关本次招标的事项若存在变动或修改，敬请及时关注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发布的更正公告。</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w:t>
      </w:r>
      <w:r>
        <w:rPr>
          <w:rFonts w:hint="eastAsia" w:ascii="宋体" w:hAnsi="宋体" w:eastAsia="宋体" w:cs="宋体"/>
          <w:color w:val="000000"/>
          <w:sz w:val="21"/>
          <w:szCs w:val="21"/>
          <w:highlight w:val="none"/>
        </w:rPr>
        <w:t xml:space="preserve">本次招标不收取投标保证金。</w:t>
      </w:r>
      <w:r>
        <w:rPr>
          <w:rFonts w:hint="eastAsia" w:ascii="宋体" w:hAnsi="宋体" w:eastAsia="宋体" w:cs="宋体"/>
          <w:color w:val="000000"/>
          <w:sz w:val="21"/>
          <w:szCs w:val="21"/>
          <w:highlight w:val="none"/>
        </w:rPr>
      </w:r>
      <w:r/>
    </w:p>
    <w:p>
      <w:pPr>
        <w:pStyle w:val="901"/>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6</w:t>
      </w:r>
      <w:r>
        <w:rPr>
          <w:rFonts w:hint="eastAsia" w:ascii="Times New Roman" w:hAnsi="Times New Roman" w:eastAsia="宋体" w:cs="宋体"/>
          <w:bCs/>
          <w:color w:val="000000"/>
          <w:highlight w:val="none"/>
        </w:rPr>
        <w:t xml:space="preserve">.如在开标时间发生系统崩溃等不可预见的情况，造成开评标活动无法正常进行的，将延迟开评标，具体开评标时间另行通知。</w:t>
      </w:r>
      <w:r>
        <w:rPr>
          <w:rFonts w:ascii="Times New Roman" w:hAnsi="Times New Roman" w:eastAsia="宋体" w:cs="宋体"/>
          <w:bCs/>
          <w:color w:val="000000"/>
          <w:highlight w:val="none"/>
        </w:rPr>
      </w:r>
      <w:r/>
    </w:p>
    <w:p>
      <w:pPr>
        <w:pStyle w:val="901"/>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7</w:t>
      </w:r>
      <w:r>
        <w:rPr>
          <w:rFonts w:hint="eastAsia" w:ascii="Times New Roman" w:hAnsi="Times New Roman" w:eastAsia="宋体" w:cs="宋体"/>
          <w:bCs/>
          <w:color w:val="000000"/>
          <w:highlight w:val="none"/>
        </w:rPr>
        <w:t xml:space="preserve">.为落实好政府采购履约资金扶持政策，中标/成交人可凭政府采购合同办理融资贷款，详见江苏政府采购网“政采贷”专栏。</w:t>
      </w:r>
      <w:r>
        <w:rPr>
          <w:rFonts w:ascii="Times New Roman" w:hAnsi="Times New Roman" w:eastAsia="宋体" w:cs="宋体"/>
          <w:bCs/>
          <w:color w:val="000000"/>
          <w:highlight w:val="none"/>
        </w:rPr>
      </w:r>
      <w:r/>
    </w:p>
    <w:p>
      <w:pPr>
        <w:pStyle w:val="901"/>
        <w:ind w:firstLine="420"/>
        <w:jc w:val="left"/>
        <w:spacing w:line="360" w:lineRule="auto"/>
        <w:tabs>
          <w:tab w:val="left" w:pos="266" w:leader="none"/>
        </w:tabs>
        <w:rPr>
          <w:rFonts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8</w:t>
      </w:r>
      <w:r>
        <w:rPr>
          <w:rFonts w:hint="eastAsia" w:ascii="Times New Roman" w:hAnsi="Times New Roman" w:eastAsia="宋体" w:cs="宋体"/>
          <w:bCs/>
          <w:color w:val="000000"/>
          <w:highlight w:val="none"/>
        </w:rPr>
        <w:t xml:space="preserve">.本项目严格执行政府采购关于支持节能产品</w:t>
      </w:r>
      <w:r>
        <w:rPr>
          <w:rFonts w:hint="eastAsia" w:ascii="Times New Roman" w:hAnsi="Times New Roman" w:eastAsia="宋体" w:cs="宋体"/>
          <w:bCs/>
          <w:color w:val="000000"/>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ascii="Times New Roman" w:hAnsi="Times New Roman" w:eastAsia="宋体" w:cs="宋体"/>
          <w:bCs/>
          <w:color w:val="000000"/>
          <w:highlight w:val="none"/>
        </w:rPr>
      </w:r>
      <w:r/>
    </w:p>
    <w:p>
      <w:pPr>
        <w:pStyle w:val="901"/>
        <w:ind w:firstLine="420"/>
        <w:jc w:val="left"/>
        <w:spacing w:line="360" w:lineRule="auto"/>
        <w:tabs>
          <w:tab w:val="left" w:pos="266" w:leader="none"/>
        </w:tabs>
        <w:rPr>
          <w:rFonts w:hint="eastAsia" w:ascii="Times New Roman" w:hAnsi="Times New Roman" w:eastAsia="宋体" w:cs="宋体"/>
          <w:bCs/>
          <w:color w:val="000000"/>
          <w:highlight w:val="none"/>
        </w:rPr>
      </w:pPr>
      <w:r>
        <w:rPr>
          <w:rFonts w:hint="eastAsia" w:ascii="Times New Roman" w:hAnsi="Times New Roman" w:eastAsia="宋体" w:cs="宋体"/>
          <w:bCs/>
          <w:color w:val="000000"/>
          <w:highlight w:val="none"/>
          <w:lang w:val="en-US" w:eastAsia="zh-CN"/>
        </w:rPr>
        <w:t xml:space="preserve">9</w:t>
      </w:r>
      <w:r>
        <w:rPr>
          <w:rFonts w:hint="eastAsia" w:ascii="Times New Roman" w:hAnsi="Times New Roman" w:eastAsia="宋体" w:cs="宋体"/>
          <w:bCs/>
          <w:color w:val="000000"/>
          <w:highlight w:val="none"/>
        </w:rPr>
        <w:t xml:space="preserve">.供应商对于所投产品的包装应按照“财办库〔2020〕123号《关于印发《商品包装政府采购需求标准（试行）》、《快递包装政府采购需求标准（试行）》的通知》”执行。</w:t>
      </w:r>
      <w:r>
        <w:rPr>
          <w:rFonts w:hint="eastAsia" w:ascii="Times New Roman" w:hAnsi="Times New Roman" w:eastAsia="宋体" w:cs="宋体"/>
          <w:bCs/>
          <w:color w:val="000000"/>
          <w:highlight w:val="none"/>
        </w:rPr>
      </w:r>
      <w:r/>
    </w:p>
    <w:p>
      <w:pPr>
        <w:pStyle w:val="901"/>
        <w:keepLines w:val="0"/>
        <w:keepNext w:val="0"/>
        <w:pageBreakBefore w:val="0"/>
        <w:spacing w:line="360" w:lineRule="auto"/>
        <w:tabs>
          <w:tab w:val="left" w:pos="266" w:leader="none"/>
        </w:tabs>
        <w:rPr>
          <w:rFonts w:hint="eastAsia" w:ascii="宋体" w:hAnsi="宋体" w:eastAsia="宋体" w:cs="宋体"/>
          <w:b/>
          <w:bCs/>
          <w:color w:val="000000"/>
          <w:sz w:val="21"/>
          <w:szCs w:val="21"/>
          <w:highlight w:val="none"/>
        </w:rPr>
      </w:pPr>
      <w:r/>
      <w:bookmarkEnd w:id="27"/>
      <w:r/>
      <w:bookmarkEnd w:id="28"/>
      <w:r/>
      <w:bookmarkEnd w:id="29"/>
      <w:r/>
      <w:bookmarkEnd w:id="30"/>
      <w:r/>
      <w:bookmarkEnd w:id="31"/>
      <w:r/>
      <w:bookmarkStart w:id="32" w:name="_Toc28359087"/>
      <w:r/>
      <w:bookmarkStart w:id="33" w:name="_Toc28359010"/>
      <w:r>
        <w:rPr>
          <w:rFonts w:hint="eastAsia" w:ascii="宋体" w:hAnsi="宋体" w:eastAsia="宋体" w:cs="宋体"/>
          <w:b/>
          <w:bCs/>
          <w:color w:val="000000"/>
          <w:sz w:val="21"/>
          <w:szCs w:val="21"/>
          <w:highlight w:val="none"/>
        </w:rPr>
        <w:t xml:space="preserve">七、本次招标联系方式</w:t>
      </w:r>
      <w:r>
        <w:rPr>
          <w:rFonts w:hint="eastAsia" w:ascii="宋体" w:hAnsi="宋体" w:eastAsia="宋体" w:cs="宋体"/>
          <w:b/>
          <w:bCs/>
          <w:color w:val="000000"/>
          <w:sz w:val="21"/>
          <w:szCs w:val="21"/>
          <w:highlight w:val="none"/>
        </w:rPr>
      </w:r>
      <w:r/>
    </w:p>
    <w:p>
      <w:pPr>
        <w:pStyle w:val="93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1.采购人信息</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 称：扬州大学</w:t>
      </w:r>
      <w:r>
        <w:rPr>
          <w:rFonts w:hint="eastAsia" w:ascii="宋体" w:hAnsi="宋体" w:eastAsia="宋体" w:cs="宋体"/>
          <w:color w:val="000000"/>
          <w:sz w:val="21"/>
          <w:szCs w:val="21"/>
          <w:highlight w:val="none"/>
        </w:rPr>
        <w:t xml:space="preserve">（本部）</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址：扬州市大学南路88号</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val="en-US" w:eastAsia="zh-CN"/>
        </w:rPr>
        <w:t xml:space="preserve">汪老师、柏老师</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val="en-US" w:eastAsia="zh-CN"/>
        </w:rPr>
        <w:t xml:space="preserve">18705278376、</w:t>
      </w:r>
      <w:r>
        <w:rPr>
          <w:rFonts w:hint="eastAsia" w:ascii="宋体" w:hAnsi="宋体" w:cs="宋体"/>
          <w:color w:val="000000"/>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13665258586</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2.代理机构信息</w:t>
      </w:r>
      <w:r>
        <w:rPr>
          <w:rFonts w:hint="eastAsia" w:ascii="宋体" w:hAnsi="宋体" w:eastAsia="宋体" w:cs="宋体"/>
          <w:color w:val="000000"/>
          <w:sz w:val="21"/>
          <w:szCs w:val="21"/>
          <w:highlight w:val="none"/>
        </w:rPr>
        <w:t xml:space="preserve">（如有）</w:t>
      </w:r>
      <w:r>
        <w:rPr>
          <w:rFonts w:hint="eastAsia" w:ascii="宋体" w:hAnsi="宋体" w:eastAsia="宋体" w:cs="宋体"/>
          <w:color w:val="000000"/>
          <w:sz w:val="21"/>
          <w:szCs w:val="21"/>
          <w:highlight w:val="none"/>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名 称：</w:t>
      </w:r>
      <w:r>
        <w:rPr>
          <w:rFonts w:hint="eastAsia" w:ascii="宋体" w:hAnsi="宋体" w:eastAsia="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　址：扬州市邗江北路中石化南侧邗文化博物馆1号院</w:t>
      </w:r>
      <w:r>
        <w:rPr>
          <w:rFonts w:hint="eastAsia" w:ascii="宋体" w:hAnsi="宋体" w:eastAsia="宋体" w:cs="宋体"/>
          <w:color w:val="000000"/>
          <w:sz w:val="21"/>
          <w:szCs w:val="21"/>
          <w:highlight w:val="none"/>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lang w:eastAsia="zh-CN"/>
        </w:rPr>
        <w:t xml:space="preserve">葛秀娟</w:t>
      </w:r>
      <w:r>
        <w:rPr>
          <w:rFonts w:hint="eastAsia" w:ascii="宋体" w:hAnsi="宋体" w:eastAsia="宋体" w:cs="宋体"/>
          <w:color w:val="000000"/>
          <w:sz w:val="21"/>
          <w:szCs w:val="21"/>
          <w:highlight w:val="none"/>
          <w:lang w:eastAsia="zh-CN"/>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联系方式：</w:t>
      </w:r>
      <w:r>
        <w:rPr>
          <w:rFonts w:hint="eastAsia" w:ascii="宋体" w:hAnsi="宋体" w:eastAsia="宋体" w:cs="宋体"/>
          <w:color w:val="000000"/>
          <w:sz w:val="21"/>
          <w:szCs w:val="21"/>
          <w:highlight w:val="none"/>
          <w:lang w:eastAsia="zh-CN"/>
        </w:rPr>
        <w:t xml:space="preserve">15262245895</w:t>
      </w:r>
      <w:r>
        <w:rPr>
          <w:rFonts w:hint="eastAsia" w:ascii="宋体" w:hAnsi="宋体" w:eastAsia="宋体" w:cs="宋体"/>
          <w:color w:val="000000"/>
          <w:sz w:val="21"/>
          <w:szCs w:val="21"/>
          <w:highlight w:val="none"/>
          <w:lang w:eastAsia="zh-CN"/>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rPr>
      </w:pPr>
      <w:r/>
      <w:bookmarkEnd w:id="32"/>
      <w:r/>
      <w:bookmarkEnd w:id="33"/>
      <w:r/>
      <w:bookmarkStart w:id="34" w:name="_Toc55204178"/>
      <w:r>
        <w:rPr>
          <w:rFonts w:hint="eastAsia" w:ascii="宋体" w:hAnsi="宋体" w:eastAsia="宋体" w:cs="宋体"/>
          <w:color w:val="000000"/>
          <w:sz w:val="21"/>
          <w:szCs w:val="21"/>
          <w:highlight w:val="none"/>
        </w:rPr>
        <w:t xml:space="preserve">3.项目联系方式</w:t>
      </w:r>
      <w:r>
        <w:rPr>
          <w:rFonts w:hint="eastAsia" w:ascii="宋体" w:hAnsi="宋体" w:eastAsia="宋体" w:cs="宋体"/>
          <w:color w:val="000000"/>
          <w:sz w:val="21"/>
          <w:szCs w:val="21"/>
          <w:highlight w:val="none"/>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项目联系人：</w:t>
      </w:r>
      <w:r>
        <w:rPr>
          <w:rFonts w:hint="eastAsia" w:ascii="宋体" w:hAnsi="宋体" w:eastAsia="宋体" w:cs="宋体"/>
          <w:color w:val="000000"/>
          <w:sz w:val="21"/>
          <w:szCs w:val="21"/>
          <w:highlight w:val="none"/>
          <w:lang w:eastAsia="zh-CN"/>
        </w:rPr>
        <w:t xml:space="preserve">葛秀娟</w:t>
      </w:r>
      <w:r>
        <w:rPr>
          <w:rFonts w:hint="eastAsia" w:ascii="宋体" w:hAnsi="宋体" w:eastAsia="宋体" w:cs="宋体"/>
          <w:color w:val="000000"/>
          <w:sz w:val="21"/>
          <w:szCs w:val="21"/>
          <w:highlight w:val="none"/>
          <w:lang w:eastAsia="zh-CN"/>
        </w:rPr>
      </w:r>
      <w:r/>
    </w:p>
    <w:p>
      <w:pPr>
        <w:pStyle w:val="901"/>
        <w:ind w:left="420"/>
        <w:keepLines w:val="0"/>
        <w:keepNext w:val="0"/>
        <w:pageBreakBefore w:val="0"/>
        <w:spacing w:line="360" w:lineRule="auto"/>
        <w:tabs>
          <w:tab w:val="left" w:pos="900" w:leader="none"/>
        </w:tabs>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lang w:eastAsia="zh-CN"/>
        </w:rPr>
        <w:t xml:space="preserve">15262245895</w:t>
      </w:r>
      <w:r>
        <w:rPr>
          <w:rFonts w:hint="eastAsia" w:ascii="宋体" w:hAnsi="宋体" w:eastAsia="宋体" w:cs="宋体"/>
          <w:color w:val="000000"/>
          <w:sz w:val="21"/>
          <w:szCs w:val="21"/>
          <w:highlight w:val="none"/>
          <w:lang w:eastAsia="zh-CN"/>
        </w:rPr>
      </w:r>
      <w:r/>
    </w:p>
    <w:p>
      <w:pPr>
        <w:pStyle w:val="901"/>
        <w:ind w:left="420"/>
        <w:spacing w:line="360" w:lineRule="auto"/>
        <w:tabs>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902"/>
        <w:jc w:val="center"/>
        <w:spacing w:line="360" w:lineRule="auto"/>
        <w:rPr>
          <w:rFonts w:hint="eastAsia" w:ascii="宋体" w:hAnsi="宋体" w:cs="宋体"/>
          <w:color w:val="000000"/>
          <w:sz w:val="36"/>
          <w:szCs w:val="36"/>
          <w:highlight w:val="none"/>
        </w:rPr>
        <w:sectPr>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bookmarkStart w:id="35" w:name="_Toc9345"/>
      <w:r>
        <w:rPr>
          <w:rFonts w:hint="eastAsia" w:ascii="宋体" w:hAnsi="宋体" w:cs="宋体"/>
          <w:color w:val="000000"/>
          <w:sz w:val="36"/>
          <w:szCs w:val="36"/>
          <w:highlight w:val="none"/>
        </w:rPr>
      </w:r>
      <w:r/>
    </w:p>
    <w:p>
      <w:pPr>
        <w:pStyle w:val="902"/>
        <w:jc w:val="center"/>
        <w:spacing w:line="360" w:lineRule="auto"/>
        <w:rPr>
          <w:rFonts w:hint="eastAsia" w:ascii="宋体" w:hAnsi="宋体" w:cs="宋体"/>
          <w:color w:val="000000"/>
          <w:sz w:val="36"/>
          <w:szCs w:val="36"/>
          <w:highlight w:val="none"/>
        </w:rPr>
      </w:pPr>
      <w:r/>
      <w:bookmarkStart w:id="36" w:name="_Toc3930"/>
      <w:r>
        <w:rPr>
          <w:rFonts w:hint="eastAsia" w:ascii="宋体" w:hAnsi="宋体" w:cs="宋体"/>
          <w:color w:val="000000"/>
          <w:sz w:val="36"/>
          <w:szCs w:val="36"/>
          <w:highlight w:val="none"/>
        </w:rPr>
        <w:t xml:space="preserve">第二章 供应商须知</w:t>
      </w:r>
      <w:bookmarkEnd w:id="34"/>
      <w:r/>
      <w:bookmarkEnd w:id="35"/>
      <w:r/>
      <w:bookmarkEnd w:id="36"/>
      <w:r>
        <w:rPr>
          <w:rFonts w:hint="eastAsia" w:ascii="宋体" w:hAnsi="宋体" w:cs="宋体"/>
          <w:color w:val="000000"/>
          <w:sz w:val="36"/>
          <w:szCs w:val="36"/>
          <w:highlight w:val="none"/>
        </w:rPr>
      </w:r>
      <w:r/>
    </w:p>
    <w:p>
      <w:pPr>
        <w:pStyle w:val="90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1、招标方式</w:t>
      </w:r>
      <w:r>
        <w:rPr>
          <w:rFonts w:hint="eastAsia" w:ascii="宋体" w:hAnsi="宋体" w:eastAsia="宋体" w:cs="宋体"/>
          <w:b/>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1.1 本次招标采取公开招标方式，本招标文件仅适用于招标公告中所述项目。</w:t>
      </w:r>
      <w:r>
        <w:rPr>
          <w:rFonts w:hint="eastAsia" w:ascii="宋体" w:hAnsi="宋体" w:eastAsia="宋体" w:cs="宋体"/>
          <w:bCs/>
          <w:color w:val="000000"/>
          <w:sz w:val="21"/>
          <w:szCs w:val="21"/>
          <w:highlight w:val="none"/>
        </w:rPr>
      </w:r>
      <w:r/>
    </w:p>
    <w:p>
      <w:pPr>
        <w:pStyle w:val="90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2、合格的供应商</w:t>
      </w:r>
      <w:r>
        <w:rPr>
          <w:rFonts w:hint="eastAsia" w:ascii="宋体" w:hAnsi="宋体" w:eastAsia="宋体" w:cs="宋体"/>
          <w:b/>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2.1 满足招标公告中供应商的资格要求的规定。</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2.2 满足本文件实质性要求的规定。</w:t>
      </w:r>
      <w:r>
        <w:rPr>
          <w:rFonts w:hint="eastAsia" w:ascii="宋体" w:hAnsi="宋体" w:eastAsia="宋体" w:cs="宋体"/>
          <w:bCs/>
          <w:color w:val="000000"/>
          <w:sz w:val="21"/>
          <w:szCs w:val="21"/>
          <w:highlight w:val="none"/>
        </w:rPr>
      </w:r>
      <w:r/>
    </w:p>
    <w:p>
      <w:pPr>
        <w:pStyle w:val="90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3、适用法律和标准</w:t>
      </w:r>
      <w:r>
        <w:rPr>
          <w:rFonts w:hint="eastAsia" w:ascii="宋体" w:hAnsi="宋体" w:eastAsia="宋体" w:cs="宋体"/>
          <w:b/>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3.1 本次招标及由此产生的合同受中华人民共和国有关的法律法规制约和保护。</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3.2 在本项目政府采购</w:t>
      </w:r>
      <w:r>
        <w:rPr>
          <w:rFonts w:hint="eastAsia" w:ascii="宋体" w:hAnsi="宋体" w:eastAsia="宋体" w:cs="宋体"/>
          <w:bCs/>
          <w:color w:val="000000"/>
          <w:sz w:val="21"/>
          <w:szCs w:val="21"/>
          <w:highlight w:val="none"/>
          <w:lang w:val="en-US" w:eastAsia="zh-CN"/>
        </w:rPr>
        <w:t xml:space="preserve">工程</w:t>
      </w:r>
      <w:r>
        <w:rPr>
          <w:rFonts w:hint="eastAsia" w:ascii="宋体" w:hAnsi="宋体" w:eastAsia="宋体" w:cs="宋体"/>
          <w:bCs/>
          <w:color w:val="000000"/>
          <w:sz w:val="21"/>
          <w:szCs w:val="21"/>
          <w:highlight w:val="none"/>
        </w:rPr>
        <w:t xml:space="preserve">活动过程中，如果所执行的标准有更新的，按照最新标准执行。</w:t>
      </w:r>
      <w:r>
        <w:rPr>
          <w:rFonts w:hint="eastAsia" w:ascii="宋体" w:hAnsi="宋体" w:eastAsia="宋体" w:cs="宋体"/>
          <w:bCs/>
          <w:color w:val="000000"/>
          <w:sz w:val="21"/>
          <w:szCs w:val="21"/>
          <w:highlight w:val="none"/>
        </w:rPr>
      </w:r>
      <w:r/>
    </w:p>
    <w:p>
      <w:pPr>
        <w:pStyle w:val="901"/>
        <w:ind w:left="0" w:firstLine="422"/>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4、投标费用</w:t>
      </w:r>
      <w:r>
        <w:rPr>
          <w:rFonts w:hint="eastAsia" w:ascii="宋体" w:hAnsi="宋体" w:eastAsia="宋体" w:cs="宋体"/>
          <w:b/>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4.1 供应商应自行承担所有与参加投标有关的费用，无论投标过程中的做法和结果如何，采购人及代理机构在任何情况下均无义务和责任承担这些费用。</w:t>
      </w:r>
      <w:r>
        <w:rPr>
          <w:rFonts w:hint="eastAsia" w:ascii="宋体" w:hAnsi="宋体" w:eastAsia="宋体" w:cs="宋体"/>
          <w:b w:val="0"/>
          <w:bCs w:val="0"/>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4.2 本次采购由中标供应商在领取中标通知书前一次性支付给招标代理机构代理服务费，招标代理服务费参照国家计委计价格〔2002〕1980号文规定标准*2</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%计算（具体计算方式详见下表）。</w:t>
      </w:r>
      <w:r>
        <w:rPr>
          <w:rFonts w:hint="eastAsia" w:ascii="宋体" w:hAnsi="宋体" w:eastAsia="宋体" w:cs="宋体"/>
          <w:b w:val="0"/>
          <w:bCs w:val="0"/>
          <w:color w:val="000000"/>
          <w:sz w:val="21"/>
          <w:szCs w:val="21"/>
          <w:highlight w:val="none"/>
        </w:rPr>
      </w:r>
      <w:r/>
    </w:p>
    <w:tbl>
      <w:tblPr>
        <w:tblW w:w="85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658"/>
        <w:gridCol w:w="2365"/>
        <w:gridCol w:w="2130"/>
        <w:gridCol w:w="2366"/>
      </w:tblGrid>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restart"/>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服务项目类型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100万以下</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100万以上</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代理服务费最高限价</w:t>
            </w:r>
            <w:r>
              <w:rPr>
                <w:rFonts w:hint="eastAsia" w:ascii="宋体" w:hAnsi="宋体" w:eastAsia="宋体" w:cs="宋体"/>
                <w:bCs w:val="0"/>
                <w:color w:val="000000"/>
                <w:sz w:val="21"/>
                <w:szCs w:val="21"/>
                <w:highlight w:val="none"/>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vMerge w:val="continue"/>
            <w:textDirection w:val="lrTb"/>
            <w:noWrap w:val="false"/>
          </w:tcPr>
          <w:p>
            <w:pPr>
              <w:pStyle w:val="905"/>
              <w:ind w:left="0" w:firstLine="422"/>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代理费（折扣率）</w:t>
            </w:r>
            <w:r>
              <w:rPr>
                <w:rFonts w:hint="eastAsia" w:ascii="宋体" w:hAnsi="宋体" w:eastAsia="宋体" w:cs="宋体"/>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bCs w:val="0"/>
                <w:color w:val="000000"/>
                <w:sz w:val="21"/>
                <w:szCs w:val="21"/>
                <w:highlight w:val="none"/>
              </w:rPr>
              <w:t xml:space="preserve">代理费（单位：元）</w:t>
            </w:r>
            <w:r>
              <w:rPr>
                <w:rFonts w:hint="eastAsia" w:ascii="宋体" w:hAnsi="宋体" w:eastAsia="宋体" w:cs="宋体"/>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货物</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restart"/>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2000元</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130" w:type="dxa"/>
            <w:vAlign w:val="center"/>
            <w:vMerge w:val="restart"/>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restart"/>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10000元</w:t>
            </w: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90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vMerge w:val="continue"/>
            <w:textDirection w:val="lrTb"/>
            <w:noWrap w:val="false"/>
          </w:tcPr>
          <w:p>
            <w:pPr>
              <w:pStyle w:val="905"/>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90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58"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工程</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5" w:type="dxa"/>
            <w:vAlign w:val="center"/>
            <w:vMerge w:val="continue"/>
            <w:textDirection w:val="lrTb"/>
            <w:noWrap w:val="false"/>
          </w:tcPr>
          <w:p>
            <w:pPr>
              <w:pStyle w:val="90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30" w:type="dxa"/>
            <w:vAlign w:val="center"/>
            <w:textDirection w:val="lrTb"/>
            <w:noWrap w:val="false"/>
          </w:tcPr>
          <w:p>
            <w:pPr>
              <w:pStyle w:val="905"/>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2366" w:type="dxa"/>
            <w:vAlign w:val="center"/>
            <w:vMerge w:val="continue"/>
            <w:textDirection w:val="lrTb"/>
            <w:noWrap w:val="false"/>
          </w:tcPr>
          <w:p>
            <w:pPr>
              <w:pStyle w:val="905"/>
              <w:ind w:left="0" w:firstLine="420"/>
              <w:jc w:val="right"/>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bl>
    <w:p>
      <w:pPr>
        <w:pStyle w:val="905"/>
        <w:ind w:left="0" w:firstLine="420"/>
        <w:jc w:val="center"/>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基准费率表</w:t>
      </w:r>
      <w:r>
        <w:rPr>
          <w:rFonts w:hint="eastAsia" w:ascii="宋体" w:hAnsi="宋体" w:eastAsia="宋体" w:cs="宋体"/>
          <w:b w:val="0"/>
          <w:bCs w:val="0"/>
          <w:color w:val="000000"/>
          <w:sz w:val="21"/>
          <w:szCs w:val="21"/>
          <w:highlight w:val="none"/>
        </w:rPr>
      </w:r>
      <w:r/>
    </w:p>
    <w:tbl>
      <w:tblPr>
        <w:tblW w:w="8423" w:type="dxa"/>
        <w:jc w:val="center"/>
        <w:tblInd w:w="-30" w:type="dxa"/>
        <w:tblLayout w:type="autofit"/>
        <w:tblCellMar>
          <w:left w:w="0" w:type="dxa"/>
          <w:top w:w="0" w:type="dxa"/>
          <w:right w:w="0" w:type="dxa"/>
          <w:bottom w:w="0" w:type="dxa"/>
        </w:tblCellMar>
        <w:tblLook w:val="04A0" w:firstRow="1" w:lastRow="0" w:firstColumn="1" w:lastColumn="0" w:noHBand="0" w:noVBand="1"/>
      </w:tblPr>
      <w:tblGrid>
        <w:gridCol w:w="3301"/>
        <w:gridCol w:w="1707"/>
        <w:gridCol w:w="1707"/>
        <w:gridCol w:w="1708"/>
      </w:tblGrid>
      <w:tr>
        <w:trPr>
          <w:tblHeade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中标金额（万元）</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货物采购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服务采购</w:t>
            </w:r>
            <w:r>
              <w:rPr>
                <w:rFonts w:hint="eastAsia" w:ascii="宋体" w:hAnsi="宋体" w:eastAsia="宋体" w:cs="宋体"/>
                <w:b/>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工程采购</w:t>
            </w:r>
            <w:r>
              <w:rPr>
                <w:rFonts w:hint="eastAsia" w:ascii="宋体" w:hAnsi="宋体" w:eastAsia="宋体" w:cs="宋体"/>
                <w:b/>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100以下</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100-500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0.7%</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500-1000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0.8%</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0.45%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1000-5000</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0.35%</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5000-1亿</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0.1%</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0.2%</w:t>
            </w:r>
            <w:r>
              <w:rPr>
                <w:rFonts w:hint="eastAsia" w:ascii="宋体" w:hAnsi="宋体" w:eastAsia="宋体" w:cs="宋体"/>
                <w:color w:val="000000"/>
                <w:sz w:val="21"/>
                <w:szCs w:val="21"/>
                <w:highlight w:val="none"/>
              </w:rPr>
            </w:r>
            <w:r/>
          </w:p>
        </w:tc>
      </w:tr>
      <w:tr>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3301"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1亿以上</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7"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08" w:type="dxa"/>
            <w:vAlign w:val="center"/>
            <w:textDirection w:val="lrTb"/>
            <w:noWrap w:val="false"/>
          </w:tcPr>
          <w:p>
            <w:pPr>
              <w:pStyle w:val="901"/>
              <w:jc w:val="center"/>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0.05%</w:t>
            </w:r>
            <w:r>
              <w:rPr>
                <w:rFonts w:hint="eastAsia" w:ascii="宋体" w:hAnsi="宋体" w:eastAsia="宋体" w:cs="宋体"/>
                <w:color w:val="000000"/>
                <w:sz w:val="21"/>
                <w:szCs w:val="21"/>
                <w:highlight w:val="none"/>
              </w:rPr>
            </w:r>
            <w:r/>
          </w:p>
        </w:tc>
      </w:tr>
    </w:tbl>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（1）代理服务费以人民币支付；</w:t>
      </w:r>
      <w:r>
        <w:rPr>
          <w:rFonts w:hint="eastAsia" w:ascii="宋体" w:hAnsi="宋体" w:eastAsia="宋体" w:cs="宋体"/>
          <w:b w:val="0"/>
          <w:bCs w:val="0"/>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（2）代理服务费支付方式：一次性以电汇或转账等形式支付。</w:t>
      </w:r>
      <w:r>
        <w:rPr>
          <w:rFonts w:hint="eastAsia" w:ascii="宋体" w:hAnsi="宋体" w:eastAsia="宋体" w:cs="宋体"/>
          <w:b w:val="0"/>
          <w:bCs w:val="0"/>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（3）代理服务费不在报价中单列，但包含在总价中，由中标供应商支付给代理机构。</w:t>
      </w:r>
      <w:r>
        <w:rPr>
          <w:rFonts w:hint="eastAsia" w:ascii="宋体" w:hAnsi="宋体" w:eastAsia="宋体" w:cs="宋体"/>
          <w:b w:val="0"/>
          <w:bCs w:val="0"/>
          <w:color w:val="000000"/>
          <w:sz w:val="21"/>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4.</w:t>
      </w: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专家评审费参考《关于规范江苏省政府采购专家评审费标准的通知》（苏财购〔2016〕48号）执行，由采购人支付。</w:t>
      </w:r>
      <w:r>
        <w:rPr>
          <w:rFonts w:hint="eastAsia" w:ascii="宋体" w:hAnsi="宋体" w:eastAsia="宋体" w:cs="宋体"/>
          <w:b w:val="0"/>
          <w:bCs w:val="0"/>
          <w:color w:val="000000"/>
          <w:sz w:val="21"/>
          <w:szCs w:val="21"/>
          <w:highlight w:val="none"/>
        </w:rPr>
      </w:r>
      <w:r/>
    </w:p>
    <w:p>
      <w:pPr>
        <w:pStyle w:val="90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bCs w:val="0"/>
          <w:color w:val="000000"/>
          <w:sz w:val="21"/>
          <w:szCs w:val="21"/>
          <w:highlight w:val="none"/>
        </w:rPr>
        <w:t xml:space="preserve">招标文件的约束力</w:t>
      </w:r>
      <w:r>
        <w:rPr>
          <w:rFonts w:hint="eastAsia" w:ascii="宋体" w:hAnsi="宋体" w:eastAsia="宋体" w:cs="宋体"/>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5.1</w:t>
      </w:r>
      <w:r>
        <w:rPr>
          <w:rFonts w:hint="eastAsia" w:ascii="宋体" w:hAnsi="宋体" w:eastAsia="宋体" w:cs="宋体"/>
          <w:color w:val="000000"/>
          <w:sz w:val="21"/>
          <w:szCs w:val="21"/>
          <w:highlight w:val="none"/>
        </w:rPr>
        <w:t xml:space="preserve"> 供应商一旦参加本项目采购活动，即被认为接受了本招标文件的规定和约束。</w:t>
      </w:r>
      <w:r>
        <w:rPr>
          <w:rFonts w:hint="eastAsia" w:ascii="宋体" w:hAnsi="宋体" w:eastAsia="宋体" w:cs="宋体"/>
          <w:bCs/>
          <w:color w:val="000000"/>
          <w:sz w:val="21"/>
          <w:szCs w:val="21"/>
          <w:highlight w:val="none"/>
        </w:rPr>
      </w:r>
      <w:r/>
    </w:p>
    <w:p>
      <w:pPr>
        <w:pStyle w:val="90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37" w:name="_Toc513029210"/>
      <w:r/>
      <w:bookmarkStart w:id="38" w:name="_Toc20823282"/>
      <w:r/>
      <w:bookmarkStart w:id="39" w:name="_Toc16938526"/>
      <w:r>
        <w:rPr>
          <w:rFonts w:hint="eastAsia" w:ascii="宋体" w:hAnsi="宋体" w:eastAsia="宋体" w:cs="宋体"/>
          <w:bCs w:val="0"/>
          <w:color w:val="000000"/>
          <w:sz w:val="21"/>
          <w:szCs w:val="21"/>
          <w:highlight w:val="none"/>
        </w:rPr>
        <w:t xml:space="preserve">6.招标文件构成</w:t>
      </w:r>
      <w:bookmarkEnd w:id="37"/>
      <w:r/>
      <w:bookmarkEnd w:id="38"/>
      <w:r/>
      <w:bookmarkEnd w:id="39"/>
      <w:r>
        <w:rPr>
          <w:rFonts w:hint="eastAsia" w:ascii="宋体" w:hAnsi="宋体" w:eastAsia="宋体" w:cs="宋体"/>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6.1</w:t>
      </w:r>
      <w:r>
        <w:rPr>
          <w:rFonts w:hint="eastAsia" w:ascii="宋体" w:hAnsi="宋体" w:eastAsia="宋体" w:cs="宋体"/>
          <w:color w:val="000000"/>
          <w:sz w:val="21"/>
          <w:szCs w:val="21"/>
          <w:highlight w:val="none"/>
        </w:rPr>
        <w:t xml:space="preserve"> 招标文件由以下部分组成：</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（1）投标邀请</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（2）供应商须知</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（3）合同文本</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（4）采购需求</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（5）评标方法与评标标准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（6）投标文件格式</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请仔细检查招标文件是否齐全，如有缺漏请立即与代理机构联系解决。</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6.2</w:t>
      </w:r>
      <w:r>
        <w:rPr>
          <w:rFonts w:hint="eastAsia" w:ascii="宋体" w:hAnsi="宋体" w:eastAsia="宋体" w:cs="宋体"/>
          <w:color w:val="000000"/>
          <w:sz w:val="21"/>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highlight w:val="none"/>
        </w:rPr>
      </w:r>
      <w:r/>
    </w:p>
    <w:p>
      <w:pPr>
        <w:pStyle w:val="905"/>
        <w:ind w:left="0" w:firstLine="422"/>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40" w:name="_Toc462564071"/>
      <w:r/>
      <w:bookmarkStart w:id="41" w:name="_Toc513029212"/>
      <w:r/>
      <w:bookmarkStart w:id="42" w:name="_Toc20823284"/>
      <w:r/>
      <w:bookmarkStart w:id="43" w:name="_Toc16938528"/>
      <w:r>
        <w:rPr>
          <w:rFonts w:hint="eastAsia" w:ascii="宋体" w:hAnsi="宋体" w:eastAsia="宋体" w:cs="宋体"/>
          <w:bCs w:val="0"/>
          <w:color w:val="000000"/>
          <w:sz w:val="21"/>
          <w:szCs w:val="21"/>
          <w:highlight w:val="none"/>
        </w:rPr>
        <w:t xml:space="preserve">7</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Cs w:val="0"/>
          <w:color w:val="000000"/>
          <w:sz w:val="21"/>
          <w:szCs w:val="21"/>
          <w:highlight w:val="none"/>
        </w:rPr>
        <w:t xml:space="preserve">招标文件的修改</w:t>
      </w:r>
      <w:bookmarkEnd w:id="40"/>
      <w:r/>
      <w:bookmarkEnd w:id="41"/>
      <w:r/>
      <w:bookmarkEnd w:id="42"/>
      <w:r/>
      <w:bookmarkEnd w:id="43"/>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7.1</w:t>
      </w:r>
      <w:r>
        <w:rPr>
          <w:rFonts w:hint="eastAsia" w:ascii="宋体" w:hAnsi="宋体" w:eastAsia="宋体" w:cs="宋体"/>
          <w:color w:val="000000"/>
          <w:sz w:val="21"/>
          <w:szCs w:val="21"/>
          <w:highlight w:val="none"/>
        </w:rPr>
        <w:t xml:space="preserve"> 在投标截止时间之前，代理机构可以对招标文件进行修改。</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7.2代理机构有权按照法定的要求推迟投标截止日期和开标日期。</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7.3</w:t>
      </w:r>
      <w:r>
        <w:rPr>
          <w:rFonts w:hint="eastAsia" w:ascii="宋体" w:hAnsi="宋体" w:eastAsia="宋体" w:cs="宋体"/>
          <w:color w:val="000000"/>
          <w:sz w:val="21"/>
          <w:szCs w:val="21"/>
          <w:highlight w:val="none"/>
        </w:rPr>
        <w:t xml:space="preserve">招标文件的修改将在</w:t>
      </w:r>
      <w:r>
        <w:rPr>
          <w:rFonts w:hint="eastAsia" w:ascii="宋体" w:hAnsi="宋体" w:eastAsia="宋体" w:cs="宋体"/>
          <w:bCs/>
          <w:color w:val="000000"/>
          <w:sz w:val="21"/>
          <w:szCs w:val="21"/>
          <w:highlight w:val="none"/>
        </w:rPr>
        <w:t xml:space="preserve">原采购信息发布媒体上</w:t>
      </w:r>
      <w:r>
        <w:rPr>
          <w:rFonts w:hint="eastAsia" w:ascii="宋体" w:hAnsi="宋体" w:eastAsia="宋体" w:cs="宋体"/>
          <w:color w:val="000000"/>
          <w:sz w:val="21"/>
          <w:szCs w:val="21"/>
          <w:highlight w:val="none"/>
        </w:rPr>
        <w:t xml:space="preserve">公布，补充文件将作为招标文件的组成部分，并对供应商具有约束力。</w:t>
      </w:r>
      <w:r>
        <w:rPr>
          <w:rFonts w:hint="eastAsia" w:ascii="宋体" w:hAnsi="宋体" w:eastAsia="宋体" w:cs="宋体"/>
          <w:color w:val="000000"/>
          <w:sz w:val="21"/>
          <w:szCs w:val="21"/>
          <w:highlight w:val="none"/>
        </w:rPr>
      </w:r>
      <w:r/>
    </w:p>
    <w:p>
      <w:pPr>
        <w:pStyle w:val="905"/>
        <w:ind w:left="0" w:firstLine="422"/>
        <w:pageBreakBefore w:val="0"/>
        <w:spacing w:before="0" w:after="0" w:line="360" w:lineRule="auto"/>
        <w:widowControl w:val="off"/>
        <w:rPr>
          <w:rFonts w:hint="eastAsia" w:ascii="宋体" w:hAnsi="宋体" w:eastAsia="宋体" w:cs="宋体"/>
          <w:bCs w:val="0"/>
          <w:color w:val="000000"/>
          <w:sz w:val="21"/>
          <w:szCs w:val="21"/>
          <w:highlight w:val="none"/>
        </w:rPr>
      </w:pPr>
      <w:r/>
      <w:bookmarkStart w:id="44" w:name="_Toc20823286"/>
      <w:r/>
      <w:bookmarkStart w:id="45" w:name="_Toc513029214"/>
      <w:r/>
      <w:bookmarkStart w:id="46" w:name="_Toc462564073"/>
      <w:r/>
      <w:bookmarkStart w:id="47" w:name="_Toc16938530"/>
      <w:r>
        <w:rPr>
          <w:rFonts w:hint="eastAsia" w:ascii="宋体" w:hAnsi="宋体" w:eastAsia="宋体" w:cs="宋体"/>
          <w:bCs w:val="0"/>
          <w:color w:val="000000"/>
          <w:sz w:val="21"/>
          <w:szCs w:val="21"/>
          <w:highlight w:val="none"/>
        </w:rPr>
        <w:t xml:space="preserve">8.</w:t>
      </w:r>
      <w:bookmarkEnd w:id="44"/>
      <w:r/>
      <w:bookmarkEnd w:id="45"/>
      <w:r/>
      <w:bookmarkEnd w:id="46"/>
      <w:r/>
      <w:bookmarkEnd w:id="47"/>
      <w:r>
        <w:rPr>
          <w:rFonts w:hint="eastAsia" w:ascii="宋体" w:hAnsi="宋体" w:eastAsia="宋体" w:cs="宋体"/>
          <w:bCs w:val="0"/>
          <w:color w:val="000000"/>
          <w:sz w:val="21"/>
          <w:szCs w:val="21"/>
          <w:highlight w:val="none"/>
        </w:rPr>
        <w:t xml:space="preserve">投标文件的语言及度量衡单位</w:t>
      </w:r>
      <w:r>
        <w:rPr>
          <w:rFonts w:hint="eastAsia" w:ascii="宋体" w:hAnsi="宋体" w:eastAsia="宋体" w:cs="宋体"/>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bookmarkStart w:id="48" w:name="_Toc513029215"/>
      <w:r/>
      <w:bookmarkStart w:id="49" w:name="_Toc16938531"/>
      <w:r/>
      <w:bookmarkStart w:id="50" w:name="_Toc20823287"/>
      <w:r/>
      <w:bookmarkStart w:id="51" w:name="_Toc462564074"/>
      <w:r>
        <w:rPr>
          <w:rFonts w:hint="eastAsia" w:ascii="宋体" w:hAnsi="宋体" w:eastAsia="宋体" w:cs="宋体"/>
          <w:bCs/>
          <w:color w:val="000000"/>
          <w:sz w:val="21"/>
          <w:szCs w:val="21"/>
          <w:highlight w:val="none"/>
        </w:rPr>
        <w:t xml:space="preserve">8.1供应商提交的投标文件以及供应商与代理机构就有关投标的所有来往通知、函件和文件均应使用</w:t>
      </w:r>
      <w:r>
        <w:rPr>
          <w:rFonts w:hint="eastAsia" w:ascii="宋体" w:hAnsi="宋体" w:eastAsia="宋体" w:cs="宋体"/>
          <w:b/>
          <w:color w:val="000000"/>
          <w:sz w:val="21"/>
          <w:szCs w:val="21"/>
          <w:highlight w:val="none"/>
        </w:rPr>
        <w:t xml:space="preserve">简体中文</w:t>
      </w: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8.2</w:t>
      </w:r>
      <w:r>
        <w:rPr>
          <w:rFonts w:hint="eastAsia" w:ascii="宋体" w:hAnsi="宋体" w:eastAsia="宋体" w:cs="宋体"/>
          <w:color w:val="000000"/>
          <w:sz w:val="21"/>
          <w:szCs w:val="21"/>
          <w:highlight w:val="none"/>
        </w:rPr>
        <w:t xml:space="preserve"> 除技术性能另有规定外，投标文件所使用的度量衡单位，均须采用国家法定计量单位。</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48"/>
      <w:r/>
      <w:bookmarkEnd w:id="49"/>
      <w:r/>
      <w:bookmarkEnd w:id="50"/>
      <w:r/>
      <w:bookmarkEnd w:id="51"/>
      <w:r/>
      <w:bookmarkStart w:id="52" w:name="_Toc14577360"/>
      <w:r/>
      <w:bookmarkStart w:id="53" w:name="_Toc49090511"/>
      <w:r>
        <w:rPr>
          <w:rFonts w:hint="eastAsia" w:ascii="宋体" w:hAnsi="宋体" w:eastAsia="宋体" w:cs="宋体"/>
          <w:bCs w:val="0"/>
          <w:color w:val="000000"/>
          <w:sz w:val="21"/>
          <w:szCs w:val="21"/>
          <w:highlight w:val="none"/>
        </w:rPr>
        <w:t xml:space="preserve">9、投标文件构成</w:t>
      </w:r>
      <w:r>
        <w:rPr>
          <w:rFonts w:hint="eastAsia" w:ascii="宋体" w:hAnsi="宋体" w:eastAsia="宋体" w:cs="宋体"/>
          <w:bCs w:val="0"/>
          <w:color w:val="000000"/>
          <w:sz w:val="21"/>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bookmarkStart w:id="54" w:name="_Toc513029219"/>
      <w:r/>
      <w:bookmarkStart w:id="55" w:name="_Toc49090509"/>
      <w:r/>
      <w:bookmarkStart w:id="56" w:name="_Toc14577357"/>
      <w:r/>
      <w:bookmarkStart w:id="57" w:name="_Toc49090507"/>
      <w:r/>
      <w:bookmarkStart w:id="58" w:name="_Toc14577354"/>
      <w:r/>
      <w:bookmarkStart w:id="59" w:name="_Toc513029216"/>
      <w:r>
        <w:rPr>
          <w:rFonts w:hint="eastAsia" w:ascii="宋体" w:hAnsi="宋体" w:eastAsia="宋体" w:cs="宋体"/>
          <w:b w:val="0"/>
          <w:bCs w:val="0"/>
          <w:color w:val="000000"/>
          <w:sz w:val="21"/>
          <w:szCs w:val="21"/>
          <w:highlight w:val="none"/>
        </w:rPr>
        <w:t xml:space="preserve">9.1 </w:t>
      </w:r>
      <w:r>
        <w:rPr>
          <w:rFonts w:hint="eastAsia" w:ascii="宋体" w:hAnsi="宋体"/>
          <w:bCs/>
          <w:color w:val="000000"/>
          <w:szCs w:val="21"/>
          <w:highlight w:val="none"/>
        </w:rPr>
        <w:t xml:space="preserve">投标文件由以下部分组成</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（1）资格审查响应对照表</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（2）符合性审查响应对照表</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（3）实质性响应对照表</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（4）开标一览表 </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（5）分项报价表 </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（6）技术参数响应及偏离表 </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（7）商务条款响应及偏离表 </w:t>
      </w:r>
      <w:r>
        <w:rPr>
          <w:rFonts w:ascii="宋体" w:hAnsi="宋体"/>
          <w:bCs/>
          <w:color w:val="000000"/>
          <w:szCs w:val="21"/>
          <w:highlight w:val="none"/>
        </w:rPr>
      </w:r>
      <w:r/>
    </w:p>
    <w:p>
      <w:pPr>
        <w:pStyle w:val="901"/>
        <w:ind w:left="0" w:firstLine="420"/>
        <w:keepLines w:val="0"/>
        <w:keepNext w:val="0"/>
        <w:pageBreakBefore w:val="0"/>
        <w:spacing w:line="360" w:lineRule="auto"/>
        <w:widowControl w:val="off"/>
        <w:rPr>
          <w:rFonts w:ascii="宋体" w:hAnsi="宋体"/>
          <w:bCs/>
          <w:color w:val="000000"/>
          <w:szCs w:val="21"/>
          <w:highlight w:val="none"/>
        </w:rPr>
      </w:pPr>
      <w:r>
        <w:rPr>
          <w:rFonts w:hint="eastAsia" w:ascii="宋体" w:hAnsi="宋体"/>
          <w:bCs/>
          <w:color w:val="000000"/>
          <w:szCs w:val="21"/>
          <w:highlight w:val="none"/>
        </w:rPr>
        <w:t xml:space="preserve">（8）其他 （投标人认为有必要提供的声明和文件，如有自拟并自行添加）</w:t>
      </w:r>
      <w:r>
        <w:rPr>
          <w:rFonts w:ascii="宋体" w:hAnsi="宋体"/>
          <w:bCs/>
          <w:color w:val="000000"/>
          <w:szCs w:val="21"/>
          <w:highlight w:val="none"/>
        </w:rPr>
      </w:r>
      <w:r/>
    </w:p>
    <w:p>
      <w:pPr>
        <w:pStyle w:val="905"/>
        <w:ind w:left="0" w:firstLine="420"/>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9.2 如标书制作工具中格式和内容与</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发布的招标文件不一致，请以</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b w:val="0"/>
          <w:bCs w:val="0"/>
          <w:color w:val="000000"/>
          <w:sz w:val="21"/>
          <w:szCs w:val="21"/>
          <w:highlight w:val="none"/>
        </w:rPr>
        <w:t xml:space="preserve">发布的招标文件为准。</w:t>
      </w:r>
      <w:r>
        <w:rPr>
          <w:rFonts w:hint="eastAsia" w:ascii="宋体" w:hAnsi="宋体" w:eastAsia="宋体" w:cs="宋体"/>
          <w:b w:val="0"/>
          <w:bCs w:val="0"/>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10、</w:t>
      </w:r>
      <w:bookmarkEnd w:id="54"/>
      <w:r/>
      <w:bookmarkEnd w:id="55"/>
      <w:r/>
      <w:bookmarkEnd w:id="56"/>
      <w:r>
        <w:rPr>
          <w:rFonts w:hint="eastAsia" w:ascii="宋体" w:hAnsi="宋体" w:eastAsia="宋体" w:cs="宋体"/>
          <w:bCs w:val="0"/>
          <w:color w:val="000000"/>
          <w:sz w:val="21"/>
          <w:szCs w:val="21"/>
          <w:highlight w:val="none"/>
        </w:rPr>
        <w:t xml:space="preserve">证明供应商及投标标的符合招标文件规定的文件</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10.1供应商应按照招标文件要求提交证明文件，证明其投标标的符合招标文件规定。</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10.2招标文件对证明文件无明确形式要求的，证明文件可以以文字资料、图纸和数据等形式提交。</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val="0"/>
          <w:color w:val="000000"/>
          <w:sz w:val="21"/>
          <w:szCs w:val="21"/>
          <w:highlight w:val="none"/>
        </w:rPr>
      </w:pPr>
      <w:r/>
      <w:bookmarkEnd w:id="57"/>
      <w:r/>
      <w:bookmarkEnd w:id="58"/>
      <w:r/>
      <w:bookmarkEnd w:id="59"/>
      <w:r/>
      <w:bookmarkStart w:id="60" w:name="_Toc14577355"/>
      <w:r/>
      <w:bookmarkStart w:id="61" w:name="_Toc49090508"/>
      <w:r>
        <w:rPr>
          <w:rFonts w:hint="eastAsia" w:ascii="宋体" w:hAnsi="宋体" w:eastAsia="宋体" w:cs="宋体"/>
          <w:bCs w:val="0"/>
          <w:color w:val="000000"/>
          <w:sz w:val="21"/>
          <w:szCs w:val="21"/>
          <w:highlight w:val="none"/>
        </w:rPr>
        <w:t xml:space="preserve">11、投标分项报价</w:t>
      </w:r>
      <w:bookmarkEnd w:id="60"/>
      <w:r>
        <w:rPr>
          <w:rFonts w:hint="eastAsia" w:ascii="宋体" w:hAnsi="宋体" w:eastAsia="宋体" w:cs="宋体"/>
          <w:bCs w:val="0"/>
          <w:color w:val="000000"/>
          <w:sz w:val="21"/>
          <w:szCs w:val="21"/>
          <w:highlight w:val="none"/>
        </w:rPr>
        <w:t xml:space="preserve">表</w:t>
      </w:r>
      <w:bookmarkEnd w:id="61"/>
      <w:r>
        <w:rPr>
          <w:rFonts w:hint="eastAsia" w:ascii="宋体" w:hAnsi="宋体" w:eastAsia="宋体" w:cs="宋体"/>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11.1供应商按照招标文件规定格式填报投标分项报价表</w:t>
      </w:r>
      <w:bookmarkStart w:id="62" w:name="_Hlt26670399"/>
      <w:r/>
      <w:bookmarkEnd w:id="62"/>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11.2投标货币。投标文件中的单价和总价无特殊规定的采用人民币报价，以元为单位标注。招标文件中另有规定的按规定执行。</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bookmarkStart w:id="63" w:name="_Toc49090510"/>
      <w:r/>
      <w:bookmarkStart w:id="64" w:name="_Toc14577359"/>
      <w:r>
        <w:rPr>
          <w:rFonts w:hint="eastAsia" w:ascii="宋体" w:hAnsi="宋体" w:eastAsia="宋体" w:cs="宋体"/>
          <w:color w:val="000000"/>
          <w:sz w:val="21"/>
          <w:szCs w:val="21"/>
          <w:highlight w:val="none"/>
        </w:rPr>
        <w:t xml:space="preserve">12、技术要求响应及偏离表、商务要求响应及偏离表</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12.1供应商需对招标文件中的技术要求与商务要求逐项作出响应或偏离，并说明原因。</w:t>
      </w:r>
      <w:r>
        <w:rPr>
          <w:rFonts w:hint="eastAsia" w:ascii="宋体" w:hAnsi="宋体" w:eastAsia="宋体" w:cs="宋体"/>
          <w:color w:val="000000"/>
          <w:sz w:val="21"/>
          <w:szCs w:val="21"/>
          <w:highlight w:val="none"/>
          <w:lang w:val="zh-CN"/>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12.2供应商需按照招标文件要求，在投标文件中提供与技术要求和商务要求相关的证明材料。</w:t>
      </w:r>
      <w:r>
        <w:rPr>
          <w:rFonts w:hint="eastAsia" w:ascii="宋体" w:hAnsi="宋体" w:eastAsia="宋体" w:cs="宋体"/>
          <w:color w:val="000000"/>
          <w:sz w:val="21"/>
          <w:szCs w:val="21"/>
          <w:highlight w:val="none"/>
          <w:lang w:val="zh-CN"/>
        </w:rPr>
      </w:r>
      <w:r/>
    </w:p>
    <w:p>
      <w:pPr>
        <w:pStyle w:val="90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13、服务承诺、培训计划、人员安排及其他</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13.1供应商需根据招标文件要求提供有关售后服务的管理制度，售后服务机构的分布情况，售后服务人员的数量、素质、技术水平及售后服务的反应能力等。</w:t>
      </w:r>
      <w:r>
        <w:rPr>
          <w:rFonts w:hint="eastAsia" w:ascii="宋体" w:hAnsi="宋体" w:eastAsia="宋体" w:cs="宋体"/>
          <w:color w:val="000000"/>
          <w:sz w:val="21"/>
          <w:szCs w:val="21"/>
          <w:highlight w:val="none"/>
          <w:lang w:val="zh-CN"/>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13.2供应商需根据招标文件要求提供培训计划。</w:t>
      </w:r>
      <w:r>
        <w:rPr>
          <w:rFonts w:hint="eastAsia" w:ascii="宋体" w:hAnsi="宋体" w:eastAsia="宋体" w:cs="宋体"/>
          <w:color w:val="000000"/>
          <w:sz w:val="21"/>
          <w:szCs w:val="21"/>
          <w:highlight w:val="none"/>
          <w:lang w:val="zh-CN"/>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13.3供应商需根据招标文件要求提供所投标的的主要组成部分、功能设计、实现思路及关键技术等。</w:t>
      </w:r>
      <w:r>
        <w:rPr>
          <w:rFonts w:hint="eastAsia" w:ascii="宋体" w:hAnsi="宋体" w:eastAsia="宋体" w:cs="宋体"/>
          <w:color w:val="000000"/>
          <w:sz w:val="21"/>
          <w:szCs w:val="21"/>
          <w:highlight w:val="none"/>
          <w:lang w:val="zh-CN"/>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14、投标函和开标一览表</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14.1</w:t>
      </w:r>
      <w:r>
        <w:rPr>
          <w:rFonts w:hint="eastAsia" w:ascii="宋体" w:hAnsi="宋体" w:eastAsia="宋体" w:cs="宋体"/>
          <w:color w:val="000000"/>
          <w:sz w:val="21"/>
          <w:szCs w:val="21"/>
          <w:highlight w:val="none"/>
        </w:rPr>
        <w:t xml:space="preserve"> 供应商应按照招标文件中提供的格式完整、正确填写投标函、开标一览表。</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14.2</w:t>
      </w:r>
      <w:r>
        <w:rPr>
          <w:rFonts w:hint="eastAsia" w:ascii="宋体" w:hAnsi="宋体" w:eastAsia="宋体" w:cs="宋体"/>
          <w:color w:val="000000"/>
          <w:sz w:val="21"/>
          <w:szCs w:val="21"/>
          <w:highlight w:val="none"/>
        </w:rPr>
        <w:t xml:space="preserve"> 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63"/>
      <w:r/>
      <w:bookmarkEnd w:id="64"/>
      <w:r>
        <w:rPr>
          <w:rFonts w:hint="eastAsia" w:ascii="宋体" w:hAnsi="宋体" w:eastAsia="宋体" w:cs="宋体"/>
          <w:bCs w:val="0"/>
          <w:color w:val="000000"/>
          <w:sz w:val="21"/>
          <w:szCs w:val="21"/>
          <w:highlight w:val="none"/>
        </w:rPr>
        <w:t xml:space="preserve">15、投标有效期</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15.1</w:t>
      </w:r>
      <w:r>
        <w:rPr>
          <w:rFonts w:hint="eastAsia" w:ascii="宋体" w:hAnsi="宋体" w:eastAsia="宋体" w:cs="宋体"/>
          <w:bCs/>
          <w:color w:val="000000"/>
          <w:sz w:val="21"/>
          <w:szCs w:val="21"/>
          <w:highlight w:val="none"/>
        </w:rPr>
        <w:t xml:space="preserve"> 投标有效期为代理机构规定的开标之日起</w:t>
      </w:r>
      <w:r>
        <w:rPr>
          <w:rFonts w:hint="eastAsia" w:ascii="宋体" w:hAnsi="宋体" w:eastAsia="宋体" w:cs="宋体"/>
          <w:b/>
          <w:color w:val="000000"/>
          <w:sz w:val="21"/>
          <w:szCs w:val="21"/>
          <w:highlight w:val="none"/>
          <w:u w:val="single"/>
        </w:rPr>
        <w:t xml:space="preserve">六十（60）天</w:t>
      </w:r>
      <w:r>
        <w:rPr>
          <w:rFonts w:hint="eastAsia" w:ascii="宋体" w:hAnsi="宋体" w:eastAsia="宋体" w:cs="宋体"/>
          <w:bCs/>
          <w:color w:val="000000"/>
          <w:sz w:val="21"/>
          <w:szCs w:val="21"/>
          <w:highlight w:val="none"/>
        </w:rPr>
        <w:t xml:space="preserve">。投标有效期比规定短的将被视为非响应性投标而予以拒绝。</w:t>
      </w:r>
      <w:r>
        <w:rPr>
          <w:rFonts w:hint="eastAsia" w:ascii="宋体" w:hAnsi="宋体" w:eastAsia="宋体" w:cs="宋体"/>
          <w:bCs/>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16、投标有效期的延长</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color w:val="000000"/>
          <w:sz w:val="21"/>
          <w:szCs w:val="21"/>
          <w:highlight w:val="none"/>
        </w:rPr>
        <w:t xml:space="preserve">16.1</w:t>
      </w:r>
      <w:r>
        <w:rPr>
          <w:rFonts w:hint="eastAsia" w:ascii="宋体" w:hAnsi="宋体" w:eastAsia="宋体" w:cs="宋体"/>
          <w:bCs/>
          <w:color w:val="000000"/>
          <w:sz w:val="21"/>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color w:val="000000"/>
          <w:sz w:val="21"/>
          <w:szCs w:val="21"/>
          <w:highlight w:val="none"/>
        </w:rPr>
        <w:t xml:space="preserve">；</w:t>
      </w:r>
      <w:r>
        <w:rPr>
          <w:rFonts w:hint="eastAsia" w:ascii="宋体" w:hAnsi="宋体" w:eastAsia="宋体" w:cs="宋体"/>
          <w:bCs/>
          <w:color w:val="000000"/>
          <w:sz w:val="21"/>
          <w:szCs w:val="21"/>
          <w:highlight w:val="none"/>
        </w:rPr>
        <w:t xml:space="preserve">同意延长投标有效期的供应商既不能要求也不允许修改其投标文件。受投标有效期约束的所有权利与义务均延长至新的有效期。</w:t>
      </w:r>
      <w:r>
        <w:rPr>
          <w:rFonts w:hint="eastAsia" w:ascii="宋体" w:hAnsi="宋体" w:eastAsia="宋体" w:cs="宋体"/>
          <w:bCs/>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End w:id="52"/>
      <w:r/>
      <w:bookmarkEnd w:id="53"/>
      <w:r/>
      <w:bookmarkStart w:id="65" w:name="_Toc49090512"/>
      <w:r/>
      <w:bookmarkStart w:id="66" w:name="_Toc14577361"/>
      <w:r/>
      <w:bookmarkStart w:id="67" w:name="_Toc20823299"/>
      <w:r/>
      <w:bookmarkStart w:id="68" w:name="_Toc16938543"/>
      <w:r/>
      <w:bookmarkStart w:id="69" w:name="_Toc513029227"/>
      <w:r>
        <w:rPr>
          <w:rFonts w:hint="eastAsia" w:ascii="宋体" w:hAnsi="宋体" w:eastAsia="宋体" w:cs="宋体"/>
          <w:bCs w:val="0"/>
          <w:color w:val="000000"/>
          <w:sz w:val="21"/>
          <w:szCs w:val="21"/>
          <w:highlight w:val="none"/>
        </w:rPr>
        <w:t xml:space="preserve">17、</w:t>
      </w:r>
      <w:bookmarkEnd w:id="65"/>
      <w:r/>
      <w:bookmarkEnd w:id="66"/>
      <w:r>
        <w:rPr>
          <w:rFonts w:hint="eastAsia" w:ascii="宋体" w:hAnsi="宋体" w:eastAsia="宋体" w:cs="宋体"/>
          <w:bCs w:val="0"/>
          <w:color w:val="000000"/>
          <w:sz w:val="21"/>
          <w:szCs w:val="21"/>
          <w:highlight w:val="none"/>
        </w:rPr>
        <w:t xml:space="preserve">电子投标文件的递交</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17.1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应当按照《操作手册》规定，在投标截止时间前制作并上传电子投标文件。</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bookmarkStart w:id="70" w:name="_Toc16938541"/>
      <w:r/>
      <w:bookmarkStart w:id="71" w:name="_Toc462564084"/>
      <w:r/>
      <w:bookmarkStart w:id="72" w:name="_Toc513029225"/>
      <w:r/>
      <w:bookmarkStart w:id="73" w:name="_Toc20823297"/>
      <w:r>
        <w:rPr>
          <w:rFonts w:hint="eastAsia" w:ascii="宋体" w:hAnsi="宋体" w:eastAsia="宋体" w:cs="宋体"/>
          <w:bCs w:val="0"/>
          <w:color w:val="000000"/>
          <w:sz w:val="21"/>
          <w:szCs w:val="21"/>
          <w:highlight w:val="none"/>
        </w:rPr>
        <w:t xml:space="preserve">18、</w:t>
      </w:r>
      <w:bookmarkEnd w:id="70"/>
      <w:r/>
      <w:bookmarkEnd w:id="71"/>
      <w:r/>
      <w:bookmarkEnd w:id="72"/>
      <w:r/>
      <w:bookmarkEnd w:id="73"/>
      <w:r>
        <w:rPr>
          <w:rFonts w:hint="eastAsia" w:ascii="宋体" w:hAnsi="宋体" w:eastAsia="宋体" w:cs="宋体"/>
          <w:bCs w:val="0"/>
          <w:color w:val="000000"/>
          <w:sz w:val="21"/>
          <w:szCs w:val="21"/>
          <w:highlight w:val="none"/>
        </w:rPr>
        <w:t xml:space="preserve">投标截止时间</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Start w:id="74" w:name="_Toc513029226"/>
      <w:r/>
      <w:bookmarkStart w:id="75" w:name="_Toc16938542"/>
      <w:r/>
      <w:bookmarkStart w:id="76" w:name="_Toc20823298"/>
      <w:r>
        <w:rPr>
          <w:rFonts w:hint="eastAsia" w:ascii="宋体" w:hAnsi="宋体" w:eastAsia="宋体" w:cs="宋体"/>
          <w:color w:val="000000"/>
          <w:sz w:val="21"/>
          <w:szCs w:val="21"/>
          <w:highlight w:val="none"/>
        </w:rPr>
        <w:t xml:space="preserve">18.1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上传电子投标文件的时间不得迟于招标公告中规定的投标截止时间。</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应充分考虑到网络环境、网络带宽等风险因素，如因</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自身原因造成的电子投标文件上传不成功的按照本招标文件第二章</w:t>
      </w:r>
      <w:r>
        <w:rPr>
          <w:rFonts w:hint="eastAsia" w:ascii="宋体" w:hAnsi="宋体" w:eastAsia="宋体" w:cs="宋体"/>
          <w:color w:val="000000"/>
          <w:sz w:val="21"/>
          <w:szCs w:val="21"/>
          <w:highlight w:val="none"/>
        </w:rPr>
        <w:t xml:space="preserve">第26.1.2条规</w:t>
      </w:r>
      <w:r>
        <w:rPr>
          <w:rFonts w:hint="eastAsia" w:ascii="宋体" w:hAnsi="宋体" w:eastAsia="宋体" w:cs="宋体"/>
          <w:color w:val="000000"/>
          <w:sz w:val="21"/>
          <w:szCs w:val="21"/>
          <w:highlight w:val="none"/>
        </w:rPr>
        <w:t xml:space="preserve">定做无效投标处理。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18.2</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可以按照规定，通过修改招标文件酌情延长投标截止日期，在此情况下，</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的所有权利和义务以及</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受制的截止日期均应以延长后新的截止日期为准。</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74"/>
      <w:r/>
      <w:bookmarkEnd w:id="75"/>
      <w:r/>
      <w:bookmarkEnd w:id="76"/>
      <w:r>
        <w:rPr>
          <w:rFonts w:hint="eastAsia" w:ascii="宋体" w:hAnsi="宋体" w:eastAsia="宋体" w:cs="宋体"/>
          <w:bCs/>
          <w:color w:val="000000"/>
          <w:sz w:val="21"/>
          <w:szCs w:val="21"/>
          <w:highlight w:val="none"/>
        </w:rPr>
        <w:t xml:space="preserve">19、投标文件的拒收</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19.1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拒绝接收在其规定的投标截止时间后上传的任何投标文件。</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67"/>
      <w:r/>
      <w:bookmarkEnd w:id="68"/>
      <w:r/>
      <w:bookmarkEnd w:id="69"/>
      <w:r/>
      <w:bookmarkStart w:id="77" w:name="_Toc513029228"/>
      <w:r/>
      <w:bookmarkStart w:id="78" w:name="_Toc20823300"/>
      <w:r/>
      <w:bookmarkStart w:id="79" w:name="_Toc16938544"/>
      <w:r/>
      <w:bookmarkStart w:id="80" w:name="_Toc16938549"/>
      <w:r/>
      <w:bookmarkStart w:id="81" w:name="_Toc20823305"/>
      <w:r/>
      <w:bookmarkStart w:id="82" w:name="_Toc513029233"/>
      <w:r>
        <w:rPr>
          <w:rFonts w:hint="eastAsia" w:ascii="宋体" w:hAnsi="宋体" w:eastAsia="宋体" w:cs="宋体"/>
          <w:bCs/>
          <w:color w:val="000000"/>
          <w:sz w:val="21"/>
          <w:szCs w:val="21"/>
          <w:highlight w:val="none"/>
        </w:rPr>
        <w:t xml:space="preserve">20、投标文件的撤回和修改</w:t>
      </w:r>
      <w:bookmarkEnd w:id="77"/>
      <w:r/>
      <w:bookmarkEnd w:id="78"/>
      <w:r/>
      <w:bookmarkEnd w:id="79"/>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Start w:id="83" w:name="_Toc20823302"/>
      <w:r/>
      <w:bookmarkStart w:id="84" w:name="_Toc16938546"/>
      <w:r/>
      <w:bookmarkStart w:id="85" w:name="_Toc513029230"/>
      <w:r>
        <w:rPr>
          <w:rFonts w:hint="eastAsia" w:ascii="宋体" w:hAnsi="宋体" w:eastAsia="宋体" w:cs="宋体"/>
          <w:color w:val="000000"/>
          <w:sz w:val="21"/>
          <w:szCs w:val="21"/>
          <w:highlight w:val="none"/>
        </w:rPr>
        <w:t xml:space="preserve">20.1投标文件的撤回</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20.1.1电子投标文件的撤回</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可在投标截止时间前，撤回其电子投标文件，具体操作方法见《操作手册》。</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撤回电子投标文件，则认为其不再参与本项目投标活动。</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20.2投标文件的修改</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可在投标截止时间前，对其电子投标文件进行修改，具体操作方法见《操作手册》。</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20.2.2在投标截止时间之后，</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不得对其电子投标文件作任何修改。</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20.3在投标截止时间至招标文件中规定的投标有效期满之间的这段时间内，</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不得撤回其投标。</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、开标</w:t>
      </w:r>
      <w:bookmarkEnd w:id="83"/>
      <w:r/>
      <w:bookmarkEnd w:id="84"/>
      <w:r/>
      <w:bookmarkEnd w:id="85"/>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Start w:id="86" w:name="_Toc513029231"/>
      <w:r/>
      <w:bookmarkStart w:id="87" w:name="_Toc20823303"/>
      <w:r/>
      <w:bookmarkStart w:id="88" w:name="_Toc16938547"/>
      <w:r>
        <w:rPr>
          <w:rFonts w:hint="eastAsia" w:ascii="宋体" w:hAnsi="宋体" w:eastAsia="宋体" w:cs="宋体"/>
          <w:color w:val="000000"/>
          <w:sz w:val="21"/>
          <w:szCs w:val="21"/>
          <w:highlight w:val="none"/>
        </w:rPr>
        <w:t xml:space="preserve">21.1</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将在招标公告中规定的时间和地点组织公开开标。</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应当按照《操作手册》规定，参加开标活动和在苏采云系统规定的时间内对投标文件进行解密。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21.2开标仪式由</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组织。苏采云系统将自动对项目进行开标，并展示各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名称和投标价格。</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在开标过程中涉及到的投标文件解密、开标结果确认等工作，应按照《操作手册》规定执行。</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如果对开标过程和开标记录有疑义，应当根据《操作手册》规定提出，如苏采云系统中《开标记录表》宣布后5分钟内未提出的，视同认可开标结果。</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、评标委员会</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22.1开标后，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将立即组织评标委员会（以下简称评委会）进行评标。</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22.2评委会由采购人代表和有关技术、经济等方面的专家组成，且人员构成符合政府采购有关规定。</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22.3评委会独立工作，负责评审所有投标文件并确定中标候选人。</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Cs/>
          <w:color w:val="000000"/>
          <w:sz w:val="21"/>
          <w:szCs w:val="21"/>
          <w:highlight w:val="none"/>
        </w:rPr>
      </w:pPr>
      <w:r/>
      <w:bookmarkEnd w:id="86"/>
      <w:r/>
      <w:bookmarkEnd w:id="87"/>
      <w:r/>
      <w:bookmarkEnd w:id="88"/>
      <w:r>
        <w:rPr>
          <w:rFonts w:hint="eastAsia" w:ascii="宋体" w:hAnsi="宋体" w:eastAsia="宋体" w:cs="宋体"/>
          <w:bCs/>
          <w:color w:val="000000"/>
          <w:sz w:val="21"/>
          <w:szCs w:val="21"/>
          <w:highlight w:val="none"/>
        </w:rPr>
        <w:t xml:space="preserve">23、评标过程的保密与公正</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Start w:id="89" w:name="_Toc16938548"/>
      <w:r/>
      <w:bookmarkStart w:id="90" w:name="_Toc20823304"/>
      <w:r/>
      <w:bookmarkStart w:id="91" w:name="_Toc513029232"/>
      <w:r>
        <w:rPr>
          <w:rFonts w:hint="eastAsia" w:ascii="宋体" w:hAnsi="宋体" w:eastAsia="宋体" w:cs="宋体"/>
          <w:color w:val="000000"/>
          <w:sz w:val="21"/>
          <w:szCs w:val="21"/>
          <w:highlight w:val="none"/>
        </w:rPr>
        <w:t xml:space="preserve">23.1凡是与审查、澄清、评价和比较投标的有关资料以及授标建议等，采购人、评委、</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均不得向</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或与评标无关的其他人员透露。</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23.2在评标过程中，</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不得以任何行为影响评标过程，否则其投标文件将被作为无效投标文件。</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23.3</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和评委会不向未中标的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解释未中标原因，也不公布评标过程中的相关细节。</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23.4采用综合评分法的项目，未中标的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可于中标结果公告期限届满之日起通过苏采云系统查看自己的评审得分及排序情况。</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4</w:t>
      </w:r>
      <w:r>
        <w:rPr>
          <w:rFonts w:hint="eastAsia" w:ascii="宋体" w:hAnsi="宋体" w:eastAsia="宋体" w:cs="宋体"/>
          <w:bCs w:val="0"/>
          <w:color w:val="000000"/>
          <w:sz w:val="21"/>
          <w:szCs w:val="21"/>
          <w:highlight w:val="none"/>
        </w:rPr>
        <w:t xml:space="preserve">、投标的澄清</w:t>
      </w:r>
      <w:bookmarkEnd w:id="89"/>
      <w:r/>
      <w:bookmarkEnd w:id="90"/>
      <w:r/>
      <w:bookmarkEnd w:id="91"/>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24.1评标期间，评委会对投标文件中含义不明确、同类问题表述不一致或者有明显文字和计算错误的内容，有权要求</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作出必要的澄清、说明或者补正。</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的澄清、说明或者补正不得超出投标文件的范围或者改变投标文件的实质性内容。</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评委会并非对每个</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都做澄清要求。</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24.2需要供应商进行澄清、说明和补正的，评委会将通过苏采云系统向供应商发出“澄清要求函”，接到“澄清要求函”的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应当按照要求在苏采云系统中提交“澄清响应函”并加盖CA电子公章。澄清、说明和补正的内容作为投标文件的补充部分，具体操作方式见《操作手册》。</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24.3 接到评委会澄清、说明和补正要求的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如未按规定做出澄清、说明和补正，其风险由</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自行承担。</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5</w:t>
      </w:r>
      <w:r>
        <w:rPr>
          <w:rFonts w:hint="eastAsia" w:ascii="宋体" w:hAnsi="宋体" w:eastAsia="宋体" w:cs="宋体"/>
          <w:bCs w:val="0"/>
          <w:color w:val="000000"/>
          <w:sz w:val="21"/>
          <w:szCs w:val="21"/>
          <w:highlight w:val="none"/>
        </w:rPr>
        <w:t xml:space="preserve">、对投标文件的初审</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End w:id="80"/>
      <w:r/>
      <w:bookmarkEnd w:id="81"/>
      <w:r/>
      <w:bookmarkEnd w:id="82"/>
      <w:r/>
      <w:bookmarkStart w:id="92" w:name="_Toc16938550"/>
      <w:r/>
      <w:bookmarkStart w:id="93" w:name="_Toc513029234"/>
      <w:r/>
      <w:bookmarkStart w:id="94" w:name="_Toc20823306"/>
      <w:r>
        <w:rPr>
          <w:rFonts w:hint="eastAsia" w:ascii="宋体" w:hAnsi="宋体" w:eastAsia="宋体" w:cs="宋体"/>
          <w:color w:val="000000"/>
          <w:sz w:val="21"/>
          <w:szCs w:val="21"/>
          <w:highlight w:val="none"/>
        </w:rPr>
        <w:t xml:space="preserve">25.1投标文件初审分为资格审查和符合性审查。</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采购人在进行资格性审查的同时，将在“信用中国”网站（www.creditchina.gov.cn）和“中国政府采购网"(www.ccgp.gov.cn)查询</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的信用记录，以确定</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是否具备投标资格,查询结果留存并归档。</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25.1.3未通过资格审查或符合性审查的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将在苏采云系统中告知未通过资格审查或符合性审查的原因，评审结束后，</w:t>
      </w:r>
      <w:r>
        <w:rPr>
          <w:rFonts w:hint="eastAsia" w:ascii="宋体" w:hAnsi="宋体" w:eastAsia="宋体" w:cs="宋体"/>
          <w:color w:val="000000"/>
          <w:sz w:val="21"/>
          <w:szCs w:val="21"/>
          <w:highlight w:val="none"/>
          <w:lang w:val="en-US" w:eastAsia="zh-CN"/>
        </w:rPr>
        <w:t xml:space="preserve">代理机构</w:t>
      </w:r>
      <w:r>
        <w:rPr>
          <w:rFonts w:hint="eastAsia" w:ascii="宋体" w:hAnsi="宋体" w:eastAsia="宋体" w:cs="宋体"/>
          <w:color w:val="000000"/>
          <w:sz w:val="21"/>
          <w:szCs w:val="21"/>
          <w:highlight w:val="none"/>
        </w:rPr>
        <w:t xml:space="preserve">将不再告知未通过资格审查或符合性审查的原因。</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的权利或</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的义务，纠正这些偏离或保留将会对其他实质性响应要求的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的竞争地位产生不公正的影响。重大偏离的认定需经过评委会以少数服从多数的原则作出结论。评委会决定投标文件的响应性只根据投标文件本身的内容，而不寻求外部的证据。</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25.3如果投标文件实质上没有响应招标文件的要求，评委会将予以拒绝，</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不得通过修改或撤销不合要求的偏离或保留而使其投标成为实质性响应的投标。</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25.4评委会将对确定为实质性响应的投标进行进一步审核，是否有计算上或累加上的算术错误，修正错误的原则如下：</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（1）投标文件中开标一览表内容与投标文件中相应内容不一致的，以开标一览表为准。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（2）大写金额和小写金额不一致的，以大写金额为准。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（3）单价金额小数点或者百分比有明显错位的，以开标一览表的总价为准，并修改单价。</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（4）总价金额与按单价汇总金额不一致的，以单价金额计算结果为准。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同时出现两种以上错误的，按照前款规定的顺序修正。</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25.5评委会将按上述修正错误的方法调整投标文件中的投标报价，并通过苏采云系统告知</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，调整后的价格应对</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具有约束力。如果</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不接受修正后的价格，则其投标将被拒绝。</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25.6采用最低评标价法的采购项目，提供相同品牌产品的不同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参加同一合同项下投标的，以其中通过资格审查、符合性审查且报价最低的参加评标；报价相同的，由评委会按照招标文件规定的方式（招标文件未规定的通过随机抽取的方式）确定一个参加评标的</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，其他投标无效。</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使用综合评分法的采购项目，提供相同品牌产品且通过资格审查、符合性审查的不同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参加同一合同项下投标的，按一家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计算，评审后得分最高的同品牌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获得中标供应商推荐资格；评审得分相同的，由评委会根据招标文件规定的方式（招标文件未规定的采取随机抽取的方式）确定一个中标候选人，其他同品牌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不作为中标候选人。</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非单一产品采购项目，招标文件中将载明其中的核心产品。多家</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提供的核心产品品牌相同的，按前两款规定处理。</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25.7</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在开、评标全过程中应保持通讯畅通，及时登录苏采云系统查阅、答复相关信息，并安排专人与</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及评委会联系。</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25.8 异常低价投标审查</w:t>
      </w:r>
      <w:r>
        <w:rPr>
          <w:rFonts w:hint="eastAsia" w:ascii="宋体" w:hAnsi="宋体" w:eastAsia="宋体" w:cs="宋体"/>
          <w:color w:val="000000"/>
          <w:sz w:val="21"/>
          <w:szCs w:val="21"/>
          <w:highlight w:val="none"/>
        </w:rPr>
      </w:r>
      <w:r/>
    </w:p>
    <w:p>
      <w:pPr>
        <w:pStyle w:val="901"/>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rPr>
        <w:t xml:space="preserve">政府采购评审中出现下列情形之一的，评</w:t>
      </w:r>
      <w:r>
        <w:rPr>
          <w:rFonts w:hint="eastAsia" w:ascii="Times New Roman" w:hAnsi="Times New Roman" w:eastAsia="宋体" w:cs="Times New Roman"/>
          <w:bCs/>
          <w:color w:val="000000"/>
          <w:szCs w:val="21"/>
          <w:highlight w:val="none"/>
          <w:lang w:val="en-US" w:eastAsia="zh-CN"/>
        </w:rPr>
        <w:t xml:space="preserve">标</w:t>
      </w:r>
      <w:r>
        <w:rPr>
          <w:rFonts w:hint="eastAsia" w:ascii="Times New Roman" w:hAnsi="Times New Roman" w:eastAsia="宋体" w:cs="Times New Roman"/>
          <w:bCs/>
          <w:color w:val="000000"/>
          <w:szCs w:val="21"/>
          <w:highlight w:val="none"/>
        </w:rPr>
        <w:t xml:space="preserve">委员会应当启动异常低价投标（响应）审查程序：</w:t>
      </w:r>
      <w:r>
        <w:rPr>
          <w:rFonts w:hint="eastAsia" w:ascii="Times New Roman" w:hAnsi="Times New Roman" w:eastAsia="宋体" w:cs="Times New Roman"/>
          <w:bCs/>
          <w:color w:val="000000"/>
          <w:szCs w:val="21"/>
          <w:highlight w:val="none"/>
        </w:rPr>
      </w:r>
      <w:r/>
    </w:p>
    <w:p>
      <w:pPr>
        <w:pStyle w:val="901"/>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25.8.1</w:t>
      </w:r>
      <w:r>
        <w:rPr>
          <w:rFonts w:hint="eastAsia" w:ascii="Times New Roman" w:hAnsi="Times New Roman" w:eastAsia="宋体" w:cs="Times New Roman"/>
          <w:bCs/>
          <w:color w:val="000000"/>
          <w:szCs w:val="21"/>
          <w:highlight w:val="none"/>
        </w:rPr>
        <w:t xml:space="preserve">投标（响应）报价低于全部通过符合性审查供应商投标（响应）报价平均值</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%的，即投标（响应）报价&lt;全部通过符合性审查供应商投标（响应）报价平均值×</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 </w:t>
      </w:r>
      <w:r>
        <w:rPr>
          <w:rFonts w:hint="eastAsia" w:ascii="Times New Roman" w:hAnsi="Times New Roman" w:eastAsia="宋体" w:cs="Times New Roman"/>
          <w:bCs/>
          <w:color w:val="000000"/>
          <w:szCs w:val="21"/>
          <w:highlight w:val="none"/>
        </w:rPr>
      </w:r>
      <w:r/>
    </w:p>
    <w:p>
      <w:pPr>
        <w:pStyle w:val="901"/>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25.8.2</w:t>
      </w:r>
      <w:r>
        <w:rPr>
          <w:rFonts w:hint="eastAsia" w:ascii="Times New Roman" w:hAnsi="Times New Roman" w:eastAsia="宋体" w:cs="Times New Roman"/>
          <w:bCs/>
          <w:color w:val="000000"/>
          <w:szCs w:val="21"/>
          <w:highlight w:val="none"/>
        </w:rPr>
        <w:t xml:space="preserve">投标（响应）报价低于通过符合性审查的次低报价供应商投标（响应）报价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%的，即投标（响应）报价&lt;通过符合性审查的次低报价供应商投标（响应）报价×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 </w:t>
      </w:r>
      <w:r>
        <w:rPr>
          <w:rFonts w:hint="eastAsia" w:ascii="Times New Roman" w:hAnsi="Times New Roman" w:eastAsia="宋体" w:cs="Times New Roman"/>
          <w:bCs/>
          <w:color w:val="000000"/>
          <w:szCs w:val="21"/>
          <w:highlight w:val="none"/>
        </w:rPr>
      </w:r>
      <w:r/>
    </w:p>
    <w:p>
      <w:pPr>
        <w:pStyle w:val="901"/>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25.8.3</w:t>
      </w:r>
      <w:r>
        <w:rPr>
          <w:rFonts w:hint="eastAsia" w:ascii="Times New Roman" w:hAnsi="Times New Roman" w:eastAsia="宋体" w:cs="Times New Roman"/>
          <w:bCs/>
          <w:color w:val="000000"/>
          <w:szCs w:val="21"/>
          <w:highlight w:val="none"/>
        </w:rPr>
        <w:t xml:space="preserve">投标（响应）报价低于采购项目最高限价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%的，即投标（响应）报价&lt;采购项目最高限价×</w:t>
      </w:r>
      <w:r>
        <w:rPr>
          <w:rFonts w:hint="eastAsia" w:ascii="Times New Roman" w:hAnsi="Times New Roman" w:eastAsia="宋体" w:cs="Times New Roman"/>
          <w:bCs/>
          <w:color w:val="000000"/>
          <w:szCs w:val="21"/>
          <w:highlight w:val="none"/>
          <w:lang w:val="en-US" w:eastAsia="zh-CN"/>
        </w:rPr>
        <w:t xml:space="preserve">65</w:t>
      </w:r>
      <w:r>
        <w:rPr>
          <w:rFonts w:hint="eastAsia" w:ascii="Times New Roman" w:hAnsi="Times New Roman" w:eastAsia="宋体" w:cs="Times New Roman"/>
          <w:bCs/>
          <w:color w:val="000000"/>
          <w:szCs w:val="21"/>
          <w:highlight w:val="none"/>
        </w:rPr>
        <w:t xml:space="preserve">%；</w:t>
      </w:r>
      <w:r>
        <w:rPr>
          <w:rFonts w:hint="eastAsia" w:ascii="Times New Roman" w:hAnsi="Times New Roman" w:eastAsia="宋体" w:cs="Times New Roman"/>
          <w:bCs/>
          <w:color w:val="000000"/>
          <w:szCs w:val="21"/>
          <w:highlight w:val="none"/>
        </w:rPr>
      </w:r>
      <w:r/>
    </w:p>
    <w:p>
      <w:pPr>
        <w:pStyle w:val="901"/>
        <w:ind w:firstLine="420"/>
        <w:jc w:val="left"/>
        <w:spacing w:line="360" w:lineRule="auto"/>
        <w:rPr>
          <w:rFonts w:hint="eastAsia" w:ascii="Times New Roman" w:hAnsi="Times New Roman" w:eastAsia="宋体" w:cs="Times New Roman"/>
          <w:bCs/>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25.8.4</w:t>
      </w:r>
      <w:r>
        <w:rPr>
          <w:rFonts w:hint="eastAsia" w:ascii="Times New Roman" w:hAnsi="Times New Roman" w:eastAsia="宋体" w:cs="Times New Roman"/>
          <w:bCs/>
          <w:color w:val="000000"/>
          <w:szCs w:val="21"/>
          <w:highlight w:val="none"/>
          <w:lang w:eastAsia="zh-CN"/>
        </w:rPr>
        <w:t xml:space="preserve">评标委员会</w:t>
      </w:r>
      <w:r>
        <w:rPr>
          <w:rFonts w:hint="eastAsia" w:ascii="Times New Roman" w:hAnsi="Times New Roman" w:eastAsia="宋体" w:cs="Times New Roman"/>
          <w:bCs/>
          <w:color w:val="000000"/>
          <w:szCs w:val="21"/>
          <w:highlight w:val="none"/>
        </w:rPr>
        <w:t xml:space="preserve">基于专业判断，认为供应商报价过低，有可能影响产品质量或者不能诚信履约的其他情形。 </w:t>
      </w:r>
      <w:r>
        <w:rPr>
          <w:rFonts w:hint="eastAsia" w:ascii="Times New Roman" w:hAnsi="Times New Roman" w:eastAsia="宋体" w:cs="Times New Roman"/>
          <w:bCs/>
          <w:color w:val="000000"/>
          <w:szCs w:val="21"/>
          <w:highlight w:val="none"/>
        </w:rPr>
      </w:r>
      <w:r/>
    </w:p>
    <w:p>
      <w:pPr>
        <w:pStyle w:val="901"/>
        <w:ind w:firstLine="420"/>
        <w:jc w:val="left"/>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25.8.5</w:t>
      </w:r>
      <w:r>
        <w:rPr>
          <w:rFonts w:hint="eastAsia" w:ascii="Times New Roman" w:hAnsi="Times New Roman" w:eastAsia="宋体" w:cs="Times New Roman"/>
          <w:bCs/>
          <w:color w:val="000000"/>
          <w:szCs w:val="21"/>
          <w:highlight w:val="none"/>
          <w:lang w:eastAsia="zh-CN"/>
        </w:rPr>
        <w:t xml:space="preserve">评标委员会</w:t>
      </w:r>
      <w:r>
        <w:rPr>
          <w:rFonts w:hint="eastAsia" w:ascii="Times New Roman" w:hAnsi="Times New Roman" w:eastAsia="宋体" w:cs="Times New Roman"/>
          <w:bCs/>
          <w:color w:val="000000"/>
          <w:szCs w:val="21"/>
          <w:highlight w:val="none"/>
        </w:rPr>
        <w:t xml:space="preserve">启动异常低价投标（响应）审查后，属于前述第1</w:t>
      </w:r>
      <w:r>
        <w:rPr>
          <w:rFonts w:hint="eastAsia" w:ascii="Times New Roman" w:hAnsi="Times New Roman" w:eastAsia="宋体" w:cs="宋体"/>
          <w:color w:val="00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Times New Roman" w:hAnsi="Times New Roman" w:eastAsia="宋体" w:cs="宋体"/>
          <w:color w:val="000000"/>
          <w:szCs w:val="21"/>
          <w:highlight w:val="none"/>
        </w:rPr>
      </w:r>
      <w:r/>
    </w:p>
    <w:p>
      <w:pPr>
        <w:pStyle w:val="901"/>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25.8.6</w:t>
      </w:r>
      <w:r>
        <w:rPr>
          <w:rFonts w:hint="eastAsia" w:ascii="Times New Roman" w:hAnsi="Times New Roman" w:eastAsia="宋体" w:cs="宋体"/>
          <w:color w:val="000000"/>
          <w:szCs w:val="21"/>
          <w:highlight w:val="none"/>
          <w:lang w:eastAsia="zh-CN"/>
        </w:rPr>
        <w:t xml:space="preserve">评标委员会</w:t>
      </w:r>
      <w:r>
        <w:rPr>
          <w:rFonts w:hint="eastAsia" w:ascii="Times New Roman" w:hAnsi="Times New Roman" w:eastAsia="宋体" w:cs="宋体"/>
          <w:color w:val="000000"/>
          <w:szCs w:val="21"/>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imes New Roman" w:hAnsi="Times New Roman" w:eastAsia="宋体" w:cs="宋体"/>
          <w:color w:val="000000"/>
          <w:szCs w:val="21"/>
          <w:highlight w:val="none"/>
          <w:lang w:eastAsia="zh-CN"/>
        </w:rPr>
        <w:t xml:space="preserve">评标委员会</w:t>
      </w:r>
      <w:r>
        <w:rPr>
          <w:rFonts w:hint="eastAsia" w:ascii="Times New Roman" w:hAnsi="Times New Roman" w:eastAsia="宋体" w:cs="宋体"/>
          <w:color w:val="000000"/>
          <w:szCs w:val="21"/>
          <w:highlight w:val="none"/>
        </w:rPr>
        <w:t xml:space="preserve">应当将其作为无效投标（响应）处理。审查相关情况应当在评标报告中进行记录。</w:t>
      </w:r>
      <w:r>
        <w:rPr>
          <w:rFonts w:hint="eastAsia" w:ascii="Times New Roman" w:hAnsi="Times New Roman" w:eastAsia="宋体" w:cs="宋体"/>
          <w:color w:val="000000"/>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bCs w:val="0"/>
          <w:color w:val="000000"/>
          <w:sz w:val="21"/>
          <w:szCs w:val="21"/>
          <w:highlight w:val="none"/>
        </w:rPr>
      </w:pPr>
      <w:r>
        <w:rPr>
          <w:rFonts w:hint="eastAsia" w:ascii="宋体" w:hAnsi="宋体" w:eastAsia="宋体" w:cs="宋体"/>
          <w:bCs w:val="0"/>
          <w:color w:val="000000"/>
          <w:sz w:val="21"/>
          <w:szCs w:val="21"/>
          <w:highlight w:val="none"/>
        </w:rPr>
        <w:t xml:space="preserve">2</w:t>
      </w:r>
      <w:r>
        <w:rPr>
          <w:rFonts w:hint="eastAsia" w:ascii="宋体" w:hAnsi="宋体" w:eastAsia="宋体" w:cs="宋体"/>
          <w:bCs w:val="0"/>
          <w:color w:val="000000"/>
          <w:sz w:val="21"/>
          <w:szCs w:val="21"/>
          <w:highlight w:val="none"/>
          <w:lang w:val="en-US" w:eastAsia="zh-CN"/>
        </w:rPr>
        <w:t xml:space="preserve">6</w:t>
      </w:r>
      <w:r>
        <w:rPr>
          <w:rFonts w:hint="eastAsia" w:ascii="宋体" w:hAnsi="宋体" w:eastAsia="宋体" w:cs="宋体"/>
          <w:bCs w:val="0"/>
          <w:color w:val="000000"/>
          <w:sz w:val="21"/>
          <w:szCs w:val="21"/>
          <w:highlight w:val="none"/>
        </w:rPr>
        <w:t xml:space="preserve">、</w:t>
      </w:r>
      <w:bookmarkEnd w:id="92"/>
      <w:r/>
      <w:bookmarkEnd w:id="93"/>
      <w:r/>
      <w:bookmarkEnd w:id="94"/>
      <w:r>
        <w:rPr>
          <w:rFonts w:hint="eastAsia" w:ascii="宋体" w:hAnsi="宋体" w:eastAsia="宋体" w:cs="宋体"/>
          <w:bCs w:val="0"/>
          <w:color w:val="000000"/>
          <w:sz w:val="21"/>
          <w:szCs w:val="21"/>
          <w:highlight w:val="none"/>
        </w:rPr>
        <w:t xml:space="preserve">无效投标条款和废标条款</w:t>
      </w:r>
      <w:r>
        <w:rPr>
          <w:rFonts w:hint="eastAsia" w:ascii="宋体" w:hAnsi="宋体" w:eastAsia="宋体" w:cs="宋体"/>
          <w:b w:val="0"/>
          <w:bCs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bookmarkStart w:id="95" w:name="_Toc513029235"/>
      <w:r/>
      <w:bookmarkStart w:id="96" w:name="_Toc20823307"/>
      <w:r/>
      <w:bookmarkStart w:id="97" w:name="_Toc16938551"/>
      <w:r>
        <w:rPr>
          <w:rFonts w:hint="eastAsia" w:ascii="宋体" w:hAnsi="宋体" w:eastAsia="宋体" w:cs="宋体"/>
          <w:color w:val="000000"/>
          <w:sz w:val="21"/>
          <w:szCs w:val="21"/>
          <w:highlight w:val="none"/>
        </w:rPr>
        <w:t xml:space="preserve">26.1无效投标条款</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26.1.1</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在苏采云系统规定的时间内未成功解密电子投标文件的。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26.1.2</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未按照招标文件要求上传电子投标文件的</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26.1.3</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同一采购包提交两个（含两个）以上不同的投标报价的。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26.1.4</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不具备招标文件中规定资格要求的。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26.1.5</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的报价超过了采购预算或最高限价的。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26.1.6未通过符合性审查的。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 xml:space="preserve">26.1.7不符合招标文件中规定的实质性要求的</w:t>
      </w:r>
      <w:r>
        <w:rPr>
          <w:rFonts w:hint="eastAsia" w:ascii="宋体" w:hAnsi="宋体" w:eastAsia="宋体" w:cs="宋体"/>
          <w:b/>
          <w:bCs/>
          <w:color w:val="000000"/>
          <w:sz w:val="21"/>
          <w:szCs w:val="21"/>
          <w:highlight w:val="none"/>
        </w:rPr>
        <w:t xml:space="preserve">（本招标文件中</w:t>
      </w:r>
      <w:r>
        <w:rPr>
          <w:rFonts w:hint="eastAsia" w:ascii="宋体" w:hAnsi="宋体" w:eastAsia="宋体" w:cs="宋体"/>
          <w:b/>
          <w:bCs/>
          <w:i/>
          <w:iCs/>
          <w:color w:val="000000"/>
          <w:sz w:val="21"/>
          <w:szCs w:val="21"/>
          <w:highlight w:val="none"/>
          <w:u w:val="single"/>
        </w:rPr>
        <w:t xml:space="preserve">斜体且有下划线部分</w:t>
      </w:r>
      <w:r>
        <w:rPr>
          <w:rFonts w:hint="eastAsia" w:ascii="宋体" w:hAnsi="宋体" w:eastAsia="宋体" w:cs="宋体"/>
          <w:b/>
          <w:bCs/>
          <w:color w:val="000000"/>
          <w:sz w:val="21"/>
          <w:szCs w:val="21"/>
          <w:highlight w:val="none"/>
        </w:rPr>
        <w:t xml:space="preserve">为实质性要求）</w:t>
      </w:r>
      <w:r>
        <w:rPr>
          <w:rFonts w:hint="eastAsia" w:ascii="宋体" w:hAnsi="宋体" w:eastAsia="宋体" w:cs="宋体"/>
          <w:b/>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26.1.8 </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被 “信用中国”网站（www.creditchina.gov.cn）列入失信被执行人或重大税收违法案件当事人名单或政府采购严重失信行为记录名单，被“中国政府采购网"(www.ccgp.gov.cn)列入政府采购严重失信行为记录名单，或查询“信用中国”网站后发现</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存在其他不符合《中华人民共和国政府采购法》第二十二条规定条件的信用记录。</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26.1.9投标文件含有采购人不能接受的附加条件的。</w:t>
      </w:r>
      <w:r>
        <w:rPr>
          <w:rFonts w:hint="eastAsia" w:ascii="宋体" w:hAnsi="宋体" w:eastAsia="宋体" w:cs="宋体"/>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0</w:t>
      </w:r>
      <w:r>
        <w:rPr>
          <w:rFonts w:hint="eastAsia" w:ascii="宋体" w:hAnsi="宋体" w:eastAsia="宋体" w:cs="宋体"/>
          <w:bCs/>
          <w:color w:val="000000"/>
          <w:sz w:val="21"/>
          <w:szCs w:val="21"/>
          <w:highlight w:val="none"/>
        </w:rPr>
        <w:t xml:space="preserve">评标委员会按照本招标文件规定对投标人进行异常低价投标审查后，认为投标人不能证明其报价合理性的。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1</w:t>
      </w:r>
      <w:r>
        <w:rPr>
          <w:rFonts w:hint="eastAsia" w:ascii="宋体" w:hAnsi="宋体" w:eastAsia="宋体" w:cs="宋体"/>
          <w:bCs/>
          <w:color w:val="000000"/>
          <w:sz w:val="21"/>
          <w:szCs w:val="21"/>
          <w:highlight w:val="none"/>
        </w:rPr>
        <w:t xml:space="preserve">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 投标文件未按照招标文件要求加盖CA电子公章的。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26.1.1</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供应商所投标产品不符合招标文件中所列国家强制性标准的。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6</w:t>
      </w:r>
      <w:r>
        <w:rPr>
          <w:rFonts w:hint="eastAsia" w:ascii="宋体" w:hAnsi="宋体" w:eastAsia="宋体" w:cs="宋体"/>
          <w:bCs/>
          <w:color w:val="000000"/>
          <w:sz w:val="21"/>
          <w:szCs w:val="21"/>
          <w:highlight w:val="none"/>
        </w:rPr>
        <w:t xml:space="preserve">.1.1</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其他法律法规及本招标文件规定的属无效投标的情形。</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bookmarkEnd w:id="95"/>
      <w:r/>
      <w:bookmarkEnd w:id="96"/>
      <w:r/>
      <w:bookmarkEnd w:id="97"/>
      <w:r/>
      <w:bookmarkStart w:id="98" w:name="_Toc513029238"/>
      <w:r/>
      <w:bookmarkStart w:id="99" w:name="_Toc20823310"/>
      <w:r/>
      <w:bookmarkStart w:id="100" w:name="_Toc16938554"/>
      <w:r>
        <w:rPr>
          <w:rFonts w:hint="eastAsia" w:ascii="宋体" w:hAnsi="宋体" w:eastAsia="宋体" w:cs="宋体"/>
          <w:bCs/>
          <w:color w:val="000000"/>
          <w:sz w:val="21"/>
          <w:szCs w:val="21"/>
          <w:highlight w:val="none"/>
        </w:rPr>
        <w:t xml:space="preserve">26.2废标条款</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26.2.1符合专业条件的供应商或者对招标文件作出实质响应的供应商不足三家的。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26.2.2出现影响采购公正的违法、违规行为的。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26.2.3因重大变故，采购任务取消的。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26.2.4评委会认定招标文件存在歧义、重大缺陷导致评审工作无法进行。</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26.2.5因苏采云系统故障原因造成开标不成功的。</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26.3投标截止时间结束后参加投标的供应商不足三家的处理</w:t>
      </w:r>
      <w:r>
        <w:rPr>
          <w:rFonts w:hint="eastAsia" w:ascii="宋体" w:hAnsi="宋体" w:eastAsia="宋体" w:cs="宋体"/>
          <w:bCs/>
          <w:color w:val="000000"/>
          <w:sz w:val="21"/>
          <w:szCs w:val="21"/>
          <w:highlight w:val="none"/>
        </w:rPr>
      </w:r>
      <w:r/>
    </w:p>
    <w:p>
      <w:pPr>
        <w:pStyle w:val="901"/>
        <w:ind w:left="0" w:firstLine="420"/>
        <w:jc w:val="left"/>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26.3.1如出现投标截止时间结束后参加投标的供应商或者在评标期间对招标文件作出实质响应的供应商不足三家情况，按政府采购相关规定执行。</w:t>
      </w:r>
      <w:r>
        <w:rPr>
          <w:rFonts w:hint="eastAsia" w:ascii="宋体" w:hAnsi="宋体" w:eastAsia="宋体" w:cs="宋体"/>
          <w:bCs/>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w:t>
      </w:r>
      <w:bookmarkEnd w:id="98"/>
      <w:r>
        <w:rPr>
          <w:rFonts w:hint="eastAsia" w:ascii="宋体" w:hAnsi="宋体" w:eastAsia="宋体" w:cs="宋体"/>
          <w:color w:val="000000"/>
          <w:sz w:val="21"/>
          <w:szCs w:val="21"/>
          <w:highlight w:val="none"/>
        </w:rPr>
        <w:t xml:space="preserve">确定</w:t>
      </w:r>
      <w:bookmarkEnd w:id="99"/>
      <w:r/>
      <w:bookmarkEnd w:id="100"/>
      <w:r>
        <w:rPr>
          <w:rFonts w:hint="eastAsia" w:ascii="宋体" w:hAnsi="宋体" w:eastAsia="宋体" w:cs="宋体"/>
          <w:color w:val="000000"/>
          <w:sz w:val="21"/>
          <w:szCs w:val="21"/>
          <w:highlight w:val="none"/>
        </w:rPr>
        <w:t xml:space="preserve">中标单位</w:t>
      </w:r>
      <w:r>
        <w:rPr>
          <w:rFonts w:hint="eastAsia" w:ascii="宋体" w:hAnsi="宋体" w:eastAsia="宋体" w:cs="宋体"/>
          <w:b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.1中标候选人的选取原则和数量见招标文件第五章规定。</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.2 采购人应根据评委会推荐的中标候选人确定中标供应商。</w:t>
      </w:r>
      <w:r>
        <w:rPr>
          <w:rFonts w:hint="eastAsia" w:ascii="宋体" w:hAnsi="宋体" w:eastAsia="宋体" w:cs="宋体"/>
          <w:bCs/>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en-US" w:eastAsia="zh-CN"/>
        </w:rPr>
        <w:t xml:space="preserve">7</w:t>
      </w:r>
      <w:r>
        <w:rPr>
          <w:rFonts w:hint="eastAsia" w:ascii="宋体" w:hAnsi="宋体" w:eastAsia="宋体" w:cs="宋体"/>
          <w:bCs/>
          <w:color w:val="000000"/>
          <w:sz w:val="21"/>
          <w:szCs w:val="21"/>
          <w:highlight w:val="none"/>
        </w:rPr>
        <w:t xml:space="preserve">.3</w:t>
      </w:r>
      <w:r>
        <w:rPr>
          <w:rFonts w:hint="eastAsia" w:ascii="宋体" w:hAnsi="宋体" w:eastAsia="宋体" w:cs="宋体"/>
          <w:color w:val="000000"/>
          <w:sz w:val="21"/>
          <w:szCs w:val="21"/>
          <w:highlight w:val="none"/>
        </w:rPr>
        <w:t xml:space="preserve">代理机构将在</w:t>
      </w:r>
      <w:r>
        <w:rPr>
          <w:rFonts w:hint="eastAsia" w:ascii="宋体" w:hAnsi="宋体" w:eastAsia="宋体" w:cs="宋体"/>
          <w:b w:val="0"/>
          <w:bCs w:val="0"/>
          <w:color w:val="000000"/>
          <w:sz w:val="21"/>
          <w:szCs w:val="21"/>
          <w:highlight w:val="none"/>
          <w:lang w:eastAsia="zh-CN"/>
        </w:rPr>
        <w:t xml:space="preserve">“江苏政府采购网”</w:t>
      </w:r>
      <w:r>
        <w:rPr>
          <w:rFonts w:hint="eastAsia" w:ascii="宋体" w:hAnsi="宋体" w:eastAsia="宋体" w:cs="宋体"/>
          <w:color w:val="000000"/>
          <w:sz w:val="21"/>
          <w:szCs w:val="21"/>
          <w:highlight w:val="none"/>
        </w:rPr>
        <w:t xml:space="preserve">发布中标公告，公告期限为1个工作日。</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.4若有充分证据证明，中标人出现下列情况之一的，一经查实，将被取消中标资格：</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.4.1提供虚假材料谋取中标的；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.4.2向采购人、代理机构行贿或者提供其他不正当利益的；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.4.3恶意竞争，投标总报价明显低于其自身合理成本且又无法提供证明的；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.4.4属于本文件规定的无效条件，但在评标过程中又未被评委会发现的；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.4.5与采购人或者其他供应商串通投标的；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.4.6采取不正当手段诋毁、排挤其他供应商的；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.4.7不符合法律法规的规定的。</w:t>
      </w:r>
      <w:bookmarkStart w:id="101" w:name="_Toc200451960"/>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 有下列情形之一的，视为供应商串通投标，投标无效：</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.5.1不同供应商的投标文件由同一单位或者个人编制。</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经查实，不同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的电子投标文件出自同一台电脑的；不同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的标书制作工具客户端标识码存在一致的；不同</w:t>
      </w: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从同一互联网协议地址上传投标文件的。</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.5.2不同供应商委托同一单位或者个人办理投标事宜。</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.5.3 不同供应商的投标文件载明的项目管理成员或者联系人员为同一人。</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.5.4不同供应商的投标文件异常一致或者投标报价呈规律性差异。</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、质疑处理</w:t>
      </w:r>
      <w:bookmarkEnd w:id="101"/>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28.1提出质疑的供应商应当是参与所质疑项目采购活动的供应商。潜在供应商依法获取其可质疑的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的，可以对</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w:t>
      </w:r>
      <w:r>
        <w:rPr>
          <w:rFonts w:hint="eastAsia" w:ascii="宋体" w:hAnsi="宋体" w:eastAsia="宋体" w:cs="宋体"/>
          <w:color w:val="000000"/>
          <w:sz w:val="21"/>
          <w:szCs w:val="21"/>
          <w:highlight w:val="none"/>
        </w:rPr>
      </w:r>
      <w:r/>
    </w:p>
    <w:p>
      <w:pPr>
        <w:pStyle w:val="901"/>
        <w:ind w:firstLine="42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对项目需求部分的质疑，潜在供应商应向采购人提出，由采购人负责答复。</w:t>
      </w:r>
      <w:r>
        <w:rPr>
          <w:rFonts w:hint="eastAsia" w:ascii="Times New Roman" w:hAnsi="Times New Roman" w:eastAsia="宋体"/>
          <w:color w:val="000000"/>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28.2供应商认为</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或采购人提出质疑。上述应知其权益受到损害之日，是指：</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28.2.1对可以质疑的</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提出质疑的，为收到</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之日或者</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公告期限届满之日；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28.2.2对采购过程提出质疑的，为各采购程序环节结束之日；</w:t>
      </w:r>
      <w:r>
        <w:rPr>
          <w:rFonts w:hint="eastAsia" w:ascii="宋体" w:hAnsi="宋体" w:eastAsia="宋体" w:cs="宋体"/>
          <w:color w:val="000000"/>
          <w:sz w:val="21"/>
          <w:szCs w:val="21"/>
          <w:highlight w:val="none"/>
        </w:rPr>
        <w:br w:type="textWrapping" w:clear="all"/>
      </w:r>
      <w:r>
        <w:rPr>
          <w:rFonts w:hint="eastAsia" w:ascii="宋体" w:hAnsi="宋体" w:eastAsia="宋体" w:cs="宋体"/>
          <w:color w:val="000000"/>
          <w:sz w:val="21"/>
          <w:szCs w:val="21"/>
          <w:highlight w:val="none"/>
        </w:rPr>
        <w:t xml:space="preserve">　　28.2.3对中标或者成交结果提出质疑的，为中标或者成交结果公告期限届满之日。</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28.3</w:t>
      </w:r>
      <w:r>
        <w:rPr>
          <w:rFonts w:hint="eastAsia" w:ascii="宋体" w:hAnsi="宋体" w:eastAsia="宋体" w:cs="宋体"/>
          <w:color w:val="000000"/>
          <w:sz w:val="21"/>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1"/>
          <w:szCs w:val="21"/>
          <w:highlight w:val="none"/>
          <w:lang w:eastAsia="zh-CN"/>
        </w:rPr>
        <w:t xml:space="preserve">代理机构</w:t>
      </w:r>
      <w:r>
        <w:rPr>
          <w:rFonts w:hint="eastAsia" w:ascii="宋体" w:hAnsi="宋体" w:eastAsia="宋体" w:cs="宋体"/>
          <w:color w:val="000000"/>
          <w:sz w:val="21"/>
          <w:szCs w:val="21"/>
          <w:highlight w:val="none"/>
        </w:rPr>
        <w:t xml:space="preserve">、采购人将只对供应商第一次质疑作出答复。</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质疑函必须按照《质疑函范本》及《授权委托书》要求的格式和内容进行填写，格式见网址：http://zfcg.yangzhou.gov.cn。供应商如组成联合体参加投标，则《质疑函范本》中要求签字、盖章、加盖公章之处，联合体各方均须按要求签字、盖章、加盖公章。</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w:t>
      </w:r>
      <w:r>
        <w:rPr>
          <w:rFonts w:hint="eastAsia" w:ascii="宋体" w:hAnsi="宋体" w:eastAsia="宋体" w:cs="宋体"/>
          <w:color w:val="000000"/>
          <w:sz w:val="21"/>
          <w:szCs w:val="21"/>
          <w:highlight w:val="none"/>
          <w:lang w:val="en-US" w:eastAsia="zh-CN"/>
        </w:rPr>
        <w:t xml:space="preserve">5</w:t>
      </w:r>
      <w:r>
        <w:rPr>
          <w:rFonts w:hint="eastAsia" w:ascii="Times New Roman" w:hAnsi="Times New Roman" w:eastAsia="宋体"/>
          <w:color w:val="000000"/>
          <w:szCs w:val="21"/>
          <w:highlight w:val="none"/>
        </w:rPr>
        <w:t xml:space="preserve">采购人</w:t>
      </w:r>
      <w:r>
        <w:rPr>
          <w:rFonts w:hint="eastAsia" w:ascii="Times New Roman" w:hAnsi="Times New Roman" w:eastAsia="宋体"/>
          <w:color w:val="000000"/>
          <w:szCs w:val="21"/>
          <w:highlight w:val="none"/>
          <w:lang w:val="en-US" w:eastAsia="zh-CN"/>
        </w:rPr>
        <w:t xml:space="preserve">及代理机构</w:t>
      </w:r>
      <w:r>
        <w:rPr>
          <w:rFonts w:hint="eastAsia" w:ascii="Times New Roman" w:hAnsi="Times New Roman" w:eastAsia="宋体"/>
          <w:color w:val="000000"/>
          <w:szCs w:val="21"/>
          <w:highlight w:val="none"/>
        </w:rPr>
        <w:t xml:space="preserve">只接收以纸质原件形式送达的质疑</w:t>
      </w:r>
      <w:r>
        <w:rPr>
          <w:rFonts w:hint="eastAsia" w:ascii="Times New Roman" w:hAnsi="Times New Roman" w:eastAsia="宋体" w:cs="Times New Roman"/>
          <w:color w:val="000000"/>
          <w:szCs w:val="21"/>
          <w:highlight w:val="none"/>
          <w:lang w:eastAsia="zh-CN"/>
        </w:rPr>
        <w:t xml:space="preserve">，</w:t>
      </w:r>
      <w:r>
        <w:rPr>
          <w:rFonts w:hint="eastAsia" w:ascii="Times New Roman" w:hAnsi="Times New Roman" w:eastAsia="宋体" w:cs="Times New Roman"/>
          <w:b w:val="0"/>
          <w:bCs w:val="0"/>
          <w:i w:val="0"/>
          <w:iCs w:val="0"/>
          <w:strike w:val="0"/>
          <w:color w:val="000000"/>
          <w:szCs w:val="21"/>
          <w:highlight w:val="none"/>
          <w:u w:val="none"/>
        </w:rPr>
        <w:t xml:space="preserve">同时需与采购代理机构经办人确认是否收到《质疑函》，如供应商未按上述要求去做，将自行承担所产生的风险。</w:t>
      </w:r>
      <w:r>
        <w:rPr>
          <w:rFonts w:hint="eastAsia" w:ascii="Times New Roman" w:hAnsi="Times New Roman" w:eastAsia="宋体" w:cs="宋体"/>
          <w:color w:val="000000"/>
          <w:szCs w:val="21"/>
          <w:highlight w:val="none"/>
        </w:rPr>
        <w:t xml:space="preserve">（采购人</w:t>
      </w:r>
      <w:r>
        <w:rPr>
          <w:rFonts w:hint="eastAsia" w:ascii="Times New Roman" w:hAnsi="Times New Roman" w:eastAsia="宋体" w:cs="宋体"/>
          <w:color w:val="000000"/>
          <w:szCs w:val="21"/>
          <w:highlight w:val="none"/>
          <w:lang w:val="en-US" w:eastAsia="zh-CN"/>
        </w:rPr>
        <w:t xml:space="preserve">及代理机构</w:t>
      </w:r>
      <w:r>
        <w:rPr>
          <w:rFonts w:hint="eastAsia" w:ascii="Times New Roman" w:hAnsi="Times New Roman" w:eastAsia="宋体" w:cs="宋体"/>
          <w:color w:val="000000"/>
          <w:szCs w:val="21"/>
          <w:highlight w:val="none"/>
        </w:rPr>
        <w:t xml:space="preserve">不接受无快递运单号的快递）</w:t>
      </w:r>
      <w:r>
        <w:rPr>
          <w:rFonts w:hint="eastAsia" w:ascii="宋体" w:hAnsi="宋体" w:eastAsia="宋体" w:cs="宋体"/>
          <w:color w:val="000000"/>
          <w:sz w:val="21"/>
          <w:szCs w:val="21"/>
          <w:highlight w:val="none"/>
        </w:rPr>
        <w:t xml:space="preserve">质疑接收人及联系方式详见招标文件第一章。</w:t>
      </w:r>
      <w:r>
        <w:rPr>
          <w:rFonts w:hint="eastAsia" w:ascii="宋体" w:hAnsi="宋体" w:eastAsia="宋体" w:cs="宋体"/>
          <w:color w:val="000000"/>
          <w:sz w:val="21"/>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28.6收到质疑申请后，将对质疑的形式和内容进行审查，如质疑内容、格式不符合规定，将告知质疑人进行补正。</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28.7质疑人应当在法定质疑期限内进行补正并重新提交质疑函。</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 以下情形的质疑不予受理</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28.8.1 内容不符合《政府采购质疑和投诉办法》第十二条规定的质疑。</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28.8.2 超出政府采购法定期限的质疑。</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28.8.3 以传真、电子邮件等方式递交的非原件形式的质疑。</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28.8.4 未参加</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活动的供应商或在</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活动中自身权益未受到损害的供应商所提出的质疑。</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28.8.5供应商组成联合体参加</w:t>
      </w:r>
      <w:r>
        <w:rPr>
          <w:rFonts w:hint="eastAsia" w:ascii="Times New Roman" w:hAnsi="Times New Roman" w:eastAsia="宋体"/>
          <w:color w:val="000000"/>
          <w:szCs w:val="21"/>
          <w:highlight w:val="none"/>
          <w:lang w:val="en-US" w:eastAsia="zh-CN"/>
        </w:rPr>
        <w:t xml:space="preserve">投标</w:t>
      </w:r>
      <w:r>
        <w:rPr>
          <w:rFonts w:hint="eastAsia" w:ascii="Times New Roman" w:hAnsi="Times New Roman" w:eastAsia="宋体"/>
          <w:color w:val="000000"/>
          <w:szCs w:val="21"/>
          <w:highlight w:val="none"/>
        </w:rPr>
        <w:t xml:space="preserve">，联合体中任何一方或多方未按要求签字、盖章、加盖公章的质疑。</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Times New Roman" w:hAnsi="Times New Roman" w:eastAsia="宋体"/>
          <w:color w:val="000000"/>
          <w:szCs w:val="21"/>
          <w:highlight w:val="none"/>
        </w:rPr>
      </w:r>
      <w:r/>
    </w:p>
    <w:p>
      <w:pPr>
        <w:pStyle w:val="901"/>
        <w:ind w:firstLine="409"/>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28.10代理机构应当在收到供应商的书面质疑后7个工作日内作出答复，并以书面形式通知质疑供应商和其他有关供应商，但答复的内容不得涉及商业秘密。</w:t>
      </w:r>
      <w:r>
        <w:rPr>
          <w:rFonts w:hint="eastAsia" w:ascii="Times New Roman" w:hAnsi="Times New Roman" w:eastAsia="宋体"/>
          <w:color w:val="000000"/>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b w:val="0"/>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、中标通知书</w:t>
      </w:r>
      <w:r>
        <w:rPr>
          <w:rFonts w:hint="eastAsia" w:ascii="宋体" w:hAnsi="宋体" w:eastAsia="宋体" w:cs="宋体"/>
          <w:b w:val="0"/>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.l</w:t>
      </w:r>
      <w:r>
        <w:rPr>
          <w:rFonts w:hint="eastAsia" w:ascii="宋体" w:hAnsi="宋体" w:eastAsia="宋体" w:cs="宋体"/>
          <w:b/>
          <w:color w:val="000000"/>
          <w:sz w:val="21"/>
          <w:szCs w:val="21"/>
          <w:highlight w:val="none"/>
        </w:rPr>
        <w:t xml:space="preserve"> </w:t>
      </w:r>
      <w:r>
        <w:rPr>
          <w:rFonts w:hint="eastAsia" w:ascii="宋体" w:hAnsi="宋体" w:eastAsia="宋体" w:cs="宋体"/>
          <w:color w:val="000000"/>
          <w:sz w:val="21"/>
          <w:szCs w:val="21"/>
          <w:highlight w:val="none"/>
        </w:rPr>
        <w:t xml:space="preserve">中标结果确定后，代理机构将向中标人发出中标通知书。</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.2 中标人收到中标通知书后，应签字确认中标通知书已收到。若无回复，则公告后视同中标人已经知悉并同意接受。</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w:t>
      </w:r>
      <w:r>
        <w:rPr>
          <w:rFonts w:hint="eastAsia" w:ascii="宋体" w:hAnsi="宋体" w:eastAsia="宋体" w:cs="宋体"/>
          <w:color w:val="000000"/>
          <w:sz w:val="21"/>
          <w:szCs w:val="21"/>
          <w:highlight w:val="none"/>
        </w:rPr>
        <w:t xml:space="preserve">.3中标通知书将是合同的一个组成部分。对采购人和中标人均具有法律效力。中标通知书发出后，采购人改变中标结果的，或者中标人放弃中标项目的，应当依法承担法律责任。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color w:val="000000"/>
          <w:sz w:val="21"/>
          <w:szCs w:val="21"/>
          <w:highlight w:val="none"/>
        </w:rPr>
      </w:r>
      <w:r/>
    </w:p>
    <w:p>
      <w:pPr>
        <w:pStyle w:val="905"/>
        <w:ind w:left="0" w:firstLine="422"/>
        <w:keepLines w:val="0"/>
        <w:keepNext w:val="0"/>
        <w:pageBreakBefore w:val="0"/>
        <w:spacing w:before="0" w:after="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rPr>
        <w:t xml:space="preserve">、</w:t>
      </w:r>
      <w:r>
        <w:rPr>
          <w:rFonts w:hint="eastAsia" w:ascii="宋体" w:hAnsi="宋体" w:eastAsia="宋体" w:cs="宋体"/>
          <w:b w:val="0"/>
          <w:color w:val="000000"/>
          <w:sz w:val="21"/>
          <w:szCs w:val="21"/>
          <w:highlight w:val="none"/>
        </w:rPr>
        <w:t xml:space="preserve"> </w:t>
      </w:r>
      <w:r>
        <w:rPr>
          <w:rFonts w:hint="eastAsia" w:ascii="宋体" w:hAnsi="宋体" w:eastAsia="宋体" w:cs="宋体"/>
          <w:color w:val="000000"/>
          <w:sz w:val="21"/>
          <w:szCs w:val="21"/>
          <w:highlight w:val="none"/>
        </w:rPr>
        <w:t xml:space="preserve">签订合同</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30.l</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应在</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通知书发出之日起</w:t>
      </w:r>
      <w:r>
        <w:rPr>
          <w:rFonts w:hint="eastAsia" w:ascii="宋体" w:hAnsi="宋体" w:eastAsia="宋体" w:cs="宋体"/>
          <w:color w:val="000000"/>
          <w:sz w:val="21"/>
          <w:szCs w:val="21"/>
          <w:highlight w:val="none"/>
          <w:lang w:val="en-US" w:eastAsia="zh-CN"/>
        </w:rPr>
        <w:t xml:space="preserve">三十</w:t>
      </w:r>
      <w:r>
        <w:rPr>
          <w:rFonts w:hint="eastAsia" w:ascii="宋体" w:hAnsi="宋体" w:eastAsia="宋体" w:cs="宋体"/>
          <w:color w:val="000000"/>
          <w:sz w:val="21"/>
          <w:szCs w:val="21"/>
          <w:highlight w:val="none"/>
        </w:rPr>
        <w:t xml:space="preserve">日内，按照</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确定的事项与采购人签订政府采购合同。</w:t>
      </w:r>
      <w:r>
        <w:rPr>
          <w:rFonts w:hint="eastAsia" w:ascii="宋体" w:hAnsi="宋体" w:eastAsia="宋体" w:cs="宋体"/>
          <w:color w:val="000000"/>
          <w:sz w:val="21"/>
          <w:szCs w:val="21"/>
          <w:highlight w:val="none"/>
          <w:lang w:val="en-US" w:eastAsia="zh-CN"/>
        </w:rPr>
        <w:t xml:space="preserve">根据《</w:t>
      </w:r>
      <w:r>
        <w:rPr>
          <w:rFonts w:hint="eastAsia" w:ascii="宋体" w:hAnsi="宋体" w:eastAsia="宋体" w:cs="宋体"/>
          <w:color w:val="000000"/>
          <w:sz w:val="21"/>
          <w:szCs w:val="21"/>
          <w:highlight w:val="none"/>
          <w:lang w:val="en-US" w:eastAsia="zh-CN"/>
        </w:rPr>
        <w:t xml:space="preserve">中华人民共和国政府采购法实施条例</w:t>
      </w:r>
      <w:r>
        <w:rPr>
          <w:rFonts w:hint="eastAsia" w:ascii="宋体" w:hAnsi="宋体" w:eastAsia="宋体" w:cs="宋体"/>
          <w:color w:val="000000"/>
          <w:sz w:val="21"/>
          <w:szCs w:val="21"/>
          <w:highlight w:val="none"/>
          <w:lang w:val="en-US" w:eastAsia="zh-CN"/>
        </w:rPr>
        <w:t xml:space="preserve">》第七十二条规定，中标或者成交后无正当理由拒不与采购人签订政府采购合同，依照政府采购法第七十七条第一款的规定追究法律责任。即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采购人</w:t>
      </w:r>
      <w:r>
        <w:rPr>
          <w:rFonts w:hint="eastAsia" w:ascii="宋体" w:hAnsi="宋体" w:eastAsia="宋体" w:cs="宋体"/>
          <w:color w:val="000000"/>
          <w:sz w:val="21"/>
          <w:szCs w:val="21"/>
          <w:highlight w:val="none"/>
        </w:rPr>
        <w:t xml:space="preserve">将</w:t>
      </w:r>
      <w:r>
        <w:rPr>
          <w:rFonts w:hint="eastAsia" w:ascii="宋体" w:hAnsi="宋体" w:eastAsia="宋体" w:cs="宋体"/>
          <w:color w:val="000000"/>
          <w:sz w:val="21"/>
          <w:szCs w:val="21"/>
          <w:highlight w:val="none"/>
          <w:lang w:val="en-US" w:eastAsia="zh-CN"/>
        </w:rPr>
        <w:t xml:space="preserve">其</w:t>
      </w:r>
      <w:r>
        <w:rPr>
          <w:rFonts w:hint="eastAsia" w:ascii="宋体" w:hAnsi="宋体" w:eastAsia="宋体" w:cs="宋体"/>
          <w:color w:val="000000"/>
          <w:sz w:val="21"/>
          <w:szCs w:val="21"/>
          <w:highlight w:val="none"/>
        </w:rPr>
        <w:t xml:space="preserve">列入</w:t>
      </w:r>
      <w:r>
        <w:rPr>
          <w:rFonts w:hint="eastAsia" w:ascii="宋体" w:hAnsi="宋体" w:eastAsia="宋体" w:cs="宋体"/>
          <w:color w:val="000000"/>
          <w:sz w:val="21"/>
          <w:szCs w:val="21"/>
          <w:highlight w:val="none"/>
          <w:lang w:val="en-US" w:eastAsia="zh-CN"/>
        </w:rPr>
        <w:t xml:space="preserve">校内</w:t>
      </w:r>
      <w:r>
        <w:rPr>
          <w:rFonts w:hint="eastAsia" w:ascii="宋体" w:hAnsi="宋体" w:eastAsia="宋体" w:cs="宋体"/>
          <w:color w:val="000000"/>
          <w:sz w:val="21"/>
          <w:szCs w:val="21"/>
          <w:highlight w:val="none"/>
        </w:rPr>
        <w:t xml:space="preserve">不良行为记录名单，</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有权在学校相关网址公开供应商不良行为黑名单信息，保留在一至三年内禁止其参加学校采购活动的权利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30.2 </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的响应文件及采购过程中有关澄清、承诺文件均应作为合同附件。</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30.3 合同在“政府采购管理交易系统（苏采云）”中签订，签订合同后，</w:t>
      </w:r>
      <w:r>
        <w:rPr>
          <w:rFonts w:hint="eastAsia" w:ascii="宋体" w:hAnsi="宋体" w:eastAsia="宋体" w:cs="宋体"/>
          <w:i w:val="0"/>
          <w:iCs w:val="0"/>
          <w:color w:val="000000"/>
          <w:sz w:val="21"/>
          <w:szCs w:val="21"/>
          <w:highlight w:val="none"/>
          <w:u w:val="none"/>
          <w:lang w:eastAsia="zh-CN"/>
        </w:rPr>
        <w:t xml:space="preserve">中标供应商</w:t>
      </w:r>
      <w:r>
        <w:rPr>
          <w:rFonts w:hint="eastAsia" w:ascii="宋体" w:hAnsi="宋体" w:eastAsia="宋体" w:cs="宋体"/>
          <w:i w:val="0"/>
          <w:iCs w:val="0"/>
          <w:color w:val="000000"/>
          <w:sz w:val="21"/>
          <w:szCs w:val="21"/>
          <w:highlight w:val="none"/>
          <w:u w:val="none"/>
        </w:rPr>
        <w:t xml:space="preserve">不得将货物或服务及其他服务进行转包。</w:t>
      </w:r>
      <w:r>
        <w:rPr>
          <w:rFonts w:hint="eastAsia" w:ascii="宋体" w:hAnsi="宋体" w:eastAsia="宋体" w:cs="宋体"/>
          <w:color w:val="000000"/>
          <w:sz w:val="21"/>
          <w:szCs w:val="21"/>
          <w:highlight w:val="none"/>
        </w:rPr>
        <w:t xml:space="preserve">未经采购人同意，</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也不得采用分包的形式履行合同，否则采购人有权终止合同，</w:t>
      </w:r>
      <w:r>
        <w:rPr>
          <w:rFonts w:hint="eastAsia" w:ascii="宋体" w:hAnsi="宋体" w:eastAsia="宋体" w:cs="宋体"/>
          <w:color w:val="000000"/>
          <w:sz w:val="21"/>
          <w:szCs w:val="21"/>
          <w:highlight w:val="none"/>
          <w:lang w:val="en-US" w:eastAsia="zh-CN"/>
        </w:rPr>
        <w:t xml:space="preserve">中标供应商</w:t>
      </w:r>
      <w:r>
        <w:rPr>
          <w:rFonts w:hint="eastAsia" w:ascii="宋体" w:hAnsi="宋体" w:eastAsia="宋体" w:cs="宋体"/>
          <w:color w:val="000000"/>
          <w:sz w:val="21"/>
          <w:szCs w:val="21"/>
          <w:highlight w:val="none"/>
        </w:rPr>
        <w:t xml:space="preserve">的履约保证金将不予退还。转包或分包造成采购人损失的，</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应承担赔偿责任。</w:t>
      </w:r>
      <w:r>
        <w:rPr>
          <w:rFonts w:hint="eastAsia" w:ascii="宋体" w:hAnsi="宋体" w:eastAsia="宋体" w:cs="宋体"/>
          <w:color w:val="000000"/>
          <w:sz w:val="21"/>
          <w:szCs w:val="21"/>
          <w:highlight w:val="none"/>
        </w:rPr>
      </w:r>
      <w:r/>
    </w:p>
    <w:p>
      <w:pPr>
        <w:pStyle w:val="901"/>
        <w:ind w:left="0" w:firstLine="420"/>
        <w:pageBreakBefore w:val="0"/>
        <w:spacing w:line="360" w:lineRule="auto"/>
        <w:widowControl w:val="off"/>
        <w:rPr>
          <w:rFonts w:hint="eastAsia" w:ascii="Times New Roman" w:hAnsi="Times New Roman" w:eastAsia="宋体"/>
          <w:b/>
          <w:color w:val="000000"/>
          <w:szCs w:val="21"/>
          <w:highlight w:val="none"/>
        </w:rPr>
      </w:pPr>
      <w:r>
        <w:rPr>
          <w:rFonts w:hint="eastAsia" w:ascii="宋体" w:hAnsi="宋体" w:eastAsia="宋体" w:cs="宋体"/>
          <w:color w:val="000000"/>
          <w:sz w:val="21"/>
          <w:szCs w:val="21"/>
          <w:highlight w:val="none"/>
        </w:rPr>
        <w:t xml:space="preserve">30.4采购人不得向</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提出任何不合理的要求作为签订合同的条件，不得与</w:t>
      </w:r>
      <w:r>
        <w:rPr>
          <w:rFonts w:hint="eastAsia" w:ascii="宋体" w:hAnsi="宋体" w:eastAsia="宋体" w:cs="宋体"/>
          <w:color w:val="000000"/>
          <w:sz w:val="21"/>
          <w:szCs w:val="21"/>
          <w:highlight w:val="none"/>
          <w:lang w:eastAsia="zh-CN"/>
        </w:rPr>
        <w:t xml:space="preserve">中标供应商</w:t>
      </w:r>
      <w:r>
        <w:rPr>
          <w:rFonts w:hint="eastAsia" w:ascii="宋体" w:hAnsi="宋体" w:eastAsia="宋体" w:cs="宋体"/>
          <w:color w:val="000000"/>
          <w:sz w:val="21"/>
          <w:szCs w:val="21"/>
          <w:highlight w:val="none"/>
        </w:rPr>
        <w:t xml:space="preserve">私下订立</w:t>
      </w:r>
      <w:r>
        <w:rPr>
          <w:rFonts w:hint="eastAsia" w:ascii="Times New Roman" w:hAnsi="Times New Roman" w:eastAsia="宋体"/>
          <w:color w:val="000000"/>
          <w:szCs w:val="21"/>
          <w:highlight w:val="none"/>
        </w:rPr>
        <w:t xml:space="preserve">背离合同实质性内容的协议。</w:t>
      </w:r>
      <w:r>
        <w:rPr>
          <w:rFonts w:hint="eastAsia" w:ascii="Times New Roman" w:hAnsi="Times New Roman" w:eastAsia="宋体"/>
          <w:b/>
          <w:color w:val="000000"/>
          <w:szCs w:val="21"/>
          <w:highlight w:val="none"/>
        </w:rPr>
      </w:r>
      <w:r/>
    </w:p>
    <w:p>
      <w:pPr>
        <w:pStyle w:val="901"/>
        <w:ind w:firstLine="422"/>
        <w:spacing w:line="360" w:lineRule="auto"/>
        <w:rPr>
          <w:rFonts w:hint="eastAsia" w:ascii="Times New Roman" w:hAnsi="Times New Roman" w:eastAsia="宋体"/>
          <w:b/>
          <w:bCs/>
          <w:color w:val="000000"/>
          <w:szCs w:val="21"/>
          <w:highlight w:val="none"/>
        </w:rPr>
      </w:pPr>
      <w:r>
        <w:rPr>
          <w:rFonts w:ascii="Times New Roman" w:hAnsi="Times New Roman" w:eastAsia="宋体"/>
          <w:b/>
          <w:bCs/>
          <w:color w:val="000000"/>
          <w:szCs w:val="21"/>
          <w:highlight w:val="none"/>
        </w:rPr>
        <w:t xml:space="preserve">3</w:t>
      </w:r>
      <w:r>
        <w:rPr>
          <w:rFonts w:hint="eastAsia" w:ascii="Times New Roman" w:hAnsi="Times New Roman" w:eastAsia="宋体"/>
          <w:b/>
          <w:bCs/>
          <w:color w:val="000000"/>
          <w:szCs w:val="21"/>
          <w:highlight w:val="none"/>
        </w:rPr>
        <w:t xml:space="preserve">1、其他</w:t>
      </w:r>
      <w:r>
        <w:rPr>
          <w:rFonts w:hint="eastAsia" w:ascii="Times New Roman" w:hAnsi="Times New Roman" w:eastAsia="宋体"/>
          <w:b/>
          <w:bCs/>
          <w:color w:val="000000"/>
          <w:szCs w:val="21"/>
          <w:highlight w:val="none"/>
        </w:rPr>
      </w:r>
      <w:r/>
    </w:p>
    <w:p>
      <w:pPr>
        <w:pStyle w:val="901"/>
        <w:ind w:firstLine="420"/>
        <w:spacing w:line="360" w:lineRule="auto"/>
        <w:rPr>
          <w:rFonts w:hint="eastAsia" w:ascii="Times New Roman" w:hAnsi="Times New Roman" w:eastAsia="宋体" w:cs="宋体"/>
          <w:color w:val="000000"/>
          <w:szCs w:val="21"/>
          <w:highlight w:val="none"/>
        </w:rPr>
      </w:pPr>
      <w:r>
        <w:rPr>
          <w:rFonts w:hint="eastAsia" w:ascii="Times New Roman" w:hAnsi="Times New Roman" w:eastAsia="宋体"/>
          <w:color w:val="000000"/>
          <w:szCs w:val="21"/>
          <w:highlight w:val="none"/>
        </w:rPr>
        <w:t xml:space="preserve">31.1依据《政府采购促进中小企业发展管理办法》享受扶持政策获得政府采购合同的，小微企业不得将合同分包给大中型企业，中型企业不得将合同分包给大型企业</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s="宋体"/>
          <w:color w:val="000000"/>
          <w:szCs w:val="21"/>
          <w:highlight w:val="none"/>
        </w:rPr>
      </w:r>
      <w:r/>
    </w:p>
    <w:p>
      <w:pPr>
        <w:pStyle w:val="901"/>
        <w:spacing w:line="360" w:lineRule="auto"/>
        <w:rPr>
          <w:rFonts w:hint="eastAsia" w:ascii="宋体" w:hAnsi="宋体" w:cs="宋体"/>
          <w:bCs/>
          <w:color w:val="000000"/>
          <w:sz w:val="2"/>
          <w:szCs w:val="2"/>
          <w:highlight w:val="none"/>
        </w:rPr>
      </w:pPr>
      <w:r>
        <w:rPr>
          <w:rFonts w:hint="eastAsia" w:ascii="宋体" w:hAnsi="宋体" w:cs="宋体"/>
          <w:bCs/>
          <w:color w:val="000000"/>
          <w:szCs w:val="21"/>
          <w:highlight w:val="none"/>
        </w:rPr>
        <w:br w:type="page" w:clear="all"/>
      </w:r>
      <w:r>
        <w:rPr>
          <w:rFonts w:hint="eastAsia" w:ascii="宋体" w:hAnsi="宋体" w:cs="宋体"/>
          <w:bCs/>
          <w:color w:val="000000"/>
          <w:sz w:val="2"/>
          <w:szCs w:val="2"/>
          <w:highlight w:val="none"/>
        </w:rPr>
      </w:r>
      <w:r/>
    </w:p>
    <w:p>
      <w:pPr>
        <w:pStyle w:val="902"/>
        <w:jc w:val="center"/>
        <w:spacing w:line="360" w:lineRule="auto"/>
        <w:rPr>
          <w:rFonts w:hint="eastAsia" w:ascii="宋体" w:hAnsi="宋体" w:cs="宋体"/>
          <w:color w:val="000000"/>
          <w:sz w:val="36"/>
          <w:szCs w:val="36"/>
          <w:highlight w:val="none"/>
        </w:rPr>
      </w:pPr>
      <w:r/>
      <w:bookmarkStart w:id="102" w:name="_Toc28155"/>
      <w:r/>
      <w:bookmarkStart w:id="103" w:name="_Toc55204179"/>
      <w:r/>
      <w:bookmarkStart w:id="104" w:name="_Toc11127"/>
      <w:r>
        <w:rPr>
          <w:rFonts w:hint="eastAsia" w:ascii="宋体" w:hAnsi="宋体" w:cs="宋体"/>
          <w:color w:val="000000"/>
          <w:sz w:val="36"/>
          <w:szCs w:val="36"/>
          <w:highlight w:val="none"/>
        </w:rPr>
        <w:t xml:space="preserve">第三章 合同</w:t>
      </w:r>
      <w:bookmarkEnd w:id="102"/>
      <w:r/>
      <w:bookmarkEnd w:id="103"/>
      <w:r>
        <w:rPr>
          <w:rFonts w:hint="eastAsia" w:ascii="宋体" w:hAnsi="宋体" w:cs="宋体"/>
          <w:color w:val="000000"/>
          <w:sz w:val="36"/>
          <w:szCs w:val="36"/>
          <w:highlight w:val="none"/>
        </w:rPr>
        <w:t xml:space="preserve">文本</w:t>
      </w:r>
      <w:bookmarkEnd w:id="104"/>
      <w:r>
        <w:rPr>
          <w:rFonts w:hint="eastAsia" w:ascii="宋体" w:hAnsi="宋体" w:cs="宋体"/>
          <w:color w:val="000000"/>
          <w:sz w:val="36"/>
          <w:szCs w:val="36"/>
          <w:highlight w:val="none"/>
        </w:rPr>
      </w:r>
      <w:r/>
    </w:p>
    <w:p>
      <w:pPr>
        <w:pStyle w:val="931"/>
        <w:ind w:firstLine="400"/>
        <w:jc w:val="left"/>
        <w:spacing w:before="120" w:after="120" w:line="360" w:lineRule="auto"/>
        <w:rPr>
          <w:rFonts w:hAnsi="宋体" w:cs="宋体"/>
          <w:color w:val="000000"/>
          <w:szCs w:val="21"/>
          <w:highlight w:val="none"/>
        </w:rPr>
      </w:pPr>
      <w:r/>
      <w:bookmarkStart w:id="105" w:name="_Toc4787"/>
      <w:r/>
      <w:bookmarkStart w:id="106" w:name="_Toc12251"/>
      <w:r>
        <w:rPr>
          <w:rFonts w:hint="eastAsia" w:hAnsi="宋体" w:cs="宋体"/>
          <w:color w:val="000000"/>
          <w:szCs w:val="21"/>
          <w:highlight w:val="none"/>
        </w:rPr>
        <w:t xml:space="preserve">以下为</w:t>
      </w:r>
      <w:r>
        <w:rPr>
          <w:rFonts w:hint="eastAsia" w:hAnsi="宋体" w:cs="宋体"/>
          <w:color w:val="000000"/>
          <w:szCs w:val="21"/>
          <w:highlight w:val="none"/>
          <w:lang w:eastAsia="zh-CN"/>
        </w:rPr>
        <w:t xml:space="preserve">中标</w:t>
      </w:r>
      <w:r>
        <w:rPr>
          <w:rFonts w:hint="eastAsia" w:hAnsi="宋体" w:cs="宋体"/>
          <w:color w:val="000000"/>
          <w:szCs w:val="21"/>
          <w:highlight w:val="none"/>
        </w:rPr>
        <w:t xml:space="preserve">后签订本项目合同的通用条款，</w:t>
      </w:r>
      <w:r>
        <w:rPr>
          <w:rFonts w:hint="eastAsia" w:hAnsi="宋体" w:cs="宋体"/>
          <w:color w:val="000000"/>
          <w:szCs w:val="21"/>
          <w:highlight w:val="none"/>
          <w:lang w:eastAsia="zh-CN"/>
        </w:rPr>
        <w:t xml:space="preserve">中标</w:t>
      </w:r>
      <w:r>
        <w:rPr>
          <w:rFonts w:hint="eastAsia" w:hAnsi="宋体" w:cs="宋体"/>
          <w:color w:val="000000"/>
          <w:szCs w:val="21"/>
          <w:highlight w:val="none"/>
        </w:rPr>
        <w:t xml:space="preserve">供应商不得提出实质性的修改。关于专用条款将由采购人与</w:t>
      </w:r>
      <w:r>
        <w:rPr>
          <w:rFonts w:hint="eastAsia" w:hAnsi="宋体" w:cs="宋体"/>
          <w:color w:val="000000"/>
          <w:szCs w:val="21"/>
          <w:highlight w:val="none"/>
          <w:lang w:eastAsia="zh-CN"/>
        </w:rPr>
        <w:t xml:space="preserve">中标</w:t>
      </w:r>
      <w:r>
        <w:rPr>
          <w:rFonts w:hint="eastAsia" w:hAnsi="宋体" w:cs="宋体"/>
          <w:color w:val="000000"/>
          <w:szCs w:val="21"/>
          <w:highlight w:val="none"/>
        </w:rPr>
        <w:t xml:space="preserve">供应商结合本项目具体情况协商后补充，但补充内容对</w:t>
      </w:r>
      <w:r>
        <w:rPr>
          <w:rFonts w:hint="eastAsia" w:hAnsi="宋体" w:cs="宋体"/>
          <w:color w:val="000000"/>
          <w:szCs w:val="21"/>
          <w:highlight w:val="none"/>
          <w:lang w:val="en-US" w:eastAsia="zh-CN"/>
        </w:rPr>
        <w:t xml:space="preserve">招标</w:t>
      </w:r>
      <w:r>
        <w:rPr>
          <w:rFonts w:hint="eastAsia" w:hAnsi="宋体" w:cs="宋体"/>
          <w:color w:val="000000"/>
          <w:szCs w:val="21"/>
          <w:highlight w:val="none"/>
          <w:lang w:eastAsia="zh-CN"/>
        </w:rPr>
        <w:t xml:space="preserve">文件</w:t>
      </w:r>
      <w:r>
        <w:rPr>
          <w:rFonts w:hint="eastAsia" w:hAnsi="宋体" w:cs="宋体"/>
          <w:color w:val="000000"/>
          <w:szCs w:val="21"/>
          <w:highlight w:val="none"/>
        </w:rPr>
        <w:t xml:space="preserve">和</w:t>
      </w:r>
      <w:r>
        <w:rPr>
          <w:rFonts w:hint="eastAsia" w:hAnsi="宋体" w:cs="宋体"/>
          <w:color w:val="000000"/>
          <w:szCs w:val="21"/>
          <w:highlight w:val="none"/>
          <w:lang w:val="en-US" w:eastAsia="zh-CN"/>
        </w:rPr>
        <w:t xml:space="preserve">投标</w:t>
      </w:r>
      <w:r>
        <w:rPr>
          <w:rFonts w:hint="eastAsia" w:hAnsi="宋体" w:cs="宋体"/>
          <w:color w:val="000000"/>
          <w:szCs w:val="21"/>
          <w:highlight w:val="none"/>
        </w:rPr>
        <w:t xml:space="preserve">文件以及通用条款，不得作实质性修改。</w:t>
      </w:r>
      <w:r>
        <w:rPr>
          <w:rFonts w:hAnsi="宋体" w:cs="宋体"/>
          <w:color w:val="000000"/>
          <w:szCs w:val="21"/>
          <w:highlight w:val="none"/>
        </w:rPr>
      </w:r>
      <w:r/>
    </w:p>
    <w:p>
      <w:pPr>
        <w:pStyle w:val="931"/>
        <w:ind w:firstLine="402"/>
        <w:jc w:val="center"/>
        <w:spacing w:before="120" w:after="120" w:line="360" w:lineRule="auto"/>
        <w:rPr>
          <w:rFonts w:hAnsi="宋体" w:cs="宋体"/>
          <w:b/>
          <w:bCs/>
          <w:color w:val="000000"/>
          <w:szCs w:val="21"/>
          <w:highlight w:val="none"/>
        </w:rPr>
      </w:pPr>
      <w:r>
        <w:rPr>
          <w:rFonts w:hint="eastAsia" w:hAnsi="宋体" w:cs="宋体"/>
          <w:b/>
          <w:bCs/>
          <w:color w:val="000000"/>
          <w:szCs w:val="21"/>
          <w:highlight w:val="none"/>
        </w:rPr>
        <w:t xml:space="preserve">政府采购合同（工程）（合同编号：          ）</w:t>
      </w:r>
      <w:r>
        <w:rPr>
          <w:rFonts w:hAnsi="宋体" w:cs="宋体"/>
          <w:b/>
          <w:bCs/>
          <w:color w:val="000000"/>
          <w:szCs w:val="21"/>
          <w:highlight w:val="none"/>
        </w:rPr>
      </w:r>
      <w:r/>
    </w:p>
    <w:p>
      <w:pPr>
        <w:pStyle w:val="903"/>
        <w:jc w:val="center"/>
        <w:rPr>
          <w:rFonts w:ascii="宋体" w:hAnsi="宋体" w:eastAsia="宋体" w:cs="宋体"/>
          <w:b/>
          <w:bCs/>
          <w:color w:val="000000"/>
          <w:sz w:val="21"/>
          <w:szCs w:val="21"/>
          <w:highlight w:val="none"/>
        </w:rPr>
      </w:pPr>
      <w:r/>
      <w:bookmarkStart w:id="107" w:name="_Toc18079"/>
      <w:r/>
      <w:bookmarkStart w:id="108" w:name="_Toc3340"/>
      <w:r/>
      <w:bookmarkStart w:id="109" w:name="_Toc22326"/>
      <w:r/>
      <w:bookmarkStart w:id="110" w:name="_Toc27482"/>
      <w:r/>
      <w:bookmarkStart w:id="111" w:name="_Toc25679"/>
      <w:r/>
      <w:bookmarkStart w:id="112" w:name="_Toc29974"/>
      <w:r/>
      <w:bookmarkStart w:id="113" w:name="_Toc21949"/>
      <w:r/>
      <w:bookmarkStart w:id="114" w:name="_Toc28993"/>
      <w:r/>
      <w:bookmarkStart w:id="115" w:name="_Toc22349"/>
      <w:r/>
      <w:bookmarkStart w:id="116" w:name="_Toc32047"/>
      <w:r/>
      <w:bookmarkStart w:id="117" w:name="_Toc3668"/>
      <w:r>
        <w:rPr>
          <w:rFonts w:hint="eastAsia" w:ascii="宋体" w:hAnsi="宋体" w:eastAsia="宋体" w:cs="宋体"/>
          <w:b/>
          <w:bCs/>
          <w:color w:val="000000"/>
          <w:sz w:val="21"/>
          <w:szCs w:val="21"/>
          <w:highlight w:val="none"/>
        </w:rPr>
        <w:t xml:space="preserve">第一部分</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合同协议书</w:t>
      </w:r>
      <w:bookmarkEnd w:id="107"/>
      <w:r/>
      <w:bookmarkEnd w:id="108"/>
      <w:r/>
      <w:bookmarkEnd w:id="109"/>
      <w:r/>
      <w:bookmarkEnd w:id="110"/>
      <w:r/>
      <w:bookmarkEnd w:id="111"/>
      <w:r/>
      <w:bookmarkEnd w:id="112"/>
      <w:r/>
      <w:bookmarkEnd w:id="113"/>
      <w:r/>
      <w:bookmarkEnd w:id="114"/>
      <w:r/>
      <w:bookmarkEnd w:id="115"/>
      <w:r/>
      <w:bookmarkEnd w:id="116"/>
      <w:r/>
      <w:bookmarkEnd w:id="117"/>
      <w:r>
        <w:rPr>
          <w:rFonts w:ascii="宋体" w:hAnsi="宋体" w:eastAsia="宋体" w:cs="宋体"/>
          <w:b/>
          <w:bCs/>
          <w:color w:val="000000"/>
          <w:sz w:val="21"/>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根据《中华人民共和国民法典》及有关法律规定，遵循平等、自愿、公平和诚实信用的原则，双方就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工程施工及有关事项协商一致，共同达成如下协议：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一、工程概况</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rPr>
        <w:t xml:space="preserve">图纸及工程量清单确定的工程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群体工程应附《承包人承揽工程项目一览表》（附件1）。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6.工程承包范围：</w:t>
      </w:r>
      <w:r>
        <w:rPr>
          <w:rFonts w:hint="eastAsia" w:ascii="宋体" w:hAnsi="宋体" w:cs="宋体"/>
          <w:color w:val="000000"/>
          <w:szCs w:val="21"/>
          <w:highlight w:val="none"/>
          <w:u w:val="single"/>
        </w:rPr>
        <w:t xml:space="preserve">图纸及工程量清单确定的工程施工</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二、合同工期</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color w:val="000000"/>
          <w:szCs w:val="21"/>
          <w:highlight w:val="none"/>
          <w:u w:val="single"/>
          <w:lang w:val="en-US" w:eastAsia="zh-CN"/>
        </w:rPr>
        <w:t xml:space="preserve">150</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天。工期总日历天数与根据前述计划开竣工日期计算的工期天数不一致的，以工期总日历天数为准。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三、</w:t>
      </w:r>
      <w:r>
        <w:rPr>
          <w:rFonts w:hint="eastAsia" w:ascii="宋体" w:hAnsi="宋体" w:cs="宋体"/>
          <w:color w:val="000000"/>
          <w:szCs w:val="21"/>
          <w:highlight w:val="none"/>
        </w:rPr>
        <w:t xml:space="preserve">质量标准</w:t>
      </w:r>
      <w:r>
        <w:rPr>
          <w:rFonts w:ascii="宋体" w:hAnsi="宋体" w:cs="宋体"/>
          <w:color w:val="000000"/>
          <w:szCs w:val="21"/>
          <w:highlight w:val="none"/>
        </w:rPr>
      </w:r>
      <w:r/>
    </w:p>
    <w:p>
      <w:pPr>
        <w:pStyle w:val="901"/>
        <w:ind w:left="420" w:firstLine="105"/>
        <w:spacing w:line="360" w:lineRule="auto"/>
        <w:rPr>
          <w:rFonts w:ascii="宋体" w:hAnsi="宋体" w:cs="宋体"/>
          <w:color w:val="000000"/>
          <w:szCs w:val="21"/>
          <w:highlight w:val="none"/>
        </w:rPr>
      </w:pPr>
      <w:r>
        <w:rPr>
          <w:rFonts w:hint="eastAsia" w:ascii="宋体" w:hAnsi="宋体" w:eastAsia="宋体" w:cs="宋体"/>
          <w:color w:val="000000"/>
          <w:sz w:val="21"/>
          <w:szCs w:val="21"/>
          <w:highlight w:val="none"/>
          <w:lang w:val="en-US" w:eastAsia="zh-CN" w:bidi="ar"/>
        </w:rPr>
        <w:t xml:space="preserve">1、一次性验收合格，符合国家现行规范。</w:t>
      </w:r>
      <w:r>
        <w:rPr>
          <w:rFonts w:hint="eastAsia" w:ascii="宋体" w:hAnsi="宋体" w:eastAsia="宋体" w:cs="宋体"/>
          <w:color w:val="000000"/>
          <w:sz w:val="21"/>
          <w:szCs w:val="21"/>
          <w:highlight w:val="none"/>
          <w:lang w:val="en-US" w:eastAsia="zh-CN" w:bidi="ar"/>
        </w:rPr>
        <w:t xml:space="preserve">环境指标（GB14925-2023）（包含但不限于以下指标）：</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(1)屏障环境：温度20-26℃，相对湿度30-70%，换气次数≥15次/h，洁净度7级；</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(2)普通环境：温度18-26℃，相对湿度30-70%，换气次数≥12次/h；</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(3)压差梯度：洁净走廊→饲养间→污物走廊→外界，三级正压；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2、第三方环境检测合格；</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3、乙方须配合甲方取得《实验动物使用许可证》《实验动物生产许可证》。</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cs="宋体"/>
          <w:color w:val="000000"/>
          <w:szCs w:val="21"/>
          <w:highlight w:val="none"/>
        </w:rPr>
        <w:t xml:space="preserve">四、签约合同价与合同价格形式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其中：</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（1）安全文明施工费：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（2）材料和工程设备暂估价金额：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（3）专业工程暂估价金额：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（4）暂列金额：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固定</w:t>
      </w:r>
      <w:r>
        <w:rPr>
          <w:rFonts w:hint="eastAsia" w:ascii="宋体" w:hAnsi="宋体" w:cs="宋体"/>
          <w:color w:val="000000"/>
          <w:szCs w:val="21"/>
          <w:highlight w:val="none"/>
          <w:u w:val="single"/>
          <w:lang w:val="en-US" w:eastAsia="zh-CN"/>
        </w:rPr>
        <w:t xml:space="preserve">单</w:t>
      </w:r>
      <w:r>
        <w:rPr>
          <w:rFonts w:hint="eastAsia" w:ascii="宋体" w:hAnsi="宋体" w:cs="宋体"/>
          <w:color w:val="000000"/>
          <w:szCs w:val="21"/>
          <w:highlight w:val="none"/>
          <w:u w:val="single"/>
        </w:rPr>
        <w:t xml:space="preserve">价</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五、项目经理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六、合同文件构成</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中标</w:t>
      </w:r>
      <w:r>
        <w:rPr>
          <w:rFonts w:hint="eastAsia" w:ascii="宋体" w:hAnsi="宋体" w:cs="宋体"/>
          <w:color w:val="000000"/>
          <w:szCs w:val="21"/>
          <w:highlight w:val="none"/>
        </w:rPr>
        <w:t xml:space="preserve">通知书；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rPr>
        <w:t xml:space="preserve">文件；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（3）专用合同条款及其附件；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（4）通用合同条款；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（5）技术标准和要求；</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（6）图纸；</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（7）已标价工程量清单或预算书；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（8）其他合同文件。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七、承诺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1.发包人承诺按照法律规定履行项目审批手续、筹集工程建设资金并按照合同约定的期限和方式支付合同价款。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3.发包人和承包人通过招投标形式签订合同的，双方理解并承诺不再就同一工程另行签订与合同实质性内容相背离的协议。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八、词语含义</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本协议书中词语含义与第二部分通用合同条款中赋予的含义相同。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九、签订时间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本合同于</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日签订。</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十、签订地点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本合同在</w:t>
      </w:r>
      <w:r>
        <w:rPr>
          <w:rFonts w:hint="eastAsia" w:ascii="宋体" w:hAnsi="宋体" w:cs="宋体"/>
          <w:color w:val="000000"/>
          <w:szCs w:val="21"/>
          <w:highlight w:val="none"/>
          <w:u w:val="single"/>
        </w:rPr>
        <w:t xml:space="preserve">扬州大学</w:t>
      </w:r>
      <w:r>
        <w:rPr>
          <w:rFonts w:hint="eastAsia" w:ascii="宋体" w:hAnsi="宋体" w:cs="宋体"/>
          <w:color w:val="000000"/>
          <w:szCs w:val="21"/>
          <w:highlight w:val="none"/>
        </w:rPr>
        <w:t xml:space="preserve">签订。</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十一、补充协议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合同未尽事宜，合同当事人另行签订补充协议，补充协议是合同的组成部分。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十二、合同生效</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本合同自</w:t>
      </w:r>
      <w:r>
        <w:rPr>
          <w:rFonts w:hint="eastAsia" w:ascii="宋体" w:hAnsi="宋体" w:cs="宋体"/>
          <w:color w:val="000000"/>
          <w:szCs w:val="21"/>
          <w:highlight w:val="none"/>
          <w:u w:val="single"/>
        </w:rPr>
        <w:t xml:space="preserve">双方法定代表人或其合法代理人签署，并加盖单位公章或合同专用章后</w:t>
      </w:r>
      <w:r>
        <w:rPr>
          <w:rFonts w:hint="eastAsia" w:ascii="宋体" w:hAnsi="宋体" w:cs="宋体"/>
          <w:color w:val="000000"/>
          <w:szCs w:val="21"/>
          <w:highlight w:val="none"/>
        </w:rPr>
        <w:t xml:space="preserve">生效。</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十三、合同份数</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本合同一式</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份，均具有同等法律效力，发包人执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份，承包人执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份。</w:t>
      </w:r>
      <w:r>
        <w:rPr>
          <w:rFonts w:ascii="宋体" w:hAnsi="宋体" w:cs="宋体"/>
          <w:color w:val="000000"/>
          <w:szCs w:val="21"/>
          <w:highlight w:val="none"/>
        </w:rPr>
      </w:r>
      <w:r/>
    </w:p>
    <w:p>
      <w:pPr>
        <w:pStyle w:val="901"/>
        <w:ind w:firstLine="600"/>
        <w:rPr>
          <w:rFonts w:ascii="宋体" w:hAnsi="宋体" w:cs="宋体"/>
          <w:color w:val="000000"/>
          <w:szCs w:val="21"/>
          <w:highlight w:val="none"/>
        </w:rPr>
      </w:pPr>
      <w:r>
        <w:rPr>
          <w:rFonts w:ascii="宋体" w:hAnsi="宋体" w:cs="宋体"/>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00"/>
        <w:gridCol w:w="4701"/>
      </w:tblGrid>
      <w:tr>
        <w:trPr/>
        <w:tc>
          <w:tcPr>
            <w:tcBorders>
              <w:top w:val="none" w:color="000000" w:sz="4" w:space="0"/>
              <w:left w:val="none" w:color="000000" w:sz="4" w:space="0"/>
              <w:bottom w:val="none" w:color="000000" w:sz="4" w:space="0"/>
              <w:right w:val="none" w:color="000000" w:sz="4" w:space="0"/>
            </w:tcBorders>
            <w:tcW w:w="4700" w:type="dxa"/>
            <w:vAlign w:val="top"/>
            <w:textDirection w:val="lrTb"/>
            <w:noWrap w:val="false"/>
          </w:tcPr>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（签字）</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701" w:type="dxa"/>
            <w:vAlign w:val="top"/>
            <w:textDirection w:val="lrTb"/>
            <w:noWrap w:val="false"/>
          </w:tcPr>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承包人：(公章)</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（签字）</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组织机构代码：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c>
      </w:tr>
    </w:tbl>
    <w:p>
      <w:pPr>
        <w:pStyle w:val="901"/>
        <w:ind w:firstLine="560"/>
        <w:rPr>
          <w:rFonts w:eastAsia="方正仿宋_GBK"/>
          <w:color w:val="000000"/>
          <w:sz w:val="28"/>
          <w:szCs w:val="28"/>
          <w:highlight w:val="none"/>
        </w:rPr>
        <w:sectPr>
          <w:footerReference w:type="default" r:id="rId15"/>
          <w:footnotePr/>
          <w:endnotePr/>
          <w:type w:val="nextPage"/>
          <w:pgSz w:w="11905" w:h="16838" w:orient="portrait"/>
          <w:pgMar w:top="1417" w:right="1247" w:bottom="1247" w:left="1553" w:header="737" w:footer="510" w:gutter="0"/>
          <w:pgNumType w:start="1"/>
          <w:cols w:num="1" w:sep="0" w:space="1701" w:equalWidth="1"/>
          <w:docGrid w:linePitch="360"/>
        </w:sectPr>
      </w:pPr>
      <w:r>
        <w:rPr>
          <w:rFonts w:eastAsia="方正仿宋_GBK"/>
          <w:color w:val="000000"/>
          <w:sz w:val="28"/>
          <w:szCs w:val="28"/>
          <w:highlight w:val="none"/>
        </w:rPr>
      </w:r>
      <w:r/>
    </w:p>
    <w:p>
      <w:pPr>
        <w:pStyle w:val="1140"/>
        <w:jc w:val="center"/>
        <w:spacing w:line="360" w:lineRule="auto"/>
        <w:rPr>
          <w:rFonts w:ascii="宋体" w:hAnsi="宋体" w:cs="宋体"/>
          <w:b/>
          <w:color w:val="000000"/>
          <w:szCs w:val="21"/>
          <w:highlight w:val="none"/>
        </w:rPr>
      </w:pPr>
      <w:r>
        <w:rPr>
          <w:rFonts w:hint="eastAsia" w:ascii="宋体" w:hAnsi="宋体" w:cs="宋体"/>
          <w:b/>
          <w:color w:val="000000"/>
          <w:szCs w:val="21"/>
          <w:highlight w:val="none"/>
        </w:rPr>
        <w:t xml:space="preserve">第二部分　　通用条款（略）</w:t>
      </w:r>
      <w:r>
        <w:rPr>
          <w:rFonts w:ascii="宋体" w:hAnsi="宋体" w:cs="宋体"/>
          <w:b/>
          <w:color w:val="000000"/>
          <w:szCs w:val="21"/>
          <w:highlight w:val="none"/>
        </w:rPr>
      </w:r>
      <w:r/>
    </w:p>
    <w:p>
      <w:pPr>
        <w:pStyle w:val="903"/>
        <w:jc w:val="center"/>
        <w:rPr>
          <w:rFonts w:ascii="宋体" w:hAnsi="宋体" w:eastAsia="宋体" w:cs="宋体"/>
          <w:b/>
          <w:bCs/>
          <w:color w:val="000000"/>
          <w:sz w:val="21"/>
          <w:szCs w:val="21"/>
          <w:highlight w:val="none"/>
        </w:rPr>
      </w:pPr>
      <w:r/>
      <w:bookmarkStart w:id="118" w:name="_Toc27438"/>
      <w:r/>
      <w:bookmarkStart w:id="119" w:name="_Toc598"/>
      <w:r/>
      <w:bookmarkStart w:id="120" w:name="_Toc16141"/>
      <w:r/>
      <w:bookmarkStart w:id="121" w:name="_Toc7127"/>
      <w:r/>
      <w:bookmarkStart w:id="122" w:name="_Toc24576"/>
      <w:r/>
      <w:bookmarkStart w:id="123" w:name="_Toc12965"/>
      <w:r/>
      <w:bookmarkStart w:id="124" w:name="_Toc31520"/>
      <w:r/>
      <w:bookmarkStart w:id="125" w:name="_Toc9034"/>
      <w:r/>
      <w:bookmarkStart w:id="126" w:name="_Toc30727"/>
      <w:r/>
      <w:bookmarkStart w:id="127" w:name="_Toc11031"/>
      <w:r/>
      <w:bookmarkStart w:id="128" w:name="_Toc9097"/>
      <w:r>
        <w:rPr>
          <w:rFonts w:hint="eastAsia" w:ascii="宋体" w:hAnsi="宋体" w:eastAsia="宋体" w:cs="宋体"/>
          <w:b/>
          <w:bCs/>
          <w:color w:val="000000"/>
          <w:sz w:val="21"/>
          <w:szCs w:val="21"/>
          <w:highlight w:val="none"/>
        </w:rPr>
        <w:t xml:space="preserve">第三部分　专用合同条款</w:t>
      </w:r>
      <w:bookmarkEnd w:id="118"/>
      <w:r/>
      <w:bookmarkEnd w:id="119"/>
      <w:r/>
      <w:bookmarkEnd w:id="120"/>
      <w:r/>
      <w:bookmarkEnd w:id="121"/>
      <w:r/>
      <w:bookmarkEnd w:id="122"/>
      <w:r/>
      <w:bookmarkEnd w:id="123"/>
      <w:r/>
      <w:bookmarkEnd w:id="124"/>
      <w:r/>
      <w:bookmarkEnd w:id="125"/>
      <w:r/>
      <w:bookmarkEnd w:id="126"/>
      <w:r/>
      <w:bookmarkEnd w:id="127"/>
      <w:r/>
      <w:bookmarkEnd w:id="128"/>
      <w:r>
        <w:rPr>
          <w:rFonts w:ascii="宋体" w:hAnsi="宋体" w:eastAsia="宋体" w:cs="宋体"/>
          <w:b/>
          <w:bCs/>
          <w:color w:val="000000"/>
          <w:sz w:val="21"/>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1.一般约定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1.1词语定义</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1.1.1.10其他合同文件包括：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1.1.2合同当事人及其他相关方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1.1.2.4监理人：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1.1.2.5设计人：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资质类别和等级：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1.1.3工程和设备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1.1.3.7作为施工现场组成部分的其他场所包括：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1.1.3.9永久占地包括：</w:t>
      </w:r>
      <w:r>
        <w:rPr>
          <w:rFonts w:hint="eastAsia" w:ascii="宋体" w:hAnsi="宋体" w:cs="宋体"/>
          <w:color w:val="000000"/>
          <w:szCs w:val="21"/>
          <w:highlight w:val="none"/>
          <w:u w:val="single"/>
        </w:rPr>
        <w:t xml:space="preserve">按照设计图纸确定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1.1.3.10临时占地包括：</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1.3法律</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适用于合同的其他规范性文件：</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1.4标准和规范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1.4.1适用于工程的标准规范包括：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1.4.2发包人提供国外标准、规范的名称：</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发包人提供国外标准、规范的份数：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发包人提供国外标准、规范的名称：</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1.4.3发包人对工程的技术标准和功能要求的特殊要求：</w:t>
      </w:r>
      <w:r>
        <w:rPr>
          <w:rFonts w:hint="eastAsia" w:ascii="宋体" w:hAnsi="宋体" w:cs="宋体"/>
          <w:color w:val="000000"/>
          <w:szCs w:val="21"/>
          <w:highlight w:val="none"/>
          <w:u w:val="single"/>
        </w:rPr>
        <w:t xml:space="preserve">无</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1.5合同文件的优先顺序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合同文件组成及优先顺序为：</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1.6图纸和承包人文件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1.6.1图纸的提供</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发包人向承包人提供图纸的期限：</w:t>
      </w:r>
      <w:r>
        <w:rPr>
          <w:rFonts w:hint="eastAsia" w:ascii="宋体" w:hAnsi="宋体" w:cs="宋体"/>
          <w:color w:val="000000"/>
          <w:szCs w:val="21"/>
          <w:highlight w:val="none"/>
          <w:u w:val="single"/>
        </w:rPr>
        <w:t xml:space="preserve">实际开工日期前14天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发包人向承包人提供图纸的数量：</w:t>
      </w:r>
      <w:r>
        <w:rPr>
          <w:rFonts w:hint="eastAsia" w:ascii="宋体" w:hAnsi="宋体" w:cs="宋体"/>
          <w:color w:val="000000"/>
          <w:szCs w:val="21"/>
          <w:highlight w:val="none"/>
          <w:u w:val="single"/>
        </w:rPr>
        <w:t xml:space="preserve">6套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发包人向承包人提供图纸的内容：</w:t>
      </w:r>
      <w:r>
        <w:rPr>
          <w:rFonts w:hint="eastAsia" w:ascii="宋体" w:hAnsi="宋体" w:cs="宋体"/>
          <w:color w:val="000000"/>
          <w:szCs w:val="21"/>
          <w:highlight w:val="none"/>
          <w:u w:val="single"/>
        </w:rPr>
        <w:t xml:space="preserve">与工程承包范围相适应的</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1.6.4承包人文件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需要由承包人提供的文件，包括：</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承包人提供的文件的期限为：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承包人提供的文件的数量为：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承包人提供的文件的形式为：</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发包人审批承包人文件的期限：</w:t>
      </w:r>
      <w:r>
        <w:rPr>
          <w:rFonts w:hint="eastAsia" w:ascii="宋体" w:hAnsi="宋体" w:cs="宋体"/>
          <w:color w:val="000000"/>
          <w:szCs w:val="21"/>
          <w:highlight w:val="none"/>
          <w:u w:val="single"/>
        </w:rPr>
        <w:t xml:space="preserve">双方另行确定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1.6.5现场图纸准备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关于现场图纸准备的约定：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1.7联络</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1.7.1发包人和承包人应当在</w:t>
      </w:r>
      <w:r>
        <w:rPr>
          <w:rFonts w:hint="eastAsia" w:ascii="宋体" w:hAnsi="宋体" w:cs="宋体"/>
          <w:color w:val="000000"/>
          <w:szCs w:val="21"/>
          <w:highlight w:val="none"/>
          <w:u w:val="single"/>
        </w:rPr>
        <w:t xml:space="preserve">3</w:t>
      </w:r>
      <w:r>
        <w:rPr>
          <w:rFonts w:hint="eastAsia" w:ascii="宋体" w:hAnsi="宋体" w:cs="宋体"/>
          <w:color w:val="000000"/>
          <w:szCs w:val="21"/>
          <w:highlight w:val="none"/>
        </w:rPr>
        <w:t xml:space="preserve">天内将与合同有关的通知、批准、证明、证书、指示、指令、要求、请求、同意、意见、确定和决定等书面函件送达对方当事人。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1.7.2发包人接收文件的地点：</w:t>
      </w:r>
      <w:r>
        <w:rPr>
          <w:rFonts w:hint="eastAsia" w:ascii="宋体" w:hAnsi="宋体" w:cs="宋体"/>
          <w:color w:val="000000"/>
          <w:szCs w:val="21"/>
          <w:highlight w:val="none"/>
          <w:u w:val="single"/>
        </w:rPr>
        <w:t xml:space="preserve">施工现场发包人办公室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发包人指定的接收人为：</w:t>
      </w:r>
      <w:r>
        <w:rPr>
          <w:rFonts w:hint="eastAsia" w:ascii="宋体" w:hAnsi="宋体" w:cs="宋体"/>
          <w:color w:val="000000"/>
          <w:szCs w:val="21"/>
          <w:highlight w:val="none"/>
          <w:u w:val="single"/>
        </w:rPr>
        <w:t xml:space="preserve">发包人代表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承包人接收文件的地点：</w:t>
      </w:r>
      <w:r>
        <w:rPr>
          <w:rFonts w:hint="eastAsia" w:ascii="宋体" w:hAnsi="宋体" w:cs="宋体"/>
          <w:color w:val="000000"/>
          <w:szCs w:val="21"/>
          <w:highlight w:val="none"/>
          <w:u w:val="single"/>
        </w:rPr>
        <w:t xml:space="preserve">施工现场承包人办公室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承包人指定的接收人为：</w:t>
      </w:r>
      <w:r>
        <w:rPr>
          <w:rFonts w:hint="eastAsia" w:ascii="宋体" w:hAnsi="宋体" w:cs="宋体"/>
          <w:color w:val="000000"/>
          <w:szCs w:val="21"/>
          <w:highlight w:val="none"/>
          <w:u w:val="single"/>
        </w:rPr>
        <w:t xml:space="preserve">项目经理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监理人接收文件的地点：</w:t>
      </w:r>
      <w:r>
        <w:rPr>
          <w:rFonts w:hint="eastAsia" w:ascii="宋体" w:hAnsi="宋体" w:cs="宋体"/>
          <w:color w:val="000000"/>
          <w:szCs w:val="21"/>
          <w:highlight w:val="none"/>
          <w:u w:val="single"/>
        </w:rPr>
        <w:t xml:space="preserve">施工现场监理人办公室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监理人指定的接收人为：</w:t>
      </w:r>
      <w:r>
        <w:rPr>
          <w:rFonts w:hint="eastAsia" w:ascii="宋体" w:hAnsi="宋体" w:cs="宋体"/>
          <w:color w:val="000000"/>
          <w:szCs w:val="21"/>
          <w:highlight w:val="none"/>
          <w:u w:val="single"/>
        </w:rPr>
        <w:t xml:space="preserve">总监理工程师</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1.10交通运输</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1.10.1出入现场的权利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关于出入现场的权利的约定：</w:t>
      </w:r>
      <w:r>
        <w:rPr>
          <w:rFonts w:hint="eastAsia" w:ascii="宋体" w:hAnsi="宋体" w:cs="宋体"/>
          <w:color w:val="000000"/>
          <w:szCs w:val="21"/>
          <w:highlight w:val="none"/>
          <w:u w:val="single"/>
        </w:rPr>
        <w:t xml:space="preserve">由承包人根据施工需要，负责取得出入施工现场所需的批准手续和全部权利，并承担相关费用。必要时，发包人可协助承包人办理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1.10.3场内交通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关于场外交通和场内交通的边界的约定：</w:t>
      </w:r>
      <w:r>
        <w:rPr>
          <w:rFonts w:hint="eastAsia" w:ascii="宋体" w:hAnsi="宋体" w:cs="宋体"/>
          <w:color w:val="000000"/>
          <w:szCs w:val="21"/>
          <w:highlight w:val="none"/>
          <w:u w:val="single"/>
        </w:rPr>
        <w:t xml:space="preserve">以施工围挡为边界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关于发包人向承包人免费提供满足工程施工需要的场内道路和交通设施的约定：</w:t>
      </w:r>
      <w:r>
        <w:rPr>
          <w:rFonts w:hint="eastAsia" w:ascii="宋体" w:hAnsi="宋体" w:cs="宋体"/>
          <w:color w:val="000000"/>
          <w:szCs w:val="21"/>
          <w:highlight w:val="none"/>
          <w:u w:val="single"/>
        </w:rPr>
        <w:t xml:space="preserve">在承包人进场前已有的场内道路和交通设施，发包人向承包人免费提供，但损坏修复费用由承包人承担；在承包人进场前没有的场内道路和交通设施，由承包人自行负责；发包人和分包人均可免费使用场内道路和交通设施</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1.10.4超大件和超重件的运输</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运输超大件或超重件所需的道路和桥梁临时加固改造费用和其他有关费用由</w:t>
      </w:r>
      <w:r>
        <w:rPr>
          <w:rFonts w:hint="eastAsia" w:ascii="宋体" w:hAnsi="宋体" w:cs="宋体"/>
          <w:color w:val="000000"/>
          <w:szCs w:val="21"/>
          <w:highlight w:val="none"/>
          <w:u w:val="single"/>
        </w:rPr>
        <w:t xml:space="preserve">承包人</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1.11知识产权</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关于发包人提供的上述文件的使用限制的要求：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1.11.2关于承包人为实施工程所编制文件的著作权的归属：</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关于承包人提供的上述文件的使用限制的要求：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1.11.4承包人在施工过程中所采用的专利、专有技术、技术秘密的使用费的承担方式：</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1.13工程量清单错误的修正</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出现工程量清单错误时，是否调整合同价格：</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允许调整合同价格的工程量偏差范围：</w:t>
      </w:r>
      <w:r>
        <w:rPr>
          <w:rFonts w:hint="eastAsia" w:ascii="宋体" w:hAnsi="宋体" w:cs="宋体"/>
          <w:color w:val="000000"/>
          <w:szCs w:val="21"/>
          <w:highlight w:val="none"/>
          <w:u w:val="single"/>
        </w:rPr>
        <w:t xml:space="preserve">工程量清单计量偏差按实调整，相应的综合单价不调整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2.2发包人代表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发包人代表：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发包人对发包人代表的授权范围如下：</w:t>
      </w:r>
      <w:r>
        <w:rPr>
          <w:rFonts w:hint="eastAsia" w:ascii="宋体" w:hAnsi="宋体" w:cs="宋体"/>
          <w:color w:val="000000"/>
          <w:szCs w:val="21"/>
          <w:highlight w:val="none"/>
          <w:u w:val="single"/>
        </w:rPr>
        <w:t xml:space="preserve">发包人另行授权</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2.4施工现场、施工条件和基础资料的提供</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2.4.1提供施工现场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关于发包人移交施工现场的期限要求：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2.4.2提供施工条件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关于发包人应负责提供施工所需要的条件，包括：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2.5资金来源证明及支付担保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发包人提供资金来源证明的期限要求：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发包人是否提供支付担保：</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发包人提供支付担保的形式：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3.承包人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3.1承包人的一般义务</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（9）承包人提交的竣工资料的内容：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承包人需要提交的竣工资料套数：</w:t>
      </w:r>
      <w:r>
        <w:rPr>
          <w:rFonts w:hint="eastAsia" w:ascii="宋体" w:hAnsi="宋体" w:cs="宋体"/>
          <w:color w:val="000000"/>
          <w:szCs w:val="21"/>
          <w:highlight w:val="none"/>
          <w:u w:val="single"/>
        </w:rPr>
        <w:t xml:space="preserve">竣工资料2套，竣工图4套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承包人提交的竣工资料的费用承担：</w:t>
      </w:r>
      <w:r>
        <w:rPr>
          <w:rFonts w:hint="eastAsia" w:ascii="宋体" w:hAnsi="宋体" w:cs="宋体"/>
          <w:color w:val="000000"/>
          <w:szCs w:val="21"/>
          <w:highlight w:val="none"/>
          <w:u w:val="single"/>
        </w:rPr>
        <w:t xml:space="preserve">由承包人承担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承包人提交的竣工资料移交时间：</w:t>
      </w:r>
      <w:r>
        <w:rPr>
          <w:rFonts w:hint="eastAsia" w:ascii="宋体" w:hAnsi="宋体" w:cs="宋体"/>
          <w:color w:val="000000"/>
          <w:szCs w:val="21"/>
          <w:highlight w:val="none"/>
          <w:u w:val="single"/>
        </w:rPr>
        <w:t xml:space="preserve">竣工验收合格后42天内，每逾期1天，承担5000元/天的违约金</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承包人提交的竣工资料形式要求：</w:t>
      </w:r>
      <w:r>
        <w:rPr>
          <w:rFonts w:hint="eastAsia" w:ascii="宋体" w:hAnsi="宋体" w:cs="宋体"/>
          <w:color w:val="000000"/>
          <w:szCs w:val="21"/>
          <w:highlight w:val="none"/>
          <w:u w:val="single"/>
        </w:rPr>
        <w:t xml:space="preserve">除纸质资料外，另提供电子版1套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（10）承包人应履行的其他义务：</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3.2项目经理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3.2.1项目经理：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身份证号：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建造师执业资格等级：</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建造师注册证书号：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建造师执业印章号：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承包人对项目经理的授权范围如下：</w:t>
      </w:r>
      <w:r>
        <w:rPr>
          <w:rFonts w:hint="eastAsia" w:ascii="宋体" w:hAnsi="宋体" w:cs="宋体"/>
          <w:color w:val="000000"/>
          <w:szCs w:val="21"/>
          <w:highlight w:val="none"/>
          <w:u w:val="single"/>
        </w:rPr>
        <w:t xml:space="preserve">作为承包人施工现场负责人，全面负责本工程施工现场进度、质量、安全工作，负责本合同的全面履行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关于项目经理每月在施工现场的时间要求：</w:t>
      </w:r>
      <w:r>
        <w:rPr>
          <w:rFonts w:hint="eastAsia" w:ascii="宋体" w:hAnsi="宋体" w:cs="宋体"/>
          <w:color w:val="000000"/>
          <w:szCs w:val="21"/>
          <w:highlight w:val="none"/>
          <w:u w:val="single"/>
        </w:rPr>
        <w:t xml:space="preserve">每月不得少于26天，每周不得少于5天，每天不少于8小时。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承包人未提交劳动合同，以及没有为项目经理缴纳社会保险证明的违约责任：</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项目经理未经批准，擅自离开施工现场的违约责任：</w:t>
      </w:r>
      <w:r>
        <w:rPr>
          <w:rFonts w:hint="eastAsia" w:ascii="宋体" w:hAnsi="宋体" w:cs="宋体"/>
          <w:color w:val="000000"/>
          <w:szCs w:val="21"/>
          <w:highlight w:val="none"/>
          <w:u w:val="single"/>
        </w:rPr>
        <w:t xml:space="preserve">①承包人承担2000元/天的违约金；②累计天数达10天，发包人有权要求更换项目经理；③累计天数达20天，发包人有权解除合同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3.2.3承包人擅自更换项目经理的违约责任：</w:t>
      </w:r>
      <w:r>
        <w:rPr>
          <w:rFonts w:hint="eastAsia" w:ascii="宋体" w:hAnsi="宋体" w:cs="宋体"/>
          <w:color w:val="000000"/>
          <w:szCs w:val="21"/>
          <w:highlight w:val="none"/>
          <w:u w:val="single"/>
        </w:rPr>
        <w:t xml:space="preserve">承包人承担</w:t>
      </w:r>
      <w:r>
        <w:rPr>
          <w:rFonts w:hint="eastAsia" w:ascii="宋体" w:hAnsi="宋体" w:cs="宋体"/>
          <w:color w:val="000000"/>
          <w:szCs w:val="21"/>
          <w:highlight w:val="none"/>
          <w:u w:val="single"/>
          <w:lang w:val="en-US" w:eastAsia="zh-CN"/>
        </w:rPr>
        <w:t xml:space="preserve">2</w:t>
      </w:r>
      <w:r>
        <w:rPr>
          <w:rFonts w:hint="eastAsia" w:ascii="宋体" w:hAnsi="宋体" w:cs="宋体"/>
          <w:color w:val="000000"/>
          <w:szCs w:val="21"/>
          <w:highlight w:val="none"/>
          <w:u w:val="single"/>
        </w:rPr>
        <w:t xml:space="preserve">万的违约金，并改正违约行为，发包人有权解除合同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3.2.4承包人无正当理由拒绝更换项目经理的违约责任：</w:t>
      </w:r>
      <w:r>
        <w:rPr>
          <w:rFonts w:hint="eastAsia" w:ascii="宋体" w:hAnsi="宋体" w:cs="宋体"/>
          <w:color w:val="000000"/>
          <w:szCs w:val="21"/>
          <w:highlight w:val="none"/>
          <w:u w:val="single"/>
        </w:rPr>
        <w:t xml:space="preserve">承包人承担</w:t>
      </w:r>
      <w:r>
        <w:rPr>
          <w:rFonts w:hint="eastAsia" w:ascii="宋体" w:hAnsi="宋体" w:cs="宋体"/>
          <w:color w:val="000000"/>
          <w:szCs w:val="21"/>
          <w:highlight w:val="none"/>
          <w:u w:val="single"/>
          <w:lang w:val="en-US" w:eastAsia="zh-CN"/>
        </w:rPr>
        <w:t xml:space="preserve">2</w:t>
      </w:r>
      <w:r>
        <w:rPr>
          <w:rFonts w:hint="eastAsia" w:ascii="宋体" w:hAnsi="宋体" w:cs="宋体"/>
          <w:color w:val="000000"/>
          <w:szCs w:val="21"/>
          <w:highlight w:val="none"/>
          <w:u w:val="single"/>
        </w:rPr>
        <w:t xml:space="preserve">万的</w:t>
      </w:r>
      <w:r>
        <w:rPr>
          <w:rFonts w:hint="eastAsia" w:ascii="宋体" w:hAnsi="宋体" w:cs="宋体"/>
          <w:color w:val="000000"/>
          <w:szCs w:val="21"/>
          <w:highlight w:val="none"/>
          <w:u w:val="single"/>
        </w:rPr>
        <w:t xml:space="preserve">违约金，并改正违约行为，发包人有权解除合同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3.3承包人人员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3.3.1承包人提交项目管理机构及施工现场管理人员安排报告的期限：</w:t>
      </w:r>
      <w:r>
        <w:rPr>
          <w:rFonts w:hint="eastAsia" w:ascii="宋体" w:hAnsi="宋体" w:cs="宋体"/>
          <w:color w:val="000000"/>
          <w:szCs w:val="21"/>
          <w:highlight w:val="none"/>
          <w:u w:val="single"/>
        </w:rPr>
        <w:t xml:space="preserve">签订合同前</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3.3.3承包人无正当理由拒绝撤换主要施工管理人员的违约责任：</w:t>
      </w:r>
      <w:r>
        <w:rPr>
          <w:rFonts w:hint="eastAsia" w:ascii="宋体" w:hAnsi="宋体" w:cs="宋体"/>
          <w:color w:val="000000"/>
          <w:szCs w:val="21"/>
          <w:highlight w:val="none"/>
          <w:u w:val="single"/>
        </w:rPr>
        <w:t xml:space="preserve">承包人承担2万元/人的违约金，发包人有权解除合同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3.3.4承包人主要施工管理人员离开施工现场的批准要求：</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3.3.5承包人擅自更换主要施工管理人员的违约责任：</w:t>
      </w:r>
      <w:r>
        <w:rPr>
          <w:rFonts w:hint="eastAsia" w:ascii="宋体" w:hAnsi="宋体" w:cs="宋体"/>
          <w:color w:val="000000"/>
          <w:szCs w:val="21"/>
          <w:highlight w:val="none"/>
          <w:u w:val="single"/>
        </w:rPr>
        <w:t xml:space="preserve">承包人承担2万元/人的违约金，并改正违约行为，同时发包人有权解除合同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承包人主要施工管理人员擅自离开施工现场的违约责任：</w:t>
      </w:r>
      <w:r>
        <w:rPr>
          <w:rFonts w:hint="eastAsia" w:ascii="宋体" w:hAnsi="宋体" w:cs="宋体"/>
          <w:color w:val="000000"/>
          <w:szCs w:val="21"/>
          <w:highlight w:val="none"/>
          <w:u w:val="single"/>
        </w:rPr>
        <w:t xml:space="preserve">①承包人承担1000元/人•天的违约金，累计达30人•天，违约金加倍；②单人累计天数达10天，发包人有权要求更换该人员</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3.5分包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3.5.1分包的一般约定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禁止分包的工程包括：</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主体结构、关键性工作的范围：</w:t>
      </w:r>
      <w:r>
        <w:rPr>
          <w:rFonts w:hint="eastAsia" w:ascii="宋体" w:hAnsi="宋体" w:cs="宋体"/>
          <w:color w:val="000000"/>
          <w:szCs w:val="21"/>
          <w:highlight w:val="none"/>
          <w:u w:val="single"/>
        </w:rPr>
        <w:t xml:space="preserve">按法律规定确定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3.5.2分包的确定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允许分包的专业工程包括：</w:t>
      </w:r>
      <w:r>
        <w:rPr>
          <w:rFonts w:hint="eastAsia" w:ascii="宋体" w:hAnsi="宋体" w:cs="宋体"/>
          <w:color w:val="000000"/>
          <w:szCs w:val="21"/>
          <w:highlight w:val="none"/>
          <w:u w:val="single"/>
        </w:rPr>
        <w:t xml:space="preserve">①渣土运输（必须按地方政府规定分包）；②发包人确定的暂估价项目；③发包人另行要求承包人进行总包管理的其它专业工程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其他关于分包的约定：</w:t>
      </w:r>
      <w:r>
        <w:rPr>
          <w:rFonts w:hint="eastAsia" w:ascii="宋体" w:hAnsi="宋体" w:cs="宋体"/>
          <w:color w:val="000000"/>
          <w:szCs w:val="21"/>
          <w:highlight w:val="none"/>
          <w:u w:val="single"/>
        </w:rPr>
        <w:t xml:space="preserve">详</w:t>
      </w:r>
      <w:r>
        <w:rPr>
          <w:rFonts w:hint="eastAsia" w:ascii="宋体" w:hAnsi="宋体" w:cs="宋体"/>
          <w:color w:val="000000"/>
          <w:szCs w:val="21"/>
          <w:highlight w:val="none"/>
          <w:u w:val="single"/>
          <w:lang w:val="en-US" w:eastAsia="zh-CN"/>
        </w:rPr>
        <w:t xml:space="preserve">见</w:t>
      </w:r>
      <w:r>
        <w:rPr>
          <w:rFonts w:hint="eastAsia" w:ascii="宋体" w:hAnsi="宋体" w:cs="宋体"/>
          <w:color w:val="000000"/>
          <w:szCs w:val="21"/>
          <w:highlight w:val="none"/>
          <w:u w:val="single"/>
        </w:rPr>
        <w:t xml:space="preserve">合同附言21.1</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3.5.4分包合同价款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关于分包合同价款支付的约定：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3.6工程照管与成品、半成品保护</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承包人负责照管工程及工程相关的材料、工程设备的起始时间：</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3.7履约担保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承包人是否提供履约担保：</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承包人提供履约担保的形式、金额及期限的：</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4.监理人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4.1监理人的一般规定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关于监理人的监理内容：</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关于监理人的监理权限：</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关于监理人在施工现场的办公场所、生活场所的提供和费用承担的约定：</w:t>
      </w:r>
      <w:r>
        <w:rPr>
          <w:rFonts w:hint="eastAsia" w:ascii="宋体" w:hAnsi="宋体" w:cs="宋体"/>
          <w:color w:val="000000"/>
          <w:szCs w:val="21"/>
          <w:highlight w:val="none"/>
          <w:u w:val="single"/>
        </w:rPr>
        <w:t xml:space="preserve">详见合同附言21.2</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4.2监理人员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总监理工程师：</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姓名：</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职务：</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监理工程师执业资格证书号：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电子信箱：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通信地址：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关于监理人的其他约定：</w:t>
      </w:r>
      <w:r>
        <w:rPr>
          <w:rFonts w:hint="eastAsia" w:ascii="宋体" w:hAnsi="宋体" w:cs="宋体"/>
          <w:color w:val="000000"/>
          <w:szCs w:val="21"/>
          <w:highlight w:val="none"/>
          <w:u w:val="single"/>
        </w:rPr>
        <w:t xml:space="preserve">详见监理合同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4.4商定或确定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在发包人和承包人不能通过协商达成一致意见时，发包人授权监理人对以下事项进行确定：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5.工程质量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5.1质量要求</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5.1.1特殊质量标准和要求：</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关于工程奖项的约定：</w:t>
      </w:r>
      <w:r>
        <w:rPr>
          <w:rFonts w:hint="eastAsia" w:ascii="宋体" w:hAnsi="宋体" w:cs="宋体"/>
          <w:color w:val="000000"/>
          <w:szCs w:val="21"/>
          <w:highlight w:val="none"/>
          <w:u w:val="single"/>
        </w:rPr>
        <w:t xml:space="preserve">发包人鼓励承包人争创工程奖项，但不承担相关费用</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5.3隐蔽工程检查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5.3.2承包人提前通知监理人隐蔽工程检查的期限的约定：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监理人不能按时进行检查时，应提前</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6.安全文明施工与环境保护</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6.1安全文明施工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6.1.1项目安全生产的达标目标及相应事项的约定：</w:t>
      </w:r>
      <w:r>
        <w:rPr>
          <w:rFonts w:hint="eastAsia" w:ascii="宋体" w:hAnsi="宋体" w:cs="宋体"/>
          <w:color w:val="000000"/>
          <w:szCs w:val="21"/>
          <w:highlight w:val="none"/>
          <w:u w:val="single"/>
        </w:rPr>
        <w:t xml:space="preserve">承包人应当遵守国家和工程所在地有关安全文明生产的要求；安全文明生产施工措施费仅计取基本费和扬尘污染防治增加费；发包人不要求创建市级、省级安全文明标准化示范工地，若承包人自行创建，发包人不承担由此增加的相关费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6.1.4关于治安保卫的特别约定：</w:t>
      </w:r>
      <w:r>
        <w:rPr>
          <w:rFonts w:hint="eastAsia" w:ascii="宋体" w:hAnsi="宋体" w:cs="宋体"/>
          <w:color w:val="000000"/>
          <w:szCs w:val="21"/>
          <w:highlight w:val="none"/>
          <w:u w:val="single"/>
        </w:rPr>
        <w:t xml:space="preserve">承包人还应遵守扬州大学校园治安保卫相关规章制度，具体要求由发包人代表明确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关于编制施工场地治安管理计划的约定：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6.1.5文明施工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合同当事人对文明施工的要求：</w:t>
      </w:r>
      <w:r>
        <w:rPr>
          <w:rFonts w:hint="eastAsia" w:ascii="宋体" w:hAnsi="宋体" w:cs="宋体"/>
          <w:color w:val="000000"/>
          <w:szCs w:val="21"/>
          <w:highlight w:val="none"/>
          <w:u w:val="single"/>
        </w:rPr>
        <w:t xml:space="preserve">承包人还应遵守扬州大学校园文明施工相关规章制度，具体要求由发包人代表明确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6.1.6关于安全文明施工费支付比例和支付期限的约定：</w:t>
      </w:r>
      <w:r>
        <w:rPr>
          <w:rFonts w:hint="eastAsia" w:ascii="宋体" w:hAnsi="宋体" w:cs="宋体"/>
          <w:color w:val="000000"/>
          <w:szCs w:val="21"/>
          <w:highlight w:val="none"/>
          <w:u w:val="single"/>
        </w:rPr>
        <w:t xml:space="preserve">按工程所在地建设行政管理部门的规定执行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7.工期和进度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7.1施工组织设计</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7.1.1合同当事人约定的施工组织设计应包括的其他内容：</w:t>
      </w:r>
      <w:r>
        <w:rPr>
          <w:rFonts w:hint="eastAsia" w:ascii="宋体" w:hAnsi="宋体" w:cs="宋体"/>
          <w:color w:val="000000"/>
          <w:szCs w:val="21"/>
          <w:highlight w:val="none"/>
          <w:u w:val="single"/>
        </w:rPr>
        <w:t xml:space="preserve">由发包人代表另行明确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7.1.2施工组织设计的提交和修改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承包人提交详细施工组织设计的期限的约定：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发包人和监理人在收到详细的施工组织设计后确认或提出修改意见的期限：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7.2施工进度计划</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7.2.2施工进度计划的修订</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发包人和监理人在收到修订的施工进度计划后确认或提出修改意见的期限：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7.3开工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7.3.1开工准备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关于承包人提交工程开工报审表的期限：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关于发包人应完成的其他开工准备工作及期限：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关于承包人应完成的其他开工准备工作及期限：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7.3.2开工通知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因发包人原因造成监理人未能在计划开工日期之日起</w:t>
      </w:r>
      <w:r>
        <w:rPr>
          <w:rFonts w:hint="eastAsia" w:ascii="宋体" w:hAnsi="宋体" w:cs="宋体"/>
          <w:color w:val="000000"/>
          <w:szCs w:val="21"/>
          <w:highlight w:val="none"/>
          <w:u w:val="single"/>
        </w:rPr>
        <w:t xml:space="preserve">180</w:t>
      </w:r>
      <w:r>
        <w:rPr>
          <w:rFonts w:hint="eastAsia" w:ascii="宋体" w:hAnsi="宋体" w:cs="宋体"/>
          <w:color w:val="000000"/>
          <w:szCs w:val="21"/>
          <w:highlight w:val="none"/>
        </w:rPr>
        <w:t xml:space="preserve">天内发出开工通知的，承包人有权提出价格调整要求，或者解除合同。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7.4测量放线</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7.4.1发包人通过监理人向承包人提供测量基准点、基准线和水准点及其书面资料的期限：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7.5工期延误</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7.5.1因发包人原因导致工期延误</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（7）因发包人原因导致工期延误的其他情形：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7.5.2因承包人原因导致工期延误</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因承包人原因造成工期延误，逾期竣工违约金的计算方法为：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每延误1天，按签约合同价的万分之五计算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因承包人原因造成工期延误，逾期竣工违约金的上限：</w:t>
      </w:r>
      <w:r>
        <w:rPr>
          <w:rFonts w:hint="eastAsia" w:ascii="宋体" w:hAnsi="宋体" w:cs="宋体"/>
          <w:color w:val="000000"/>
          <w:szCs w:val="21"/>
          <w:highlight w:val="none"/>
          <w:u w:val="single"/>
        </w:rPr>
        <w:t xml:space="preserve">签约合同价的10%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7.6不利物质条件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不利物质条件的其他情形和有关约定：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7.7异常恶劣的气候条件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发包人和承包人同意以下情形视为异常恶劣的气候条件：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u w:val="single"/>
        </w:rPr>
        <w:t xml:space="preserve">工程所在地气象行政管理部门认定的情形</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7.9提前竣工的奖励</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7.9.2提前竣工的奖励：</w:t>
      </w:r>
      <w:r>
        <w:rPr>
          <w:rFonts w:hint="eastAsia" w:ascii="宋体" w:hAnsi="宋体" w:cs="宋体"/>
          <w:color w:val="000000"/>
          <w:szCs w:val="21"/>
          <w:highlight w:val="none"/>
          <w:u w:val="single"/>
        </w:rPr>
        <w:t xml:space="preserve">提前竣工无奖励</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8.材料与设备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8.4材料与工程设备的保管与使用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8.4.1发包人供应的材料设备的保管费用的承担：</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8.6样品</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8.6.1样品的报送与封存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需要承包人报送样品的材料或工程设备，样品的种类、名称、规格、数量要求：</w:t>
      </w:r>
      <w:r>
        <w:rPr>
          <w:rFonts w:hint="eastAsia" w:ascii="宋体" w:hAnsi="宋体" w:cs="宋体"/>
          <w:color w:val="000000"/>
          <w:szCs w:val="21"/>
          <w:highlight w:val="none"/>
          <w:u w:val="single"/>
        </w:rPr>
        <w:t xml:space="preserve">主要材料和工程设备均要求报送，具体要求由发包人代表明确</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8.8施工设备和临时设施</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8.8.1承包人提供的施工设备和临时设施</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关于修建临时设施费用承担的约定：</w:t>
      </w:r>
      <w:r>
        <w:rPr>
          <w:rFonts w:hint="eastAsia" w:ascii="宋体" w:hAnsi="宋体" w:cs="宋体"/>
          <w:color w:val="000000"/>
          <w:szCs w:val="21"/>
          <w:highlight w:val="none"/>
          <w:u w:val="single"/>
        </w:rPr>
        <w:t xml:space="preserve">承包人应自行承担修建临时设施的费用。如临时占地发包人无使用权的，由承包人办理申请手续并承担相应费用</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9.试验与检验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9.1试验设备与试验人员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9.1.2试验设备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施工现场需要配置的试验场所：</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施工现场需要配备的试验设备：</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施工现场需要具备的其他试验条件：</w:t>
      </w:r>
      <w:r>
        <w:rPr>
          <w:rFonts w:hint="eastAsia" w:ascii="宋体" w:hAnsi="宋体" w:cs="宋体"/>
          <w:color w:val="000000"/>
          <w:szCs w:val="21"/>
          <w:highlight w:val="none"/>
          <w:u w:val="single"/>
        </w:rPr>
        <w:t xml:space="preserve">承包人按法律、标准和规范执行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9.4现场工艺试验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现场工艺试验的有关约定：</w:t>
      </w:r>
      <w:r>
        <w:rPr>
          <w:rFonts w:hint="eastAsia" w:ascii="宋体" w:hAnsi="宋体" w:cs="宋体"/>
          <w:color w:val="000000"/>
          <w:szCs w:val="21"/>
          <w:highlight w:val="none"/>
          <w:u w:val="single"/>
        </w:rPr>
        <w:t xml:space="preserve">按监理人指示</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10.变更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10.1变更的范围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关于变更的范围的约定：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10.4变更估价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10.4.1变更估价原则</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关于变更估价的约定：</w:t>
      </w:r>
      <w:r>
        <w:rPr>
          <w:rFonts w:hint="eastAsia" w:ascii="宋体" w:hAnsi="宋体" w:cs="宋体"/>
          <w:color w:val="000000"/>
          <w:szCs w:val="21"/>
          <w:highlight w:val="none"/>
          <w:u w:val="single"/>
        </w:rPr>
        <w:t xml:space="preserve">详见合同附言21.4</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10.5承包人的合理化建议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监理人审查承包人合理化建议的期限：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发包人审批承包人合理化建议的期限：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承包人提出的合理化建议降低了合同价格或者提高了工程经济效益的奖励的方法和金额为：</w:t>
      </w:r>
      <w:r>
        <w:rPr>
          <w:rFonts w:hint="eastAsia" w:ascii="宋体" w:hAnsi="宋体" w:cs="宋体"/>
          <w:color w:val="000000"/>
          <w:szCs w:val="21"/>
          <w:highlight w:val="none"/>
          <w:u w:val="single"/>
        </w:rPr>
        <w:t xml:space="preserve">甲乙双方另行协商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10.7暂估价</w:t>
      </w:r>
      <w:r>
        <w:rPr>
          <w:rFonts w:hint="eastAsia" w:ascii="宋体" w:hAnsi="宋体" w:cs="宋体"/>
          <w:color w:val="000000"/>
          <w:szCs w:val="21"/>
          <w:highlight w:val="none"/>
          <w:u w:val="single"/>
        </w:rPr>
        <w:t xml:space="preserve">（详见合同附言21.5）</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暂估价材料和工程设备的明细详见附件11：《暂估价一览表》。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10.7.1依法必须招标的暂估价项目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对于依法必须招标的暂估价项目的确认和批准，</w:t>
      </w:r>
      <w:r>
        <w:rPr>
          <w:rFonts w:hint="eastAsia" w:ascii="宋体" w:hAnsi="宋体" w:cs="宋体"/>
          <w:color w:val="000000"/>
          <w:szCs w:val="21"/>
          <w:highlight w:val="none"/>
          <w:u w:val="single"/>
        </w:rPr>
        <w:t xml:space="preserve">详见合同附言21.5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10.7.2不属于依法必须招标的暂估价项目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对于不属于依法必须招标的暂估价项目的确认和批准，</w:t>
      </w:r>
      <w:r>
        <w:rPr>
          <w:rFonts w:hint="eastAsia" w:ascii="宋体" w:hAnsi="宋体" w:cs="宋体"/>
          <w:color w:val="000000"/>
          <w:szCs w:val="21"/>
          <w:highlight w:val="none"/>
          <w:u w:val="single"/>
        </w:rPr>
        <w:t xml:space="preserve">详见合同附言21.5</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10.8暂列金额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合同当事人关于暂列金额使用的约定：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11.价格调整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11.1市场价格波动引起的调整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市场价格波动是否调整合同价格的约定：</w:t>
      </w:r>
      <w:r>
        <w:rPr>
          <w:rFonts w:hint="eastAsia" w:ascii="宋体" w:hAnsi="宋体" w:cs="宋体"/>
          <w:color w:val="000000"/>
          <w:szCs w:val="21"/>
          <w:highlight w:val="none"/>
          <w:u w:val="single"/>
        </w:rPr>
        <w:t xml:space="preserve">调整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因市场价格波动调整合同价格，采用以下第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种方式对合同价格进行调整：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第1种方式：采用价格指数进行价格调整。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关于各可调因子、定值和变值权重，以及基本价格指数及其来源的约定：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第2种方式：采用造价信息进行价格调整。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（2）关于基准价格的约定：</w:t>
      </w:r>
      <w:r>
        <w:rPr>
          <w:rFonts w:hint="eastAsia" w:ascii="宋体" w:hAnsi="宋体" w:cs="宋体"/>
          <w:color w:val="000000"/>
          <w:szCs w:val="21"/>
          <w:highlight w:val="none"/>
          <w:u w:val="single"/>
        </w:rPr>
        <w:t xml:space="preserve">以</w:t>
      </w:r>
      <w:r>
        <w:rPr>
          <w:rFonts w:hint="eastAsia" w:ascii="宋体" w:hAnsi="宋体" w:cs="宋体"/>
          <w:color w:val="000000"/>
          <w:szCs w:val="21"/>
          <w:highlight w:val="none"/>
          <w:u w:val="single"/>
          <w:lang w:val="en-US" w:eastAsia="zh-CN"/>
        </w:rPr>
        <w:t xml:space="preserve">招标</w:t>
      </w:r>
      <w:r>
        <w:rPr>
          <w:rFonts w:hint="eastAsia" w:ascii="宋体" w:hAnsi="宋体" w:cs="宋体"/>
          <w:color w:val="000000"/>
          <w:szCs w:val="21"/>
          <w:highlight w:val="none"/>
          <w:u w:val="single"/>
          <w:lang w:eastAsia="zh-CN"/>
        </w:rPr>
        <w:t xml:space="preserve">文件</w:t>
      </w:r>
      <w:r>
        <w:rPr>
          <w:rFonts w:hint="eastAsia" w:ascii="宋体" w:hAnsi="宋体" w:cs="宋体"/>
          <w:color w:val="000000"/>
          <w:szCs w:val="21"/>
          <w:highlight w:val="none"/>
          <w:u w:val="single"/>
        </w:rPr>
        <w:t xml:space="preserve">中《承包人提供主要材料和工程设备一览表（适用于造价信息差额调整法）》所列价格为基准价格，未列出者不予调整</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%时，或材料单价跌幅以已标价工程量清单或预算书中载明材料单价为基础超过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%时，材料单价涨幅以已标价工程量清单或预算书中载明材料单价为基础超过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%时，其超过部分据实调整。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第3种方式：其他价格调整方式：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12.合同价格、计量与支付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12.1合同价格形式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1、单价合同。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综合单价包含的风险范围：</w:t>
      </w:r>
      <w:r>
        <w:rPr>
          <w:rFonts w:hint="eastAsia" w:ascii="宋体" w:hAnsi="宋体" w:cs="宋体"/>
          <w:color w:val="000000"/>
          <w:szCs w:val="21"/>
          <w:highlight w:val="none"/>
          <w:u w:val="single"/>
        </w:rPr>
        <w:t xml:space="preserve">①专用条款第11.1款市场价格波动②工程变更③政策性调整④招标清单错误或漏项，除上述4点外均为风险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风险费用含在承包人投标报价内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详见合同附言21.6</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总价包含的风险范围：</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风险费用的计算方法：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风险范围以外合同价格的调整方法：</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3、其他价格方式：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12.2预付款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12.2.1预付款的支付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预付款支付比例或金额：</w:t>
      </w:r>
      <w:r>
        <w:rPr>
          <w:rFonts w:hint="eastAsia" w:ascii="宋体" w:hAnsi="宋体" w:cs="宋体"/>
          <w:color w:val="000000"/>
          <w:szCs w:val="21"/>
          <w:highlight w:val="none"/>
          <w:u w:val="single"/>
        </w:rPr>
        <w:t xml:space="preserve">除按照第6.1.6款支付安全文明措施费外，无其它预付款</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预付款支付期限：</w:t>
      </w:r>
      <w:r>
        <w:rPr>
          <w:rFonts w:hint="eastAsia" w:ascii="宋体" w:hAnsi="宋体" w:cs="宋体"/>
          <w:color w:val="000000"/>
          <w:szCs w:val="21"/>
          <w:highlight w:val="none"/>
          <w:u w:val="single"/>
        </w:rPr>
        <w:t xml:space="preserve">安全文明措施费按相关规定执行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预付款扣回的方式：</w:t>
      </w:r>
      <w:r>
        <w:rPr>
          <w:rFonts w:hint="eastAsia" w:ascii="宋体" w:hAnsi="宋体" w:cs="宋体"/>
          <w:color w:val="000000"/>
          <w:szCs w:val="21"/>
          <w:highlight w:val="none"/>
          <w:u w:val="single"/>
        </w:rPr>
        <w:t xml:space="preserve">按照合同附言21.7付款周期相关条款执行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12.2.2预付款担保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承包人提交预付款担保的期限：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预付款担保的形式为：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12.3计量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12.3.1计量原则</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工程量计算规则：</w:t>
      </w:r>
      <w:r>
        <w:rPr>
          <w:rFonts w:hint="eastAsia" w:ascii="宋体" w:hAnsi="宋体" w:cs="宋体"/>
          <w:color w:val="000000"/>
          <w:szCs w:val="21"/>
          <w:highlight w:val="none"/>
          <w:u w:val="single"/>
        </w:rPr>
        <w:t xml:space="preserve">国家计量规范规定的工程量计算规则</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12.3.2计量周期</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关于计量周期的约定：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12.3.3单价合同的计量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关于单价合同计量的约定：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12.3.4总价合同的计量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关于总价合同计量的约定：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12.3.5总价合同采用支付分解表计量支付的，是否适用第12.3.4项〔总价合同的计量〕约定进行计量：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12.3.6其他价格形式合同的计量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其他价格形式的计量方式和程序：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12.4工程进度款支付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12.4.1付款周期</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关于付款周期的约定：</w:t>
      </w:r>
      <w:r>
        <w:rPr>
          <w:rFonts w:hint="eastAsia" w:ascii="宋体" w:hAnsi="宋体" w:cs="宋体"/>
          <w:color w:val="000000"/>
          <w:szCs w:val="21"/>
          <w:highlight w:val="none"/>
          <w:u w:val="single"/>
        </w:rPr>
        <w:t xml:space="preserve">按工程形象进度付款，具体详见合同附言21.7</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12.4.2进度付款申请单的编制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关于进度付款申请单编制的约定：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12.4.3进度付款申请单的提交</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（1）单价合同进度付款申请单提交的约定：</w:t>
      </w:r>
      <w:r>
        <w:rPr>
          <w:rFonts w:hint="eastAsia" w:ascii="宋体" w:hAnsi="宋体" w:cs="宋体"/>
          <w:color w:val="000000"/>
          <w:szCs w:val="21"/>
          <w:highlight w:val="none"/>
          <w:u w:val="single"/>
        </w:rPr>
        <w:t xml:space="preserve">按付款周期提交</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（3）其他价格形式合同进度付款申请单提交的约定：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12.4.4进度款审核和支付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（1）监理人审查并报送发包人的期限：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发包人完成审批并签发进度款支付证书的期限：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（2）发包人支付进度款的期限：</w:t>
      </w:r>
      <w:r>
        <w:rPr>
          <w:rFonts w:hint="eastAsia" w:ascii="宋体" w:hAnsi="宋体" w:cs="宋体"/>
          <w:color w:val="000000"/>
          <w:szCs w:val="21"/>
          <w:highlight w:val="none"/>
          <w:u w:val="single"/>
        </w:rPr>
        <w:t xml:space="preserve">28天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发包人逾期支付进度款的违约金的计算方式：</w:t>
      </w:r>
      <w:r>
        <w:rPr>
          <w:rFonts w:hint="eastAsia" w:ascii="宋体" w:hAnsi="宋体" w:cs="宋体"/>
          <w:color w:val="000000"/>
          <w:szCs w:val="21"/>
          <w:highlight w:val="none"/>
          <w:u w:val="single"/>
        </w:rPr>
        <w:t xml:space="preserve">发包人不支付违约金</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12.4.6支付分解表的编制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2、总价合同支付分解表的编制与审批：</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3、单价合同的总价项目支付分解表的编制与审批：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13.验收和工程试车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13.1分部分项工程验收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13.1.2监理人不能按时进行验收时，应提前</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小时提交书面延期要求。</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关于延期最长不得超过：</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小时。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13.2竣工验收</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13.2.2竣工验收程序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关于竣工验收程序的约定：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发包人不按照本项约定组织竣工验收、颁发工程接收证书的违约金的计算方法：</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13.2.5移交、接收全部与部分工程</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承包人向发包人移交工程的期限：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发包人未按本合同约定接收全部或部分工程的，违约金的计算方法为：</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承包人未按时移交工程的，违约金的计算方法为：</w:t>
      </w:r>
      <w:r>
        <w:rPr>
          <w:rFonts w:hint="eastAsia" w:ascii="宋体" w:hAnsi="宋体" w:cs="宋体"/>
          <w:color w:val="000000"/>
          <w:szCs w:val="21"/>
          <w:highlight w:val="none"/>
          <w:u w:val="single"/>
        </w:rPr>
        <w:t xml:space="preserve">每逾期1天，按签约合同价的千分之一计算</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13.3工程试车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13.3.1试车程序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工程试车内容：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（1）单机无负荷试车费用由</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（2）无负荷联动试车费用由</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13.3.3投料试车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关于投料试车相关事项的约定：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13.6竣工退场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13.6.1竣工退场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承包人完成竣工退场的期限：</w:t>
      </w:r>
      <w:r>
        <w:rPr>
          <w:rFonts w:hint="eastAsia" w:ascii="宋体" w:hAnsi="宋体" w:cs="宋体"/>
          <w:color w:val="000000"/>
          <w:szCs w:val="21"/>
          <w:highlight w:val="none"/>
          <w:u w:val="single"/>
        </w:rPr>
        <w:t xml:space="preserve">颁发工程接收证书后30天内</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14.竣工结算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14.1竣工结算申请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承包人提交竣工结算申请单的期限：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竣工结算申请单应包括的内容：</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14.2竣工结算审核</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发包人审批竣工付款申请单的期限：</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发包人完成竣工付款的期限：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关于竣工付款证书异议部分复核的方式和程序：</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14.4最终结清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14.4.1最终结清申请单</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承包人提交最终结清申请单的份数：</w:t>
      </w:r>
      <w:r>
        <w:rPr>
          <w:rFonts w:hint="eastAsia" w:ascii="宋体" w:hAnsi="宋体" w:cs="宋体"/>
          <w:color w:val="000000"/>
          <w:szCs w:val="21"/>
          <w:highlight w:val="none"/>
          <w:u w:val="single"/>
        </w:rPr>
        <w:t xml:space="preserve">6份</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承包人提交最终结算申请单的期限：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14.4.2最终结清证书和支付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（1）发包人完成最终结清申请单的审批并颁发最终结清证书的期限：</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（2）发包人完成支付的期限：</w:t>
      </w:r>
      <w:r>
        <w:rPr>
          <w:rFonts w:hint="eastAsia" w:ascii="宋体" w:hAnsi="宋体" w:cs="宋体"/>
          <w:color w:val="000000"/>
          <w:szCs w:val="21"/>
          <w:highlight w:val="none"/>
          <w:u w:val="single"/>
        </w:rPr>
        <w:t xml:space="preserve">56天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15.缺陷责任期与保修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15.2缺陷责任期</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缺陷责任期的具体期限：</w:t>
      </w:r>
      <w:r>
        <w:rPr>
          <w:rFonts w:hint="eastAsia" w:ascii="宋体" w:hAnsi="宋体" w:cs="宋体"/>
          <w:color w:val="000000"/>
          <w:szCs w:val="21"/>
          <w:highlight w:val="none"/>
          <w:u w:val="single"/>
        </w:rPr>
        <w:t xml:space="preserve">24个月</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15.3质量保证金</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关于是否扣留质量保证金的约定：</w:t>
      </w:r>
      <w:r>
        <w:rPr>
          <w:rFonts w:hint="eastAsia" w:ascii="宋体" w:hAnsi="宋体" w:cs="宋体"/>
          <w:color w:val="000000"/>
          <w:szCs w:val="21"/>
          <w:highlight w:val="none"/>
          <w:u w:val="single"/>
        </w:rPr>
        <w:t xml:space="preserve">是</w:t>
      </w:r>
      <w:r>
        <w:rPr>
          <w:rFonts w:hint="eastAsia" w:ascii="宋体" w:hAnsi="宋体" w:cs="宋体"/>
          <w:color w:val="000000"/>
          <w:szCs w:val="21"/>
          <w:highlight w:val="none"/>
        </w:rPr>
        <w:t xml:space="preserve">。在工程项目竣工前，承包人按专用合同条款第3.7条提供履约担保的，发包人不得同时预留工程质量保证金。</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15.3.1承包人提供质量保证金的方式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质量保证金采用以下第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（1）质量保证金保函，保证金额为：</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u w:val="single"/>
        </w:rPr>
        <w:t xml:space="preserve">　3　</w:t>
      </w:r>
      <w:r>
        <w:rPr>
          <w:rFonts w:hint="eastAsia" w:ascii="宋体" w:hAnsi="宋体" w:cs="宋体"/>
          <w:color w:val="000000"/>
          <w:szCs w:val="21"/>
          <w:highlight w:val="none"/>
        </w:rPr>
        <w:t xml:space="preserve">%的工程款；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15.3.2质量保证金的扣留</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质量保证金的扣留采取以下第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（1）在支付工程进度款时逐次扣留，在此情形下，质量保证金的计算基数不包括预付款的支付、扣回以及价格调整的金额；</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（2）工程竣工结算时一次性扣留质量保证金；</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（3）其他扣留方式：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关于质量保证金的补充约定：</w:t>
      </w:r>
      <w:r>
        <w:rPr>
          <w:rFonts w:hint="eastAsia" w:ascii="宋体" w:hAnsi="宋体" w:cs="宋体"/>
          <w:color w:val="000000"/>
          <w:szCs w:val="21"/>
          <w:highlight w:val="none"/>
          <w:u w:val="single"/>
        </w:rPr>
        <w:t xml:space="preserve">发包人在退还质量保证金时不计息</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15.4保修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15.4.1保修责任</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工程保修期为：</w:t>
      </w:r>
      <w:r>
        <w:rPr>
          <w:rFonts w:hint="eastAsia" w:ascii="宋体" w:hAnsi="宋体" w:cs="宋体"/>
          <w:color w:val="000000"/>
          <w:szCs w:val="21"/>
          <w:highlight w:val="none"/>
          <w:u w:val="single"/>
        </w:rPr>
        <w:t xml:space="preserve">详见附件《工程质量保修书》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15.4.3修复通知</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承包人收到保修通知并到达工程现场的合理时间：</w:t>
      </w:r>
      <w:r>
        <w:rPr>
          <w:rFonts w:hint="eastAsia" w:ascii="宋体" w:hAnsi="宋体" w:cs="宋体"/>
          <w:color w:val="000000"/>
          <w:szCs w:val="21"/>
          <w:highlight w:val="none"/>
          <w:u w:val="single"/>
        </w:rPr>
        <w:t xml:space="preserve">3天</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16.违约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16.1发包人违约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16.1.1发包人违约的情形</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发包人违约的其他情形：</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16.1.2发包人违约的责任</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发包人违约责任的承担方式和计算方法：</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（1）因发包人原因未能在计划开工日期前7天内下达开工通知的违约责任：</w:t>
      </w:r>
      <w:r>
        <w:rPr>
          <w:rFonts w:hint="eastAsia" w:ascii="宋体" w:hAnsi="宋体" w:cs="宋体"/>
          <w:color w:val="000000"/>
          <w:szCs w:val="21"/>
          <w:highlight w:val="none"/>
          <w:u w:val="single"/>
        </w:rPr>
        <w:t xml:space="preserve">仅工期顺延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（2）因发包人原因未能按合同约定支付合同价款的违约责任：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（3）发包人违反第10.1款〔变更的范围〕第（2）项约定，自行实施被取消的工作或转由他人实施的违约责任：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highlight w:val="none"/>
          <w:u w:val="single"/>
        </w:rPr>
        <w:t xml:space="preserve">仅工期顺延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（5）因发包人违反合同约定造成暂停施工的违约责任：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（6）发包人无正当理由没有在约定期限内发出复工指示，导致承包人无法复工的违约责任：</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16.1.3因发包人违约解除合同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承包人按16.1.1项〔发包人违约的情形〕约定暂停施工满</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天后发包人仍不纠正其违约行为并致使合同目的不能实现的，承包人有权解除合同。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16.2承包人违约</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16.2.1承包人违约的情形</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承包人违约的其他情形：</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16.2.2承包人违约的责任</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u w:val="single"/>
        </w:rPr>
      </w:pPr>
      <w:r>
        <w:rPr>
          <w:rFonts w:hint="eastAsia" w:ascii="宋体" w:hAnsi="宋体" w:cs="宋体"/>
          <w:color w:val="000000"/>
          <w:szCs w:val="21"/>
          <w:highlight w:val="none"/>
        </w:rPr>
        <w:t xml:space="preserve">承包人违约责任的承担方式和计算方法：</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16.2.3因承包人违约解除合同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关于承包人违约解除合同的特别约定：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highlight w:val="none"/>
          <w:u w:val="single"/>
        </w:rPr>
        <w:t xml:space="preserve">双方另行协商</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17.不可抗力</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17.1不可抗力的确认</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除通用合同条款约定的不可抗力事件之外，视为不可抗力的其他情形：</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17.4因不可抗力解除合同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合同解除后，发包人应在商定或确定发包人应支付款项后</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天内完成款项的支付。</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18.保险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18.1工程保险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关于工程保险的特别约定：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18.3其他保险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关于其他保险的约定：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承包人是否应为其施工设备等办理财产保险：</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18.7通知义务</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关于变更保险合同时的通知义务的约定：</w:t>
      </w:r>
      <w:r>
        <w:rPr>
          <w:rFonts w:hint="eastAsia" w:ascii="宋体" w:hAnsi="宋体" w:cs="宋体"/>
          <w:color w:val="000000"/>
          <w:szCs w:val="21"/>
          <w:highlight w:val="none"/>
          <w:u w:val="single"/>
        </w:rPr>
        <w:t xml:space="preserve">[按通用条款执行]</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20.争议解决</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20.3争议评审</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合同当事人是否同意将工程争议提交争议评审小组决定：</w:t>
      </w:r>
      <w:r>
        <w:rPr>
          <w:rFonts w:hint="eastAsia" w:ascii="宋体" w:hAnsi="宋体" w:cs="宋体"/>
          <w:color w:val="000000"/>
          <w:szCs w:val="21"/>
          <w:highlight w:val="none"/>
          <w:u w:val="single"/>
        </w:rPr>
        <w:t xml:space="preserve">否</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20.3.1争议评审小组的确定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争议评审小组成员的确定：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选定争议评审员的期限：</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争议评审小组成员的报酬承担方式：</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其他事项的约定：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20.3.2争议评审小组的决定</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合同当事人关于本项的约定：</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20.4仲裁或诉讼</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因合同及合同有关事项发生的争议，按下列第</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种方式解决：</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（1）向</w:t>
      </w:r>
      <w:r>
        <w:rPr>
          <w:rFonts w:hint="eastAsia" w:ascii="宋体" w:hAnsi="宋体" w:cs="宋体"/>
          <w:color w:val="000000"/>
          <w:szCs w:val="21"/>
          <w:highlight w:val="none"/>
          <w:u w:val="single"/>
        </w:rPr>
        <w:t xml:space="preserve">　×　</w:t>
      </w:r>
      <w:r>
        <w:rPr>
          <w:rFonts w:hint="eastAsia" w:ascii="宋体" w:hAnsi="宋体" w:cs="宋体"/>
          <w:color w:val="000000"/>
          <w:szCs w:val="21"/>
          <w:highlight w:val="none"/>
        </w:rPr>
        <w:t xml:space="preserve">仲裁委员会申请仲裁；</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（2）向</w:t>
      </w:r>
      <w:r>
        <w:rPr>
          <w:rFonts w:hint="eastAsia" w:ascii="宋体" w:hAnsi="宋体" w:cs="宋体"/>
          <w:color w:val="000000"/>
          <w:szCs w:val="21"/>
          <w:highlight w:val="none"/>
          <w:u w:val="single"/>
        </w:rPr>
        <w:t xml:space="preserve">工程所在地</w:t>
      </w:r>
      <w:r>
        <w:rPr>
          <w:rFonts w:hint="eastAsia" w:ascii="宋体" w:hAnsi="宋体" w:cs="宋体"/>
          <w:color w:val="000000"/>
          <w:szCs w:val="21"/>
          <w:highlight w:val="none"/>
        </w:rPr>
        <w:t xml:space="preserve">人民法院起诉。</w:t>
      </w:r>
      <w:r>
        <w:rPr>
          <w:rFonts w:hint="eastAsia" w:ascii="宋体" w:hAnsi="宋体" w:cs="宋体"/>
          <w:color w:val="000000"/>
          <w:szCs w:val="21"/>
          <w:highlight w:val="none"/>
        </w:rPr>
        <w:br w:type="textWrapping" w:clear="all"/>
      </w:r>
      <w:r>
        <w:rPr>
          <w:rFonts w:hint="eastAsia" w:ascii="宋体" w:hAnsi="宋体" w:cs="宋体"/>
          <w:color w:val="000000"/>
          <w:szCs w:val="21"/>
          <w:highlight w:val="none"/>
        </w:rPr>
        <w:t xml:space="preserve">21.合同附言</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本合同附言如与通用条款和专用条款前述相关内容表述不一致的，以本合同附言为准。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21.1分包（专用条款3.5）</w:t>
      </w:r>
      <w:r>
        <w:rPr>
          <w:rFonts w:ascii="宋体" w:hAnsi="宋体" w:cs="宋体"/>
          <w:color w:val="000000"/>
          <w:szCs w:val="21"/>
          <w:highlight w:val="none"/>
        </w:rPr>
      </w:r>
      <w:r/>
    </w:p>
    <w:p>
      <w:pPr>
        <w:pStyle w:val="901"/>
        <w:ind w:firstLine="560"/>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（1）根据分包项目的情况，按下列标准计算总承包服务费：</w:t>
      </w:r>
      <w:r>
        <w:rPr>
          <w:rFonts w:ascii="宋体" w:hAnsi="宋体" w:cs="宋体"/>
          <w:b/>
          <w:bCs/>
          <w:color w:val="000000"/>
          <w:szCs w:val="21"/>
          <w:highlight w:val="none"/>
        </w:rPr>
      </w:r>
      <w:r/>
    </w:p>
    <w:p>
      <w:pPr>
        <w:pStyle w:val="901"/>
        <w:ind w:firstLine="772"/>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发包人要求对分包的专业工程进行总承包管理和协调，同时要求提供配合服务时，按分包的专业工程结算价的2%计算总承包服务费；</w:t>
      </w:r>
      <w:r>
        <w:rPr>
          <w:rFonts w:ascii="宋体" w:hAnsi="宋体" w:cs="宋体"/>
          <w:b/>
          <w:bCs/>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（2）上述费用在分包合同中明确，承包人不得再向发包人收取。</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（3）渣土运输由承包人自行管理和协调，发包人不承担承包人总包服务费。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21.2发包人及监理人在现场的办公场所、生活场所（专用条款4.1）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发包人、监理人以及发包人委托的与本工程建设相关的其他咨询人员在施工现场的办公场所由承包人提供，所发生的费用由承包人承担。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21.3甲供材料和工程设备（专用条款8.1）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（1）发包人提供的材料和工程设备，承包人应提前60天（特殊材料和工程设备应提前90天）填报《扬州大学基建工程甲供货物计划单》通知发包人。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（2）如因承包人计划错误或不及时，造成发包人提供的材料和工程设备的品种、规格、数量、供应时间等与工程实际需求不符，由此增加的费用和（或）延误的工期，由承包人承担。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（3）发包人提供的材料和工程设备，承包人应及时清点、检验和接收，并及时开具《扬州大学基建工程货物收货（验收）单》，承包人无故推迟或不开具收货单，承包人承担每天2000元的违约金。</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（4）承包人应在通过竣工验收之日后14天内与发包人完成甲供材对账工作。</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（5）发包人提供的材料和工程设备未经检验或检验不合格的，承包人不得使用，否则，由此产生的后果由承包人承担。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21.4变更估价的约定（专用条款10.4.1）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（1）已标价工程量清单中有适用于变更工程项目的，应采用该项目的单价；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（2）已标价工程量清单没有适用但有类似于变更工程项目的，可在合理范围内参照类似项目的单价；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已标价工程量清单中没有适用也没有类似变更工程项目的，由承包人根据变更工程资料、计量规则和计价办法、工程造价管理机构发布的信息价格和承包人报价浮动率提出变更工程项目的单价，并报发包人确认后调整。承包人报价浮动率按以下公式计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承包人报价浮动率L=[1－（中标价－暂估价－暂列金额）/（招标控制价－暂估价－暂列金额）]×100%</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工程造价管理机构发布的信息价格缺价的，应通过市场调查等取得有合法依据的市场价格；</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（4）工程变更引起施工方案改变并使措施项目发生变化</w:t>
      </w:r>
      <w:r>
        <w:rPr>
          <w:rFonts w:hint="eastAsia" w:ascii="宋体" w:hAnsi="宋体" w:cs="宋体"/>
          <w:color w:val="000000"/>
          <w:szCs w:val="21"/>
          <w:highlight w:val="none"/>
        </w:rPr>
        <w:t xml:space="preserve">时，承包人提出调整措施项目费的，应事先将拟实施的方案提交发包人确认，并应详细说明与原方案措施项目相比的变化情况。拟实施的方案经发承包双方确认后执行，按下列规定调整措施项目费：①单价措施项目变更原则同分部分项工程；②总价措施项目中以费率报价的，费率不变；③总价措施项目中以费用报价的，按投标时口径折算成费率调整；④原措施费中没有的措施项目，由承包人提出适当的措施变更要求，经发包人确认后调整；⑤如果承包人未事先将拟实施的方案提交给发包人确认，则应视为工程变更不引起措施项目费的调整或承包人放弃调整措施项目费的权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（5）变更导致实际完成的工程量与已标价工程量清单中列明的该项目工程量有变化的，综合单价不调整；</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（6）通过以上调整原则，发包人和承包人之间仍存在异议的，由合同当事人按照第4.4款[商定与确定]确定变更工作的单价。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21.5专业工程暂估价项目（专用条款10.7）</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（1）依法必须招标的专业工程暂估价项目由发包人和承包人共同依法招标。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（2）不属于依法必须招标的专业工程暂估价项目由发包人和承包人参照现行的《扬州大学采购管理办法（试行）》共同确定分包人。</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（3）发包人、承包人与分包人共同签订专业工程暂估价项目分包合同（合同价中含总承包服务费，分包合同中应明确费率）。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（4）分包人向发包人进行分包合同的价款结算；承包人进行总承包管理，并向分包人收取总承包服务费。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21.6风险范围以外合同价格的调整方法（专用条款12.1）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承包人采购的主要材料和工程设备按专用条款第11.1款[采用造价信息进行价格调整]的方法调整，调整的费用仅计取税金，不作为计算其他费用的基数。价格波动以工程所在地建设行业主管部门或其授权的工程造价管理机构发布的材料信息价为准，缺项的以双方认定的价格为准。</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（2）工程变更按第21.4款执行。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（3）政策性调整按相关政策执行。其中，人工费用的调整按省级行业建设主管部门或其授权的工程造价管理机构执行，人工工资调整的费用仅计取税金，不作为计算其他费用的基数。</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（4）清单错误或漏项，前述专用条款已有约定的按约定执行；无约定的按国家相关规定执行。</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21.7付款周期（专用条款12.4.1）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（1）农民工工资</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农民工工资支付要求：农民工工资支付按有关文件规定执行。因承包人拖欠农民工工资所造成的一切后果均由其全部承担。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（2）工程进度款付款</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发包人按工程进度付款：每月按应予计量的已完工程合同价格的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%支付（不包含设计变更、签证等合同价以外调整费用）。付款时，发包人还应扣除①发包人代缴的相关费用；②计入合同价格的甲供材料和设备费用；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工程竣工，付至应予计量的已完工程合同价格的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%（不包含设计变更、签证等合同价以外调整费用），同时扣清预付的安全文明措施费用。发包人和监理人对进度款的审核仅作为进度付款依据。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（3）竣工结算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发包人审计完成后，结付至审计价的97%。余款3%作为工程质量保证金，待工程缺陷责任期满且履行了缺陷修复义务后一次性结清（不计利息）。</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上述款项的支付，须以承包人提供合法票据为前提。</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21.8竣工结算审核和审计（专用条款14.2）</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1）发包人委托监理人对承包人的竣工结算进行初步审核，监理人初审时间为</w:t>
      </w:r>
      <w:r>
        <w:rPr>
          <w:rFonts w:hint="eastAsia" w:ascii="宋体" w:hAnsi="宋体" w:cs="宋体"/>
          <w:color w:val="000000"/>
          <w:szCs w:val="21"/>
          <w:highlight w:val="none"/>
          <w:u w:val="single"/>
        </w:rPr>
        <w:t xml:space="preserve">56</w:t>
      </w:r>
      <w:r>
        <w:rPr>
          <w:rFonts w:hint="eastAsia" w:ascii="宋体" w:hAnsi="宋体" w:cs="宋体"/>
          <w:color w:val="000000"/>
          <w:szCs w:val="21"/>
          <w:highlight w:val="none"/>
        </w:rPr>
        <w:t xml:space="preserve">天。</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（2）经初步审核后的竣工结算由发包人委托的结算单审位进行审计；经审计后的竣工结算由发包人组织复审，以复审结果为最终结算依据。发包人审批竣工付款申请单的期限双方另行协商。</w:t>
      </w:r>
      <w:r>
        <w:rPr>
          <w:rFonts w:ascii="宋体" w:hAnsi="宋体" w:cs="宋体"/>
          <w:color w:val="000000"/>
          <w:szCs w:val="21"/>
          <w:highlight w:val="none"/>
        </w:rPr>
      </w:r>
      <w:r/>
    </w:p>
    <w:p>
      <w:pPr>
        <w:pStyle w:val="901"/>
        <w:ind w:firstLine="562"/>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（3）承包人应积极配合初审和审计工作，如因承包人送审资料不完整、配合工作不力、双方达不成一致性意见，造成初审和审计工作延后，发包人不承担相应责任。</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（4）为加强结算审计的严肃性，避免承包人虚报结算价款，对净核减率在5%及以上的单项工程，发包人将向承包人收取一定的审计费，具体收费标准及规则明确如下：</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①审计净核减率在5%以内的，不收取审计费用；</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②净核减率在5%~10%的（含5%），按净核减额的5%收取审计费；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③净核减率在10%以上（含10%），按净核减额的10%收取审计费。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b/>
          <w:color w:val="000000"/>
          <w:szCs w:val="21"/>
          <w:highlight w:val="none"/>
        </w:rPr>
        <w:t xml:space="preserve">净核减额=送审金额－审定金额；净核减率=[净核减额/送审金额]×100%</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对净核减率达到30%及以上，或经司法部门确认有触犯法律构成犯罪行为的，学校可取消该承包人及项目经理1~3年参加学校工程项目投标资格。</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21.9甲供材退价及水电费结算办法</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本条款所指“甲供材”，是指发包人提供用于本工程的材料和工程设备。</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（1）甲供材结算要求</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承包人在竣工结算时应编制“甲供材退价表”并报发包人审核。承包人应保证甲供材退价资料齐全、手续完备。发包人在收到甲供材退价资料后将及时审核并出具审核意见。</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（2）甲供材结算方法</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应退甲供材金额=超（欠）供数量×超（欠）供单价</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超（欠）供数量=实供数量－结算数量。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注：超供（实供数量&gt;结算数量）时，超供单价取结算单价与实供单价中的较高者；欠供（实供数量&lt;结算数量）时，欠供单价取结算单价与实供单价中的较低者。</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甲供材应当计算现场保管费，现场保管费按下列公式计算：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甲供材现场保管费＝甲供材实供单价×实供数量×1%</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发包人按应退甲供材金额扣除甲供材现场保管费后结算。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（3）水电费结算办法和程序</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承包人使用的水电由发包人供应，承包人必须挂表计量，生活用水电与施工用水电分开计量和结算。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①施工用水电，按水、电表读数乘以结算单价计算扣回；</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②生活用水电，按水、电表读数乘以市场价格计算扣回。</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承包人应当填写“工程施工用水电费结算表”，送发包人审核，未经审核，发包人不办理竣工结算。</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21.10跟踪审计</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本工程发包人委托</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作为审计代表参与本工程的跟踪审计工作。</w:t>
      </w:r>
      <w:r>
        <w:rPr>
          <w:rFonts w:ascii="宋体" w:hAnsi="宋体" w:cs="宋体"/>
          <w:color w:val="000000"/>
          <w:szCs w:val="21"/>
          <w:highlight w:val="none"/>
        </w:rPr>
      </w:r>
      <w:r/>
    </w:p>
    <w:p>
      <w:pPr>
        <w:pStyle w:val="901"/>
        <w:ind w:firstLine="560"/>
        <w:rPr>
          <w:rFonts w:ascii="宋体" w:hAnsi="宋体" w:cs="宋体"/>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highlight w:val="none"/>
        </w:rPr>
      </w:r>
      <w:r/>
    </w:p>
    <w:p>
      <w:pPr>
        <w:pStyle w:val="901"/>
        <w:jc w:val="left"/>
        <w:spacing w:line="360" w:lineRule="auto"/>
        <w:rPr>
          <w:rFonts w:ascii="宋体" w:hAnsi="宋体" w:cs="宋体"/>
          <w:b/>
          <w:color w:val="000000"/>
          <w:szCs w:val="21"/>
          <w:highlight w:val="none"/>
        </w:rPr>
      </w:pPr>
      <w:r/>
      <w:bookmarkStart w:id="129" w:name="_Toc351203652"/>
      <w:r>
        <w:rPr>
          <w:rFonts w:hint="eastAsia" w:ascii="宋体" w:hAnsi="宋体" w:cs="宋体"/>
          <w:b/>
          <w:color w:val="000000"/>
          <w:szCs w:val="21"/>
          <w:highlight w:val="none"/>
        </w:rPr>
        <w:t xml:space="preserve">附件</w:t>
      </w:r>
      <w:bookmarkEnd w:id="129"/>
      <w:r>
        <w:rPr>
          <w:rFonts w:ascii="宋体" w:hAnsi="宋体" w:cs="宋体"/>
          <w:b/>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协议书附件：</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附件1：承包人承揽工程项目一览表</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专用合同条款附件：</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附件2：发包人供应材料设备一览表</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附件3：工程质量保修书</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附件4：主要建设工程文件目录</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附件5：承包人用于本工程施工的机械设备表</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附件6：承包人主要施工管理人员表</w:t>
      </w:r>
      <w:r>
        <w:rPr>
          <w:rFonts w:ascii="宋体" w:hAnsi="宋体" w:cs="宋体"/>
          <w:color w:val="000000"/>
          <w:szCs w:val="21"/>
          <w:highlight w:val="none"/>
        </w:rPr>
      </w:r>
      <w:r/>
    </w:p>
    <w:p>
      <w:pPr>
        <w:pStyle w:val="901"/>
        <w:jc w:val="left"/>
        <w:spacing w:line="360" w:lineRule="auto"/>
        <w:rPr>
          <w:rFonts w:ascii="宋体" w:hAnsi="宋体" w:cs="宋体"/>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highlight w:val="none"/>
        </w:rPr>
      </w:r>
      <w:r/>
    </w:p>
    <w:p>
      <w:pPr>
        <w:pStyle w:val="901"/>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附件1：</w:t>
      </w:r>
      <w:r>
        <w:rPr>
          <w:rFonts w:ascii="宋体" w:hAnsi="宋体" w:cs="宋体"/>
          <w:color w:val="000000"/>
          <w:szCs w:val="21"/>
          <w:highlight w:val="none"/>
        </w:rPr>
      </w:r>
      <w:r/>
    </w:p>
    <w:p>
      <w:pPr>
        <w:pStyle w:val="90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承包人承揽工程项目一览表</w:t>
      </w:r>
      <w:r>
        <w:rPr>
          <w:rFonts w:ascii="宋体" w:hAnsi="宋体" w:cs="宋体"/>
          <w:color w:val="000000"/>
          <w:szCs w:val="21"/>
          <w:highlight w:val="none"/>
        </w:rPr>
      </w:r>
      <w:r/>
    </w:p>
    <w:tbl>
      <w:tblPr>
        <w:tblW w:w="5000" w:type="pct"/>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8"/>
        <w:gridCol w:w="956"/>
        <w:gridCol w:w="1459"/>
        <w:gridCol w:w="927"/>
        <w:gridCol w:w="543"/>
        <w:gridCol w:w="977"/>
        <w:gridCol w:w="912"/>
        <w:gridCol w:w="1300"/>
        <w:gridCol w:w="544"/>
        <w:gridCol w:w="544"/>
      </w:tblGrid>
      <w:tr>
        <w:trPr/>
        <w:tc>
          <w:tcPr>
            <w:tcW w:w="998"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单位工程名称</w:t>
            </w:r>
            <w:r>
              <w:rPr>
                <w:rFonts w:ascii="宋体" w:hAnsi="宋体" w:eastAsia="宋体" w:cs="宋体"/>
                <w:color w:val="000000"/>
                <w:highlight w:val="none"/>
              </w:rPr>
            </w:r>
            <w:r/>
          </w:p>
        </w:tc>
        <w:tc>
          <w:tcPr>
            <w:tcW w:w="956"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建设规模</w:t>
            </w:r>
            <w:r>
              <w:rPr>
                <w:rFonts w:ascii="宋体" w:hAnsi="宋体" w:eastAsia="宋体" w:cs="宋体"/>
                <w:color w:val="000000"/>
                <w:highlight w:val="none"/>
              </w:rPr>
            </w:r>
            <w:r/>
          </w:p>
        </w:tc>
        <w:tc>
          <w:tcPr>
            <w:tcW w:w="1459" w:type="dxa"/>
            <w:vAlign w:val="center"/>
            <w:textDirection w:val="lrTb"/>
            <w:noWrap w:val="false"/>
          </w:tcPr>
          <w:p>
            <w:pPr>
              <w:pStyle w:val="926"/>
              <w:jc w:val="center"/>
              <w:keepNext/>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建筑面积</w:t>
            </w:r>
            <w:r>
              <w:rPr>
                <w:rFonts w:hint="eastAsia" w:ascii="宋体" w:hAnsi="宋体" w:eastAsia="宋体" w:cs="宋体"/>
                <w:color w:val="000000"/>
                <w:highlight w:val="none"/>
              </w:rPr>
            </w:r>
            <w:r/>
          </w:p>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(平方米)</w:t>
            </w:r>
            <w:r>
              <w:rPr>
                <w:rFonts w:ascii="宋体" w:hAnsi="宋体" w:eastAsia="宋体" w:cs="宋体"/>
                <w:color w:val="000000"/>
                <w:highlight w:val="none"/>
              </w:rPr>
            </w:r>
            <w:r/>
          </w:p>
        </w:tc>
        <w:tc>
          <w:tcPr>
            <w:tcW w:w="927"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结构形式</w:t>
            </w:r>
            <w:r>
              <w:rPr>
                <w:rFonts w:ascii="宋体" w:hAnsi="宋体" w:eastAsia="宋体" w:cs="宋体"/>
                <w:color w:val="000000"/>
                <w:highlight w:val="none"/>
              </w:rPr>
            </w:r>
            <w:r/>
          </w:p>
        </w:tc>
        <w:tc>
          <w:tcPr>
            <w:tcW w:w="543"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层数</w:t>
            </w:r>
            <w:r>
              <w:rPr>
                <w:rFonts w:ascii="宋体" w:hAnsi="宋体" w:eastAsia="宋体" w:cs="宋体"/>
                <w:color w:val="000000"/>
                <w:highlight w:val="none"/>
              </w:rPr>
            </w:r>
            <w:r/>
          </w:p>
        </w:tc>
        <w:tc>
          <w:tcPr>
            <w:tcW w:w="977"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生产能力</w:t>
            </w:r>
            <w:r>
              <w:rPr>
                <w:rFonts w:ascii="宋体" w:hAnsi="宋体" w:eastAsia="宋体" w:cs="宋体"/>
                <w:color w:val="000000"/>
                <w:highlight w:val="none"/>
              </w:rPr>
            </w:r>
            <w:r/>
          </w:p>
        </w:tc>
        <w:tc>
          <w:tcPr>
            <w:tcW w:w="913"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设备安装内容</w:t>
            </w:r>
            <w:r>
              <w:rPr>
                <w:rFonts w:ascii="宋体" w:hAnsi="宋体" w:eastAsia="宋体" w:cs="宋体"/>
                <w:color w:val="000000"/>
                <w:highlight w:val="none"/>
              </w:rPr>
            </w:r>
            <w:r/>
          </w:p>
        </w:tc>
        <w:tc>
          <w:tcPr>
            <w:tcW w:w="1300"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合同价格（元）</w:t>
            </w:r>
            <w:r>
              <w:rPr>
                <w:rFonts w:ascii="宋体" w:hAnsi="宋体" w:eastAsia="宋体" w:cs="宋体"/>
                <w:color w:val="000000"/>
                <w:highlight w:val="none"/>
              </w:rPr>
            </w:r>
            <w:r/>
          </w:p>
        </w:tc>
        <w:tc>
          <w:tcPr>
            <w:tcW w:w="544"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开工日期</w:t>
            </w:r>
            <w:r>
              <w:rPr>
                <w:rFonts w:ascii="宋体" w:hAnsi="宋体" w:eastAsia="宋体" w:cs="宋体"/>
                <w:color w:val="000000"/>
                <w:highlight w:val="none"/>
              </w:rPr>
            </w:r>
            <w:r/>
          </w:p>
        </w:tc>
        <w:tc>
          <w:tcPr>
            <w:tcW w:w="544" w:type="dxa"/>
            <w:vAlign w:val="center"/>
            <w:textDirection w:val="lrTb"/>
            <w:noWrap w:val="false"/>
          </w:tcPr>
          <w:p>
            <w:pPr>
              <w:pStyle w:val="926"/>
              <w:jc w:val="center"/>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竣工日期</w:t>
            </w: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99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9"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2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7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3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544"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bl>
    <w:p>
      <w:pPr>
        <w:pStyle w:val="901"/>
        <w:spacing w:line="440" w:lineRule="exact"/>
        <w:rPr>
          <w:rFonts w:ascii="宋体" w:hAnsi="宋体" w:cs="宋体"/>
          <w:b/>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b/>
          <w:color w:val="000000"/>
          <w:szCs w:val="21"/>
          <w:highlight w:val="none"/>
        </w:rPr>
      </w:r>
      <w:r/>
    </w:p>
    <w:p>
      <w:pPr>
        <w:pStyle w:val="90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w:t>
      </w:r>
      <w:bookmarkStart w:id="130" w:name="_Toc296347224"/>
      <w:r/>
      <w:bookmarkStart w:id="131" w:name="_Toc267261692"/>
      <w:r/>
      <w:bookmarkStart w:id="132" w:name="_Toc296944564"/>
      <w:r/>
      <w:bookmarkStart w:id="133" w:name="_Toc296891265"/>
      <w:r/>
      <w:bookmarkStart w:id="134" w:name="_Toc296503225"/>
      <w:r/>
      <w:bookmarkStart w:id="135" w:name="_Toc296346726"/>
      <w:r/>
      <w:bookmarkStart w:id="136" w:name="_Toc296891053"/>
      <w:r>
        <w:rPr>
          <w:rFonts w:hint="eastAsia" w:ascii="宋体" w:hAnsi="宋体" w:cs="宋体"/>
          <w:color w:val="000000"/>
          <w:szCs w:val="21"/>
          <w:highlight w:val="none"/>
        </w:rPr>
        <w:t xml:space="preserve">件2：</w:t>
      </w:r>
      <w:r>
        <w:rPr>
          <w:rFonts w:ascii="宋体" w:hAnsi="宋体" w:cs="宋体"/>
          <w:color w:val="000000"/>
          <w:szCs w:val="21"/>
          <w:highlight w:val="none"/>
        </w:rPr>
      </w:r>
      <w:r/>
    </w:p>
    <w:p>
      <w:pPr>
        <w:pStyle w:val="901"/>
        <w:jc w:val="center"/>
        <w:spacing w:line="440" w:lineRule="exact"/>
        <w:rPr>
          <w:rFonts w:ascii="宋体" w:hAnsi="宋体" w:cs="宋体"/>
          <w:color w:val="000000"/>
          <w:szCs w:val="21"/>
          <w:highlight w:val="none"/>
        </w:rPr>
      </w:pPr>
      <w:r/>
      <w:bookmarkEnd w:id="130"/>
      <w:r/>
      <w:bookmarkEnd w:id="131"/>
      <w:r/>
      <w:bookmarkEnd w:id="132"/>
      <w:r/>
      <w:bookmarkEnd w:id="133"/>
      <w:r/>
      <w:bookmarkEnd w:id="134"/>
      <w:r/>
      <w:bookmarkEnd w:id="135"/>
      <w:r/>
      <w:bookmarkEnd w:id="136"/>
      <w:r>
        <w:rPr>
          <w:rFonts w:hint="eastAsia" w:ascii="宋体" w:hAnsi="宋体" w:cs="宋体"/>
          <w:color w:val="000000"/>
          <w:szCs w:val="21"/>
          <w:highlight w:val="none"/>
        </w:rPr>
        <w:t xml:space="preserve">发包人供应材料设备一览表</w:t>
      </w:r>
      <w:r>
        <w:rPr>
          <w:rFonts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7"/>
        <w:gridCol w:w="1100"/>
        <w:gridCol w:w="1221"/>
        <w:gridCol w:w="813"/>
        <w:gridCol w:w="737"/>
        <w:gridCol w:w="902"/>
        <w:gridCol w:w="958"/>
        <w:gridCol w:w="958"/>
        <w:gridCol w:w="958"/>
        <w:gridCol w:w="857"/>
      </w:tblGrid>
      <w:tr>
        <w:trPr/>
        <w:tc>
          <w:tcPr>
            <w:tcW w:w="737"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1100"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材料、</w:t>
            </w:r>
            <w:r>
              <w:rPr>
                <w:rFonts w:ascii="宋体" w:hAnsi="宋体" w:eastAsia="宋体" w:cs="宋体"/>
                <w:color w:val="000000"/>
                <w:highlight w:val="none"/>
              </w:rPr>
            </w:r>
            <w:r/>
          </w:p>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设备品种</w:t>
            </w:r>
            <w:r>
              <w:rPr>
                <w:rFonts w:ascii="宋体" w:hAnsi="宋体" w:eastAsia="宋体" w:cs="宋体"/>
                <w:color w:val="000000"/>
                <w:highlight w:val="none"/>
              </w:rPr>
            </w:r>
            <w:r/>
          </w:p>
        </w:tc>
        <w:tc>
          <w:tcPr>
            <w:tcW w:w="1221"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规格型号</w:t>
            </w:r>
            <w:r>
              <w:rPr>
                <w:rFonts w:ascii="宋体" w:hAnsi="宋体" w:eastAsia="宋体" w:cs="宋体"/>
                <w:color w:val="000000"/>
                <w:highlight w:val="none"/>
              </w:rPr>
            </w:r>
            <w:r/>
          </w:p>
        </w:tc>
        <w:tc>
          <w:tcPr>
            <w:tcW w:w="813"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单位</w:t>
            </w:r>
            <w:r>
              <w:rPr>
                <w:rFonts w:ascii="宋体" w:hAnsi="宋体" w:eastAsia="宋体" w:cs="宋体"/>
                <w:color w:val="000000"/>
                <w:highlight w:val="none"/>
              </w:rPr>
            </w:r>
            <w:r/>
          </w:p>
        </w:tc>
        <w:tc>
          <w:tcPr>
            <w:tcW w:w="737"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数量</w:t>
            </w:r>
            <w:r>
              <w:rPr>
                <w:rFonts w:ascii="宋体" w:hAnsi="宋体" w:eastAsia="宋体" w:cs="宋体"/>
                <w:color w:val="000000"/>
                <w:highlight w:val="none"/>
              </w:rPr>
            </w:r>
            <w:r/>
          </w:p>
        </w:tc>
        <w:tc>
          <w:tcPr>
            <w:tcW w:w="902"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单价（元）</w:t>
            </w:r>
            <w:r>
              <w:rPr>
                <w:rFonts w:ascii="宋体" w:hAnsi="宋体" w:eastAsia="宋体" w:cs="宋体"/>
                <w:color w:val="000000"/>
                <w:highlight w:val="none"/>
              </w:rPr>
            </w:r>
            <w:r/>
          </w:p>
        </w:tc>
        <w:tc>
          <w:tcPr>
            <w:tcW w:w="958"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质量等级</w:t>
            </w:r>
            <w:r>
              <w:rPr>
                <w:rFonts w:ascii="宋体" w:hAnsi="宋体" w:eastAsia="宋体" w:cs="宋体"/>
                <w:color w:val="000000"/>
                <w:highlight w:val="none"/>
              </w:rPr>
            </w:r>
            <w:r/>
          </w:p>
        </w:tc>
        <w:tc>
          <w:tcPr>
            <w:tcW w:w="958"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供应时间</w:t>
            </w:r>
            <w:r>
              <w:rPr>
                <w:rFonts w:ascii="宋体" w:hAnsi="宋体" w:eastAsia="宋体" w:cs="宋体"/>
                <w:color w:val="000000"/>
                <w:highlight w:val="none"/>
              </w:rPr>
            </w:r>
            <w:r/>
          </w:p>
        </w:tc>
        <w:tc>
          <w:tcPr>
            <w:tcW w:w="958"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送达地点</w:t>
            </w:r>
            <w:r>
              <w:rPr>
                <w:rFonts w:ascii="宋体" w:hAnsi="宋体" w:eastAsia="宋体" w:cs="宋体"/>
                <w:color w:val="000000"/>
                <w:highlight w:val="none"/>
              </w:rPr>
            </w:r>
            <w:r/>
          </w:p>
        </w:tc>
        <w:tc>
          <w:tcPr>
            <w:tcW w:w="857" w:type="dxa"/>
            <w:vAlign w:val="center"/>
            <w:textDirection w:val="lrTb"/>
            <w:noWrap w:val="false"/>
          </w:tcPr>
          <w:p>
            <w:pPr>
              <w:pStyle w:val="926"/>
              <w:ind w:right="30"/>
              <w:jc w:val="center"/>
              <w:keepNext/>
              <w:rPr>
                <w:rFonts w:ascii="宋体" w:hAnsi="宋体" w:eastAsia="宋体" w:cs="宋体"/>
                <w:color w:val="000000"/>
                <w:highlight w:val="none"/>
              </w:rPr>
            </w:pPr>
            <w:r>
              <w:rPr>
                <w:rFonts w:hint="eastAsia" w:ascii="宋体" w:hAnsi="宋体" w:eastAsia="宋体" w:cs="宋体"/>
                <w:color w:val="000000"/>
                <w:highlight w:val="none"/>
              </w:rPr>
              <w:t xml:space="preserve">备注</w:t>
            </w: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10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21"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1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73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02"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85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100"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21"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13"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3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02"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857" w:type="dxa"/>
            <w:vAlign w:val="center"/>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bl>
    <w:p>
      <w:pPr>
        <w:pStyle w:val="901"/>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附</w:t>
      </w:r>
      <w:bookmarkStart w:id="137" w:name="_Toc296347225"/>
      <w:r/>
      <w:bookmarkStart w:id="138" w:name="_Toc296891266"/>
      <w:r/>
      <w:bookmarkStart w:id="139" w:name="_Toc267261693"/>
      <w:r/>
      <w:bookmarkStart w:id="140" w:name="_Toc296944565"/>
      <w:r/>
      <w:bookmarkStart w:id="141" w:name="_Toc296891054"/>
      <w:r/>
      <w:bookmarkStart w:id="142" w:name="_Toc296346727"/>
      <w:r/>
      <w:bookmarkStart w:id="143" w:name="_Toc296503226"/>
      <w:r>
        <w:rPr>
          <w:rFonts w:hint="eastAsia" w:ascii="宋体" w:hAnsi="宋体" w:cs="宋体"/>
          <w:color w:val="000000"/>
          <w:szCs w:val="21"/>
          <w:highlight w:val="none"/>
        </w:rPr>
        <w:t xml:space="preserve">件3：</w:t>
      </w:r>
      <w:bookmarkEnd w:id="137"/>
      <w:r/>
      <w:bookmarkEnd w:id="138"/>
      <w:r/>
      <w:bookmarkEnd w:id="139"/>
      <w:r/>
      <w:bookmarkEnd w:id="140"/>
      <w:r/>
      <w:bookmarkEnd w:id="141"/>
      <w:r/>
      <w:bookmarkEnd w:id="142"/>
      <w:r/>
      <w:bookmarkEnd w:id="143"/>
      <w:r>
        <w:rPr>
          <w:rFonts w:ascii="宋体" w:hAnsi="宋体" w:cs="宋体"/>
          <w:color w:val="000000"/>
          <w:szCs w:val="21"/>
          <w:highlight w:val="none"/>
        </w:rPr>
      </w:r>
      <w:r/>
    </w:p>
    <w:p>
      <w:pPr>
        <w:pStyle w:val="901"/>
        <w:ind w:firstLine="600"/>
        <w:jc w:val="center"/>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承包人（全称）：</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发包人和承包人根据《中华人民共和国建筑法》和《建设工程质量管理条例》，经协商一致就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（工程全称）签订工程质量保修书。</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bookmarkStart w:id="144" w:name="_Toc31283"/>
      <w:r/>
      <w:bookmarkStart w:id="145" w:name="_Toc19432"/>
      <w:r>
        <w:rPr>
          <w:rFonts w:hint="eastAsia" w:ascii="宋体" w:hAnsi="宋体" w:cs="宋体"/>
          <w:color w:val="000000"/>
          <w:szCs w:val="21"/>
          <w:highlight w:val="none"/>
        </w:rPr>
        <w:t xml:space="preserve">一、工程质量保修范围和内容</w:t>
      </w:r>
      <w:bookmarkEnd w:id="144"/>
      <w:r/>
      <w:bookmarkEnd w:id="145"/>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承包人在质量保修期内，按照有关法律规定和合同约定，承担工程质量保修责任。</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u w:val="single"/>
        </w:rPr>
        <w:t xml:space="preserve">承包人工程承包范围内的所有工程（含分包工程）</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bookmarkStart w:id="146" w:name="_Toc14197"/>
      <w:r/>
      <w:bookmarkStart w:id="147" w:name="_Toc32027"/>
      <w:r>
        <w:rPr>
          <w:rFonts w:hint="eastAsia" w:ascii="宋体" w:hAnsi="宋体" w:cs="宋体"/>
          <w:color w:val="000000"/>
          <w:szCs w:val="21"/>
          <w:highlight w:val="none"/>
        </w:rPr>
        <w:t xml:space="preserve">二、质量保修期</w:t>
      </w:r>
      <w:bookmarkEnd w:id="146"/>
      <w:r/>
      <w:bookmarkEnd w:id="147"/>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根据《建设工程质量管理条例》及有关规定，工程的质量保修期如下：</w:t>
      </w:r>
      <w:r>
        <w:rPr>
          <w:rFonts w:ascii="宋体" w:hAnsi="宋体" w:cs="宋体"/>
          <w:color w:val="000000"/>
          <w:szCs w:val="21"/>
          <w:highlight w:val="none"/>
        </w:rPr>
      </w:r>
      <w:r/>
    </w:p>
    <w:p>
      <w:pPr>
        <w:pStyle w:val="9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1．地基基础工程和主体结构工程为设计文件规定的工程合理使用年限；</w:t>
      </w:r>
      <w:r>
        <w:rPr>
          <w:rFonts w:ascii="宋体" w:hAnsi="宋体" w:cs="宋体"/>
          <w:color w:val="000000"/>
          <w:szCs w:val="21"/>
          <w:highlight w:val="none"/>
        </w:rPr>
      </w:r>
      <w:r/>
    </w:p>
    <w:p>
      <w:pPr>
        <w:pStyle w:val="901"/>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2．屋面防水工程、有防水要求的卫生间、房间和外墙面的防渗为</w:t>
      </w:r>
      <w:r>
        <w:rPr>
          <w:rFonts w:hint="eastAsia" w:ascii="宋体" w:hAnsi="宋体" w:cs="宋体"/>
          <w:color w:val="000000"/>
          <w:szCs w:val="21"/>
          <w:highlight w:val="none"/>
          <w:u w:val="single"/>
        </w:rPr>
        <w:t xml:space="preserve">5</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901"/>
        <w:ind w:left="0"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3．装修工程为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901"/>
        <w:ind w:left="0"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4．电气管线、给排水管道、设备安装工程为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901"/>
        <w:ind w:left="0"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5．供热与供冷系统为</w:t>
      </w:r>
      <w:r>
        <w:rPr>
          <w:rFonts w:hint="eastAsia" w:ascii="宋体" w:hAnsi="宋体" w:cs="宋体"/>
          <w:color w:val="000000"/>
          <w:szCs w:val="21"/>
          <w:highlight w:val="none"/>
          <w:u w:val="single"/>
        </w:rPr>
        <w:t xml:space="preserve">2</w:t>
      </w:r>
      <w:r>
        <w:rPr>
          <w:rFonts w:hint="eastAsia" w:ascii="宋体" w:hAnsi="宋体" w:cs="宋体"/>
          <w:color w:val="000000"/>
          <w:szCs w:val="21"/>
          <w:highlight w:val="none"/>
        </w:rPr>
        <w:t xml:space="preserve">个采暖期、供冷期；</w:t>
      </w:r>
      <w:r>
        <w:rPr>
          <w:rFonts w:ascii="宋体" w:hAnsi="宋体" w:cs="宋体"/>
          <w:color w:val="000000"/>
          <w:szCs w:val="21"/>
          <w:highlight w:val="none"/>
        </w:rPr>
      </w:r>
      <w:r/>
    </w:p>
    <w:p>
      <w:pPr>
        <w:pStyle w:val="901"/>
        <w:ind w:left="0"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6．住宅小区内的给排水设施、道路等配套工程为</w:t>
      </w:r>
      <w:r>
        <w:rPr>
          <w:rFonts w:hint="eastAsia" w:ascii="宋体" w:hAnsi="宋体" w:cs="宋体"/>
          <w:color w:val="000000"/>
          <w:szCs w:val="21"/>
          <w:highlight w:val="none"/>
          <w:u w:val="single"/>
        </w:rPr>
        <w:t xml:space="preserve">1</w:t>
      </w:r>
      <w:r>
        <w:rPr>
          <w:rFonts w:hint="eastAsia" w:ascii="宋体" w:hAnsi="宋体" w:cs="宋体"/>
          <w:color w:val="000000"/>
          <w:szCs w:val="21"/>
          <w:highlight w:val="none"/>
        </w:rPr>
        <w:t xml:space="preserve">年；</w:t>
      </w:r>
      <w:r>
        <w:rPr>
          <w:rFonts w:ascii="宋体" w:hAnsi="宋体" w:cs="宋体"/>
          <w:color w:val="000000"/>
          <w:szCs w:val="21"/>
          <w:highlight w:val="none"/>
        </w:rPr>
      </w:r>
      <w:r/>
    </w:p>
    <w:p>
      <w:pPr>
        <w:pStyle w:val="901"/>
        <w:ind w:left="0"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7．其他项目保修期限约定如下：</w:t>
      </w:r>
      <w:r>
        <w:rPr>
          <w:rFonts w:hint="eastAsia" w:ascii="宋体" w:hAnsi="宋体" w:cs="宋体"/>
          <w:color w:val="000000"/>
          <w:szCs w:val="21"/>
          <w:highlight w:val="none"/>
          <w:u w:val="single"/>
          <w:lang w:val="en-US" w:eastAsia="zh-CN"/>
        </w:rPr>
        <w:t xml:space="preserve">/</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质量保修期自工程竣工验收合格之日起计算。</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bookmarkStart w:id="148" w:name="_Toc31306"/>
      <w:r/>
      <w:bookmarkStart w:id="149" w:name="_Toc3619"/>
      <w:r>
        <w:rPr>
          <w:rFonts w:hint="eastAsia" w:ascii="宋体" w:hAnsi="宋体" w:cs="宋体"/>
          <w:color w:val="000000"/>
          <w:szCs w:val="21"/>
          <w:highlight w:val="none"/>
        </w:rPr>
        <w:t xml:space="preserve">三、缺陷责任期</w:t>
      </w:r>
      <w:bookmarkEnd w:id="148"/>
      <w:r/>
      <w:bookmarkEnd w:id="149"/>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工程缺陷责任期为</w:t>
      </w:r>
      <w:r>
        <w:rPr>
          <w:rFonts w:hint="eastAsia" w:ascii="宋体" w:hAnsi="宋体" w:cs="宋体"/>
          <w:color w:val="000000"/>
          <w:szCs w:val="21"/>
          <w:highlight w:val="none"/>
          <w:u w:val="single"/>
        </w:rPr>
        <w:t xml:space="preserve">24</w:t>
      </w:r>
      <w:r>
        <w:rPr>
          <w:rFonts w:hint="eastAsia" w:ascii="宋体" w:hAnsi="宋体" w:cs="宋体"/>
          <w:color w:val="000000"/>
          <w:szCs w:val="21"/>
          <w:highlight w:val="none"/>
        </w:rPr>
        <w:t xml:space="preserve">个月，缺陷责任期自工程通过竣工验收之日起计算。单位工程先于全部工程进行验收，单位工程缺陷责任期自单位工程验收合格之日起算。</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缺陷责任期终止后，发包人应退还剩余的质量保证金。</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bookmarkStart w:id="150" w:name="_Toc13267"/>
      <w:r/>
      <w:bookmarkStart w:id="151" w:name="_Toc7404"/>
      <w:r>
        <w:rPr>
          <w:rFonts w:hint="eastAsia" w:ascii="宋体" w:hAnsi="宋体" w:cs="宋体"/>
          <w:color w:val="000000"/>
          <w:szCs w:val="21"/>
          <w:highlight w:val="none"/>
        </w:rPr>
        <w:t xml:space="preserve">四、质量保修责任</w:t>
      </w:r>
      <w:bookmarkEnd w:id="150"/>
      <w:r/>
      <w:bookmarkEnd w:id="151"/>
      <w:r>
        <w:rPr>
          <w:rFonts w:ascii="宋体" w:hAnsi="宋体" w:cs="宋体"/>
          <w:color w:val="000000"/>
          <w:szCs w:val="21"/>
          <w:highlight w:val="none"/>
        </w:rPr>
      </w:r>
      <w:r/>
    </w:p>
    <w:p>
      <w:pPr>
        <w:pStyle w:val="901"/>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1．属于保修范围、内容的项目，承包人应当在接到保修通知之日起7天内派人保修。承包人不在约定期限内派人保修的，发包人可以委托他人修理。</w:t>
      </w:r>
      <w:r>
        <w:rPr>
          <w:rFonts w:ascii="宋体" w:hAnsi="宋体" w:cs="宋体"/>
          <w:color w:val="000000"/>
          <w:szCs w:val="21"/>
          <w:highlight w:val="none"/>
        </w:rPr>
      </w:r>
      <w:r/>
    </w:p>
    <w:p>
      <w:pPr>
        <w:pStyle w:val="901"/>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2．发生紧急事故需抢修的，承包人在接到事故通知后，应当立即到达事故现场抢修。</w:t>
      </w:r>
      <w:r>
        <w:rPr>
          <w:rFonts w:ascii="宋体" w:hAnsi="宋体" w:cs="宋体"/>
          <w:color w:val="000000"/>
          <w:szCs w:val="21"/>
          <w:highlight w:val="none"/>
        </w:rPr>
      </w:r>
      <w:r/>
    </w:p>
    <w:p>
      <w:pPr>
        <w:pStyle w:val="901"/>
        <w:ind w:left="105" w:firstLine="43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Cs w:val="21"/>
          <w:highlight w:val="none"/>
        </w:rPr>
      </w:r>
      <w:r/>
    </w:p>
    <w:p>
      <w:pPr>
        <w:pStyle w:val="901"/>
        <w:ind w:left="420" w:firstLine="105"/>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4．质量保修完成后，由发包人组织验收。</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bookmarkStart w:id="152" w:name="_Toc9301"/>
      <w:r/>
      <w:bookmarkStart w:id="153" w:name="_Toc8913"/>
      <w:r>
        <w:rPr>
          <w:rFonts w:hint="eastAsia" w:ascii="宋体" w:hAnsi="宋体" w:cs="宋体"/>
          <w:color w:val="000000"/>
          <w:szCs w:val="21"/>
          <w:highlight w:val="none"/>
        </w:rPr>
        <w:t xml:space="preserve">五、保修费用</w:t>
      </w:r>
      <w:bookmarkEnd w:id="152"/>
      <w:r/>
      <w:bookmarkEnd w:id="153"/>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保修费用由造成质量缺陷的责任方承担。</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outlineLvl w:val="9"/>
      </w:pPr>
      <w:r>
        <w:rPr>
          <w:rFonts w:hint="eastAsia" w:ascii="宋体" w:hAnsi="宋体" w:cs="宋体"/>
          <w:b w:val="0"/>
          <w:color w:val="000000"/>
          <w:szCs w:val="21"/>
          <w:highlight w:val="none"/>
        </w:rPr>
        <w:t xml:space="preserve">六</w:t>
      </w:r>
      <w:r>
        <w:rPr>
          <w:rFonts w:hint="eastAsia" w:ascii="宋体" w:hAnsi="宋体" w:cs="宋体"/>
          <w:color w:val="000000"/>
          <w:szCs w:val="21"/>
          <w:highlight w:val="none"/>
        </w:rPr>
        <w:t xml:space="preserve">、双方约定的其他工程质量保修事项：</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u w:val="single"/>
        </w:rPr>
      </w:pPr>
      <w:r>
        <w:rPr>
          <w:rFonts w:hint="eastAsia" w:ascii="宋体" w:hAnsi="宋体" w:cs="宋体"/>
          <w:color w:val="000000"/>
          <w:szCs w:val="21"/>
          <w:highlight w:val="none"/>
          <w:u w:val="single"/>
        </w:rPr>
        <w:t xml:space="preserve">（1）承包人应主动做好缺陷责任期间的回访和维保工作。缺陷责任期的前三个月内应至少每月提交一份回访和维保情况报告，之后每三个月提交一份回访和维保情况报告；一年后，每六个月提交一份回访和维保情况报告，直至缺陷责任期满。期间，如遇大风、大雨、暴雪等极端天气，需另行做好维保预案工作。（2）属于保修范围、内容的项目，承包人应当在接到保修通知之日起3天内派人保修。（3）如果维保工作不力，则视情节轻重酌情扣除质保金。（4）未尽事宜按法律执行。</w:t>
      </w:r>
      <w:r>
        <w:rPr>
          <w:rFonts w:ascii="宋体" w:hAnsi="宋体" w:cs="宋体"/>
          <w:color w:val="000000"/>
          <w:szCs w:val="21"/>
          <w:highlight w:val="none"/>
          <w:u w:val="single"/>
        </w:rPr>
      </w:r>
      <w:r/>
    </w:p>
    <w:p>
      <w:pPr>
        <w:pStyle w:val="901"/>
        <w:ind w:firstLine="399"/>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工程质量保修书由发包人、承包人在工程竣工验收前共同签署，作为施工合同附件，其有效期限至保修期满。</w:t>
      </w:r>
      <w:r>
        <w:rPr>
          <w:rFonts w:ascii="宋体" w:hAnsi="宋体" w:cs="宋体"/>
          <w:color w:val="000000"/>
          <w:szCs w:val="21"/>
          <w:highlight w:val="none"/>
        </w:rPr>
      </w:r>
      <w:r/>
    </w:p>
    <w:p>
      <w:pPr>
        <w:pStyle w:val="901"/>
        <w:ind w:firstLine="600"/>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发包人(公章)：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承包人(公章)：</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法定代表人(签字)：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委托代理人(签字)：</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开户银行：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邮政编码：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901"/>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901"/>
        <w:rPr>
          <w:rFonts w:ascii="宋体" w:hAnsi="宋体" w:cs="宋体"/>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highlight w:val="none"/>
        </w:rPr>
      </w:r>
      <w:r/>
    </w:p>
    <w:p>
      <w:pPr>
        <w:pStyle w:val="90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附件4：</w:t>
      </w:r>
      <w:r>
        <w:rPr>
          <w:rFonts w:ascii="宋体" w:hAnsi="宋体" w:cs="宋体"/>
          <w:color w:val="000000"/>
          <w:szCs w:val="21"/>
          <w:highlight w:val="none"/>
        </w:rPr>
      </w:r>
      <w:r/>
    </w:p>
    <w:p>
      <w:pPr>
        <w:pStyle w:val="90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主要建设工程文件目录</w:t>
      </w:r>
      <w:r>
        <w:rPr>
          <w:rFonts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文件名称</w:t>
            </w: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套数</w:t>
            </w: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费用（元）</w:t>
            </w: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质量</w:t>
            </w:r>
            <w:r>
              <w:rPr>
                <w:rFonts w:ascii="宋体" w:hAnsi="宋体" w:eastAsia="宋体" w:cs="宋体"/>
                <w:color w:val="000000"/>
                <w:highlight w:val="none"/>
              </w:rPr>
            </w:r>
            <w:r/>
          </w:p>
        </w:tc>
        <w:tc>
          <w:tcPr>
            <w:tcW w:w="1450" w:type="dxa"/>
            <w:vAlign w:val="top"/>
            <w:textDirection w:val="lrTb"/>
            <w:noWrap w:val="false"/>
          </w:tcPr>
          <w:p>
            <w:pPr>
              <w:pStyle w:val="90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移交时间</w:t>
            </w:r>
            <w:r>
              <w:rPr>
                <w:rFonts w:ascii="宋体" w:hAnsi="宋体" w:cs="宋体"/>
                <w:color w:val="000000"/>
                <w:szCs w:val="21"/>
                <w:highlight w:val="none"/>
              </w:rPr>
            </w:r>
            <w:r/>
          </w:p>
        </w:tc>
        <w:tc>
          <w:tcPr>
            <w:tcW w:w="1667" w:type="dxa"/>
            <w:vAlign w:val="top"/>
            <w:textDirection w:val="lrTb"/>
            <w:noWrap w:val="false"/>
          </w:tcPr>
          <w:p>
            <w:pPr>
              <w:pStyle w:val="901"/>
              <w:jc w:val="cente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责任人</w:t>
            </w:r>
            <w:r>
              <w:rPr>
                <w:rFonts w:ascii="宋体" w:hAnsi="宋体" w:cs="宋体"/>
                <w:color w:val="000000"/>
                <w:szCs w:val="21"/>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7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24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450"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667"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95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76"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243"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450"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c>
          <w:tcPr>
            <w:tcW w:w="1667" w:type="dxa"/>
            <w:vAlign w:val="top"/>
            <w:textDirection w:val="lrTb"/>
            <w:noWrap w:val="false"/>
          </w:tcPr>
          <w:p>
            <w:pPr>
              <w:pStyle w:val="901"/>
              <w:rPr>
                <w:rFonts w:ascii="宋体" w:hAnsi="宋体" w:cs="宋体"/>
                <w:color w:val="000000"/>
                <w:szCs w:val="21"/>
                <w:highlight w:val="none"/>
              </w:rPr>
            </w:pPr>
            <w:r>
              <w:rPr>
                <w:rFonts w:ascii="宋体" w:hAnsi="宋体" w:cs="宋体"/>
                <w:color w:val="000000"/>
                <w:szCs w:val="21"/>
                <w:highlight w:val="none"/>
              </w:rPr>
            </w:r>
            <w:r/>
          </w:p>
        </w:tc>
      </w:tr>
    </w:tbl>
    <w:p>
      <w:pPr>
        <w:pStyle w:val="901"/>
        <w:spacing w:line="440" w:lineRule="exact"/>
        <w:rPr>
          <w:rFonts w:ascii="宋体" w:hAnsi="宋体" w:cs="宋体"/>
          <w:color w:val="000000"/>
          <w:szCs w:val="21"/>
          <w:highlight w:val="none"/>
        </w:rPr>
      </w:pPr>
      <w:r>
        <w:rPr>
          <w:rFonts w:ascii="宋体" w:hAnsi="宋体" w:cs="宋体"/>
          <w:color w:val="000000"/>
          <w:szCs w:val="21"/>
          <w:highlight w:val="none"/>
        </w:rPr>
      </w:r>
      <w:r/>
    </w:p>
    <w:p>
      <w:pPr>
        <w:pStyle w:val="901"/>
        <w:spacing w:line="440" w:lineRule="exact"/>
        <w:rPr>
          <w:rFonts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附</w:t>
      </w:r>
      <w:bookmarkStart w:id="154" w:name="_Toc267261698"/>
      <w:r/>
      <w:bookmarkStart w:id="155" w:name="_Toc296347226"/>
      <w:r/>
      <w:bookmarkStart w:id="156" w:name="_Toc296346728"/>
      <w:r/>
      <w:bookmarkStart w:id="157" w:name="_Toc296891267"/>
      <w:r/>
      <w:bookmarkStart w:id="158" w:name="_Toc296503227"/>
      <w:r/>
      <w:bookmarkStart w:id="159" w:name="_Toc296944566"/>
      <w:r/>
      <w:bookmarkStart w:id="160" w:name="_Toc296891055"/>
      <w:r>
        <w:rPr>
          <w:rFonts w:hint="eastAsia" w:ascii="宋体" w:hAnsi="宋体" w:cs="宋体"/>
          <w:color w:val="000000"/>
          <w:szCs w:val="21"/>
          <w:highlight w:val="none"/>
        </w:rPr>
        <w:t xml:space="preserve">件5：</w:t>
      </w:r>
      <w:r>
        <w:rPr>
          <w:rFonts w:ascii="宋体" w:hAnsi="宋体" w:cs="宋体"/>
          <w:color w:val="000000"/>
          <w:szCs w:val="21"/>
          <w:highlight w:val="none"/>
        </w:rPr>
      </w:r>
      <w:r/>
    </w:p>
    <w:p>
      <w:pPr>
        <w:pStyle w:val="901"/>
        <w:jc w:val="center"/>
        <w:spacing w:line="440" w:lineRule="exact"/>
        <w:rPr>
          <w:rFonts w:ascii="宋体" w:hAnsi="宋体" w:cs="宋体"/>
          <w:color w:val="000000"/>
          <w:szCs w:val="21"/>
          <w:highlight w:val="none"/>
        </w:rPr>
      </w:pPr>
      <w:r/>
      <w:bookmarkEnd w:id="154"/>
      <w:r/>
      <w:bookmarkEnd w:id="155"/>
      <w:r/>
      <w:bookmarkEnd w:id="156"/>
      <w:r/>
      <w:bookmarkEnd w:id="157"/>
      <w:r/>
      <w:bookmarkEnd w:id="158"/>
      <w:r/>
      <w:bookmarkEnd w:id="159"/>
      <w:r/>
      <w:bookmarkEnd w:id="160"/>
      <w:r>
        <w:rPr>
          <w:rFonts w:hint="eastAsia" w:ascii="宋体" w:hAnsi="宋体" w:cs="宋体"/>
          <w:color w:val="000000"/>
          <w:szCs w:val="21"/>
          <w:highlight w:val="none"/>
        </w:rPr>
        <w:t xml:space="preserve">承包人用于本工程施工的机械设备表</w:t>
      </w:r>
      <w:r>
        <w:rPr>
          <w:rFonts w:ascii="宋体" w:hAnsi="宋体" w:cs="宋体"/>
          <w:color w:val="000000"/>
          <w:szCs w:val="21"/>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51"/>
        <w:gridCol w:w="1281"/>
        <w:gridCol w:w="771"/>
        <w:gridCol w:w="958"/>
        <w:gridCol w:w="798"/>
        <w:gridCol w:w="1020"/>
        <w:gridCol w:w="1239"/>
        <w:gridCol w:w="1071"/>
        <w:gridCol w:w="687"/>
      </w:tblGrid>
      <w:tr>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序号</w:t>
            </w: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机械或设备名称</w:t>
            </w: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规格型号</w:t>
            </w: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数量</w:t>
            </w: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产地</w:t>
            </w: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制造年份</w:t>
            </w: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额定功率(kW)</w:t>
            </w: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生产能力</w:t>
            </w: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hint="eastAsia" w:ascii="宋体" w:hAnsi="宋体" w:eastAsia="宋体" w:cs="宋体"/>
                <w:color w:val="000000"/>
                <w:highlight w:val="none"/>
              </w:rPr>
              <w:t xml:space="preserve">备注</w:t>
            </w: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8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95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798"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20"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239"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1071"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c>
          <w:tcPr>
            <w:tcW w:w="687" w:type="dxa"/>
            <w:vAlign w:val="center"/>
            <w:textDirection w:val="lrTb"/>
            <w:noWrap w:val="false"/>
          </w:tcPr>
          <w:p>
            <w:pPr>
              <w:pStyle w:val="926"/>
              <w:ind w:right="30"/>
              <w:keepNext/>
              <w:rPr>
                <w:rFonts w:ascii="宋体" w:hAnsi="宋体" w:eastAsia="宋体" w:cs="宋体"/>
                <w:color w:val="000000"/>
                <w:highlight w:val="none"/>
              </w:rPr>
            </w:pPr>
            <w:r>
              <w:rPr>
                <w:rFonts w:ascii="宋体" w:hAnsi="宋体" w:eastAsia="宋体" w:cs="宋体"/>
                <w:color w:val="000000"/>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r>
        <w:trPr>
          <w:trHeight w:val="567"/>
        </w:trPr>
        <w:tc>
          <w:tcPr>
            <w:tcW w:w="105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8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95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798"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20"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239"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1071"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c>
          <w:tcPr>
            <w:tcW w:w="687" w:type="dxa"/>
            <w:vAlign w:val="top"/>
            <w:textDirection w:val="lrTb"/>
            <w:noWrap w:val="false"/>
          </w:tcPr>
          <w:p>
            <w:pPr>
              <w:pStyle w:val="901"/>
              <w:jc w:val="center"/>
              <w:rPr>
                <w:rFonts w:ascii="宋体" w:hAnsi="宋体" w:cs="宋体"/>
                <w:color w:val="000000"/>
                <w:szCs w:val="21"/>
                <w:highlight w:val="none"/>
              </w:rPr>
            </w:pPr>
            <w:r>
              <w:rPr>
                <w:rFonts w:ascii="宋体" w:hAnsi="宋体" w:cs="宋体"/>
                <w:color w:val="000000"/>
                <w:szCs w:val="21"/>
                <w:highlight w:val="none"/>
              </w:rPr>
            </w:r>
            <w:r/>
          </w:p>
        </w:tc>
      </w:tr>
    </w:tbl>
    <w:p>
      <w:pPr>
        <w:pStyle w:val="901"/>
        <w:spacing w:line="440" w:lineRule="exact"/>
        <w:rPr>
          <w:rFonts w:ascii="宋体" w:hAnsi="宋体" w:cs="宋体"/>
          <w:color w:val="000000"/>
          <w:szCs w:val="21"/>
          <w:highlight w:val="none"/>
        </w:rPr>
        <w:sectPr>
          <w:footnotePr/>
          <w:endnotePr/>
          <w:type w:val="nextPage"/>
          <w:pgSz w:w="11905" w:h="16838" w:orient="portrait"/>
          <w:pgMar w:top="1417" w:right="1247" w:bottom="1247" w:left="1553" w:header="737" w:footer="510" w:gutter="0"/>
          <w:pgNumType w:start="1"/>
          <w:cols w:num="1" w:sep="0" w:space="1701" w:equalWidth="1"/>
          <w:docGrid w:linePitch="360"/>
          <w:titlePg/>
        </w:sectPr>
      </w:pPr>
      <w:r>
        <w:rPr>
          <w:rFonts w:ascii="宋体" w:hAnsi="宋体" w:cs="宋体"/>
          <w:color w:val="000000"/>
          <w:szCs w:val="21"/>
          <w:highlight w:val="none"/>
        </w:rPr>
      </w:r>
      <w:r/>
    </w:p>
    <w:p>
      <w:pPr>
        <w:pStyle w:val="901"/>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附</w:t>
      </w:r>
      <w:bookmarkStart w:id="161" w:name="_Toc296346729"/>
      <w:r/>
      <w:bookmarkStart w:id="162" w:name="_Toc296944567"/>
      <w:r/>
      <w:bookmarkStart w:id="163" w:name="_Toc296503228"/>
      <w:r/>
      <w:bookmarkStart w:id="164" w:name="_Toc296347227"/>
      <w:r/>
      <w:bookmarkStart w:id="165" w:name="_Toc296891056"/>
      <w:r/>
      <w:bookmarkStart w:id="166" w:name="_Toc267261699"/>
      <w:r/>
      <w:bookmarkStart w:id="167" w:name="_Toc296891268"/>
      <w:r>
        <w:rPr>
          <w:rFonts w:hint="eastAsia" w:ascii="宋体" w:hAnsi="宋体" w:cs="宋体"/>
          <w:color w:val="000000"/>
          <w:szCs w:val="21"/>
          <w:highlight w:val="none"/>
        </w:rPr>
        <w:t xml:space="preserve">件6：</w:t>
      </w:r>
      <w:r>
        <w:rPr>
          <w:rFonts w:ascii="宋体" w:hAnsi="宋体" w:cs="宋体"/>
          <w:color w:val="000000"/>
          <w:szCs w:val="21"/>
          <w:highlight w:val="none"/>
        </w:rPr>
      </w:r>
      <w:r/>
    </w:p>
    <w:p>
      <w:pPr>
        <w:pStyle w:val="901"/>
        <w:jc w:val="center"/>
        <w:spacing w:line="440" w:lineRule="exact"/>
        <w:rPr>
          <w:rFonts w:ascii="宋体" w:hAnsi="宋体" w:cs="宋体"/>
          <w:color w:val="000000"/>
          <w:szCs w:val="21"/>
          <w:highlight w:val="none"/>
        </w:rPr>
      </w:pPr>
      <w:r/>
      <w:bookmarkEnd w:id="161"/>
      <w:r/>
      <w:bookmarkEnd w:id="162"/>
      <w:r/>
      <w:bookmarkEnd w:id="163"/>
      <w:r/>
      <w:bookmarkEnd w:id="164"/>
      <w:r/>
      <w:bookmarkEnd w:id="165"/>
      <w:r/>
      <w:bookmarkEnd w:id="166"/>
      <w:r/>
      <w:bookmarkEnd w:id="167"/>
      <w:r>
        <w:rPr>
          <w:rFonts w:hint="eastAsia" w:ascii="宋体" w:hAnsi="宋体" w:cs="宋体"/>
          <w:color w:val="000000"/>
          <w:szCs w:val="21"/>
          <w:highlight w:val="none"/>
        </w:rPr>
        <w:t xml:space="preserve">承包人主要施工管理人员表</w:t>
      </w:r>
      <w:r>
        <w:rPr>
          <w:rFonts w:ascii="宋体" w:hAnsi="宋体" w:cs="宋体"/>
          <w:color w:val="000000"/>
          <w:szCs w:val="21"/>
          <w:highlight w:val="none"/>
        </w:rPr>
      </w:r>
      <w:r/>
    </w:p>
    <w:tbl>
      <w:tblPr>
        <w:tblW w:w="887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693"/>
        <w:gridCol w:w="1283"/>
        <w:gridCol w:w="1026"/>
        <w:gridCol w:w="1026"/>
        <w:gridCol w:w="3848"/>
      </w:tblGrid>
      <w:tr>
        <w:trPr/>
        <w:tc>
          <w:tcPr>
            <w:tcW w:w="1693"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名    称</w:t>
            </w:r>
            <w:r>
              <w:rPr>
                <w:rFonts w:ascii="宋体" w:hAnsi="宋体" w:eastAsia="宋体" w:cs="宋体"/>
                <w:color w:val="000000"/>
                <w:highlight w:val="none"/>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姓名</w:t>
            </w: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职务</w:t>
            </w: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职称</w:t>
            </w: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hint="eastAsia" w:ascii="宋体" w:hAnsi="宋体" w:eastAsia="宋体" w:cs="宋体"/>
                <w:color w:val="000000"/>
                <w:highlight w:val="none"/>
              </w:rPr>
              <w:t xml:space="preserve">主要资历、经验及承担过的项目</w:t>
            </w: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r>
        <w:trPr/>
        <w:tc>
          <w:tcPr>
            <w:tcW w:w="1693" w:type="dxa"/>
            <w:vAlign w:val="center"/>
            <w:textDirection w:val="lrTb"/>
            <w:noWrap w:val="false"/>
          </w:tcPr>
          <w:p>
            <w:pPr>
              <w:pStyle w:val="926"/>
              <w:keepNext/>
              <w:spacing w:line="440" w:lineRule="exact"/>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lang w:eastAsia="zh-CN"/>
              </w:rPr>
            </w:r>
            <w:r/>
          </w:p>
        </w:tc>
        <w:tc>
          <w:tcPr>
            <w:tcW w:w="1283"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1026"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c>
          <w:tcPr>
            <w:tcW w:w="3848" w:type="dxa"/>
            <w:vAlign w:val="center"/>
            <w:textDirection w:val="lrTb"/>
            <w:noWrap w:val="false"/>
          </w:tcPr>
          <w:p>
            <w:pPr>
              <w:pStyle w:val="926"/>
              <w:keepNext/>
              <w:spacing w:line="440" w:lineRule="exact"/>
              <w:rPr>
                <w:rFonts w:ascii="宋体" w:hAnsi="宋体" w:eastAsia="宋体" w:cs="宋体"/>
                <w:color w:val="000000"/>
                <w:highlight w:val="none"/>
              </w:rPr>
            </w:pPr>
            <w:r>
              <w:rPr>
                <w:rFonts w:ascii="宋体" w:hAnsi="宋体" w:eastAsia="宋体" w:cs="宋体"/>
                <w:color w:val="000000"/>
                <w:highlight w:val="none"/>
              </w:rPr>
            </w:r>
            <w:r/>
          </w:p>
        </w:tc>
      </w:tr>
    </w:tbl>
    <w:p>
      <w:pPr>
        <w:pStyle w:val="901"/>
        <w:ind w:right="150"/>
        <w:jc w:val="left"/>
        <w:spacing w:line="360" w:lineRule="auto"/>
        <w:rPr>
          <w:rFonts w:eastAsia="仿宋_GB2312"/>
          <w:color w:val="000000"/>
          <w:sz w:val="24"/>
          <w:highlight w:val="none"/>
        </w:rPr>
      </w:pPr>
      <w:r>
        <w:rPr>
          <w:rFonts w:eastAsia="仿宋_GB2312"/>
          <w:b/>
          <w:color w:val="000000"/>
          <w:sz w:val="30"/>
          <w:szCs w:val="30"/>
          <w:highlight w:val="none"/>
        </w:rPr>
        <w:br w:type="page" w:clear="all"/>
      </w:r>
      <w:r>
        <w:rPr>
          <w:rFonts w:eastAsia="仿宋_GB2312"/>
          <w:color w:val="000000"/>
          <w:sz w:val="24"/>
          <w:highlight w:val="none"/>
        </w:rPr>
      </w:r>
      <w:r/>
    </w:p>
    <w:p>
      <w:pPr>
        <w:pStyle w:val="901"/>
        <w:jc w:val="center"/>
        <w:rPr>
          <w:rFonts w:hint="eastAsia" w:ascii="宋体" w:hAnsi="宋体" w:eastAsia="宋体" w:cs="宋体"/>
          <w:b/>
          <w:bCs/>
          <w:color w:val="000000"/>
          <w:sz w:val="36"/>
          <w:szCs w:val="36"/>
          <w:highlight w:val="none"/>
        </w:rPr>
      </w:pPr>
      <w:r/>
      <w:bookmarkEnd w:id="105"/>
      <w:r/>
      <w:bookmarkEnd w:id="106"/>
      <w:r/>
      <w:bookmarkStart w:id="168" w:name="_Toc17544"/>
      <w:r/>
      <w:bookmarkStart w:id="169" w:name="_Toc55204181"/>
      <w:r/>
      <w:bookmarkStart w:id="170" w:name="_Toc2548"/>
      <w:r>
        <w:rPr>
          <w:rFonts w:hint="eastAsia" w:ascii="宋体" w:hAnsi="宋体" w:eastAsia="宋体" w:cs="宋体"/>
          <w:b/>
          <w:bCs/>
          <w:color w:val="000000"/>
          <w:sz w:val="36"/>
          <w:szCs w:val="36"/>
          <w:highlight w:val="none"/>
        </w:rPr>
        <w:t xml:space="preserve">第四章 采购需求</w:t>
      </w:r>
      <w:r>
        <w:rPr>
          <w:rFonts w:hint="eastAsia" w:ascii="宋体" w:hAnsi="宋体" w:eastAsia="宋体" w:cs="宋体"/>
          <w:b/>
          <w:bCs/>
          <w:color w:val="000000"/>
          <w:sz w:val="36"/>
          <w:szCs w:val="36"/>
          <w:highlight w:val="none"/>
        </w:rPr>
      </w:r>
      <w:r/>
    </w:p>
    <w:p>
      <w:pPr>
        <w:pStyle w:val="901"/>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注： 本章内容里斜体且有下划线部分为实质性要求和条件，响应文件不满足的，视为无效响应处理。请各投标单位制作电子响应文件时，将实质性响应的内容在政府采购管理交易系统（苏采云）中准确填写或上传。</w:t>
      </w:r>
      <w:r>
        <w:rPr>
          <w:rFonts w:hint="eastAsia" w:ascii="宋体" w:hAnsi="宋体" w:cs="宋体"/>
          <w:b/>
          <w:bCs/>
          <w:color w:val="000000"/>
          <w:highlight w:val="none"/>
        </w:rPr>
      </w:r>
      <w:r/>
    </w:p>
    <w:p>
      <w:pPr>
        <w:pStyle w:val="90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i/>
          <w:iCs/>
          <w:color w:val="000000"/>
          <w:szCs w:val="21"/>
          <w:highlight w:val="none"/>
          <w:u w:val="single"/>
        </w:rPr>
        <w:t xml:space="preserve">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i/>
          <w:iCs/>
          <w:color w:val="000000"/>
          <w:szCs w:val="21"/>
          <w:highlight w:val="none"/>
          <w:u w:val="single"/>
          <w:lang w:val="en-US" w:eastAsia="zh-CN"/>
        </w:rPr>
        <w:t xml:space="preserve">显示器</w:t>
      </w:r>
      <w:r>
        <w:rPr>
          <w:rFonts w:hint="eastAsia" w:ascii="宋体" w:hAnsi="宋体" w:cs="宋体"/>
          <w:i/>
          <w:iCs/>
          <w:color w:val="000000"/>
          <w:szCs w:val="21"/>
          <w:highlight w:val="none"/>
          <w:u w:val="single"/>
        </w:rPr>
        <w:t xml:space="preserve">。</w:t>
      </w:r>
      <w:r>
        <w:rPr>
          <w:rFonts w:hint="eastAsia" w:ascii="宋体" w:hAnsi="宋体" w:cs="宋体"/>
          <w:color w:val="000000"/>
          <w:szCs w:val="21"/>
          <w:highlight w:val="none"/>
        </w:rPr>
      </w:r>
      <w:r/>
    </w:p>
    <w:p>
      <w:pPr>
        <w:pStyle w:val="90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2.投标人对于投标产品的包装应按照“财办库〔2020〕123号《关于印发商品包装政府采购需求标准（试行）》、《快递包装政府采购需求标准（试行）的通知》”执行。</w:t>
      </w:r>
      <w:r>
        <w:rPr>
          <w:rFonts w:hint="eastAsia" w:ascii="宋体" w:hAnsi="宋体" w:cs="宋体"/>
          <w:color w:val="000000"/>
          <w:szCs w:val="21"/>
          <w:highlight w:val="none"/>
        </w:rPr>
      </w:r>
      <w:r/>
    </w:p>
    <w:p>
      <w:pPr>
        <w:pStyle w:val="901"/>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3.采购标的清单</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3452"/>
        <w:gridCol w:w="3697"/>
      </w:tblGrid>
      <w:tr>
        <w:trPr>
          <w:cantSplit/>
          <w:trHeight w:val="567"/>
        </w:trPr>
        <w:tc>
          <w:tcPr>
            <w:tcW w:w="829" w:type="dxa"/>
            <w:vAlign w:val="center"/>
            <w:textDirection w:val="lrTb"/>
            <w:noWrap w:val="false"/>
          </w:tcPr>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3452" w:type="dxa"/>
            <w:vAlign w:val="center"/>
            <w:textDirection w:val="lrTb"/>
            <w:noWrap w:val="false"/>
          </w:tcPr>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采购标的</w:t>
            </w:r>
            <w:r>
              <w:rPr>
                <w:rFonts w:hint="eastAsia" w:ascii="宋体" w:hAnsi="宋体" w:cs="宋体"/>
                <w:b/>
                <w:bCs/>
                <w:color w:val="000000"/>
                <w:szCs w:val="21"/>
                <w:highlight w:val="none"/>
              </w:rPr>
            </w:r>
            <w:r/>
          </w:p>
        </w:tc>
        <w:tc>
          <w:tcPr>
            <w:tcW w:w="3697" w:type="dxa"/>
            <w:vAlign w:val="center"/>
            <w:textDirection w:val="lrTb"/>
            <w:noWrap w:val="false"/>
          </w:tcPr>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对应中小企业划分标准所属行业</w:t>
            </w:r>
            <w:r>
              <w:rPr>
                <w:rFonts w:hint="eastAsia" w:ascii="宋体" w:hAnsi="宋体" w:cs="宋体"/>
                <w:b/>
                <w:bCs/>
                <w:color w:val="000000"/>
                <w:szCs w:val="21"/>
                <w:highlight w:val="none"/>
              </w:rPr>
            </w:r>
            <w:r/>
          </w:p>
        </w:tc>
      </w:tr>
      <w:tr>
        <w:trPr>
          <w:cantSplit/>
          <w:trHeight w:val="567"/>
        </w:trPr>
        <w:tc>
          <w:tcPr>
            <w:tcW w:w="829" w:type="dxa"/>
            <w:vAlign w:val="center"/>
            <w:textDirection w:val="lrTb"/>
            <w:noWrap w:val="false"/>
          </w:tcPr>
          <w:p>
            <w:pPr>
              <w:pStyle w:val="90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3452" w:type="dxa"/>
            <w:vAlign w:val="center"/>
            <w:textDirection w:val="lrTb"/>
            <w:noWrap w:val="false"/>
          </w:tcPr>
          <w:p>
            <w:pPr>
              <w:pStyle w:val="901"/>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r>
            <w:r>
              <w:rPr>
                <w:rFonts w:hint="eastAsia" w:ascii="宋体" w:hAnsi="宋体" w:cs="宋体"/>
                <w:color w:val="000000"/>
                <w:szCs w:val="21"/>
                <w:highlight w:val="none"/>
                <w:lang w:val="en-US" w:eastAsia="zh-CN"/>
              </w:rPr>
              <w:t xml:space="preserve">扬州大学动物实验中心机电设备自控系统和弱电系统工程</w:t>
            </w:r>
            <w:r>
              <w:rPr>
                <w:rFonts w:hint="eastAsia" w:ascii="宋体" w:hAnsi="宋体" w:cs="宋体"/>
                <w:color w:val="000000"/>
                <w:szCs w:val="21"/>
                <w:highlight w:val="none"/>
                <w:lang w:val="en-US" w:eastAsia="zh-CN"/>
              </w:rPr>
            </w:r>
            <w:r/>
          </w:p>
        </w:tc>
        <w:tc>
          <w:tcPr>
            <w:tcW w:w="3697" w:type="dxa"/>
            <w:vAlign w:val="center"/>
            <w:textDirection w:val="lrTb"/>
            <w:noWrap w:val="false"/>
          </w:tcPr>
          <w:p>
            <w:pPr>
              <w:pStyle w:val="901"/>
              <w:jc w:val="center"/>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建筑业</w:t>
            </w:r>
            <w:r>
              <w:rPr>
                <w:rFonts w:hint="eastAsia" w:ascii="宋体" w:hAnsi="宋体" w:eastAsia="宋体" w:cs="宋体"/>
                <w:color w:val="000000"/>
                <w:szCs w:val="21"/>
                <w:highlight w:val="none"/>
                <w:lang w:eastAsia="zh-CN"/>
              </w:rPr>
            </w:r>
            <w:r/>
          </w:p>
        </w:tc>
      </w:tr>
    </w:tbl>
    <w:p>
      <w:pPr>
        <w:pStyle w:val="901"/>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一、项目概况</w:t>
      </w:r>
      <w:r>
        <w:rPr>
          <w:rFonts w:hint="eastAsia" w:ascii="宋体" w:hAnsi="宋体" w:eastAsia="宋体" w:cs="宋体"/>
          <w:b/>
          <w:bCs/>
          <w:color w:val="000000"/>
          <w:szCs w:val="21"/>
          <w:highlight w:val="none"/>
          <w:lang w:val="en-US" w:eastAsia="zh-CN"/>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t xml:space="preserve">扬州大学动物实验中心机电设备自控系统和弱电系统工程</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、最高限价</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484.14</w:t>
      </w:r>
      <w:r>
        <w:rPr>
          <w:rFonts w:hint="eastAsia" w:ascii="宋体" w:hAnsi="宋体" w:cs="宋体"/>
          <w:color w:val="000000"/>
          <w:sz w:val="21"/>
          <w:szCs w:val="21"/>
          <w:highlight w:val="none"/>
          <w:lang w:eastAsia="zh-CN"/>
        </w:rPr>
        <w:t xml:space="preserve">万元</w:t>
      </w:r>
      <w:r>
        <w:rPr>
          <w:rFonts w:hint="eastAsia" w:ascii="宋体" w:hAnsi="宋体" w:eastAsia="宋体" w:cs="宋体"/>
          <w:color w:val="000000"/>
          <w:sz w:val="21"/>
          <w:szCs w:val="21"/>
          <w:highlight w:val="none"/>
        </w:rPr>
        <w:t xml:space="preserve">，报价超过最高限价的视为无效响应文件</w:t>
      </w:r>
      <w:r>
        <w:rPr>
          <w:rFonts w:hint="eastAsia" w:ascii="宋体" w:hAnsi="宋体" w:eastAsia="宋体" w:cs="宋体"/>
          <w:color w:val="000000"/>
          <w:sz w:val="21"/>
          <w:szCs w:val="21"/>
          <w:highlight w:val="none"/>
        </w:rPr>
      </w:r>
      <w:r/>
    </w:p>
    <w:p>
      <w:pPr>
        <w:pStyle w:val="901"/>
        <w:ind w:firstLine="420"/>
        <w:spacing w:line="360" w:lineRule="auto"/>
        <w:rPr>
          <w:rFonts w:hint="eastAsia" w:ascii="宋体" w:hAnsi="宋体" w:eastAsia="宋体" w:cs="宋体"/>
          <w:color w:val="000000"/>
          <w:sz w:val="21"/>
          <w:szCs w:val="21"/>
          <w:highlight w:val="none"/>
          <w:lang w:bidi="ar"/>
        </w:rPr>
      </w:pP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、建设地点：扬州大学生命科学大楼 （江苏省扬州文汇东路48号） </w:t>
      </w:r>
      <w:r>
        <w:rPr>
          <w:rFonts w:hint="eastAsia" w:ascii="宋体" w:hAnsi="宋体" w:eastAsia="宋体" w:cs="宋体"/>
          <w:color w:val="000000"/>
          <w:sz w:val="21"/>
          <w:szCs w:val="21"/>
          <w:highlight w:val="none"/>
          <w:lang w:bidi="ar"/>
        </w:rPr>
      </w:r>
      <w:r/>
    </w:p>
    <w:p>
      <w:pPr>
        <w:pStyle w:val="901"/>
        <w:ind w:firstLine="420"/>
        <w:spacing w:line="360" w:lineRule="auto"/>
        <w:rPr>
          <w:rFonts w:hint="eastAsia" w:ascii="宋体" w:hAnsi="宋体" w:cs="宋体"/>
          <w:color w:val="000000"/>
          <w:szCs w:val="21"/>
          <w:highlight w:val="none"/>
        </w:rPr>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采购需求：</w:t>
      </w:r>
      <w:r>
        <w:rPr>
          <w:rFonts w:hint="eastAsia" w:ascii="宋体" w:hAnsi="宋体" w:cs="宋体"/>
          <w:color w:val="000000"/>
          <w:szCs w:val="21"/>
          <w:highlight w:val="none"/>
          <w:lang w:eastAsia="zh-CN"/>
        </w:rPr>
        <w:t xml:space="preserve">主要范围为</w:t>
      </w:r>
      <w:r>
        <w:rPr>
          <w:rFonts w:hint="eastAsia" w:ascii="宋体" w:hAnsi="宋体" w:cs="宋体"/>
          <w:color w:val="000000"/>
          <w:szCs w:val="21"/>
          <w:highlight w:val="none"/>
          <w:lang w:eastAsia="zh-CN"/>
        </w:rPr>
        <w:t xml:space="preserve">扬州大学动物实验中心机电设备自控系统和弱电系统工程</w:t>
      </w:r>
      <w:r>
        <w:rPr>
          <w:rFonts w:hint="eastAsia" w:ascii="宋体" w:hAnsi="宋体" w:cs="宋体"/>
          <w:color w:val="000000"/>
          <w:szCs w:val="21"/>
          <w:highlight w:val="none"/>
          <w:lang w:eastAsia="zh-CN"/>
        </w:rPr>
      </w:r>
      <w:r>
        <w:rPr>
          <w:rFonts w:hint="eastAsia" w:ascii="宋体" w:hAnsi="宋体" w:eastAsia="宋体" w:cs="宋体"/>
          <w:color w:val="000000"/>
          <w:sz w:val="21"/>
          <w:szCs w:val="21"/>
          <w:highlight w:val="none"/>
          <w:lang w:val="en-US" w:eastAsia="zh-CN"/>
        </w:rPr>
        <w:t xml:space="preserve">施工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包含但不限于本项目施工图纸及工程量清单范围内的所有施工内容。具体详见</w:t>
      </w:r>
      <w:r>
        <w:rPr>
          <w:rFonts w:hint="eastAsia" w:ascii="宋体" w:hAnsi="宋体" w:cs="宋体"/>
          <w:color w:val="000000"/>
          <w:szCs w:val="21"/>
          <w:highlight w:val="none"/>
          <w:lang w:val="en-US" w:eastAsia="zh-CN"/>
        </w:rPr>
        <w:t xml:space="preserve">需求</w:t>
      </w:r>
      <w:r>
        <w:rPr>
          <w:rFonts w:hint="eastAsia" w:ascii="宋体" w:hAnsi="宋体" w:cs="宋体"/>
          <w:color w:val="000000"/>
          <w:szCs w:val="21"/>
          <w:highlight w:val="none"/>
        </w:rPr>
        <w:t xml:space="preserve">、图纸及工程量清单；</w:t>
      </w:r>
      <w:r>
        <w:rPr>
          <w:rFonts w:hint="eastAsia" w:ascii="宋体" w:hAnsi="宋体" w:cs="宋体"/>
          <w:color w:val="000000"/>
          <w:szCs w:val="21"/>
          <w:highlight w:val="none"/>
        </w:rPr>
      </w:r>
      <w:r/>
    </w:p>
    <w:p>
      <w:pPr>
        <w:pStyle w:val="901"/>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二、 设计参考规范：</w:t>
      </w:r>
      <w:r>
        <w:rPr>
          <w:rFonts w:hint="eastAsia" w:ascii="宋体" w:hAnsi="宋体" w:eastAsia="宋体" w:cs="宋体"/>
          <w:b/>
          <w:bCs/>
          <w:color w:val="000000"/>
          <w:szCs w:val="21"/>
          <w:highlight w:val="none"/>
          <w:lang w:val="en-US" w:eastAsia="zh-CN"/>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《实验动物环境及设施》</w:t>
      </w:r>
      <w:r>
        <w:rPr>
          <w:bCs/>
          <w:color w:val="000000"/>
          <w:szCs w:val="21"/>
          <w:highlight w:val="none"/>
        </w:rPr>
        <w:t xml:space="preserve">GB 14925-2023</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《实验室生物安全通用要求》</w:t>
      </w:r>
      <w:r>
        <w:rPr>
          <w:bCs/>
          <w:color w:val="000000"/>
          <w:szCs w:val="21"/>
          <w:highlight w:val="none"/>
        </w:rPr>
        <w:t xml:space="preserve">GB19489-2008</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《病原微生物实验室生物安全标识》</w:t>
      </w:r>
      <w:r>
        <w:rPr>
          <w:bCs/>
          <w:color w:val="000000"/>
          <w:szCs w:val="21"/>
          <w:highlight w:val="none"/>
        </w:rPr>
        <w:t xml:space="preserve">WS 589-2018</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《病原微生物实验室生物安全环境管理办法》</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《病原微生物实验室生物安全通用准则》</w:t>
      </w:r>
      <w:r>
        <w:rPr>
          <w:bCs/>
          <w:color w:val="000000"/>
          <w:szCs w:val="21"/>
          <w:highlight w:val="none"/>
        </w:rPr>
        <w:t xml:space="preserve">WS233-2017</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《生物安全实验室建筑技术规范》</w:t>
      </w:r>
      <w:r>
        <w:rPr>
          <w:bCs/>
          <w:color w:val="000000"/>
          <w:szCs w:val="21"/>
          <w:highlight w:val="none"/>
        </w:rPr>
        <w:t xml:space="preserve">GB50346-2011</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《民用建筑供暖通风与空气调节设计规范》</w:t>
      </w:r>
      <w:r>
        <w:rPr>
          <w:bCs/>
          <w:color w:val="000000"/>
          <w:szCs w:val="21"/>
          <w:highlight w:val="none"/>
        </w:rPr>
        <w:t xml:space="preserve">GB 50736-2012  </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《实验动物设施建筑技术规范》</w:t>
      </w:r>
      <w:r>
        <w:rPr>
          <w:bCs/>
          <w:color w:val="000000"/>
          <w:szCs w:val="21"/>
          <w:highlight w:val="none"/>
        </w:rPr>
        <w:t xml:space="preserve">GB 50447-2008</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《工业建筑供暖通风与空气调节设计规范》</w:t>
      </w:r>
      <w:r>
        <w:rPr>
          <w:bCs/>
          <w:color w:val="000000"/>
          <w:szCs w:val="21"/>
          <w:highlight w:val="none"/>
        </w:rPr>
        <w:t xml:space="preserve">GB 50019-2015</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《智能建筑设计标准》</w:t>
      </w:r>
      <w:r>
        <w:rPr>
          <w:bCs/>
          <w:color w:val="000000"/>
          <w:szCs w:val="21"/>
          <w:highlight w:val="none"/>
        </w:rPr>
        <w:t xml:space="preserve">GB50314-2015</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《民用建筑电气设计标准》</w:t>
      </w:r>
      <w:r>
        <w:rPr>
          <w:bCs/>
          <w:color w:val="000000"/>
          <w:szCs w:val="21"/>
          <w:highlight w:val="none"/>
        </w:rPr>
        <w:t xml:space="preserve">GB51348-2019</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《自动化仪表工程施工及质量验收规范》</w:t>
      </w:r>
      <w:r>
        <w:rPr>
          <w:bCs/>
          <w:color w:val="000000"/>
          <w:szCs w:val="21"/>
          <w:highlight w:val="none"/>
        </w:rPr>
        <w:t xml:space="preserve">GB 50093-2013</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《建筑电气与智能化通用规范》</w:t>
      </w:r>
      <w:r>
        <w:rPr>
          <w:bCs/>
          <w:color w:val="000000"/>
          <w:szCs w:val="21"/>
          <w:highlight w:val="none"/>
        </w:rPr>
        <w:t xml:space="preserve">GB 55024-2022</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w:t>
      </w:r>
      <w:r>
        <w:rPr>
          <w:rFonts w:hint="eastAsia"/>
          <w:bCs/>
          <w:color w:val="000000"/>
          <w:szCs w:val="21"/>
          <w:highlight w:val="none"/>
          <w:u w:val="none"/>
        </w:rPr>
        <w:t xml:space="preserve">智能建筑工程质量验收规范</w:t>
      </w:r>
      <w:r>
        <w:rPr>
          <w:rFonts w:hint="eastAsia"/>
          <w:bCs/>
          <w:color w:val="000000"/>
          <w:szCs w:val="21"/>
          <w:highlight w:val="none"/>
        </w:rPr>
        <w:t xml:space="preserve">》</w:t>
      </w:r>
      <w:r>
        <w:rPr>
          <w:bCs/>
          <w:color w:val="000000"/>
          <w:szCs w:val="21"/>
          <w:highlight w:val="none"/>
        </w:rPr>
        <w:t xml:space="preserve">GB50339-2013</w:t>
      </w:r>
      <w:r>
        <w:rPr>
          <w:bCs/>
          <w:color w:val="000000"/>
          <w:szCs w:val="21"/>
          <w:highlight w:val="none"/>
        </w:rPr>
      </w:r>
      <w:r/>
    </w:p>
    <w:p>
      <w:pPr>
        <w:pStyle w:val="901"/>
        <w:numPr>
          <w:ilvl w:val="0"/>
          <w:numId w:val="5"/>
        </w:numPr>
        <w:ind w:left="425" w:hanging="5"/>
        <w:spacing w:line="360" w:lineRule="auto"/>
        <w:rPr>
          <w:rFonts w:hint="eastAsia" w:eastAsia="宋体" w:cs="Times New Roman"/>
          <w:bCs/>
          <w:color w:val="000000"/>
          <w:szCs w:val="21"/>
          <w:highlight w:val="none"/>
          <w:u w:val="none"/>
        </w:rPr>
      </w:pPr>
      <w:r>
        <w:rPr>
          <w:rFonts w:hint="eastAsia" w:eastAsia="宋体" w:cs="Times New Roman"/>
          <w:bCs/>
          <w:color w:val="000000"/>
          <w:szCs w:val="21"/>
          <w:highlight w:val="none"/>
          <w:u w:val="none"/>
        </w:rPr>
        <w:t xml:space="preserve">《建筑与市政工程施工现场临时用电安全技术标准》JGJ/T 46-2024；</w:t>
      </w:r>
      <w:r>
        <w:rPr>
          <w:rFonts w:hint="eastAsia" w:eastAsia="宋体" w:cs="Times New Roman"/>
          <w:bCs/>
          <w:color w:val="000000"/>
          <w:szCs w:val="21"/>
          <w:highlight w:val="none"/>
          <w:u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《医药工业洁净厂房设计规范》</w:t>
      </w:r>
      <w:r>
        <w:rPr>
          <w:bCs/>
          <w:color w:val="000000"/>
          <w:szCs w:val="21"/>
          <w:highlight w:val="none"/>
        </w:rPr>
        <w:t xml:space="preserve">GB50457-2019</w:t>
      </w:r>
      <w:r>
        <w:rPr>
          <w:bCs/>
          <w:color w:val="000000"/>
          <w:szCs w:val="21"/>
          <w:highlight w:val="none"/>
        </w:rPr>
      </w:r>
      <w:r/>
    </w:p>
    <w:p>
      <w:pPr>
        <w:pStyle w:val="901"/>
        <w:numPr>
          <w:ilvl w:val="0"/>
          <w:numId w:val="5"/>
        </w:numPr>
        <w:ind w:left="425" w:hanging="5"/>
        <w:spacing w:line="360" w:lineRule="auto"/>
        <w:rPr>
          <w:rFonts w:hint="eastAsia" w:eastAsia="宋体" w:cs="Times New Roman"/>
          <w:bCs/>
          <w:color w:val="000000"/>
          <w:szCs w:val="21"/>
          <w:highlight w:val="none"/>
        </w:rPr>
      </w:pPr>
      <w:r>
        <w:rPr>
          <w:rFonts w:hint="eastAsia"/>
          <w:bCs/>
          <w:color w:val="000000"/>
          <w:szCs w:val="21"/>
          <w:highlight w:val="none"/>
        </w:rPr>
        <w:t xml:space="preserve">《江苏省实验动物管理办法》</w:t>
      </w:r>
      <w:r>
        <w:rPr>
          <w:rFonts w:hint="eastAsia" w:eastAsia="宋体" w:cs="Times New Roman"/>
          <w:bCs/>
          <w:color w:val="000000"/>
          <w:szCs w:val="21"/>
          <w:highlight w:val="none"/>
        </w:rPr>
        <w:t xml:space="preserve">江苏省人民政府令第191号</w:t>
      </w:r>
      <w:r>
        <w:rPr>
          <w:rFonts w:hint="eastAsia" w:eastAsia="宋体" w:cs="Times New Roman"/>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《江苏省实验动物许可证管理办法》</w:t>
      </w:r>
      <w:r>
        <w:rPr>
          <w:bCs/>
          <w:color w:val="000000"/>
          <w:szCs w:val="21"/>
          <w:highlight w:val="none"/>
        </w:rPr>
      </w:r>
      <w:r/>
    </w:p>
    <w:p>
      <w:pPr>
        <w:pStyle w:val="901"/>
        <w:numPr>
          <w:ilvl w:val="0"/>
          <w:numId w:val="5"/>
        </w:numPr>
        <w:ind w:left="425" w:hanging="5"/>
        <w:spacing w:line="360" w:lineRule="auto"/>
        <w:rPr>
          <w:bCs/>
          <w:color w:val="000000"/>
          <w:szCs w:val="21"/>
          <w:highlight w:val="none"/>
        </w:rPr>
      </w:pPr>
      <w:r>
        <w:rPr>
          <w:rFonts w:hint="eastAsia"/>
          <w:bCs/>
          <w:color w:val="000000"/>
          <w:szCs w:val="21"/>
          <w:highlight w:val="none"/>
        </w:rPr>
        <w:t xml:space="preserve">国家其他有关建筑、改建及实验室有关要求、规范</w:t>
      </w:r>
      <w:r>
        <w:rPr>
          <w:bCs/>
          <w:color w:val="000000"/>
          <w:szCs w:val="21"/>
          <w:highlight w:val="none"/>
        </w:rPr>
      </w:r>
      <w:r/>
    </w:p>
    <w:p>
      <w:pPr>
        <w:pStyle w:val="901"/>
        <w:ind w:left="420"/>
        <w:spacing w:line="360" w:lineRule="auto"/>
        <w:rPr>
          <w:b/>
          <w:bCs/>
          <w:color w:val="000000"/>
          <w:szCs w:val="21"/>
          <w:highlight w:val="none"/>
        </w:rPr>
      </w:pPr>
      <w:r>
        <w:rPr>
          <w:rFonts w:hint="eastAsia"/>
          <w:b/>
          <w:bCs/>
          <w:color w:val="000000"/>
          <w:szCs w:val="21"/>
          <w:highlight w:val="none"/>
        </w:rPr>
        <w:t xml:space="preserve">以上标准规范如有更新替代，按最新执行。</w:t>
      </w:r>
      <w:r>
        <w:rPr>
          <w:b/>
          <w:bCs/>
          <w:color w:val="000000"/>
          <w:szCs w:val="21"/>
          <w:highlight w:val="none"/>
        </w:rPr>
      </w:r>
      <w:r/>
    </w:p>
    <w:p>
      <w:pPr>
        <w:pStyle w:val="901"/>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r>
      <w:r/>
    </w:p>
    <w:p>
      <w:pPr>
        <w:pStyle w:val="901"/>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三、技术要求（以下技术内容为参考，投标人应根据自身产品实际情况提供满足使用需求、性能不低于以下技术要求的产品。如在各技术要求中仅为某一品牌或型号所特有的仅起说明作用，并没有任何限制性，投标人可以选用替代标准）</w:t>
      </w:r>
      <w:r>
        <w:rPr>
          <w:rFonts w:hint="eastAsia" w:ascii="宋体" w:hAnsi="宋体" w:eastAsia="宋体" w:cs="宋体"/>
          <w:b/>
          <w:bCs/>
          <w:color w:val="000000"/>
          <w:szCs w:val="21"/>
          <w:highlight w:val="none"/>
          <w:lang w:val="en-US" w:eastAsia="zh-CN"/>
        </w:rPr>
      </w:r>
      <w:r/>
    </w:p>
    <w:p>
      <w:pPr>
        <w:pStyle w:val="901"/>
        <w:spacing w:line="360" w:lineRule="auto"/>
        <w:rPr>
          <w:b/>
          <w:color w:val="000000"/>
          <w:szCs w:val="21"/>
          <w:highlight w:val="none"/>
        </w:rPr>
      </w:pPr>
      <w:r>
        <w:rPr>
          <w:rFonts w:hint="eastAsia"/>
          <w:b/>
          <w:bCs/>
          <w:color w:val="000000"/>
          <w:szCs w:val="21"/>
          <w:highlight w:val="none"/>
          <w:lang w:eastAsia="zh-CN"/>
        </w:rPr>
        <w:t xml:space="preserve">（</w:t>
      </w:r>
      <w:r>
        <w:rPr>
          <w:rFonts w:hint="eastAsia"/>
          <w:b/>
          <w:bCs/>
          <w:color w:val="000000"/>
          <w:szCs w:val="21"/>
          <w:highlight w:val="none"/>
          <w:lang w:val="en-US" w:eastAsia="zh-CN"/>
        </w:rPr>
        <w:t xml:space="preserve">一</w:t>
      </w:r>
      <w:r>
        <w:rPr>
          <w:rFonts w:hint="eastAsia"/>
          <w:b/>
          <w:bCs/>
          <w:color w:val="000000"/>
          <w:szCs w:val="21"/>
          <w:highlight w:val="none"/>
          <w:lang w:eastAsia="zh-CN"/>
        </w:rPr>
        <w:t xml:space="preserve">）</w:t>
      </w:r>
      <w:r>
        <w:rPr>
          <w:rFonts w:hint="eastAsia"/>
          <w:b/>
          <w:bCs/>
          <w:color w:val="000000"/>
          <w:szCs w:val="21"/>
          <w:highlight w:val="none"/>
        </w:rPr>
        <w:t xml:space="preserve">机电工程自控系统技术要求</w:t>
      </w:r>
      <w:r>
        <w:rPr>
          <w:b/>
          <w:color w:val="000000"/>
          <w:szCs w:val="21"/>
          <w:highlight w:val="none"/>
        </w:rPr>
      </w:r>
      <w:r/>
    </w:p>
    <w:p>
      <w:pPr>
        <w:pStyle w:val="901"/>
        <w:spacing w:line="360" w:lineRule="auto"/>
        <w:rPr>
          <w:color w:val="000000"/>
          <w:szCs w:val="21"/>
          <w:highlight w:val="none"/>
        </w:rPr>
      </w:pPr>
      <w:r>
        <w:rPr>
          <w:rFonts w:hint="eastAsia"/>
          <w:b/>
          <w:color w:val="000000"/>
          <w:szCs w:val="21"/>
          <w:highlight w:val="none"/>
          <w:lang w:val="en-US" w:eastAsia="zh-CN"/>
        </w:rPr>
        <w:t xml:space="preserve">1、</w:t>
      </w:r>
      <w:r>
        <w:rPr>
          <w:rFonts w:hint="eastAsia"/>
          <w:color w:val="000000"/>
          <w:szCs w:val="21"/>
          <w:highlight w:val="none"/>
        </w:rPr>
        <w:t xml:space="preserve">关于暖通设备的控制说明</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1.1</w:t>
      </w:r>
      <w:r>
        <w:rPr>
          <w:rFonts w:hint="eastAsia"/>
          <w:color w:val="000000"/>
          <w:szCs w:val="21"/>
          <w:highlight w:val="none"/>
        </w:rPr>
        <w:t xml:space="preserve">冷热源机组自带控制，</w:t>
      </w:r>
      <w:bookmarkStart w:id="171" w:name="_Hlk62387764"/>
      <w:r>
        <w:rPr>
          <w:rFonts w:hint="eastAsia"/>
          <w:color w:val="000000"/>
          <w:szCs w:val="21"/>
          <w:highlight w:val="none"/>
        </w:rPr>
        <w:t xml:space="preserve">提供标准的通讯协议为</w:t>
      </w:r>
      <w:r>
        <w:rPr>
          <w:color w:val="000000"/>
          <w:szCs w:val="21"/>
          <w:highlight w:val="none"/>
        </w:rPr>
        <w:t xml:space="preserve">MODBUS RTU</w:t>
      </w:r>
      <w:r>
        <w:rPr>
          <w:rFonts w:hint="eastAsia"/>
          <w:color w:val="000000"/>
          <w:szCs w:val="21"/>
          <w:highlight w:val="none"/>
        </w:rPr>
        <w:t xml:space="preserve">，进入中央控制系统，只监不控</w:t>
      </w:r>
      <w:bookmarkEnd w:id="171"/>
      <w:r>
        <w:rPr>
          <w:rFonts w:hint="eastAsia"/>
          <w:color w:val="000000"/>
          <w:szCs w:val="21"/>
          <w:highlight w:val="none"/>
        </w:rPr>
        <w:t xml:space="preserve">；</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1.2</w:t>
      </w:r>
      <w:r>
        <w:rPr>
          <w:rFonts w:hint="eastAsia"/>
          <w:color w:val="000000"/>
          <w:szCs w:val="21"/>
          <w:highlight w:val="none"/>
        </w:rPr>
        <w:t xml:space="preserve">风冷热泵冷热水系统、空调箱系统、排风机系统，做恒温恒湿、恒压控制。包括温湿度传感器、变频器、压差报警、压力报警、变频器控制等。</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关于室内温湿度、压力、氨浓度、消毒控制的说明</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只有实验室及动物房的饲养间、操作间设置温湿度传感器，其他房间不做，有动物饲养的房间排风设置一个氨浓度传感器。</w:t>
      </w:r>
      <w:r>
        <w:rPr>
          <w:color w:val="000000"/>
          <w:szCs w:val="21"/>
          <w:highlight w:val="none"/>
        </w:rPr>
      </w:r>
      <w:r/>
    </w:p>
    <w:p>
      <w:pPr>
        <w:pStyle w:val="901"/>
        <w:spacing w:line="360" w:lineRule="auto"/>
        <w:rPr>
          <w:b/>
          <w:color w:val="000000"/>
          <w:szCs w:val="21"/>
          <w:highlight w:val="none"/>
        </w:rPr>
      </w:pPr>
      <w:r>
        <w:rPr>
          <w:rFonts w:hint="eastAsia"/>
          <w:b/>
          <w:color w:val="000000"/>
          <w:szCs w:val="21"/>
          <w:highlight w:val="none"/>
          <w:lang w:eastAsia="zh-CN"/>
        </w:rPr>
        <w:t xml:space="preserve">（</w:t>
      </w:r>
      <w:r>
        <w:rPr>
          <w:rFonts w:hint="eastAsia"/>
          <w:b/>
          <w:color w:val="000000"/>
          <w:szCs w:val="21"/>
          <w:highlight w:val="none"/>
          <w:lang w:val="en-US" w:eastAsia="zh-CN"/>
        </w:rPr>
        <w:t xml:space="preserve">二</w:t>
      </w:r>
      <w:r>
        <w:rPr>
          <w:rFonts w:hint="eastAsia"/>
          <w:b/>
          <w:color w:val="000000"/>
          <w:szCs w:val="21"/>
          <w:highlight w:val="none"/>
          <w:lang w:eastAsia="zh-CN"/>
        </w:rPr>
        <w:t xml:space="preserve">）</w:t>
      </w:r>
      <w:r>
        <w:rPr>
          <w:rFonts w:hint="eastAsia"/>
          <w:b/>
          <w:color w:val="000000"/>
          <w:szCs w:val="21"/>
          <w:highlight w:val="none"/>
        </w:rPr>
        <w:t xml:space="preserve">机电工程自控系统的调节系统架构</w:t>
      </w:r>
      <w:r>
        <w:rPr>
          <w:b/>
          <w:color w:val="000000"/>
          <w:szCs w:val="21"/>
          <w:highlight w:val="none"/>
        </w:rPr>
      </w:r>
      <w:r/>
    </w:p>
    <w:p>
      <w:pPr>
        <w:pStyle w:val="901"/>
        <w:spacing w:line="360" w:lineRule="auto"/>
        <w:rPr>
          <w:rFonts w:hint="eastAsia" w:eastAsia="宋体"/>
          <w:color w:val="000000"/>
          <w:szCs w:val="21"/>
          <w:highlight w:val="none"/>
          <w:lang w:eastAsia="zh-CN"/>
        </w:rPr>
      </w:pPr>
      <w:r>
        <w:rPr>
          <w:rFonts w:hint="eastAsia"/>
          <w:color w:val="000000"/>
          <w:szCs w:val="21"/>
          <w:highlight w:val="none"/>
          <w:lang w:val="en-US" w:eastAsia="zh-CN"/>
        </w:rPr>
        <w:t xml:space="preserve">1、</w:t>
      </w:r>
      <w:r>
        <w:rPr>
          <w:rFonts w:hint="eastAsia"/>
          <w:color w:val="000000"/>
          <w:szCs w:val="21"/>
          <w:highlight w:val="none"/>
        </w:rPr>
        <w:t xml:space="preserve">机电工程自控系统调节的主要</w:t>
      </w:r>
      <w:r>
        <w:rPr>
          <w:rFonts w:hint="eastAsia"/>
          <w:color w:val="000000"/>
          <w:szCs w:val="21"/>
          <w:highlight w:val="none"/>
          <w:lang w:val="en-US" w:eastAsia="zh-CN"/>
        </w:rPr>
        <w:t xml:space="preserve">要求</w:t>
      </w:r>
      <w:r>
        <w:rPr>
          <w:rFonts w:hint="eastAsia" w:eastAsia="宋体"/>
          <w:color w:val="000000"/>
          <w:szCs w:val="21"/>
          <w:highlight w:val="none"/>
          <w:lang w:eastAsia="zh-CN"/>
        </w:rPr>
      </w:r>
      <w:r/>
    </w:p>
    <w:p>
      <w:pPr>
        <w:pStyle w:val="901"/>
        <w:ind w:firstLine="420"/>
        <w:spacing w:line="360" w:lineRule="auto"/>
        <w:rPr>
          <w:color w:val="000000"/>
          <w:szCs w:val="21"/>
          <w:highlight w:val="none"/>
        </w:rPr>
      </w:pPr>
      <w:r>
        <w:rPr>
          <w:rFonts w:hint="eastAsia"/>
          <w:color w:val="000000"/>
          <w:szCs w:val="21"/>
          <w:highlight w:val="none"/>
        </w:rPr>
        <w:t xml:space="preserve">按照国标和规范，动物房屏障系统主要控制的参数为温度、湿度、风量风速、压差等指标，这些指标调节的基本原理如下：</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环境温度控制是通过设在回（排）风主干管上的温度传感器偏差信号控制空调机组冷</w:t>
      </w:r>
      <w:r>
        <w:rPr>
          <w:color w:val="000000"/>
          <w:szCs w:val="21"/>
          <w:highlight w:val="none"/>
        </w:rPr>
        <w:t xml:space="preserve"> </w:t>
      </w:r>
      <w:r>
        <w:rPr>
          <w:rFonts w:hint="eastAsia"/>
          <w:color w:val="000000"/>
          <w:szCs w:val="21"/>
          <w:highlight w:val="none"/>
        </w:rPr>
        <w:t xml:space="preserve">（加热）盘管电动阀的开度，及电加热控制器来控制温度。</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湿度控制是通过设在主回（排）风管道湿度敏感元件控制送风空调机组的机器露点，调节表冷器供冷量或电加湿器加湿量，保证室内的相对湿度参数。</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各区域风量、风速和压差控制是通过自动调节空调机组及房间送风管道与排风管道的变风量风阀进行调节。</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机电工程自控系统的基本架构</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自动控制系统采用典型成熟可靠的三层体系架构，具有安全性、可靠性、合规性、先进性、可扩展性和维护性好特点。</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第一层为管理层，由操作站</w:t>
      </w:r>
      <w:r>
        <w:rPr>
          <w:color w:val="000000"/>
          <w:szCs w:val="21"/>
          <w:highlight w:val="none"/>
        </w:rPr>
        <w:t xml:space="preserve">/</w:t>
      </w:r>
      <w:r>
        <w:rPr>
          <w:rFonts w:hint="eastAsia"/>
          <w:color w:val="000000"/>
          <w:szCs w:val="21"/>
          <w:highlight w:val="none"/>
        </w:rPr>
        <w:t xml:space="preserve">服务器组成，主要负责动物实验中心监控数据的汇总与组态监控、数据存储；第二层为控制层，控制器采用可编程控制器</w:t>
      </w:r>
      <w:r>
        <w:rPr>
          <w:rFonts w:hint="eastAsia"/>
          <w:color w:val="000000"/>
          <w:szCs w:val="21"/>
          <w:highlight w:val="none"/>
          <w:lang w:eastAsia="zh-CN"/>
        </w:rPr>
        <w:t xml:space="preserve">（</w:t>
      </w:r>
      <w:r>
        <w:rPr>
          <w:color w:val="000000"/>
          <w:szCs w:val="21"/>
          <w:highlight w:val="none"/>
        </w:rPr>
        <w:t xml:space="preserve">PLC</w:t>
      </w:r>
      <w:r>
        <w:rPr>
          <w:rFonts w:hint="eastAsia"/>
          <w:color w:val="000000"/>
          <w:szCs w:val="21"/>
          <w:highlight w:val="none"/>
          <w:lang w:eastAsia="zh-CN"/>
        </w:rPr>
        <w:t xml:space="preserve">）</w:t>
      </w:r>
      <w:r>
        <w:rPr>
          <w:rFonts w:hint="eastAsia"/>
          <w:color w:val="000000"/>
          <w:szCs w:val="21"/>
          <w:highlight w:val="none"/>
        </w:rPr>
        <w:t xml:space="preserve">，实现数据采集及</w:t>
      </w:r>
      <w:r>
        <w:rPr>
          <w:color w:val="000000"/>
          <w:szCs w:val="21"/>
          <w:highlight w:val="none"/>
        </w:rPr>
        <w:t xml:space="preserve">PID</w:t>
      </w:r>
      <w:r>
        <w:rPr>
          <w:rFonts w:hint="eastAsia"/>
          <w:color w:val="000000"/>
          <w:szCs w:val="21"/>
          <w:highlight w:val="none"/>
        </w:rPr>
        <w:t xml:space="preserve">运算及输出控制；管理层与控制层间采用</w:t>
      </w:r>
      <w:r>
        <w:rPr>
          <w:color w:val="000000"/>
          <w:szCs w:val="21"/>
          <w:highlight w:val="none"/>
        </w:rPr>
        <w:t xml:space="preserve">TCP/IP</w:t>
      </w:r>
      <w:r>
        <w:rPr>
          <w:rFonts w:hint="eastAsia"/>
          <w:color w:val="000000"/>
          <w:szCs w:val="21"/>
          <w:highlight w:val="none"/>
        </w:rPr>
        <w:t xml:space="preserve">工业以太网实现连接；第三层为传感执行层，实现</w:t>
      </w:r>
      <w:r>
        <w:rPr>
          <w:color w:val="000000"/>
          <w:szCs w:val="21"/>
          <w:highlight w:val="none"/>
        </w:rPr>
        <w:t xml:space="preserve">I/O</w:t>
      </w:r>
      <w:r>
        <w:rPr>
          <w:rFonts w:hint="eastAsia"/>
          <w:color w:val="000000"/>
          <w:szCs w:val="21"/>
          <w:highlight w:val="none"/>
        </w:rPr>
        <w:t xml:space="preserve">输入输出模块与现场传感器、执行器连接，完成数据采集及输出控制功能。</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具体方案为</w:t>
      </w:r>
      <w:r>
        <w:rPr>
          <w:color w:val="000000"/>
          <w:szCs w:val="21"/>
          <w:highlight w:val="none"/>
        </w:rPr>
        <w:t xml:space="preserve">1-4</w:t>
      </w:r>
      <w:r>
        <w:rPr>
          <w:rFonts w:hint="eastAsia"/>
          <w:color w:val="000000"/>
          <w:szCs w:val="21"/>
          <w:highlight w:val="none"/>
        </w:rPr>
        <w:t xml:space="preserve">楼及顶楼设备各采用一套</w:t>
      </w:r>
      <w:r>
        <w:rPr>
          <w:rFonts w:hint="eastAsia"/>
          <w:color w:val="000000"/>
          <w:szCs w:val="21"/>
          <w:highlight w:val="none"/>
          <w:lang w:val="en-US" w:eastAsia="zh-CN"/>
        </w:rPr>
        <w:t xml:space="preserve">可编辑</w:t>
      </w:r>
      <w:r>
        <w:rPr>
          <w:rFonts w:hint="eastAsia"/>
          <w:color w:val="000000"/>
          <w:szCs w:val="21"/>
          <w:highlight w:val="none"/>
          <w:lang w:eastAsia="zh-CN"/>
        </w:rPr>
        <w:t xml:space="preserve">（</w:t>
      </w:r>
      <w:r>
        <w:rPr>
          <w:color w:val="000000"/>
          <w:szCs w:val="21"/>
          <w:highlight w:val="none"/>
        </w:rPr>
        <w:t xml:space="preserve">PLC</w:t>
      </w:r>
      <w:r>
        <w:rPr>
          <w:rFonts w:hint="eastAsia"/>
          <w:color w:val="000000"/>
          <w:szCs w:val="21"/>
          <w:highlight w:val="none"/>
          <w:lang w:eastAsia="zh-CN"/>
        </w:rPr>
        <w:t xml:space="preserve">）</w:t>
      </w:r>
      <w:r>
        <w:rPr>
          <w:rFonts w:hint="eastAsia"/>
          <w:color w:val="000000"/>
          <w:szCs w:val="21"/>
          <w:highlight w:val="none"/>
        </w:rPr>
        <w:t xml:space="preserve">控制器（涉及变频控制加变频器），支持在线</w:t>
      </w:r>
      <w:r>
        <w:rPr>
          <w:rFonts w:hint="eastAsia"/>
          <w:color w:val="000000"/>
          <w:szCs w:val="21"/>
          <w:highlight w:val="none"/>
          <w:lang w:val="en-US" w:eastAsia="zh-CN"/>
        </w:rPr>
        <w:t xml:space="preserve">修改</w:t>
      </w:r>
      <w:r>
        <w:rPr>
          <w:rFonts w:hint="eastAsia"/>
          <w:color w:val="000000"/>
          <w:szCs w:val="21"/>
          <w:highlight w:val="none"/>
        </w:rPr>
        <w:t xml:space="preserve">，具备较高性能的</w:t>
      </w:r>
      <w:r>
        <w:rPr>
          <w:rFonts w:hint="eastAsia"/>
          <w:color w:val="000000"/>
          <w:szCs w:val="21"/>
          <w:highlight w:val="none"/>
          <w:lang w:val="en-US" w:eastAsia="zh-CN"/>
        </w:rPr>
        <w:t xml:space="preserve">可编辑控制器（</w:t>
      </w:r>
      <w:r>
        <w:rPr>
          <w:color w:val="000000"/>
          <w:szCs w:val="21"/>
          <w:highlight w:val="none"/>
        </w:rPr>
        <w:t xml:space="preserve">PLC</w:t>
      </w:r>
      <w:r>
        <w:rPr>
          <w:rFonts w:hint="eastAsia"/>
          <w:color w:val="000000"/>
          <w:szCs w:val="21"/>
          <w:highlight w:val="none"/>
          <w:lang w:eastAsia="zh-CN"/>
        </w:rPr>
        <w:t xml:space="preserve">）</w:t>
      </w:r>
      <w:r>
        <w:rPr>
          <w:color w:val="000000"/>
          <w:szCs w:val="21"/>
          <w:highlight w:val="none"/>
        </w:rPr>
        <w:t xml:space="preserve"> 2</w:t>
      </w:r>
      <w:r>
        <w:rPr>
          <w:rFonts w:hint="eastAsia"/>
          <w:color w:val="000000"/>
          <w:szCs w:val="21"/>
          <w:highlight w:val="none"/>
        </w:rPr>
        <w:t xml:space="preserve">套（一套用于一楼空调机组和房间监控，一套用于楼顶冷热水机组、热泵机组监控）；采用具备较高性能的</w:t>
      </w:r>
      <w:r>
        <w:rPr>
          <w:rFonts w:hint="eastAsia"/>
          <w:color w:val="000000"/>
          <w:szCs w:val="21"/>
          <w:highlight w:val="none"/>
          <w:lang w:val="en-US" w:eastAsia="zh-CN"/>
        </w:rPr>
        <w:t xml:space="preserve">可编辑控制器（</w:t>
      </w:r>
      <w:r>
        <w:rPr>
          <w:color w:val="000000"/>
          <w:szCs w:val="21"/>
          <w:highlight w:val="none"/>
        </w:rPr>
        <w:t xml:space="preserve">PLC</w:t>
      </w:r>
      <w:r>
        <w:rPr>
          <w:rFonts w:hint="eastAsia"/>
          <w:color w:val="000000"/>
          <w:szCs w:val="21"/>
          <w:highlight w:val="none"/>
          <w:lang w:eastAsia="zh-CN"/>
        </w:rPr>
        <w:t xml:space="preserve">）</w:t>
      </w:r>
      <w:r>
        <w:rPr>
          <w:color w:val="000000"/>
          <w:szCs w:val="21"/>
          <w:highlight w:val="none"/>
        </w:rPr>
        <w:t xml:space="preserve"> 3</w:t>
      </w:r>
      <w:r>
        <w:rPr>
          <w:rFonts w:hint="eastAsia"/>
          <w:color w:val="000000"/>
          <w:szCs w:val="21"/>
          <w:highlight w:val="none"/>
        </w:rPr>
        <w:t xml:space="preserve">套（含远程分布式接口模块，每套</w:t>
      </w:r>
      <w:r>
        <w:rPr>
          <w:rFonts w:hint="eastAsia"/>
          <w:color w:val="000000"/>
          <w:szCs w:val="21"/>
          <w:highlight w:val="none"/>
          <w:lang w:val="en-US" w:eastAsia="zh-CN"/>
        </w:rPr>
        <w:t xml:space="preserve">可编辑控制器（</w:t>
      </w:r>
      <w:r>
        <w:rPr>
          <w:color w:val="000000"/>
          <w:szCs w:val="21"/>
          <w:highlight w:val="none"/>
        </w:rPr>
        <w:t xml:space="preserve">PLC</w:t>
      </w:r>
      <w:r>
        <w:rPr>
          <w:rFonts w:hint="eastAsia"/>
          <w:color w:val="000000"/>
          <w:szCs w:val="21"/>
          <w:highlight w:val="none"/>
          <w:lang w:eastAsia="zh-CN"/>
        </w:rPr>
        <w:t xml:space="preserve">）</w:t>
      </w:r>
      <w:r>
        <w:rPr>
          <w:rFonts w:hint="eastAsia"/>
          <w:color w:val="000000"/>
          <w:szCs w:val="21"/>
          <w:highlight w:val="none"/>
        </w:rPr>
        <w:t xml:space="preserve">既监控对应楼层的空调机组运行也监控对应楼层的动物房运行状况）。监控系统采用基于</w:t>
      </w:r>
      <w:r>
        <w:rPr>
          <w:color w:val="000000"/>
          <w:szCs w:val="21"/>
          <w:highlight w:val="none"/>
        </w:rPr>
        <w:t xml:space="preserve">Windows 10 </w:t>
      </w:r>
      <w:r>
        <w:rPr>
          <w:rFonts w:hint="eastAsia"/>
          <w:color w:val="000000"/>
          <w:szCs w:val="21"/>
          <w:highlight w:val="none"/>
        </w:rPr>
        <w:t xml:space="preserve">或以上操作系统的上位机编程、组态软件。</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系统须充分体现</w:t>
      </w:r>
      <w:r>
        <w:rPr>
          <w:color w:val="000000"/>
          <w:szCs w:val="21"/>
          <w:highlight w:val="none"/>
        </w:rPr>
        <w:t xml:space="preserve">DCS</w:t>
      </w:r>
      <w:r>
        <w:rPr>
          <w:rFonts w:hint="eastAsia"/>
          <w:color w:val="000000"/>
          <w:szCs w:val="21"/>
          <w:highlight w:val="none"/>
        </w:rPr>
        <w:t xml:space="preserve">集散控制系统分散控制、集中管理的特点，保证每个分系统都能独立运行，同时在监控室工作站上做到集中管理与监控，系统、性能可靠。</w:t>
      </w:r>
      <w:r>
        <w:rPr>
          <w:color w:val="000000"/>
          <w:szCs w:val="21"/>
          <w:highlight w:val="none"/>
        </w:rPr>
        <w:t xml:space="preserve">  </w:t>
      </w:r>
      <w:r>
        <w:rPr>
          <w:color w:val="000000"/>
          <w:szCs w:val="21"/>
          <w:highlight w:val="none"/>
        </w:rPr>
      </w:r>
      <w:r/>
    </w:p>
    <w:p>
      <w:pPr>
        <w:pStyle w:val="901"/>
        <w:spacing w:line="360" w:lineRule="auto"/>
        <w:rPr>
          <w:color w:val="000000"/>
          <w:szCs w:val="21"/>
          <w:highlight w:val="none"/>
        </w:rPr>
      </w:pPr>
      <w:r>
        <w:rPr>
          <w:rFonts w:hint="eastAsia"/>
          <w:b/>
          <w:color w:val="000000"/>
          <w:szCs w:val="21"/>
          <w:highlight w:val="none"/>
          <w:lang w:eastAsia="zh-CN"/>
        </w:rPr>
        <w:t xml:space="preserve">（</w:t>
      </w:r>
      <w:r>
        <w:rPr>
          <w:rFonts w:hint="eastAsia"/>
          <w:b/>
          <w:color w:val="000000"/>
          <w:szCs w:val="21"/>
          <w:highlight w:val="none"/>
          <w:lang w:val="en-US" w:eastAsia="zh-CN"/>
        </w:rPr>
        <w:t xml:space="preserve">三</w:t>
      </w:r>
      <w:r>
        <w:rPr>
          <w:rFonts w:hint="eastAsia"/>
          <w:b/>
          <w:color w:val="000000"/>
          <w:szCs w:val="21"/>
          <w:highlight w:val="none"/>
          <w:lang w:eastAsia="zh-CN"/>
        </w:rPr>
        <w:t xml:space="preserve">）</w:t>
      </w:r>
      <w:r>
        <w:rPr>
          <w:rFonts w:hint="eastAsia"/>
          <w:b/>
          <w:color w:val="000000"/>
          <w:szCs w:val="21"/>
          <w:highlight w:val="none"/>
        </w:rPr>
        <w:t xml:space="preserve">暖通控制系统</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w:t>
      </w:r>
      <w:r>
        <w:rPr>
          <w:rFonts w:hint="eastAsia"/>
          <w:color w:val="000000"/>
          <w:szCs w:val="21"/>
          <w:highlight w:val="none"/>
        </w:rPr>
        <w:t xml:space="preserve">机电工程自控系统主要用于监控管理暖通系统</w:t>
      </w:r>
      <w:r>
        <w:rPr>
          <w:color w:val="000000"/>
          <w:szCs w:val="21"/>
          <w:highlight w:val="none"/>
        </w:rPr>
      </w:r>
      <w:r/>
    </w:p>
    <w:p>
      <w:pPr>
        <w:pStyle w:val="901"/>
        <w:ind w:firstLine="420"/>
        <w:spacing w:line="360" w:lineRule="auto"/>
        <w:widowControl/>
        <w:rPr>
          <w:color w:val="000000"/>
          <w:szCs w:val="21"/>
          <w:highlight w:val="none"/>
        </w:rPr>
      </w:pPr>
      <w:r>
        <w:rPr>
          <w:rFonts w:hint="eastAsia"/>
          <w:color w:val="000000"/>
          <w:szCs w:val="21"/>
          <w:highlight w:val="none"/>
        </w:rPr>
        <w:t xml:space="preserve">应能提供多种控制模式，包括设备监控、报警管理、故障管理、数据采集、存储、报告、汇总、打印和历史数据阅览等。系统分成三层构架，包括管理层、控制层、现场仪表及原件等。本系统采</w:t>
      </w:r>
      <w:r>
        <w:rPr>
          <w:rFonts w:hint="eastAsia"/>
          <w:color w:val="000000"/>
          <w:szCs w:val="21"/>
          <w:highlight w:val="none"/>
          <w:lang w:val="en-US" w:eastAsia="zh-CN"/>
        </w:rPr>
        <w:t xml:space="preserve">用</w:t>
      </w:r>
      <w:r>
        <w:rPr>
          <w:rFonts w:hint="eastAsia"/>
          <w:color w:val="000000"/>
          <w:szCs w:val="21"/>
          <w:highlight w:val="none"/>
        </w:rPr>
        <w:t xml:space="preserve">可编程控制器</w:t>
      </w:r>
      <w:r>
        <w:rPr>
          <w:rFonts w:hint="eastAsia"/>
          <w:color w:val="000000"/>
          <w:szCs w:val="21"/>
          <w:highlight w:val="none"/>
          <w:lang w:eastAsia="zh-CN"/>
        </w:rPr>
        <w:t xml:space="preserve">（</w:t>
      </w:r>
      <w:r>
        <w:rPr>
          <w:rFonts w:hint="eastAsia"/>
          <w:color w:val="000000"/>
          <w:szCs w:val="21"/>
          <w:highlight w:val="none"/>
          <w:lang w:val="en-US" w:eastAsia="zh-CN"/>
        </w:rPr>
        <w:t xml:space="preserve">PLC</w:t>
      </w:r>
      <w:r>
        <w:rPr>
          <w:rFonts w:hint="eastAsia"/>
          <w:color w:val="000000"/>
          <w:szCs w:val="21"/>
          <w:highlight w:val="none"/>
          <w:lang w:eastAsia="zh-CN"/>
        </w:rPr>
        <w:t xml:space="preserve">）</w:t>
      </w:r>
      <w:r>
        <w:rPr>
          <w:rFonts w:hint="eastAsia"/>
          <w:color w:val="000000"/>
          <w:szCs w:val="21"/>
          <w:highlight w:val="none"/>
        </w:rPr>
        <w:t xml:space="preserve">组成的暖通控制系统，是以计算机控制技术为基础，将弱电控制集成为一个系统，向暖通设备发出控制指令控制其运作，系统的高度集成及自动化大大节省所需空间和管理人员，同时又可以提高整个系统内部管理水平。</w:t>
      </w:r>
      <w:r>
        <w:rPr>
          <w:color w:val="000000"/>
          <w:szCs w:val="21"/>
          <w:highlight w:val="none"/>
        </w:rPr>
      </w:r>
      <w:r/>
    </w:p>
    <w:p>
      <w:pPr>
        <w:pStyle w:val="979"/>
        <w:numPr>
          <w:ilvl w:val="0"/>
          <w:numId w:val="0"/>
        </w:numPr>
        <w:ind w:left="0" w:firstLine="0"/>
        <w:spacing w:line="360" w:lineRule="auto"/>
        <w:widowControl/>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暖通自控监控内容</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2.1</w:t>
      </w:r>
      <w:r>
        <w:rPr>
          <w:rFonts w:hint="eastAsia"/>
          <w:color w:val="000000"/>
          <w:szCs w:val="21"/>
          <w:highlight w:val="none"/>
        </w:rPr>
        <w:t xml:space="preserve">监控室远程启停控制并监视暖通机组运行状态、设定参数，并显示温湿度及压差。</w:t>
      </w:r>
      <w:r>
        <w:rPr>
          <w:color w:val="000000"/>
          <w:szCs w:val="21"/>
          <w:highlight w:val="none"/>
        </w:rPr>
      </w:r>
      <w:r/>
    </w:p>
    <w:p>
      <w:pPr>
        <w:pStyle w:val="901"/>
        <w:spacing w:line="360" w:lineRule="auto"/>
        <w:rPr>
          <w:rFonts w:hint="eastAsia" w:eastAsia="宋体"/>
          <w:color w:val="000000"/>
          <w:szCs w:val="21"/>
          <w:highlight w:val="none"/>
          <w:lang w:val="en-US" w:eastAsia="zh-CN"/>
        </w:rPr>
      </w:pPr>
      <w:r>
        <w:rPr>
          <w:rFonts w:hint="eastAsia"/>
          <w:color w:val="000000"/>
          <w:szCs w:val="21"/>
          <w:highlight w:val="none"/>
          <w:lang w:val="en-US" w:eastAsia="zh-CN"/>
        </w:rPr>
        <w:t xml:space="preserve">2.2</w:t>
      </w:r>
      <w:r>
        <w:rPr>
          <w:rFonts w:hint="eastAsia"/>
          <w:color w:val="000000"/>
          <w:szCs w:val="21"/>
          <w:highlight w:val="none"/>
        </w:rPr>
        <w:t xml:space="preserve">温湿度控制：夏季模式：根据排风管上湿度传感器检测湿度与设定值比较，通过调节表冷段回水管上的电动阀开度进行除湿，使室内湿度达到设定值，并根据温度传感器检测温度与设定值比较，调节再热段热水回水管上的电动阀开度进行温度补偿，使室内温度达到设定值。冬季模式：根据排风管上温度传感器检测温度与设定值比较，调节制热段回水管上的电动阀开度，控制热水流量，使室内温度达到设定值。根据排风管上湿度传感器检测湿度与设定值比较，控制电加湿，控制加湿量，使室内湿度保持在设定值。</w:t>
      </w:r>
      <w:r>
        <w:rPr>
          <w:rFonts w:hint="eastAsia" w:eastAsia="宋体"/>
          <w:color w:val="000000"/>
          <w:szCs w:val="21"/>
          <w:highlight w:val="none"/>
          <w:lang w:val="en-US" w:eastAsia="zh-CN"/>
        </w:rPr>
      </w:r>
      <w:r/>
    </w:p>
    <w:p>
      <w:pPr>
        <w:pStyle w:val="901"/>
        <w:spacing w:line="360" w:lineRule="auto"/>
        <w:rPr>
          <w:color w:val="000000"/>
          <w:szCs w:val="21"/>
          <w:highlight w:val="none"/>
        </w:rPr>
      </w:pPr>
      <w:r>
        <w:rPr>
          <w:rFonts w:hint="eastAsia"/>
          <w:color w:val="000000"/>
          <w:szCs w:val="21"/>
          <w:highlight w:val="none"/>
          <w:lang w:val="en-US" w:eastAsia="zh-CN"/>
        </w:rPr>
        <w:t xml:space="preserve">2.3</w:t>
      </w:r>
      <w:r>
        <w:rPr>
          <w:rFonts w:hint="eastAsia"/>
          <w:color w:val="000000"/>
          <w:szCs w:val="21"/>
          <w:highlight w:val="none"/>
        </w:rPr>
        <w:t xml:space="preserve">风量控制：根据送风管上风速传感器或压力检测风速或风压与设定值比较，调节变频器输出频率，控制送风风速，使送风量达到要求。</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2.4</w:t>
      </w:r>
      <w:r>
        <w:rPr>
          <w:rFonts w:hint="eastAsia"/>
          <w:color w:val="000000"/>
          <w:szCs w:val="21"/>
          <w:highlight w:val="none"/>
        </w:rPr>
        <w:t xml:space="preserve">监测送风机两端压差，以压差开关信号作为风机故障报警。</w:t>
      </w:r>
      <w:r>
        <w:rPr>
          <w:rFonts w:hint="eastAsia"/>
          <w:color w:val="000000"/>
          <w:highlight w:val="none"/>
          <w:lang w:val="en-US" w:eastAsia="zh-CN"/>
        </w:rPr>
        <w:t xml:space="preserve">报警压差数值可调。</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2.5</w:t>
      </w:r>
      <w:r>
        <w:rPr>
          <w:rFonts w:hint="eastAsia"/>
          <w:color w:val="000000"/>
          <w:szCs w:val="21"/>
          <w:highlight w:val="none"/>
        </w:rPr>
        <w:t xml:space="preserve">监测初效过滤器两端压差，滤网堵塞时报警。</w:t>
      </w:r>
      <w:r>
        <w:rPr>
          <w:color w:val="000000"/>
          <w:szCs w:val="21"/>
          <w:highlight w:val="none"/>
        </w:rPr>
      </w:r>
      <w:r/>
    </w:p>
    <w:p>
      <w:pPr>
        <w:pStyle w:val="901"/>
        <w:spacing w:line="360" w:lineRule="auto"/>
        <w:rPr>
          <w:rFonts w:hint="eastAsia"/>
          <w:color w:val="000000"/>
          <w:szCs w:val="21"/>
          <w:highlight w:val="none"/>
        </w:rPr>
      </w:pPr>
      <w:r>
        <w:rPr>
          <w:rFonts w:hint="eastAsia"/>
          <w:color w:val="000000"/>
          <w:szCs w:val="21"/>
          <w:highlight w:val="none"/>
          <w:lang w:val="en-US" w:eastAsia="zh-CN"/>
        </w:rPr>
        <w:t xml:space="preserve">2.6</w:t>
      </w:r>
      <w:r>
        <w:rPr>
          <w:rFonts w:hint="eastAsia"/>
          <w:color w:val="000000"/>
          <w:szCs w:val="21"/>
          <w:highlight w:val="none"/>
        </w:rPr>
        <w:t xml:space="preserve">根据风管上</w:t>
      </w:r>
      <w:r>
        <w:rPr>
          <w:rFonts w:hint="eastAsia"/>
          <w:color w:val="000000"/>
          <w:szCs w:val="21"/>
          <w:highlight w:val="none"/>
          <w:lang w:val="en-US" w:eastAsia="zh-CN"/>
        </w:rPr>
        <w:t xml:space="preserve">风量</w:t>
      </w:r>
      <w:r>
        <w:rPr>
          <w:rFonts w:hint="eastAsia"/>
          <w:color w:val="000000"/>
          <w:szCs w:val="21"/>
          <w:highlight w:val="none"/>
        </w:rPr>
        <w:t xml:space="preserve">传感器信号，调节变频器输出频率，控制</w:t>
      </w:r>
      <w:r>
        <w:rPr>
          <w:rFonts w:hint="eastAsia"/>
          <w:color w:val="000000"/>
          <w:szCs w:val="21"/>
          <w:highlight w:val="none"/>
          <w:lang w:val="en-US" w:eastAsia="zh-CN"/>
        </w:rPr>
        <w:t xml:space="preserve">送</w:t>
      </w:r>
      <w:r>
        <w:rPr>
          <w:rFonts w:hint="eastAsia"/>
          <w:color w:val="000000"/>
          <w:szCs w:val="21"/>
          <w:highlight w:val="none"/>
        </w:rPr>
        <w:t xml:space="preserve">风量。</w:t>
      </w:r>
      <w:r>
        <w:rPr>
          <w:rFonts w:hint="eastAsia"/>
          <w:color w:val="000000"/>
          <w:szCs w:val="21"/>
          <w:highlight w:val="none"/>
        </w:rPr>
      </w:r>
      <w:r/>
    </w:p>
    <w:p>
      <w:pPr>
        <w:pStyle w:val="901"/>
        <w:spacing w:line="360" w:lineRule="auto"/>
        <w:widowControl/>
        <w:rPr>
          <w:color w:val="000000"/>
          <w:highlight w:val="none"/>
        </w:rPr>
      </w:pPr>
      <w:r>
        <w:rPr>
          <w:rFonts w:hint="eastAsia"/>
          <w:color w:val="000000"/>
          <w:szCs w:val="21"/>
          <w:highlight w:val="none"/>
          <w:lang w:val="en-US" w:eastAsia="zh-CN"/>
        </w:rPr>
        <w:t xml:space="preserve">3、</w:t>
      </w:r>
      <w:r>
        <w:rPr>
          <w:color w:val="000000"/>
          <w:szCs w:val="21"/>
          <w:highlight w:val="none"/>
        </w:rPr>
        <w:t xml:space="preserve"> </w:t>
      </w:r>
      <w:r>
        <w:rPr>
          <w:rFonts w:hint="eastAsia"/>
          <w:color w:val="000000"/>
          <w:szCs w:val="21"/>
          <w:highlight w:val="none"/>
        </w:rPr>
        <w:t xml:space="preserve">排风机自控监控内容</w:t>
      </w:r>
      <w:r>
        <w:rPr>
          <w:color w:val="000000"/>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3.1</w:t>
      </w:r>
      <w:r>
        <w:rPr>
          <w:rFonts w:hint="eastAsia"/>
          <w:color w:val="000000"/>
          <w:sz w:val="21"/>
          <w:szCs w:val="21"/>
          <w:highlight w:val="none"/>
        </w:rPr>
        <w:t xml:space="preserve">中央监控室远程启停控制并监视动物房风机运行状态，故障时自动切换。</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3.2</w:t>
      </w:r>
      <w:r>
        <w:rPr>
          <w:rFonts w:hint="eastAsia"/>
          <w:color w:val="000000"/>
          <w:sz w:val="21"/>
          <w:szCs w:val="21"/>
          <w:highlight w:val="none"/>
        </w:rPr>
        <w:t xml:space="preserve">根据风管上压力传感器信号，调节变频器输出频率，控制排风量。</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3.3</w:t>
      </w:r>
      <w:r>
        <w:rPr>
          <w:rFonts w:hint="eastAsia"/>
          <w:color w:val="000000"/>
          <w:sz w:val="21"/>
          <w:szCs w:val="21"/>
          <w:highlight w:val="none"/>
        </w:rPr>
        <w:t xml:space="preserve">监测送风机两端压差，以压差开关信号作为风机故障报警。</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3.4</w:t>
      </w:r>
      <w:r>
        <w:rPr>
          <w:rFonts w:hint="eastAsia"/>
          <w:color w:val="000000"/>
          <w:sz w:val="21"/>
          <w:szCs w:val="21"/>
          <w:highlight w:val="none"/>
        </w:rPr>
        <w:t xml:space="preserve">监测过滤器两端压差，滤网堵塞时报</w:t>
      </w:r>
      <w:r>
        <w:rPr>
          <w:rFonts w:hint="eastAsia" w:eastAsia="宋体" w:cs="Times New Roman"/>
          <w:color w:val="000000"/>
          <w:sz w:val="21"/>
          <w:szCs w:val="21"/>
          <w:highlight w:val="none"/>
        </w:rPr>
        <w:t xml:space="preserve">警。</w:t>
      </w:r>
      <w:r>
        <w:rPr>
          <w:rFonts w:hint="eastAsia" w:eastAsia="宋体" w:cs="Times New Roman"/>
          <w:color w:val="000000"/>
          <w:sz w:val="21"/>
          <w:szCs w:val="21"/>
          <w:highlight w:val="none"/>
          <w:lang w:val="en-US" w:eastAsia="zh-CN"/>
        </w:rPr>
        <w:t xml:space="preserve">报警压差数值可调。</w:t>
      </w:r>
      <w:r>
        <w:rPr>
          <w:color w:val="000000"/>
          <w:sz w:val="21"/>
          <w:szCs w:val="21"/>
          <w:highlight w:val="none"/>
        </w:rPr>
      </w:r>
      <w:r/>
    </w:p>
    <w:p>
      <w:pPr>
        <w:pStyle w:val="958"/>
        <w:ind w:firstLine="0"/>
        <w:spacing w:line="360" w:lineRule="auto"/>
        <w:rPr>
          <w:rFonts w:hint="eastAsia" w:eastAsia="宋体" w:cs="Times New Roman"/>
          <w:color w:val="000000"/>
          <w:sz w:val="21"/>
          <w:szCs w:val="21"/>
          <w:highlight w:val="none"/>
        </w:rPr>
      </w:pPr>
      <w:r>
        <w:rPr>
          <w:rFonts w:hint="eastAsia"/>
          <w:color w:val="000000"/>
          <w:sz w:val="21"/>
          <w:szCs w:val="21"/>
          <w:highlight w:val="none"/>
          <w:lang w:val="en-US" w:eastAsia="zh-CN"/>
        </w:rPr>
        <w:t xml:space="preserve">3.5</w:t>
      </w:r>
      <w:r>
        <w:rPr>
          <w:rFonts w:hint="eastAsia"/>
          <w:color w:val="000000"/>
          <w:sz w:val="21"/>
          <w:szCs w:val="21"/>
          <w:highlight w:val="none"/>
        </w:rPr>
        <w:t xml:space="preserve">启停控制与送</w:t>
      </w:r>
      <w:r>
        <w:rPr>
          <w:rFonts w:hint="eastAsia" w:eastAsia="宋体" w:cs="Times New Roman"/>
          <w:color w:val="000000"/>
          <w:sz w:val="21"/>
          <w:szCs w:val="21"/>
          <w:highlight w:val="none"/>
        </w:rPr>
        <w:t xml:space="preserve">风机联锁。</w:t>
      </w:r>
      <w:r>
        <w:rPr>
          <w:rFonts w:hint="eastAsia" w:eastAsia="宋体" w:cs="Times New Roman"/>
          <w:color w:val="000000"/>
          <w:sz w:val="21"/>
          <w:szCs w:val="21"/>
          <w:highlight w:val="none"/>
          <w:lang w:val="en-US" w:eastAsia="zh-CN"/>
        </w:rPr>
        <w:t xml:space="preserve">当系统为正压环境时，</w:t>
      </w:r>
      <w:r>
        <w:rPr>
          <w:rFonts w:hint="eastAsia" w:eastAsia="宋体" w:cs="Times New Roman"/>
          <w:color w:val="000000"/>
          <w:sz w:val="21"/>
          <w:szCs w:val="21"/>
          <w:highlight w:val="none"/>
        </w:rPr>
        <w:t xml:space="preserve">当送风机开启</w:t>
      </w:r>
      <w:r>
        <w:rPr>
          <w:rFonts w:hint="eastAsia" w:eastAsia="宋体" w:cs="Times New Roman"/>
          <w:color w:val="000000"/>
          <w:sz w:val="21"/>
          <w:szCs w:val="21"/>
          <w:highlight w:val="none"/>
          <w:lang w:val="en-US" w:eastAsia="zh-CN"/>
        </w:rPr>
        <w:t xml:space="preserve">后</w:t>
      </w:r>
      <w:r>
        <w:rPr>
          <w:rFonts w:hint="eastAsia" w:eastAsia="宋体" w:cs="Times New Roman"/>
          <w:color w:val="000000"/>
          <w:sz w:val="21"/>
          <w:szCs w:val="21"/>
          <w:highlight w:val="none"/>
        </w:rPr>
        <w:t xml:space="preserve">，排风机开启</w:t>
      </w:r>
      <w:r>
        <w:rPr>
          <w:rFonts w:hint="eastAsia" w:eastAsia="宋体" w:cs="Times New Roman"/>
          <w:color w:val="000000"/>
          <w:sz w:val="21"/>
          <w:szCs w:val="21"/>
          <w:highlight w:val="none"/>
          <w:lang w:eastAsia="zh-CN"/>
        </w:rPr>
        <w:t xml:space="preserve">，</w:t>
      </w:r>
      <w:r>
        <w:rPr>
          <w:rFonts w:hint="eastAsia" w:eastAsia="宋体" w:cs="Times New Roman"/>
          <w:color w:val="000000"/>
          <w:sz w:val="21"/>
          <w:szCs w:val="21"/>
          <w:highlight w:val="none"/>
          <w:lang w:val="en-US" w:eastAsia="zh-CN"/>
        </w:rPr>
        <w:t xml:space="preserve">系统关闭时，排风机关闭后送风机关闭</w:t>
      </w:r>
      <w:r>
        <w:rPr>
          <w:rFonts w:hint="eastAsia" w:eastAsia="宋体" w:cs="Times New Roman"/>
          <w:color w:val="000000"/>
          <w:sz w:val="21"/>
          <w:szCs w:val="21"/>
          <w:highlight w:val="none"/>
          <w:lang w:eastAsia="zh-CN"/>
        </w:rPr>
        <w:t xml:space="preserve">，</w:t>
      </w:r>
      <w:r>
        <w:rPr>
          <w:rFonts w:hint="eastAsia" w:eastAsia="宋体" w:cs="Times New Roman"/>
          <w:color w:val="000000"/>
          <w:sz w:val="21"/>
          <w:szCs w:val="21"/>
          <w:highlight w:val="none"/>
          <w:lang w:val="en-US" w:eastAsia="zh-CN"/>
        </w:rPr>
        <w:t xml:space="preserve">若为负压环境则相反。</w:t>
      </w:r>
      <w:r>
        <w:rPr>
          <w:rFonts w:hint="eastAsia" w:eastAsia="宋体" w:cs="Times New Roman"/>
          <w:color w:val="000000"/>
          <w:sz w:val="21"/>
          <w:szCs w:val="21"/>
          <w:highlight w:val="none"/>
        </w:rPr>
      </w:r>
      <w:r/>
    </w:p>
    <w:p>
      <w:pPr>
        <w:pStyle w:val="958"/>
        <w:ind w:firstLine="0"/>
        <w:spacing w:line="360" w:lineRule="auto"/>
        <w:rPr>
          <w:rFonts w:hint="eastAsia" w:eastAsia="宋体" w:cs="Times New Roman"/>
          <w:color w:val="000000"/>
          <w:sz w:val="21"/>
          <w:szCs w:val="21"/>
          <w:highlight w:val="none"/>
        </w:rPr>
      </w:pPr>
      <w:r>
        <w:rPr>
          <w:rFonts w:hint="eastAsia" w:eastAsia="宋体" w:cs="Times New Roman"/>
          <w:color w:val="000000"/>
          <w:sz w:val="21"/>
          <w:szCs w:val="21"/>
          <w:highlight w:val="none"/>
          <w:lang w:val="en-US" w:eastAsia="zh-CN"/>
        </w:rPr>
        <w:t xml:space="preserve">4、</w:t>
      </w:r>
      <w:r>
        <w:rPr>
          <w:rFonts w:hint="eastAsia" w:eastAsia="宋体" w:cs="Times New Roman"/>
          <w:color w:val="000000"/>
          <w:sz w:val="21"/>
          <w:szCs w:val="21"/>
          <w:highlight w:val="none"/>
        </w:rPr>
        <w:t xml:space="preserve">环境参数及冷热源状态监控内容</w:t>
      </w:r>
      <w:r>
        <w:rPr>
          <w:rFonts w:hint="eastAsia" w:eastAsia="宋体" w:cs="Times New Roman"/>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4.1</w:t>
      </w:r>
      <w:r>
        <w:rPr>
          <w:rFonts w:hint="eastAsia"/>
          <w:color w:val="000000"/>
          <w:sz w:val="21"/>
          <w:szCs w:val="21"/>
          <w:highlight w:val="none"/>
        </w:rPr>
        <w:t xml:space="preserve">在中央监控室监视房间温湿度、压差和氨浓度。</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4.2</w:t>
      </w:r>
      <w:r>
        <w:rPr>
          <w:rFonts w:hint="eastAsia"/>
          <w:color w:val="000000"/>
          <w:sz w:val="21"/>
          <w:szCs w:val="21"/>
          <w:highlight w:val="none"/>
        </w:rPr>
        <w:t xml:space="preserve">房间压差控制：根据压差传感器信号，调节排风电动调节阀开度，控制排风量，保持房间压</w:t>
      </w:r>
      <w:r>
        <w:rPr>
          <w:rFonts w:hint="eastAsia" w:eastAsia="宋体" w:cs="Times New Roman"/>
          <w:color w:val="000000"/>
          <w:sz w:val="21"/>
          <w:szCs w:val="21"/>
          <w:highlight w:val="none"/>
        </w:rPr>
        <w:t xml:space="preserve">差。</w:t>
      </w:r>
      <w:r>
        <w:rPr>
          <w:rFonts w:hint="eastAsia" w:eastAsia="宋体" w:cs="Times New Roman"/>
          <w:color w:val="000000"/>
          <w:sz w:val="21"/>
          <w:szCs w:val="21"/>
          <w:highlight w:val="none"/>
          <w:lang w:val="en-US" w:eastAsia="zh-CN"/>
        </w:rPr>
        <w:t xml:space="preserve">系统应具备延时动作功能，避免调控过于灵敏，造成阀门频繁动作、房间压力波动剧烈、瞬时噪音大开门费力等问题。</w:t>
      </w:r>
      <w:r>
        <w:rPr>
          <w:color w:val="000000"/>
          <w:sz w:val="21"/>
          <w:szCs w:val="21"/>
          <w:highlight w:val="none"/>
        </w:rPr>
      </w:r>
      <w:r/>
    </w:p>
    <w:p>
      <w:pPr>
        <w:pStyle w:val="958"/>
        <w:ind w:firstLine="0"/>
        <w:spacing w:line="360" w:lineRule="auto"/>
        <w:rPr>
          <w:rFonts w:hint="eastAsia"/>
          <w:color w:val="000000"/>
          <w:sz w:val="21"/>
          <w:szCs w:val="21"/>
          <w:highlight w:val="none"/>
        </w:rPr>
      </w:pPr>
      <w:r>
        <w:rPr>
          <w:rFonts w:hint="eastAsia"/>
          <w:color w:val="000000"/>
          <w:sz w:val="21"/>
          <w:szCs w:val="21"/>
          <w:highlight w:val="none"/>
          <w:lang w:val="en-US" w:eastAsia="zh-CN"/>
        </w:rPr>
        <w:t xml:space="preserve">4.3</w:t>
      </w:r>
      <w:r>
        <w:rPr>
          <w:rFonts w:hint="eastAsia"/>
          <w:color w:val="000000"/>
          <w:sz w:val="21"/>
          <w:szCs w:val="21"/>
          <w:highlight w:val="none"/>
        </w:rPr>
        <w:t xml:space="preserve">冷热源的机组运行状态、故障状态、机组启停等内容的监控。</w:t>
      </w:r>
      <w:r>
        <w:rPr>
          <w:rFonts w:hint="eastAsia"/>
          <w:color w:val="000000"/>
          <w:sz w:val="21"/>
          <w:szCs w:val="21"/>
          <w:highlight w:val="none"/>
        </w:rPr>
      </w:r>
      <w:r/>
    </w:p>
    <w:p>
      <w:pPr>
        <w:pStyle w:val="901"/>
        <w:spacing w:line="360" w:lineRule="auto"/>
        <w:widowControl/>
        <w:rPr>
          <w:color w:val="000000"/>
          <w:szCs w:val="21"/>
          <w:highlight w:val="none"/>
        </w:rPr>
      </w:pPr>
      <w:r>
        <w:rPr>
          <w:rFonts w:hint="eastAsia"/>
          <w:color w:val="000000"/>
          <w:szCs w:val="21"/>
          <w:highlight w:val="none"/>
          <w:lang w:val="en-US" w:eastAsia="zh-CN"/>
        </w:rPr>
        <w:t xml:space="preserve">5、</w:t>
      </w:r>
      <w:r>
        <w:rPr>
          <w:rFonts w:hint="eastAsia" w:ascii="Times New Roman" w:hAnsi="Times New Roman" w:eastAsia="宋体" w:cs="Times New Roman"/>
          <w:color w:val="000000"/>
          <w:sz w:val="21"/>
          <w:szCs w:val="21"/>
          <w:highlight w:val="none"/>
          <w:lang w:val="en-US" w:eastAsia="zh-CN" w:bidi="ar-SA"/>
        </w:rPr>
        <w:t xml:space="preserve">活性炭装置监控内容</w:t>
      </w:r>
      <w:r>
        <w:rPr>
          <w:color w:val="000000"/>
          <w:szCs w:val="21"/>
          <w:highlight w:val="none"/>
        </w:rPr>
      </w:r>
      <w:r/>
    </w:p>
    <w:p>
      <w:pPr>
        <w:pStyle w:val="901"/>
        <w:spacing w:line="360" w:lineRule="auto"/>
        <w:rPr>
          <w:rFonts w:ascii="Times New Roman" w:hAnsi="Times New Roman" w:eastAsia="宋体" w:cs="Times New Roman"/>
          <w:color w:val="00000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SA"/>
        </w:rPr>
        <w:t xml:space="preserve">5.1监测装置两端压差，堵塞时报警。</w:t>
      </w:r>
      <w:r>
        <w:rPr>
          <w:rFonts w:ascii="Times New Roman" w:hAnsi="Times New Roman" w:eastAsia="宋体" w:cs="Times New Roman"/>
          <w:color w:val="000000"/>
          <w:sz w:val="21"/>
          <w:szCs w:val="21"/>
          <w:highlight w:val="none"/>
          <w:lang w:val="en-US" w:eastAsia="zh-CN" w:bidi="ar-SA"/>
        </w:rPr>
      </w:r>
      <w:r/>
    </w:p>
    <w:p>
      <w:pPr>
        <w:pStyle w:val="901"/>
        <w:spacing w:line="360" w:lineRule="auto"/>
        <w:rPr>
          <w:b/>
          <w:color w:val="000000"/>
          <w:szCs w:val="21"/>
          <w:highlight w:val="none"/>
        </w:rPr>
      </w:pPr>
      <w:r>
        <w:rPr>
          <w:rFonts w:hint="eastAsia"/>
          <w:b/>
          <w:color w:val="000000"/>
          <w:szCs w:val="21"/>
          <w:highlight w:val="none"/>
          <w:lang w:eastAsia="zh-CN"/>
        </w:rPr>
        <w:t xml:space="preserve">（</w:t>
      </w:r>
      <w:r>
        <w:rPr>
          <w:rFonts w:hint="eastAsia"/>
          <w:b/>
          <w:color w:val="000000"/>
          <w:szCs w:val="21"/>
          <w:highlight w:val="none"/>
          <w:lang w:val="en-US" w:eastAsia="zh-CN"/>
        </w:rPr>
        <w:t xml:space="preserve">四</w:t>
      </w:r>
      <w:r>
        <w:rPr>
          <w:rFonts w:hint="eastAsia"/>
          <w:b/>
          <w:color w:val="000000"/>
          <w:szCs w:val="21"/>
          <w:highlight w:val="none"/>
          <w:lang w:eastAsia="zh-CN"/>
        </w:rPr>
        <w:t xml:space="preserve">）</w:t>
      </w:r>
      <w:r>
        <w:rPr>
          <w:rFonts w:hint="eastAsia"/>
          <w:b/>
          <w:color w:val="000000"/>
          <w:szCs w:val="21"/>
          <w:highlight w:val="none"/>
        </w:rPr>
        <w:t xml:space="preserve">动物房自动控制及组态功能要求</w:t>
      </w:r>
      <w:r>
        <w:rPr>
          <w:b/>
          <w:color w:val="000000"/>
          <w:szCs w:val="21"/>
          <w:highlight w:val="none"/>
        </w:rPr>
      </w:r>
      <w:r/>
    </w:p>
    <w:p>
      <w:pPr>
        <w:pStyle w:val="901"/>
        <w:spacing w:line="360" w:lineRule="auto"/>
        <w:rPr>
          <w:b/>
          <w:color w:val="000000"/>
          <w:szCs w:val="21"/>
          <w:highlight w:val="none"/>
        </w:rPr>
      </w:pPr>
      <w:r>
        <w:rPr>
          <w:b/>
          <w:color w:val="000000"/>
          <w:szCs w:val="21"/>
          <w:highlight w:val="none"/>
        </w:rPr>
        <w:t xml:space="preserve">1</w:t>
      </w:r>
      <w:r>
        <w:rPr>
          <w:rFonts w:hint="eastAsia"/>
          <w:b/>
          <w:color w:val="000000"/>
          <w:szCs w:val="21"/>
          <w:highlight w:val="none"/>
          <w:lang w:eastAsia="zh-CN"/>
        </w:rPr>
        <w:t xml:space="preserve">、</w:t>
      </w:r>
      <w:r>
        <w:rPr>
          <w:b/>
          <w:color w:val="000000"/>
          <w:szCs w:val="21"/>
          <w:highlight w:val="none"/>
        </w:rPr>
        <w:t xml:space="preserve"> </w:t>
      </w:r>
      <w:r>
        <w:rPr>
          <w:rFonts w:hint="eastAsia"/>
          <w:b/>
          <w:color w:val="000000"/>
          <w:szCs w:val="21"/>
          <w:highlight w:val="none"/>
        </w:rPr>
        <w:t xml:space="preserve">动物房自动控制系统</w:t>
      </w:r>
      <w:r>
        <w:rPr>
          <w:rFonts w:hint="eastAsia"/>
          <w:b/>
          <w:color w:val="000000"/>
          <w:szCs w:val="21"/>
          <w:highlight w:val="none"/>
          <w:lang w:val="en-US" w:eastAsia="zh-CN"/>
        </w:rPr>
        <w:t xml:space="preserve">要求</w:t>
      </w:r>
      <w:r>
        <w:rPr>
          <w:b/>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1.1</w:t>
      </w:r>
      <w:r>
        <w:rPr>
          <w:rFonts w:hint="eastAsia"/>
          <w:color w:val="000000"/>
          <w:szCs w:val="21"/>
          <w:highlight w:val="none"/>
        </w:rPr>
        <w:t xml:space="preserve">控制安全可靠性——保障系统稳定安全的运行。本系统是一套动物实验中心管理系统，必须具有高可靠性、安全性及容错性。保证系统能全天候</w:t>
      </w:r>
      <w:r>
        <w:rPr>
          <w:color w:val="000000"/>
          <w:szCs w:val="21"/>
          <w:highlight w:val="none"/>
        </w:rPr>
        <w:t xml:space="preserve">24</w:t>
      </w:r>
      <w:r>
        <w:rPr>
          <w:rFonts w:hint="eastAsia"/>
          <w:color w:val="000000"/>
          <w:szCs w:val="21"/>
          <w:highlight w:val="none"/>
        </w:rPr>
        <w:t xml:space="preserve">小时不间断无故障运行；</w:t>
      </w:r>
      <w:r>
        <w:rPr>
          <w:rFonts w:ascii="Arial" w:hAnsi="Arial" w:cs="Arial"/>
          <w:color w:val="000000"/>
          <w:highlight w:val="none"/>
          <w:shd w:val="clear" w:color="auto" w:fill="ffffff"/>
        </w:rPr>
        <w:t xml:space="preserve">服务器、终端设备、网络设备、控制设备及布线系统均需经过严格的环境适应性测试，</w:t>
      </w:r>
      <w:r>
        <w:rPr>
          <w:color w:val="000000"/>
          <w:szCs w:val="21"/>
          <w:highlight w:val="none"/>
        </w:rPr>
        <w:t xml:space="preserve">特别考虑要适应现场温度、湿度、电磁干扰的客观环境，</w:t>
      </w:r>
      <w:r>
        <w:rPr>
          <w:rFonts w:ascii="Arial" w:hAnsi="Arial" w:cs="Arial"/>
          <w:color w:val="000000"/>
          <w:highlight w:val="none"/>
          <w:shd w:val="clear" w:color="auto" w:fill="ffffff"/>
        </w:rPr>
        <w:t xml:space="preserve">以保障其在复杂现场环境中的稳定运行。</w:t>
      </w:r>
      <w:r>
        <w:rPr>
          <w:color w:val="000000"/>
          <w:szCs w:val="21"/>
          <w:highlight w:val="none"/>
        </w:rPr>
        <w:t xml:space="preserve">在系统出现异常状况或故障时，能快速解决问题和恢复运行</w:t>
      </w:r>
      <w:r>
        <w:rPr>
          <w:rFonts w:hint="eastAsia"/>
          <w:color w:val="000000"/>
          <w:szCs w:val="21"/>
          <w:highlight w:val="none"/>
        </w:rPr>
        <w:t xml:space="preserve">，</w:t>
      </w:r>
      <w:r>
        <w:rPr>
          <w:rFonts w:ascii="Arial" w:hAnsi="Arial" w:cs="Arial"/>
          <w:color w:val="000000"/>
          <w:highlight w:val="none"/>
          <w:shd w:val="clear" w:color="auto" w:fill="ffffff"/>
        </w:rPr>
        <w:t xml:space="preserve">最大限度减少对实验进程的影响</w:t>
      </w:r>
      <w:r>
        <w:rPr>
          <w:color w:val="000000"/>
          <w:szCs w:val="21"/>
          <w:highlight w:val="none"/>
        </w:rPr>
        <w:t xml:space="preserve">。</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1.2</w:t>
      </w:r>
      <w:r>
        <w:rPr>
          <w:rFonts w:hint="eastAsia"/>
          <w:color w:val="000000"/>
          <w:szCs w:val="21"/>
          <w:highlight w:val="none"/>
        </w:rPr>
        <w:t xml:space="preserve">控制合规性——企业信息化管理系统至关重要的属性。本系统的设计、安装、施工、验收全过程中，按照实验室规范进行操作和验证，确保系统开发过程符合质量控制标准、系统运行完全符合实验室相关法规的要求和规范。确保数据在传输、存储过程中，不被未授权的篡改或在篡改后能够被迅速发现，保证系统数据的真实性和完整性。通过权限管理、变更审核、修改留痕、数据异地备份等手段，保证满足数据审计追踪需求。</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1.3</w:t>
      </w:r>
      <w:r>
        <w:rPr>
          <w:rFonts w:hint="eastAsia"/>
          <w:color w:val="000000"/>
          <w:szCs w:val="21"/>
          <w:highlight w:val="none"/>
        </w:rPr>
        <w:t xml:space="preserve">先进性——通过先进技术和理念提升管理水平。本系统服务器对数据远程采集、集中管理。采用高效的数据通讯规约和网络协议，实现与各子系统的信息互联互通。</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1.4</w:t>
      </w:r>
      <w:r>
        <w:rPr>
          <w:rFonts w:hint="eastAsia"/>
          <w:color w:val="000000"/>
          <w:szCs w:val="21"/>
          <w:highlight w:val="none"/>
        </w:rPr>
        <w:t xml:space="preserve">可扩展性——适应未来业务发展的需求。本系统采用开放的技术标准，提供充分的对接能力；采用标准化和低耦合模块化设计，所提供的应用软件、控制软件、硬件设备，严格按照模块化架构配置。本项目还需预留开放以太网接口实现与其他系统数据对接。</w:t>
      </w:r>
      <w:r>
        <w:rPr>
          <w:color w:val="000000"/>
          <w:szCs w:val="21"/>
          <w:highlight w:val="none"/>
        </w:rPr>
      </w:r>
      <w:r/>
    </w:p>
    <w:p>
      <w:pPr>
        <w:pStyle w:val="901"/>
        <w:spacing w:line="360" w:lineRule="auto"/>
        <w:rPr>
          <w:rFonts w:hint="eastAsia"/>
          <w:color w:val="000000"/>
          <w:szCs w:val="21"/>
          <w:highlight w:val="none"/>
        </w:rPr>
      </w:pPr>
      <w:r>
        <w:rPr>
          <w:rFonts w:hint="eastAsia"/>
          <w:color w:val="000000"/>
          <w:szCs w:val="21"/>
          <w:highlight w:val="none"/>
          <w:lang w:val="en-US" w:eastAsia="zh-CN"/>
        </w:rPr>
        <w:t xml:space="preserve">1.5</w:t>
      </w:r>
      <w:r>
        <w:rPr>
          <w:rFonts w:hint="eastAsia"/>
          <w:color w:val="000000"/>
          <w:szCs w:val="21"/>
          <w:highlight w:val="none"/>
        </w:rPr>
        <w:t xml:space="preserve">可维护性——确保系统的易操作易维护。本系统从应用系统的标准化设计、硬件设备的选型等方面考虑通用性、易维护性。系统具有友好的人机交互界面，功能模块划分合理，易于操作。在系统局部发生故障时，维护人员能尽快发现并及时处理，做到局部故障局部处理，避免故障扩大并快速恢复系统的正常运行。</w:t>
      </w:r>
      <w:r>
        <w:rPr>
          <w:rFonts w:hint="eastAsia"/>
          <w:color w:val="000000"/>
          <w:szCs w:val="21"/>
          <w:highlight w:val="none"/>
        </w:rPr>
      </w:r>
      <w:r/>
    </w:p>
    <w:p>
      <w:pPr>
        <w:pStyle w:val="901"/>
        <w:spacing w:line="360" w:lineRule="auto"/>
        <w:rPr>
          <w:rFonts w:eastAsia="宋体" w:cs="Times New Roman"/>
          <w:b/>
          <w:color w:val="000000"/>
          <w:szCs w:val="21"/>
          <w:highlight w:val="none"/>
        </w:rPr>
      </w:pPr>
      <w:r>
        <w:rPr>
          <w:rFonts w:hint="eastAsia"/>
          <w:b/>
          <w:color w:val="000000"/>
          <w:szCs w:val="21"/>
          <w:highlight w:val="none"/>
          <w:lang w:val="en-US" w:eastAsia="zh-CN"/>
        </w:rPr>
        <w:t xml:space="preserve">2</w:t>
      </w:r>
      <w:r>
        <w:rPr>
          <w:rFonts w:hint="eastAsia"/>
          <w:b/>
          <w:color w:val="000000"/>
          <w:szCs w:val="21"/>
          <w:highlight w:val="none"/>
          <w:lang w:eastAsia="zh-CN"/>
        </w:rPr>
        <w:t xml:space="preserve">、</w:t>
      </w:r>
      <w:r>
        <w:rPr>
          <w:rFonts w:hint="eastAsia" w:eastAsia="宋体" w:cs="Times New Roman"/>
          <w:b/>
          <w:color w:val="000000"/>
          <w:szCs w:val="21"/>
          <w:highlight w:val="none"/>
        </w:rPr>
        <w:t xml:space="preserve">动物房监控组态要求</w:t>
      </w:r>
      <w:r>
        <w:rPr>
          <w:rFonts w:eastAsia="宋体" w:cs="Times New Roman"/>
          <w:b/>
          <w:color w:val="000000"/>
          <w:szCs w:val="21"/>
          <w:highlight w:val="none"/>
        </w:rPr>
      </w:r>
      <w:r/>
    </w:p>
    <w:p>
      <w:pPr>
        <w:pStyle w:val="901"/>
        <w:spacing w:line="360" w:lineRule="auto"/>
        <w:rPr>
          <w:b/>
          <w:color w:val="000000"/>
          <w:szCs w:val="21"/>
          <w:highlight w:val="none"/>
        </w:rPr>
      </w:pPr>
      <w:r>
        <w:rPr>
          <w:rFonts w:hint="eastAsia" w:eastAsia="宋体" w:cs="Times New Roman"/>
          <w:color w:val="000000"/>
          <w:szCs w:val="21"/>
          <w:highlight w:val="none"/>
          <w:lang w:val="en-US" w:eastAsia="zh-CN"/>
        </w:rPr>
        <w:t xml:space="preserve">2.1</w:t>
      </w:r>
      <w:r>
        <w:rPr>
          <w:rFonts w:hint="eastAsia"/>
          <w:b/>
          <w:color w:val="000000"/>
          <w:szCs w:val="21"/>
          <w:highlight w:val="none"/>
        </w:rPr>
        <w:t xml:space="preserve">基本要求</w:t>
      </w:r>
      <w:r>
        <w:rPr>
          <w:b/>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组态软件要求可实现图形化的过程监控、数据采集、标准动态数据交换及指定文档的数据管理功能。系统结构开放灵活。软件易于安装、备份。系统应用程序的每项功能可按用户要求及系统设计进行调整，并可随系统的扩充或运行需要由用户自行修改。</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应提供一套正常维护系统用的诊断软件。包括系统每个监测功能的诊断、硬件故障的诊断以及有必要进行的周期性校正试验。</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2.2</w:t>
      </w:r>
      <w:r>
        <w:rPr>
          <w:rFonts w:hint="eastAsia"/>
          <w:color w:val="000000"/>
          <w:szCs w:val="21"/>
          <w:highlight w:val="none"/>
        </w:rPr>
        <w:t xml:space="preserve">图形及组态：</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1</w:t>
      </w:r>
      <w:r>
        <w:rPr>
          <w:rFonts w:hint="eastAsia"/>
          <w:color w:val="000000"/>
          <w:szCs w:val="21"/>
          <w:highlight w:val="none"/>
          <w:lang w:eastAsia="zh-CN"/>
        </w:rPr>
        <w:t xml:space="preserve">）</w:t>
      </w:r>
      <w:r>
        <w:rPr>
          <w:rFonts w:hint="eastAsia"/>
          <w:color w:val="000000"/>
          <w:szCs w:val="21"/>
          <w:highlight w:val="none"/>
        </w:rPr>
        <w:t xml:space="preserve">组态应包含并不限于以下内容：各系统工艺流程图、主要数据一览、历史数据一览、历史报警记录、重要参数实时趋势图、历史趋势图、设备启停控制、手自动切换画面、模拟量设置画面。</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2</w:t>
      </w:r>
      <w:r>
        <w:rPr>
          <w:rFonts w:hint="eastAsia"/>
          <w:color w:val="000000"/>
          <w:szCs w:val="21"/>
          <w:highlight w:val="none"/>
          <w:lang w:eastAsia="zh-CN"/>
        </w:rPr>
        <w:t xml:space="preserve">）</w:t>
      </w:r>
      <w:r>
        <w:rPr>
          <w:rFonts w:hint="eastAsia"/>
          <w:color w:val="000000"/>
          <w:szCs w:val="21"/>
          <w:highlight w:val="none"/>
        </w:rPr>
        <w:t xml:space="preserve">实时趋势图能够实时显示房间内的温湿度曲线，温湿度曲线横坐标为时间。历史趋势图能通过放大缩小坐标值显示小时曲线、全天曲线、</w:t>
      </w:r>
      <w:r>
        <w:rPr>
          <w:color w:val="000000"/>
          <w:szCs w:val="21"/>
          <w:highlight w:val="none"/>
        </w:rPr>
        <w:t xml:space="preserve">30</w:t>
      </w:r>
      <w:r>
        <w:rPr>
          <w:rFonts w:hint="eastAsia"/>
          <w:color w:val="000000"/>
          <w:szCs w:val="21"/>
          <w:highlight w:val="none"/>
        </w:rPr>
        <w:t xml:space="preserve">天曲线、以及数据库中任意时间段的曲线。</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3</w:t>
      </w:r>
      <w:r>
        <w:rPr>
          <w:rFonts w:hint="eastAsia"/>
          <w:color w:val="000000"/>
          <w:szCs w:val="21"/>
          <w:highlight w:val="none"/>
          <w:lang w:eastAsia="zh-CN"/>
        </w:rPr>
        <w:t xml:space="preserve">）</w:t>
      </w:r>
      <w:r>
        <w:rPr>
          <w:rFonts w:hint="eastAsia"/>
          <w:color w:val="000000"/>
          <w:szCs w:val="21"/>
          <w:highlight w:val="none"/>
        </w:rPr>
        <w:t xml:space="preserve">图形工作站应能提供集成化的开发环境及丰富的图形功能，具有各种设备形象图库，可对全部设备的运行停止状态、阀门开闭、液体流动等工艺状态，通过颜色变化、移动、旋转、闪烁、百分比、动态数字显示等动画形式来反映。使图形界直观形象。支持多窗口动态图形显示，支持实时参数显示。</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lang w:eastAsia="zh-CN"/>
        </w:rPr>
        <w:t xml:space="preserve">（</w:t>
      </w:r>
      <w:r>
        <w:rPr>
          <w:rFonts w:hint="eastAsia"/>
          <w:color w:val="000000"/>
          <w:szCs w:val="21"/>
          <w:highlight w:val="none"/>
          <w:lang w:val="en-US" w:eastAsia="zh-CN"/>
        </w:rPr>
        <w:t xml:space="preserve">4</w:t>
      </w:r>
      <w:r>
        <w:rPr>
          <w:rFonts w:hint="eastAsia"/>
          <w:color w:val="000000"/>
          <w:szCs w:val="21"/>
          <w:highlight w:val="none"/>
          <w:lang w:eastAsia="zh-CN"/>
        </w:rPr>
        <w:t xml:space="preserve">）</w:t>
      </w:r>
      <w:r>
        <w:rPr>
          <w:rFonts w:hint="eastAsia"/>
          <w:color w:val="000000"/>
          <w:szCs w:val="21"/>
          <w:highlight w:val="none"/>
        </w:rPr>
        <w:t xml:space="preserve">除数据输入操作外均可用鼠标完成所有操作。系统应能方便地集成其他第三方组件。组态软件具备安全容错功能，避免因数据丢失中断控制过程造成的事故。系统采用人机对话交互图形显示。</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w:t>
      </w:r>
      <w:r>
        <w:rPr>
          <w:color w:val="000000"/>
          <w:szCs w:val="21"/>
          <w:highlight w:val="none"/>
        </w:rPr>
        <w:t xml:space="preserve">.</w:t>
      </w:r>
      <w:r>
        <w:rPr>
          <w:rFonts w:hint="eastAsia"/>
          <w:color w:val="000000"/>
          <w:szCs w:val="21"/>
          <w:highlight w:val="none"/>
          <w:lang w:val="en-US" w:eastAsia="zh-CN"/>
        </w:rPr>
        <w:t xml:space="preserve">3</w:t>
      </w:r>
      <w:r>
        <w:rPr>
          <w:rFonts w:hint="eastAsia"/>
          <w:color w:val="000000"/>
          <w:szCs w:val="21"/>
          <w:highlight w:val="none"/>
        </w:rPr>
        <w:t xml:space="preserve">数据管理：</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提供多种数据管理功能，包括数据采集和管理、历史数据存储</w:t>
      </w:r>
      <w:r>
        <w:rPr>
          <w:rFonts w:hint="eastAsia"/>
          <w:color w:val="000000"/>
          <w:highlight w:val="none"/>
          <w:lang w:val="en-US" w:eastAsia="zh-CN"/>
        </w:rPr>
        <w:t xml:space="preserve">不低于五年</w:t>
      </w:r>
      <w:r>
        <w:rPr>
          <w:rFonts w:hint="eastAsia"/>
          <w:color w:val="000000"/>
          <w:szCs w:val="21"/>
          <w:highlight w:val="none"/>
        </w:rPr>
        <w:t xml:space="preserve">、导出数据库及生成各种数据报表等。组态软件含有多种品牌设备的驱动程序，可以以小于</w:t>
      </w:r>
      <w:r>
        <w:rPr>
          <w:color w:val="000000"/>
          <w:szCs w:val="21"/>
          <w:highlight w:val="none"/>
        </w:rPr>
        <w:t xml:space="preserve">100</w:t>
      </w:r>
      <w:r>
        <w:rPr>
          <w:rFonts w:hint="eastAsia"/>
          <w:color w:val="000000"/>
          <w:szCs w:val="21"/>
          <w:highlight w:val="none"/>
        </w:rPr>
        <w:t xml:space="preserve">毫秒的轮巡速度采集前端设备数据。</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冷水机组</w:t>
      </w:r>
      <w:r>
        <w:rPr>
          <w:color w:val="000000"/>
          <w:szCs w:val="21"/>
          <w:highlight w:val="none"/>
        </w:rPr>
        <w:t xml:space="preserve">/</w:t>
      </w:r>
      <w:r>
        <w:rPr>
          <w:rFonts w:hint="eastAsia"/>
          <w:color w:val="000000"/>
          <w:szCs w:val="21"/>
          <w:highlight w:val="none"/>
        </w:rPr>
        <w:t xml:space="preserve">空气源热泵机组提供给冷热源系统的参数包括但不局限于以下内容：</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电机参数，包括：电压、电流、输入</w:t>
      </w:r>
      <w:r>
        <w:rPr>
          <w:color w:val="000000"/>
          <w:szCs w:val="21"/>
          <w:highlight w:val="none"/>
        </w:rPr>
        <w:t xml:space="preserve">/</w:t>
      </w:r>
      <w:r>
        <w:rPr>
          <w:rFonts w:hint="eastAsia"/>
          <w:color w:val="000000"/>
          <w:szCs w:val="21"/>
          <w:highlight w:val="none"/>
        </w:rPr>
        <w:t xml:space="preserve">输出功率、有功电度、累计使用时间；</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压缩机参数，包括：导叶开度、扩压器开度、膨胀阀开度、油箱油温、油压等主机控制数据；</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冷凝器参数，包括：冷凝压力、冷凝液温度、冷却水入口温度、冷却水出口温度、冷却水温度差、冷却水进水压力、冷却水出水压力等；</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蒸发器参数，包括：蒸发压力、蒸发温度、冷水入口温度、冷水出口温度、冷水温度差、冷水进水压力、冷水出水压力等；</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各分区能量计的供回水温度、液体流动速度、液体流量等；</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lang w:val="en-US" w:eastAsia="zh-CN"/>
        </w:rPr>
        <w:t xml:space="preserve">并实时监控</w:t>
      </w:r>
      <w:r>
        <w:rPr>
          <w:rFonts w:hint="eastAsia"/>
          <w:color w:val="000000"/>
          <w:szCs w:val="21"/>
          <w:highlight w:val="none"/>
        </w:rPr>
        <w:t xml:space="preserve">各管道及实验室房间温湿度、</w:t>
      </w:r>
      <w:r>
        <w:rPr>
          <w:rFonts w:hint="eastAsia"/>
          <w:color w:val="000000"/>
          <w:szCs w:val="21"/>
          <w:highlight w:val="none"/>
          <w:lang w:val="en-US" w:eastAsia="zh-CN"/>
        </w:rPr>
        <w:t xml:space="preserve">压差、</w:t>
      </w:r>
      <w:r>
        <w:rPr>
          <w:rFonts w:hint="eastAsia"/>
          <w:color w:val="000000"/>
          <w:szCs w:val="21"/>
          <w:highlight w:val="none"/>
        </w:rPr>
        <w:t xml:space="preserve">氨气浓度</w:t>
      </w:r>
      <w:r>
        <w:rPr>
          <w:rFonts w:hint="eastAsia"/>
          <w:color w:val="000000"/>
          <w:szCs w:val="21"/>
          <w:highlight w:val="none"/>
          <w:lang w:eastAsia="zh-CN"/>
        </w:rPr>
        <w:t xml:space="preserve">、</w:t>
      </w:r>
      <w:r>
        <w:rPr>
          <w:rFonts w:hint="eastAsia"/>
          <w:color w:val="000000"/>
          <w:szCs w:val="21"/>
          <w:highlight w:val="none"/>
          <w:lang w:val="en-US" w:eastAsia="zh-CN"/>
        </w:rPr>
        <w:t xml:space="preserve">排风状态、送风状态、风阀、水阀开度等</w:t>
      </w:r>
      <w:r>
        <w:rPr>
          <w:rFonts w:hint="eastAsia"/>
          <w:color w:val="000000"/>
          <w:szCs w:val="21"/>
          <w:highlight w:val="none"/>
        </w:rPr>
        <w:t xml:space="preserve">参数。</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w:t>
      </w:r>
      <w:r>
        <w:rPr>
          <w:color w:val="000000"/>
          <w:szCs w:val="21"/>
          <w:highlight w:val="none"/>
        </w:rPr>
        <w:t xml:space="preserve">.</w:t>
      </w:r>
      <w:r>
        <w:rPr>
          <w:rFonts w:hint="eastAsia"/>
          <w:color w:val="000000"/>
          <w:szCs w:val="21"/>
          <w:highlight w:val="none"/>
          <w:lang w:val="en-US" w:eastAsia="zh-CN"/>
        </w:rPr>
        <w:t xml:space="preserve">4</w:t>
      </w:r>
      <w:r>
        <w:rPr>
          <w:rFonts w:hint="eastAsia"/>
          <w:color w:val="000000"/>
          <w:szCs w:val="21"/>
          <w:highlight w:val="none"/>
        </w:rPr>
        <w:t xml:space="preserve">安全管理：</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提供系统安全级管理，增强系统的安全性。可通过设置不同级别的权限对各类操作进行管理。除此之外还应限制某些关键程序的访问。提供操作日志，记录操作动作及时间。</w:t>
      </w:r>
      <w:r>
        <w:rPr>
          <w:color w:val="000000"/>
          <w:szCs w:val="21"/>
          <w:highlight w:val="none"/>
        </w:rPr>
      </w:r>
      <w:r/>
    </w:p>
    <w:p>
      <w:pPr>
        <w:pStyle w:val="901"/>
        <w:spacing w:line="360" w:lineRule="auto"/>
        <w:rPr>
          <w:b w:val="0"/>
          <w:bCs/>
          <w:color w:val="000000"/>
          <w:szCs w:val="21"/>
          <w:highlight w:val="none"/>
        </w:rPr>
      </w:pPr>
      <w:r>
        <w:rPr>
          <w:rFonts w:hint="eastAsia"/>
          <w:b w:val="0"/>
          <w:bCs/>
          <w:color w:val="000000"/>
          <w:szCs w:val="21"/>
          <w:highlight w:val="none"/>
          <w:lang w:val="en-US" w:eastAsia="zh-CN"/>
        </w:rPr>
        <w:t xml:space="preserve">2</w:t>
      </w:r>
      <w:r>
        <w:rPr>
          <w:b w:val="0"/>
          <w:bCs/>
          <w:color w:val="000000"/>
          <w:szCs w:val="21"/>
          <w:highlight w:val="none"/>
        </w:rPr>
        <w:t xml:space="preserve">.</w:t>
      </w:r>
      <w:r>
        <w:rPr>
          <w:rFonts w:hint="eastAsia"/>
          <w:b w:val="0"/>
          <w:bCs/>
          <w:color w:val="000000"/>
          <w:szCs w:val="21"/>
          <w:highlight w:val="none"/>
          <w:lang w:val="en-US" w:eastAsia="zh-CN"/>
        </w:rPr>
        <w:t xml:space="preserve">5</w:t>
      </w:r>
      <w:r>
        <w:rPr>
          <w:rFonts w:hint="eastAsia"/>
          <w:b w:val="0"/>
          <w:bCs/>
          <w:color w:val="000000"/>
          <w:szCs w:val="21"/>
          <w:highlight w:val="none"/>
        </w:rPr>
        <w:t xml:space="preserve">报警管理</w:t>
      </w:r>
      <w:r>
        <w:rPr>
          <w:b w:val="0"/>
          <w:bCs/>
          <w:color w:val="000000"/>
          <w:szCs w:val="21"/>
          <w:highlight w:val="none"/>
        </w:rPr>
      </w:r>
      <w:r/>
    </w:p>
    <w:p>
      <w:pPr>
        <w:pStyle w:val="901"/>
        <w:ind w:firstLine="420"/>
        <w:spacing w:line="360" w:lineRule="auto"/>
        <w:rPr>
          <w:color w:val="000000"/>
          <w:szCs w:val="21"/>
          <w:highlight w:val="none"/>
        </w:rPr>
      </w:pPr>
      <w:r>
        <w:rPr>
          <w:color w:val="000000"/>
          <w:szCs w:val="21"/>
          <w:highlight w:val="none"/>
        </w:rPr>
        <w:t xml:space="preserve">1</w:t>
      </w:r>
      <w:r>
        <w:rPr>
          <w:rFonts w:hint="eastAsia"/>
          <w:color w:val="000000"/>
          <w:szCs w:val="21"/>
          <w:highlight w:val="none"/>
        </w:rPr>
        <w:t xml:space="preserve">）系统内任何控制器、控制元件或通讯失效时，能监测并立即发出警报。</w:t>
      </w:r>
      <w:r>
        <w:rPr>
          <w:color w:val="000000"/>
          <w:szCs w:val="21"/>
          <w:highlight w:val="none"/>
        </w:rPr>
      </w:r>
      <w:r/>
    </w:p>
    <w:p>
      <w:pPr>
        <w:pStyle w:val="901"/>
        <w:ind w:firstLine="420"/>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）能自动识别不同级别报警，重要参数偏离的报警应发出更为醒目的声光报警信号。能够自动弹出报警信息（如弹出相应报警画面）。</w:t>
      </w:r>
      <w:r>
        <w:rPr>
          <w:color w:val="000000"/>
          <w:szCs w:val="21"/>
          <w:highlight w:val="none"/>
        </w:rPr>
      </w:r>
      <w:r/>
    </w:p>
    <w:p>
      <w:pPr>
        <w:pStyle w:val="901"/>
        <w:spacing w:line="360" w:lineRule="auto"/>
        <w:rPr>
          <w:rFonts w:eastAsia="宋体" w:cs="Times New Roman"/>
          <w:b w:val="0"/>
          <w:bCs/>
          <w:color w:val="000000"/>
          <w:szCs w:val="21"/>
          <w:highlight w:val="none"/>
        </w:rPr>
      </w:pPr>
      <w:r>
        <w:rPr>
          <w:rFonts w:hint="eastAsia" w:eastAsia="宋体" w:cs="Times New Roman"/>
          <w:b w:val="0"/>
          <w:bCs/>
          <w:color w:val="000000"/>
          <w:szCs w:val="21"/>
          <w:highlight w:val="none"/>
          <w:lang w:val="en-US" w:eastAsia="zh-CN"/>
        </w:rPr>
        <w:t xml:space="preserve">2</w:t>
      </w:r>
      <w:r>
        <w:rPr>
          <w:rFonts w:eastAsia="宋体" w:cs="Times New Roman"/>
          <w:b w:val="0"/>
          <w:bCs/>
          <w:color w:val="000000"/>
          <w:szCs w:val="21"/>
          <w:highlight w:val="none"/>
        </w:rPr>
        <w:t xml:space="preserve">.</w:t>
      </w:r>
      <w:r>
        <w:rPr>
          <w:rFonts w:hint="eastAsia" w:eastAsia="宋体" w:cs="Times New Roman"/>
          <w:b w:val="0"/>
          <w:bCs/>
          <w:color w:val="000000"/>
          <w:szCs w:val="21"/>
          <w:highlight w:val="none"/>
          <w:lang w:val="en-US" w:eastAsia="zh-CN"/>
        </w:rPr>
        <w:t xml:space="preserve">6</w:t>
      </w:r>
      <w:r>
        <w:rPr>
          <w:rFonts w:eastAsia="宋体" w:cs="Times New Roman"/>
          <w:b w:val="0"/>
          <w:bCs/>
          <w:color w:val="000000"/>
          <w:szCs w:val="21"/>
          <w:highlight w:val="none"/>
        </w:rPr>
        <w:t xml:space="preserve"> </w:t>
      </w:r>
      <w:r>
        <w:rPr>
          <w:rFonts w:hint="eastAsia" w:eastAsia="宋体" w:cs="Times New Roman"/>
          <w:b w:val="0"/>
          <w:bCs/>
          <w:color w:val="000000"/>
          <w:szCs w:val="21"/>
          <w:highlight w:val="none"/>
        </w:rPr>
        <w:t xml:space="preserve">报表</w:t>
      </w:r>
      <w:r>
        <w:rPr>
          <w:rFonts w:eastAsia="宋体" w:cs="Times New Roman"/>
          <w:b w:val="0"/>
          <w:bCs/>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可按要求输出指定内容（包含历史数据、实时、历史趋势图）的文件，统计可以基于事件或时间自动输出报表并存储。</w:t>
      </w:r>
      <w:r>
        <w:rPr>
          <w:color w:val="000000"/>
          <w:szCs w:val="21"/>
          <w:highlight w:val="none"/>
        </w:rPr>
      </w:r>
      <w:r/>
    </w:p>
    <w:p>
      <w:pPr>
        <w:pStyle w:val="901"/>
        <w:spacing w:line="360" w:lineRule="auto"/>
        <w:rPr>
          <w:rFonts w:eastAsia="宋体" w:cs="Times New Roman"/>
          <w:b w:val="0"/>
          <w:bCs/>
          <w:color w:val="000000"/>
          <w:szCs w:val="21"/>
          <w:highlight w:val="none"/>
        </w:rPr>
      </w:pPr>
      <w:r>
        <w:rPr>
          <w:rFonts w:hint="eastAsia" w:eastAsia="宋体" w:cs="Times New Roman"/>
          <w:b w:val="0"/>
          <w:bCs/>
          <w:color w:val="000000"/>
          <w:szCs w:val="21"/>
          <w:highlight w:val="none"/>
          <w:lang w:val="en-US" w:eastAsia="zh-CN"/>
        </w:rPr>
        <w:t xml:space="preserve">2</w:t>
      </w:r>
      <w:r>
        <w:rPr>
          <w:rFonts w:eastAsia="宋体" w:cs="Times New Roman"/>
          <w:b w:val="0"/>
          <w:bCs/>
          <w:color w:val="000000"/>
          <w:szCs w:val="21"/>
          <w:highlight w:val="none"/>
        </w:rPr>
        <w:t xml:space="preserve">.</w:t>
      </w:r>
      <w:r>
        <w:rPr>
          <w:rFonts w:hint="eastAsia" w:eastAsia="宋体" w:cs="Times New Roman"/>
          <w:b w:val="0"/>
          <w:bCs/>
          <w:color w:val="000000"/>
          <w:szCs w:val="21"/>
          <w:highlight w:val="none"/>
          <w:lang w:val="en-US" w:eastAsia="zh-CN"/>
        </w:rPr>
        <w:t xml:space="preserve">7</w:t>
      </w:r>
      <w:r>
        <w:rPr>
          <w:rFonts w:hint="eastAsia" w:eastAsia="宋体" w:cs="Times New Roman"/>
          <w:b w:val="0"/>
          <w:bCs/>
          <w:color w:val="000000"/>
          <w:szCs w:val="21"/>
          <w:highlight w:val="none"/>
        </w:rPr>
        <w:t xml:space="preserve">手机</w:t>
      </w:r>
      <w:r>
        <w:rPr>
          <w:rFonts w:eastAsia="宋体" w:cs="Times New Roman"/>
          <w:b w:val="0"/>
          <w:bCs/>
          <w:color w:val="000000"/>
          <w:szCs w:val="21"/>
          <w:highlight w:val="none"/>
        </w:rPr>
        <w:t xml:space="preserve">APP</w:t>
      </w:r>
      <w:r>
        <w:rPr>
          <w:rFonts w:eastAsia="宋体" w:cs="Times New Roman"/>
          <w:b w:val="0"/>
          <w:bCs/>
          <w:color w:val="000000"/>
          <w:szCs w:val="21"/>
          <w:highlight w:val="none"/>
        </w:rPr>
      </w:r>
      <w:r/>
    </w:p>
    <w:p>
      <w:pPr>
        <w:pStyle w:val="901"/>
        <w:ind w:firstLine="420"/>
        <w:spacing w:line="360" w:lineRule="auto"/>
        <w:rPr>
          <w:rFonts w:hint="eastAsia"/>
          <w:color w:val="000000"/>
          <w:szCs w:val="21"/>
          <w:highlight w:val="none"/>
        </w:rPr>
      </w:pPr>
      <w:r>
        <w:rPr>
          <w:rFonts w:hint="eastAsia"/>
          <w:color w:val="000000"/>
          <w:szCs w:val="21"/>
          <w:highlight w:val="none"/>
        </w:rPr>
        <w:t xml:space="preserve">通过手机</w:t>
      </w:r>
      <w:r>
        <w:rPr>
          <w:color w:val="000000"/>
          <w:szCs w:val="21"/>
          <w:highlight w:val="none"/>
        </w:rPr>
        <w:t xml:space="preserve">APP</w:t>
      </w:r>
      <w:r>
        <w:rPr>
          <w:rFonts w:hint="eastAsia"/>
          <w:color w:val="000000"/>
          <w:szCs w:val="21"/>
          <w:highlight w:val="none"/>
        </w:rPr>
        <w:t xml:space="preserve">及</w:t>
      </w:r>
      <w:r>
        <w:rPr>
          <w:color w:val="000000"/>
          <w:szCs w:val="21"/>
          <w:highlight w:val="none"/>
        </w:rPr>
        <w:t xml:space="preserve">GRRS</w:t>
      </w:r>
      <w:r>
        <w:rPr>
          <w:rFonts w:hint="eastAsia"/>
          <w:color w:val="000000"/>
          <w:szCs w:val="21"/>
          <w:highlight w:val="none"/>
        </w:rPr>
        <w:t xml:space="preserve">模块提供短信报警、信息推送给相应管理人员。</w:t>
      </w:r>
      <w:r>
        <w:rPr>
          <w:rFonts w:hint="eastAsia"/>
          <w:color w:val="000000"/>
          <w:szCs w:val="21"/>
          <w:highlight w:val="none"/>
        </w:rPr>
      </w:r>
      <w:r/>
    </w:p>
    <w:p>
      <w:pPr>
        <w:pStyle w:val="979"/>
        <w:ind w:firstLine="0"/>
        <w:spacing w:line="360" w:lineRule="auto"/>
        <w:rPr>
          <w:b/>
          <w:color w:val="000000"/>
          <w:szCs w:val="21"/>
          <w:highlight w:val="none"/>
        </w:rPr>
      </w:pPr>
      <w:r>
        <w:rPr>
          <w:rFonts w:hint="eastAsia"/>
          <w:b/>
          <w:color w:val="000000"/>
          <w:szCs w:val="21"/>
          <w:highlight w:val="none"/>
          <w:lang w:eastAsia="zh-CN"/>
        </w:rPr>
        <w:t xml:space="preserve">（</w:t>
      </w:r>
      <w:r>
        <w:rPr>
          <w:rFonts w:hint="eastAsia"/>
          <w:b/>
          <w:color w:val="000000"/>
          <w:szCs w:val="21"/>
          <w:highlight w:val="none"/>
          <w:lang w:val="en-US" w:eastAsia="zh-CN"/>
        </w:rPr>
        <w:t xml:space="preserve">五</w:t>
      </w:r>
      <w:r>
        <w:rPr>
          <w:rFonts w:hint="eastAsia"/>
          <w:b/>
          <w:color w:val="000000"/>
          <w:szCs w:val="21"/>
          <w:highlight w:val="none"/>
          <w:lang w:eastAsia="zh-CN"/>
        </w:rPr>
        <w:t xml:space="preserve">）</w:t>
      </w:r>
      <w:r>
        <w:rPr>
          <w:rFonts w:hint="eastAsia"/>
          <w:b/>
          <w:color w:val="000000"/>
          <w:szCs w:val="21"/>
          <w:highlight w:val="none"/>
        </w:rPr>
        <w:t xml:space="preserve">动物房控制要求</w:t>
      </w:r>
      <w:r>
        <w:rPr>
          <w:b/>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w:t>
      </w:r>
      <w:r>
        <w:rPr>
          <w:rFonts w:hint="eastAsia"/>
          <w:color w:val="000000"/>
          <w:szCs w:val="21"/>
          <w:highlight w:val="none"/>
        </w:rPr>
        <w:t xml:space="preserve">总体要求</w:t>
      </w:r>
      <w:r>
        <w:rPr>
          <w:color w:val="000000"/>
          <w:szCs w:val="21"/>
          <w:highlight w:val="none"/>
        </w:rPr>
      </w:r>
      <w:r/>
    </w:p>
    <w:p>
      <w:pPr>
        <w:pStyle w:val="979"/>
        <w:numPr>
          <w:ilvl w:val="0"/>
          <w:numId w:val="0"/>
        </w:numPr>
        <w:spacing w:line="360" w:lineRule="auto"/>
        <w:rPr>
          <w:color w:val="000000"/>
          <w:szCs w:val="21"/>
          <w:highlight w:val="none"/>
        </w:rPr>
      </w:pPr>
      <w:r>
        <w:rPr>
          <w:rFonts w:hint="eastAsia"/>
          <w:color w:val="000000"/>
          <w:szCs w:val="21"/>
          <w:highlight w:val="none"/>
          <w:lang w:val="en-US" w:eastAsia="zh-CN"/>
        </w:rPr>
        <w:t xml:space="preserve">1.1</w:t>
      </w:r>
      <w:r>
        <w:rPr>
          <w:rFonts w:hint="eastAsia"/>
          <w:color w:val="000000"/>
          <w:szCs w:val="21"/>
          <w:highlight w:val="none"/>
        </w:rPr>
        <w:t xml:space="preserve">运行稳定，确保工艺要求</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rPr>
        <w:t xml:space="preserve">符合实验室工艺要求，确保通风与空调系统</w:t>
      </w:r>
      <w:r>
        <w:rPr>
          <w:color w:val="000000"/>
          <w:szCs w:val="21"/>
          <w:highlight w:val="none"/>
        </w:rPr>
        <w:t xml:space="preserve">7*24</w:t>
      </w:r>
      <w:r>
        <w:rPr>
          <w:rFonts w:hint="eastAsia"/>
          <w:color w:val="000000"/>
          <w:szCs w:val="21"/>
          <w:highlight w:val="none"/>
        </w:rPr>
        <w:t xml:space="preserve">小时不间断运行，温湿度和压差长期保持稳定。</w:t>
      </w:r>
      <w:r>
        <w:rPr>
          <w:rFonts w:hint="eastAsia"/>
          <w:color w:val="000000"/>
          <w:highlight w:val="none"/>
        </w:rPr>
        <w:t xml:space="preserve">参与房间控制的传感器，应进行必要的精度校准或检定，以保证测量数据的可靠性</w:t>
      </w:r>
      <w:r>
        <w:rPr>
          <w:rFonts w:hint="eastAsia"/>
          <w:color w:val="000000"/>
          <w:highlight w:val="none"/>
          <w:lang w:eastAsia="zh-CN"/>
        </w:rPr>
        <w:t xml:space="preserve">，</w:t>
      </w:r>
      <w:r>
        <w:rPr>
          <w:rFonts w:hint="eastAsia"/>
          <w:color w:val="000000"/>
          <w:szCs w:val="21"/>
          <w:highlight w:val="none"/>
        </w:rPr>
        <w:t xml:space="preserve">温度控制精度控制在</w:t>
      </w:r>
      <w:r>
        <w:rPr>
          <w:rFonts w:hint="eastAsia"/>
          <w:color w:val="000000"/>
          <w:szCs w:val="21"/>
          <w:highlight w:val="none"/>
          <w:lang w:val="en-US" w:eastAsia="zh-CN"/>
        </w:rPr>
        <w:t xml:space="preserve">规定的温度</w:t>
      </w:r>
      <w:r>
        <w:rPr>
          <w:rFonts w:hint="eastAsia"/>
          <w:color w:val="000000"/>
          <w:szCs w:val="21"/>
          <w:highlight w:val="none"/>
        </w:rPr>
        <w:t xml:space="preserve">±1℃</w:t>
      </w:r>
      <w:r>
        <w:rPr>
          <w:rFonts w:hint="eastAsia"/>
          <w:color w:val="000000"/>
          <w:szCs w:val="21"/>
          <w:highlight w:val="none"/>
          <w:lang w:val="en-US" w:eastAsia="zh-CN"/>
        </w:rPr>
        <w:t xml:space="preserve">范围之内</w:t>
      </w:r>
      <w:r>
        <w:rPr>
          <w:rFonts w:hint="eastAsia"/>
          <w:color w:val="000000"/>
          <w:szCs w:val="21"/>
          <w:highlight w:val="none"/>
        </w:rPr>
        <w:t xml:space="preserve">，相对湿度控制精度控制在</w:t>
      </w:r>
      <w:r>
        <w:rPr>
          <w:rFonts w:hint="eastAsia"/>
          <w:color w:val="000000"/>
          <w:szCs w:val="21"/>
          <w:highlight w:val="none"/>
          <w:lang w:val="en-US" w:eastAsia="zh-CN"/>
        </w:rPr>
        <w:t xml:space="preserve">规定的范围之内</w:t>
      </w:r>
      <w:r>
        <w:rPr>
          <w:rFonts w:hint="eastAsia"/>
          <w:color w:val="000000"/>
          <w:szCs w:val="21"/>
          <w:highlight w:val="none"/>
        </w:rPr>
        <w:t xml:space="preserve">。超标时能及时发出报警和预警，动态控制，管理高效。</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1.2</w:t>
      </w:r>
      <w:r>
        <w:rPr>
          <w:rFonts w:hint="eastAsia"/>
          <w:color w:val="000000"/>
          <w:szCs w:val="21"/>
          <w:highlight w:val="none"/>
        </w:rPr>
        <w:t xml:space="preserve">确保设备的安全运行，减少磨损，降低故障</w:t>
      </w:r>
      <w:r>
        <w:rPr>
          <w:rFonts w:hint="eastAsia"/>
          <w:color w:val="000000"/>
          <w:szCs w:val="21"/>
          <w:highlight w:val="none"/>
          <w:lang w:eastAsia="zh-CN"/>
        </w:rPr>
        <w:t xml:space="preserve">，</w:t>
      </w:r>
      <w:r>
        <w:rPr>
          <w:rFonts w:hint="eastAsia"/>
          <w:color w:val="000000"/>
          <w:szCs w:val="21"/>
          <w:highlight w:val="none"/>
          <w:lang w:val="en-US" w:eastAsia="zh-CN"/>
        </w:rPr>
        <w:t xml:space="preserve">将设施</w:t>
      </w:r>
      <w:r>
        <w:rPr>
          <w:rFonts w:hint="eastAsia"/>
          <w:color w:val="000000"/>
          <w:highlight w:val="none"/>
        </w:rPr>
        <w:t xml:space="preserve">主要设备</w:t>
      </w:r>
      <w:r>
        <w:rPr>
          <w:rFonts w:hint="eastAsia"/>
          <w:color w:val="000000"/>
          <w:highlight w:val="none"/>
          <w:lang w:val="en-US" w:eastAsia="zh-CN"/>
        </w:rPr>
        <w:t xml:space="preserve">如蒸汽发生器等</w:t>
      </w:r>
      <w:r>
        <w:rPr>
          <w:rFonts w:hint="eastAsia"/>
          <w:color w:val="000000"/>
          <w:highlight w:val="none"/>
        </w:rPr>
        <w:t xml:space="preserve">通过通讯协议接入自控系统</w:t>
      </w:r>
      <w:r>
        <w:rPr>
          <w:rFonts w:hint="eastAsia"/>
          <w:color w:val="000000"/>
          <w:szCs w:val="21"/>
          <w:highlight w:val="none"/>
        </w:rPr>
        <w:t xml:space="preserve">。通过自控系统，在工作站集中显示所有设备的运行状况、故障状态等信息。使得主要设备都能实现集中管理。同时，对于使用比较规律的空调设备，可以采用全部由电脑时间程序管理的方式自动运行，根据变化的情况，及时调整设备的运行状态。减轻人员劳动强度的同时实现设备管理水平的提高。</w:t>
      </w:r>
      <w:r>
        <w:rPr>
          <w:color w:val="000000"/>
          <w:szCs w:val="21"/>
          <w:highlight w:val="none"/>
        </w:rPr>
      </w:r>
      <w:r/>
    </w:p>
    <w:p>
      <w:pPr>
        <w:pStyle w:val="901"/>
        <w:spacing w:line="360" w:lineRule="auto"/>
        <w:rPr>
          <w:rFonts w:eastAsia="宋体"/>
          <w:color w:val="000000"/>
          <w:szCs w:val="21"/>
          <w:highlight w:val="none"/>
          <w:lang w:val="en-US" w:eastAsia="zh-CN"/>
        </w:rPr>
      </w:pPr>
      <w:r>
        <w:rPr>
          <w:rFonts w:hint="eastAsia"/>
          <w:color w:val="000000"/>
          <w:szCs w:val="21"/>
          <w:highlight w:val="none"/>
          <w:lang w:val="en-US" w:eastAsia="zh-CN"/>
        </w:rPr>
        <w:t xml:space="preserve">1.3</w:t>
      </w:r>
      <w:r>
        <w:rPr>
          <w:rFonts w:hint="eastAsia"/>
          <w:color w:val="000000"/>
          <w:szCs w:val="21"/>
          <w:highlight w:val="none"/>
        </w:rPr>
        <w:t xml:space="preserve">降低空调设备的能量损耗，提升能源使用效率，实施节能管理。</w:t>
      </w:r>
      <w:r>
        <w:rPr>
          <w:rFonts w:eastAsia="宋体"/>
          <w:color w:val="000000"/>
          <w:szCs w:val="21"/>
          <w:highlight w:val="none"/>
          <w:lang w:val="en-US" w:eastAsia="zh-CN"/>
        </w:rPr>
      </w:r>
      <w:r/>
    </w:p>
    <w:p>
      <w:pPr>
        <w:pStyle w:val="901"/>
        <w:spacing w:line="360" w:lineRule="auto"/>
        <w:rPr>
          <w:color w:val="000000"/>
          <w:szCs w:val="21"/>
          <w:highlight w:val="none"/>
        </w:rPr>
      </w:pPr>
      <w:r>
        <w:rPr>
          <w:rFonts w:hint="eastAsia"/>
          <w:color w:val="000000"/>
          <w:szCs w:val="21"/>
          <w:highlight w:val="none"/>
          <w:lang w:val="en-US" w:eastAsia="zh-CN"/>
        </w:rPr>
        <w:t xml:space="preserve">2、</w:t>
      </w:r>
      <w:r>
        <w:rPr>
          <w:rFonts w:hint="eastAsia"/>
          <w:color w:val="000000"/>
          <w:szCs w:val="21"/>
          <w:highlight w:val="none"/>
        </w:rPr>
        <w:t xml:space="preserve">运行的监督控制</w:t>
      </w:r>
      <w:r>
        <w:rPr>
          <w:color w:val="000000"/>
          <w:szCs w:val="21"/>
          <w:highlight w:val="none"/>
        </w:rPr>
      </w:r>
      <w:r/>
    </w:p>
    <w:p>
      <w:pPr>
        <w:pStyle w:val="901"/>
        <w:spacing w:line="360" w:lineRule="auto"/>
        <w:rPr>
          <w:color w:val="000000"/>
          <w:szCs w:val="21"/>
          <w:highlight w:val="none"/>
        </w:rPr>
      </w:pPr>
      <w:r>
        <w:rPr>
          <w:color w:val="000000"/>
          <w:szCs w:val="21"/>
          <w:highlight w:val="none"/>
        </w:rPr>
        <w:t xml:space="preserve"> </w:t>
      </w:r>
      <w:r>
        <w:rPr>
          <w:rFonts w:hint="eastAsia"/>
          <w:color w:val="000000"/>
          <w:szCs w:val="21"/>
          <w:highlight w:val="none"/>
          <w:lang w:val="en-US" w:eastAsia="zh-CN"/>
        </w:rPr>
        <w:t xml:space="preserve">  </w:t>
      </w:r>
      <w:r>
        <w:rPr>
          <w:rFonts w:hint="eastAsia"/>
          <w:color w:val="000000"/>
          <w:szCs w:val="21"/>
          <w:highlight w:val="none"/>
        </w:rPr>
        <w:t xml:space="preserve">温湿度控制、风压控制等采用典型的</w:t>
      </w:r>
      <w:r>
        <w:rPr>
          <w:color w:val="000000"/>
          <w:szCs w:val="21"/>
          <w:highlight w:val="none"/>
        </w:rPr>
        <w:t xml:space="preserve">PID</w:t>
      </w:r>
      <w:r>
        <w:rPr>
          <w:rFonts w:hint="eastAsia"/>
          <w:color w:val="000000"/>
          <w:szCs w:val="21"/>
          <w:highlight w:val="none"/>
        </w:rPr>
        <w:t xml:space="preserve">控制模式。</w:t>
      </w:r>
      <w:r>
        <w:rPr>
          <w:color w:val="000000"/>
          <w:szCs w:val="21"/>
          <w:highlight w:val="none"/>
        </w:rPr>
      </w:r>
      <w:r/>
    </w:p>
    <w:p>
      <w:pPr>
        <w:pStyle w:val="901"/>
        <w:ind w:firstLine="105"/>
        <w:spacing w:line="360" w:lineRule="auto"/>
        <w:rPr>
          <w:color w:val="000000"/>
          <w:szCs w:val="21"/>
          <w:highlight w:val="none"/>
        </w:rPr>
      </w:pPr>
      <w:r>
        <w:rPr>
          <w:color w:val="000000"/>
          <w:szCs w:val="21"/>
          <w:highlight w:val="none"/>
        </w:rPr>
        <w:t xml:space="preserve">   </w:t>
      </w:r>
      <w:r>
        <w:rPr>
          <w:rFonts w:hint="eastAsia"/>
          <w:color w:val="000000"/>
          <w:szCs w:val="21"/>
          <w:highlight w:val="none"/>
        </w:rPr>
        <w:t xml:space="preserve">空调机组控制功能：温度控制、湿度控制、风量控制、主</w:t>
      </w:r>
      <w:r>
        <w:rPr>
          <w:color w:val="000000"/>
          <w:szCs w:val="21"/>
          <w:highlight w:val="none"/>
        </w:rPr>
        <w:t xml:space="preserve">/</w:t>
      </w:r>
      <w:r>
        <w:rPr>
          <w:rFonts w:hint="eastAsia"/>
          <w:color w:val="000000"/>
          <w:szCs w:val="21"/>
          <w:highlight w:val="none"/>
        </w:rPr>
        <w:t xml:space="preserve">备用切换、滤网更换提醒、设备启停控制、风机变频运行、运行状态监测。</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动物房控制功能：室内压差控制、室内温湿度监测、室内氨气浓度监测、</w:t>
      </w:r>
      <w:r>
        <w:rPr>
          <w:color w:val="000000"/>
          <w:szCs w:val="21"/>
          <w:highlight w:val="none"/>
        </w:rPr>
        <w:t xml:space="preserve">VAV</w:t>
      </w:r>
      <w:r>
        <w:rPr>
          <w:rFonts w:hint="eastAsia"/>
          <w:color w:val="000000"/>
          <w:szCs w:val="21"/>
          <w:highlight w:val="none"/>
        </w:rPr>
        <w:t xml:space="preserve">变风量阀控制、电动风阀控制等。</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2.1</w:t>
      </w:r>
      <w:r>
        <w:rPr>
          <w:rFonts w:hint="eastAsia"/>
          <w:color w:val="000000"/>
          <w:szCs w:val="21"/>
          <w:highlight w:val="none"/>
        </w:rPr>
        <w:t xml:space="preserve">系统监控的点位主要包括：送风温湿度，净化机组的初效、中效开关报警，房间温湿度、房间压差，送风机、排风机启停控制、状态监测、频率调节，风阀控制，净化机组电动水阀（冷热水阀）控制等。</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2.2</w:t>
      </w:r>
      <w:r>
        <w:rPr>
          <w:rFonts w:hint="eastAsia"/>
          <w:color w:val="000000"/>
          <w:szCs w:val="21"/>
          <w:highlight w:val="none"/>
        </w:rPr>
        <w:t xml:space="preserve">送、排风机频率根据送、排风量设定值比较进行变频调节。当通风系统风量出现变化时，自动调节风机频率，将风量调整在恒定值。</w:t>
      </w:r>
      <w:r>
        <w:rPr>
          <w:color w:val="000000"/>
          <w:szCs w:val="21"/>
          <w:highlight w:val="none"/>
        </w:rPr>
      </w:r>
      <w:r/>
    </w:p>
    <w:p>
      <w:pPr>
        <w:pStyle w:val="901"/>
        <w:spacing w:line="360" w:lineRule="auto"/>
        <w:rPr>
          <w:rFonts w:eastAsia="宋体"/>
          <w:color w:val="000000"/>
          <w:szCs w:val="21"/>
          <w:highlight w:val="none"/>
          <w:lang w:val="en-US" w:eastAsia="zh-CN"/>
        </w:rPr>
      </w:pPr>
      <w:r>
        <w:rPr>
          <w:rFonts w:hint="eastAsia"/>
          <w:color w:val="000000"/>
          <w:szCs w:val="21"/>
          <w:highlight w:val="none"/>
          <w:lang w:val="en-US" w:eastAsia="zh-CN"/>
        </w:rPr>
        <w:t xml:space="preserve">2.3</w:t>
      </w:r>
      <w:r>
        <w:rPr>
          <w:rFonts w:hint="eastAsia"/>
          <w:color w:val="000000"/>
          <w:szCs w:val="21"/>
          <w:highlight w:val="none"/>
        </w:rPr>
        <w:t xml:space="preserve">温湿度控制：根据温度与设定值比较调节比例电动阀与再热量电动阀的输出比，将温度控制在设定值范围内，关键功能间采用风管电加热进行二次控温，根据湿度与设定值比较自动调节表冷阀与加湿量电动阀的输出比，将湿度控制在设定值范围内。</w:t>
      </w:r>
      <w:r>
        <w:rPr>
          <w:rFonts w:hint="eastAsia"/>
          <w:color w:val="000000"/>
          <w:szCs w:val="21"/>
          <w:highlight w:val="none"/>
          <w:lang w:val="en-US" w:eastAsia="zh-CN"/>
        </w:rPr>
        <w:t xml:space="preserve">机组</w:t>
      </w:r>
      <w:r>
        <w:rPr>
          <w:rFonts w:hint="eastAsia"/>
          <w:color w:val="000000"/>
          <w:highlight w:val="none"/>
        </w:rPr>
        <w:t xml:space="preserve">设防冻开关</w:t>
      </w:r>
      <w:r>
        <w:rPr>
          <w:rFonts w:hint="eastAsia"/>
          <w:color w:val="000000"/>
          <w:highlight w:val="none"/>
          <w:lang w:eastAsia="zh-CN"/>
        </w:rPr>
        <w:t xml:space="preserve">，</w:t>
      </w:r>
      <w:r>
        <w:rPr>
          <w:rFonts w:hint="eastAsia"/>
          <w:color w:val="000000"/>
          <w:highlight w:val="none"/>
          <w:lang w:val="en-US" w:eastAsia="zh-CN"/>
        </w:rPr>
        <w:t xml:space="preserve">当温度过低时报警，并进行联动操作。</w:t>
      </w:r>
      <w:r>
        <w:rPr>
          <w:rFonts w:eastAsia="宋体"/>
          <w:color w:val="000000"/>
          <w:szCs w:val="21"/>
          <w:highlight w:val="none"/>
          <w:lang w:val="en-US" w:eastAsia="zh-CN"/>
        </w:rPr>
      </w:r>
      <w:r/>
    </w:p>
    <w:p>
      <w:pPr>
        <w:pStyle w:val="901"/>
        <w:spacing w:line="360" w:lineRule="auto"/>
        <w:rPr>
          <w:color w:val="000000"/>
          <w:szCs w:val="21"/>
          <w:highlight w:val="none"/>
        </w:rPr>
      </w:pPr>
      <w:r>
        <w:rPr>
          <w:rFonts w:hint="eastAsia"/>
          <w:color w:val="000000"/>
          <w:szCs w:val="21"/>
          <w:highlight w:val="none"/>
          <w:lang w:val="en-US" w:eastAsia="zh-CN"/>
        </w:rPr>
        <w:t xml:space="preserve">2.4</w:t>
      </w:r>
      <w:r>
        <w:rPr>
          <w:rFonts w:hint="eastAsia"/>
          <w:color w:val="000000"/>
          <w:szCs w:val="21"/>
          <w:highlight w:val="none"/>
        </w:rPr>
        <w:t xml:space="preserve">监测机组滤网压差脏堵、防冻开关情况，当过滤器出现堵塞，风阻压力过大，风压开关监测到信号反馈给控制系统输出报警提醒用户更换。</w:t>
      </w:r>
      <w:r>
        <w:rPr>
          <w:color w:val="000000"/>
          <w:szCs w:val="21"/>
          <w:highlight w:val="none"/>
        </w:rPr>
      </w:r>
      <w:r/>
    </w:p>
    <w:p>
      <w:pPr>
        <w:pStyle w:val="901"/>
        <w:spacing w:line="360" w:lineRule="auto"/>
        <w:rPr>
          <w:color w:val="000000"/>
          <w:szCs w:val="21"/>
          <w:highlight w:val="none"/>
          <w:lang w:val="en-US"/>
        </w:rPr>
      </w:pPr>
      <w:r>
        <w:rPr>
          <w:rFonts w:hint="eastAsia"/>
          <w:color w:val="000000"/>
          <w:szCs w:val="21"/>
          <w:highlight w:val="none"/>
          <w:lang w:val="en-US" w:eastAsia="zh-CN"/>
        </w:rPr>
        <w:t xml:space="preserve">2.5</w:t>
      </w:r>
      <w:r>
        <w:rPr>
          <w:rFonts w:hint="eastAsia"/>
          <w:color w:val="000000"/>
          <w:szCs w:val="21"/>
          <w:highlight w:val="none"/>
        </w:rPr>
        <w:t xml:space="preserve">压差控制区域功能间与其对应的缓冲间配有电动阀与房间压差变送器，电动阀开度根据房间压力设定值进行比较自动输出调节，自动将房间压力调整在设定值范围内。</w:t>
      </w:r>
      <w:r>
        <w:rPr>
          <w:color w:val="000000"/>
          <w:szCs w:val="21"/>
          <w:highlight w:val="none"/>
          <w:lang w:val="en-US"/>
        </w:rPr>
      </w:r>
      <w:r/>
    </w:p>
    <w:p>
      <w:pPr>
        <w:pStyle w:val="901"/>
        <w:spacing w:line="360" w:lineRule="auto"/>
        <w:rPr>
          <w:color w:val="000000"/>
          <w:szCs w:val="21"/>
          <w:highlight w:val="none"/>
        </w:rPr>
      </w:pPr>
      <w:r>
        <w:rPr>
          <w:rFonts w:hint="eastAsia"/>
          <w:color w:val="000000"/>
          <w:szCs w:val="21"/>
          <w:highlight w:val="none"/>
          <w:lang w:val="en-US" w:eastAsia="zh-CN"/>
        </w:rPr>
        <w:t xml:space="preserve">2.6</w:t>
      </w:r>
      <w:r>
        <w:rPr>
          <w:rFonts w:hint="eastAsia"/>
          <w:color w:val="000000"/>
          <w:szCs w:val="21"/>
          <w:highlight w:val="none"/>
        </w:rPr>
        <w:t xml:space="preserve">报警：压力报警，分类为高</w:t>
      </w:r>
      <w:r>
        <w:rPr>
          <w:rFonts w:hint="eastAsia"/>
          <w:color w:val="000000"/>
          <w:szCs w:val="21"/>
          <w:highlight w:val="none"/>
          <w:lang w:val="en-US" w:eastAsia="zh-CN"/>
        </w:rPr>
        <w:t xml:space="preserve">高</w:t>
      </w:r>
      <w:r>
        <w:rPr>
          <w:rFonts w:hint="eastAsia"/>
          <w:color w:val="000000"/>
          <w:szCs w:val="21"/>
          <w:highlight w:val="none"/>
        </w:rPr>
        <w:t xml:space="preserve">限警报（</w:t>
      </w:r>
      <w:r>
        <w:rPr>
          <w:color w:val="000000"/>
          <w:szCs w:val="21"/>
          <w:highlight w:val="none"/>
        </w:rPr>
        <w:t xml:space="preserve">HH</w:t>
      </w:r>
      <w:r>
        <w:rPr>
          <w:rFonts w:hint="eastAsia"/>
          <w:color w:val="000000"/>
          <w:szCs w:val="21"/>
          <w:highlight w:val="none"/>
        </w:rPr>
        <w:t xml:space="preserve">）、高限警报（</w:t>
      </w:r>
      <w:r>
        <w:rPr>
          <w:color w:val="000000"/>
          <w:szCs w:val="21"/>
          <w:highlight w:val="none"/>
        </w:rPr>
        <w:t xml:space="preserve">H</w:t>
      </w:r>
      <w:r>
        <w:rPr>
          <w:rFonts w:hint="eastAsia"/>
          <w:color w:val="000000"/>
          <w:szCs w:val="21"/>
          <w:highlight w:val="none"/>
        </w:rPr>
        <w:t xml:space="preserve">）、低限警报（</w:t>
      </w:r>
      <w:r>
        <w:rPr>
          <w:color w:val="000000"/>
          <w:szCs w:val="21"/>
          <w:highlight w:val="none"/>
        </w:rPr>
        <w:t xml:space="preserve">L</w:t>
      </w:r>
      <w:r>
        <w:rPr>
          <w:rFonts w:hint="eastAsia"/>
          <w:color w:val="000000"/>
          <w:szCs w:val="21"/>
          <w:highlight w:val="none"/>
        </w:rPr>
        <w:t xml:space="preserve">）、低低限警报（</w:t>
      </w:r>
      <w:r>
        <w:rPr>
          <w:color w:val="000000"/>
          <w:szCs w:val="21"/>
          <w:highlight w:val="none"/>
        </w:rPr>
        <w:t xml:space="preserve">LL</w:t>
      </w:r>
      <w:r>
        <w:rPr>
          <w:rFonts w:hint="eastAsia"/>
          <w:color w:val="000000"/>
          <w:szCs w:val="21"/>
          <w:highlight w:val="none"/>
        </w:rPr>
        <w:t xml:space="preserve">），当压力值不正常时，输出对应的报警信息提醒用户。房间温湿度超限报警（上限，下限）、房间压差低报警（下限，下下限）、送风温湿度（上限，下限）、风机故障报警、初效、中效压差报警、阀门打开关闭超时报警、阀门频率偏离报警、风机启停超时报警、风机频率偏离报警。</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2.7</w:t>
      </w:r>
      <w:r>
        <w:rPr>
          <w:rFonts w:hint="eastAsia"/>
          <w:color w:val="000000"/>
          <w:szCs w:val="21"/>
          <w:highlight w:val="none"/>
        </w:rPr>
        <w:t xml:space="preserve">部分实验室，对应在其送排风管上设置电动密闭阀，根据使用情况进行风阀一键开关操作。</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2.8</w:t>
      </w:r>
      <w:r>
        <w:rPr>
          <w:rFonts w:hint="eastAsia"/>
          <w:color w:val="000000"/>
          <w:szCs w:val="21"/>
          <w:highlight w:val="none"/>
        </w:rPr>
        <w:t xml:space="preserve">紫外线杀菌灯定时控制应可自定义消毒时间，计时结束后自动关闭杀菌灯。将所</w:t>
      </w:r>
      <w:r>
        <w:rPr>
          <w:rFonts w:hint="eastAsia"/>
          <w:color w:val="000000"/>
          <w:highlight w:val="none"/>
          <w:lang w:val="en-US" w:eastAsia="zh-CN"/>
        </w:rPr>
        <w:t xml:space="preserve">有</w:t>
      </w:r>
      <w:r>
        <w:rPr>
          <w:rFonts w:hint="eastAsia"/>
          <w:color w:val="000000"/>
          <w:szCs w:val="21"/>
          <w:highlight w:val="none"/>
        </w:rPr>
        <w:t xml:space="preserve">实验室的杀菌灯集成在上位机中进</w:t>
      </w:r>
      <w:r>
        <w:rPr>
          <w:rFonts w:hint="eastAsia"/>
          <w:color w:val="000000"/>
          <w:highlight w:val="none"/>
          <w:lang w:val="en-US" w:eastAsia="zh-CN"/>
        </w:rPr>
        <w:t xml:space="preserve">行</w:t>
      </w:r>
      <w:r>
        <w:rPr>
          <w:rFonts w:hint="eastAsia"/>
          <w:color w:val="000000"/>
          <w:szCs w:val="21"/>
          <w:highlight w:val="none"/>
        </w:rPr>
        <w:t xml:space="preserve">集中消毒管理。紫外灯可一键控制开关，也可分组并联分别控制。</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2.9</w:t>
      </w:r>
      <w:r>
        <w:rPr>
          <w:rFonts w:hint="eastAsia"/>
          <w:color w:val="000000"/>
          <w:szCs w:val="21"/>
          <w:highlight w:val="none"/>
        </w:rPr>
        <w:t xml:space="preserve">排风机对应变频恒压控制，当管道压力发生变化时，自动调整频率，达到节能降耗的目的。</w:t>
      </w:r>
      <w:r>
        <w:rPr>
          <w:color w:val="000000"/>
          <w:szCs w:val="21"/>
          <w:highlight w:val="none"/>
        </w:rPr>
      </w:r>
      <w:r/>
    </w:p>
    <w:p>
      <w:pPr>
        <w:pStyle w:val="901"/>
        <w:spacing w:line="360" w:lineRule="auto"/>
        <w:rPr>
          <w:rFonts w:hint="eastAsia"/>
          <w:color w:val="000000"/>
          <w:szCs w:val="21"/>
          <w:highlight w:val="none"/>
        </w:rPr>
      </w:pPr>
      <w:r>
        <w:rPr>
          <w:rFonts w:hint="eastAsia"/>
          <w:color w:val="000000"/>
          <w:szCs w:val="21"/>
          <w:highlight w:val="none"/>
          <w:lang w:val="en-US" w:eastAsia="zh-CN"/>
        </w:rPr>
        <w:t xml:space="preserve">2.10</w:t>
      </w:r>
      <w:r>
        <w:rPr>
          <w:rFonts w:hint="eastAsia"/>
          <w:color w:val="000000"/>
          <w:szCs w:val="21"/>
          <w:highlight w:val="none"/>
        </w:rPr>
        <w:t xml:space="preserve">屋面水系统通过控制器进行通讯处理，通过上位机进行数据的读写操作，和所有空调进行联动操作。</w:t>
      </w:r>
      <w:r>
        <w:rPr>
          <w:rFonts w:hint="eastAsia"/>
          <w:color w:val="000000"/>
          <w:szCs w:val="21"/>
          <w:highlight w:val="none"/>
        </w:rPr>
      </w:r>
      <w:r/>
    </w:p>
    <w:p>
      <w:pPr>
        <w:pStyle w:val="901"/>
        <w:spacing w:line="360" w:lineRule="auto"/>
        <w:rPr>
          <w:rFonts w:eastAsia="宋体"/>
          <w:color w:val="000000"/>
          <w:szCs w:val="21"/>
          <w:highlight w:val="none"/>
          <w:lang w:val="en-US" w:eastAsia="zh-CN"/>
        </w:rPr>
      </w:pPr>
      <w:r>
        <w:rPr>
          <w:rFonts w:hint="eastAsia"/>
          <w:color w:val="000000"/>
          <w:szCs w:val="21"/>
          <w:highlight w:val="none"/>
          <w:lang w:val="en-US" w:eastAsia="zh-CN"/>
        </w:rPr>
        <w:t xml:space="preserve">2.11</w:t>
      </w:r>
      <w:r>
        <w:rPr>
          <w:rFonts w:hint="eastAsia" w:eastAsia="宋体"/>
          <w:color w:val="000000"/>
          <w:highlight w:val="none"/>
          <w:lang w:val="en-US" w:eastAsia="zh-CN"/>
        </w:rPr>
        <w:t xml:space="preserve">所有温湿度、压差及氨浓度传感器位置应便于拆卸、更换和校准。风管温度传感器安装位置应具备校正孔。</w:t>
      </w:r>
      <w:r>
        <w:rPr>
          <w:rFonts w:eastAsia="宋体"/>
          <w:color w:val="000000"/>
          <w:szCs w:val="21"/>
          <w:highlight w:val="none"/>
          <w:lang w:val="en-US" w:eastAsia="zh-CN"/>
        </w:rPr>
      </w:r>
      <w:r/>
    </w:p>
    <w:p>
      <w:pPr>
        <w:pStyle w:val="901"/>
        <w:spacing w:line="360" w:lineRule="auto"/>
        <w:rPr>
          <w:color w:val="000000"/>
          <w:szCs w:val="21"/>
          <w:highlight w:val="none"/>
        </w:rPr>
      </w:pPr>
      <w:r>
        <w:rPr>
          <w:rFonts w:hint="eastAsia"/>
          <w:color w:val="000000"/>
          <w:szCs w:val="21"/>
          <w:highlight w:val="none"/>
          <w:lang w:val="en-US" w:eastAsia="zh-CN"/>
        </w:rPr>
        <w:t xml:space="preserve">3、</w:t>
      </w:r>
      <w:r>
        <w:rPr>
          <w:rFonts w:hint="eastAsia"/>
          <w:color w:val="000000"/>
          <w:szCs w:val="21"/>
          <w:highlight w:val="none"/>
        </w:rPr>
        <w:t xml:space="preserve">空调机组模式</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机组模式：设置夏冬模式、生产模式、值班模式、消毒模式和停机模式</w:t>
      </w:r>
      <w:r>
        <w:rPr>
          <w:color w:val="000000"/>
          <w:szCs w:val="21"/>
          <w:highlight w:val="none"/>
        </w:rPr>
        <w:t xml:space="preserve">5</w:t>
      </w:r>
      <w:r>
        <w:rPr>
          <w:rFonts w:hint="eastAsia"/>
          <w:color w:val="000000"/>
          <w:szCs w:val="21"/>
          <w:highlight w:val="none"/>
        </w:rPr>
        <w:t xml:space="preserve">种模式功能，以上</w:t>
      </w:r>
      <w:r>
        <w:rPr>
          <w:color w:val="000000"/>
          <w:szCs w:val="21"/>
          <w:highlight w:val="none"/>
        </w:rPr>
        <w:t xml:space="preserve">5</w:t>
      </w:r>
      <w:r>
        <w:rPr>
          <w:rFonts w:hint="eastAsia"/>
          <w:color w:val="000000"/>
          <w:szCs w:val="21"/>
          <w:highlight w:val="none"/>
        </w:rPr>
        <w:t xml:space="preserve">种模式均在自动情况下点击相应的一键启动按钮，系统自动运行。</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3.1</w:t>
      </w:r>
      <w:r>
        <w:rPr>
          <w:rFonts w:hint="eastAsia"/>
          <w:color w:val="000000"/>
          <w:szCs w:val="21"/>
          <w:highlight w:val="none"/>
        </w:rPr>
        <w:t xml:space="preserve">夏冬模式：以</w:t>
      </w:r>
      <w:r>
        <w:rPr>
          <w:rFonts w:hint="eastAsia"/>
          <w:color w:val="000000"/>
          <w:szCs w:val="21"/>
          <w:highlight w:val="none"/>
          <w:lang w:val="en-US" w:eastAsia="zh-CN"/>
        </w:rPr>
        <w:t xml:space="preserve">排风主管</w:t>
      </w:r>
      <w:r>
        <w:rPr>
          <w:rFonts w:hint="eastAsia"/>
          <w:color w:val="000000"/>
          <w:szCs w:val="21"/>
          <w:highlight w:val="none"/>
        </w:rPr>
        <w:t xml:space="preserve">温度为控制点，控制表冷阀和加热阀（或电加热）的开度；以</w:t>
      </w:r>
      <w:r>
        <w:rPr>
          <w:rFonts w:hint="eastAsia"/>
          <w:color w:val="000000"/>
          <w:szCs w:val="21"/>
          <w:highlight w:val="none"/>
          <w:lang w:val="en-US" w:eastAsia="zh-CN"/>
        </w:rPr>
        <w:t xml:space="preserve">排风主管湿度</w:t>
      </w:r>
      <w:r>
        <w:rPr>
          <w:rFonts w:hint="eastAsia"/>
          <w:color w:val="000000"/>
          <w:szCs w:val="21"/>
          <w:highlight w:val="none"/>
        </w:rPr>
        <w:t xml:space="preserve">为控制点，控制电加湿和表冷阀的开度。</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3.2</w:t>
      </w:r>
      <w:r>
        <w:rPr>
          <w:rFonts w:hint="eastAsia"/>
          <w:color w:val="000000"/>
          <w:szCs w:val="21"/>
          <w:highlight w:val="none"/>
        </w:rPr>
        <w:t xml:space="preserve">生产模式：自动模式是控制系统的正常运行模式，是在无人干预的情况下全自动实现系统所有的监控功能（除参数设定、报表打印等必需的手动操作）；</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开启新风阀、送风机、排风阀、系统排风机。控制器对系统的风压、温湿度进行分析，控制器根据反馈与设定值的偏差自动调节送风机频率、表冷、加热、加湿阀开度，满足房间温湿度、风量的控制。</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房间排风阀门按照生产房间压力设定值自动控制房间压差。</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空调机组频率按照生产送风风压设定值自动调整频率。</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排风机频率按照生产排风风压设定值自动调整频率。</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3.3</w:t>
      </w:r>
      <w:r>
        <w:rPr>
          <w:rFonts w:hint="eastAsia"/>
          <w:color w:val="000000"/>
          <w:szCs w:val="21"/>
          <w:highlight w:val="none"/>
        </w:rPr>
        <w:t xml:space="preserve">值班模式：与生产模式设备运行状态一样，只是将送</w:t>
      </w:r>
      <w:r>
        <w:rPr>
          <w:color w:val="000000"/>
          <w:szCs w:val="21"/>
          <w:highlight w:val="none"/>
        </w:rPr>
        <w:t xml:space="preserve">/</w:t>
      </w:r>
      <w:r>
        <w:rPr>
          <w:rFonts w:hint="eastAsia"/>
          <w:color w:val="000000"/>
          <w:szCs w:val="21"/>
          <w:highlight w:val="none"/>
        </w:rPr>
        <w:t xml:space="preserve">排风机调整为低频运行，关闭表冷阀、加热阀、加湿阀，节约能源。房间排风阀固定开度不变。</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3.4</w:t>
      </w:r>
      <w:r>
        <w:rPr>
          <w:rFonts w:hint="eastAsia"/>
          <w:color w:val="000000"/>
          <w:szCs w:val="21"/>
          <w:highlight w:val="none"/>
        </w:rPr>
        <w:t xml:space="preserve">消毒模式：分为消毒中，消毒后排风的流程，分别自动执行，执行的时间可调。消毒中，关闭送风机，关闭新风、排风系统，人工进行消毒，当消毒的时间达到设定的消毒时间时，系统自动转至生产或值班模式。</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3.5</w:t>
      </w:r>
      <w:r>
        <w:rPr>
          <w:rFonts w:hint="eastAsia"/>
          <w:color w:val="000000"/>
          <w:szCs w:val="21"/>
          <w:highlight w:val="none"/>
        </w:rPr>
        <w:t xml:space="preserve">停机模式：系统进入为了客户检修等停机需要设立停机模式，停机模式一键操作，系统可按照相应的连锁顺序停止设备。排风机、送风机、新风阀依次停止。</w:t>
      </w:r>
      <w:r>
        <w:rPr>
          <w:color w:val="000000"/>
          <w:szCs w:val="21"/>
          <w:highlight w:val="none"/>
        </w:rPr>
      </w:r>
      <w:r/>
    </w:p>
    <w:p>
      <w:pPr>
        <w:pStyle w:val="901"/>
        <w:spacing w:line="360" w:lineRule="auto"/>
        <w:rPr>
          <w:color w:val="000000"/>
          <w:szCs w:val="21"/>
          <w:highlight w:val="none"/>
        </w:rPr>
      </w:pPr>
      <w:r>
        <w:rPr>
          <w:rFonts w:hint="eastAsia"/>
          <w:color w:val="000000"/>
          <w:szCs w:val="21"/>
          <w:highlight w:val="none"/>
          <w:lang w:val="en-US" w:eastAsia="zh-CN"/>
        </w:rPr>
        <w:t xml:space="preserve">4、</w:t>
      </w:r>
      <w:r>
        <w:rPr>
          <w:rFonts w:hint="eastAsia"/>
          <w:color w:val="000000"/>
          <w:szCs w:val="21"/>
          <w:highlight w:val="none"/>
        </w:rPr>
        <w:t xml:space="preserve">控制方式</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分现地</w:t>
      </w:r>
      <w:r>
        <w:rPr>
          <w:color w:val="000000"/>
          <w:szCs w:val="21"/>
          <w:highlight w:val="none"/>
        </w:rPr>
        <w:t xml:space="preserve">/</w:t>
      </w:r>
      <w:r>
        <w:rPr>
          <w:rFonts w:hint="eastAsia"/>
          <w:color w:val="000000"/>
          <w:szCs w:val="21"/>
          <w:highlight w:val="none"/>
        </w:rPr>
        <w:t xml:space="preserve">远程、手动</w:t>
      </w:r>
      <w:r>
        <w:rPr>
          <w:color w:val="000000"/>
          <w:szCs w:val="21"/>
          <w:highlight w:val="none"/>
        </w:rPr>
        <w:t xml:space="preserve">/</w:t>
      </w:r>
      <w:r>
        <w:rPr>
          <w:rFonts w:hint="eastAsia"/>
          <w:color w:val="000000"/>
          <w:szCs w:val="21"/>
          <w:highlight w:val="none"/>
        </w:rPr>
        <w:t xml:space="preserve">自动方式。</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现地方式：是指设备现场的控制柜或设备本体上完成对设备的单独操作（设备现场的控制柜必须包含设备启停等必备元器件）。在权限划分上，现场手动控制优先级最高，一旦现场控制柜的转换开关调至“</w:t>
      </w:r>
      <w:r>
        <w:rPr>
          <w:color w:val="000000"/>
          <w:szCs w:val="21"/>
          <w:highlight w:val="none"/>
        </w:rPr>
        <w:t xml:space="preserve">现地</w:t>
      </w:r>
      <w:r>
        <w:rPr>
          <w:rFonts w:hint="eastAsia"/>
          <w:color w:val="000000"/>
          <w:szCs w:val="21"/>
          <w:highlight w:val="none"/>
        </w:rPr>
        <w:t xml:space="preserve">”档，将屏蔽所有远端指令，仅由现场操作面板或按钮实施控制。例如，送排风变频控制柜。</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手动方式：程序中，所有控制设备（包括阀门，风机，电加热，电加湿等）均设计有手动模式，操作人员可以将任意设备切换至手动操作模式进行单独启停操作，同时程序将提供必要的连锁保护，如送风阀没有开启信号，即使手动也不能开启阀门。</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自动方式：所有设备均按照预定的程序和逻辑进行自动动作。</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无论在现地</w:t>
      </w:r>
      <w:r>
        <w:rPr>
          <w:color w:val="000000"/>
          <w:szCs w:val="21"/>
          <w:highlight w:val="none"/>
        </w:rPr>
        <w:t xml:space="preserve">/</w:t>
      </w:r>
      <w:r>
        <w:rPr>
          <w:rFonts w:hint="eastAsia"/>
          <w:color w:val="000000"/>
          <w:szCs w:val="21"/>
          <w:highlight w:val="none"/>
        </w:rPr>
        <w:t xml:space="preserve">远程、手动还是自动方式下，均能准确、可靠地完成设备的顺序启</w:t>
      </w:r>
      <w:r>
        <w:rPr>
          <w:color w:val="000000"/>
          <w:szCs w:val="21"/>
          <w:highlight w:val="none"/>
        </w:rPr>
        <w:t xml:space="preserve">/</w:t>
      </w:r>
      <w:r>
        <w:rPr>
          <w:rFonts w:hint="eastAsia"/>
          <w:color w:val="000000"/>
          <w:szCs w:val="21"/>
          <w:highlight w:val="none"/>
        </w:rPr>
        <w:t xml:space="preserve">停及各个执行机构的动作；在手动模式下可以要完成各个单机设备手动操作功能，以满足设备维修、调试时的需要。</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系统设置必要连锁：</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送、排风机与新风阀连锁，开启顺序为：先开新风阀，再开送风机与排风机，关机顺序反之。送风机与电动水阀、电动热水阀、电极加湿，电加热连锁。当风机关闭时，阀门和设备关闭。送风机与新风阀连锁。当风阀打开时，风机才开启。当风阀关闭时，风机无法打开。排风机与送风机连锁。</w:t>
      </w:r>
      <w:r>
        <w:rPr>
          <w:rFonts w:hint="eastAsia"/>
          <w:color w:val="000000"/>
          <w:szCs w:val="21"/>
          <w:highlight w:val="none"/>
          <w:lang w:val="en-US" w:eastAsia="zh-CN"/>
        </w:rPr>
        <w:t xml:space="preserve">当系统为正压环境时，</w:t>
      </w:r>
      <w:r>
        <w:rPr>
          <w:rFonts w:hint="eastAsia"/>
          <w:color w:val="000000"/>
          <w:szCs w:val="21"/>
          <w:highlight w:val="none"/>
        </w:rPr>
        <w:t xml:space="preserve">当送风机开启</w:t>
      </w:r>
      <w:r>
        <w:rPr>
          <w:rFonts w:hint="eastAsia"/>
          <w:color w:val="000000"/>
          <w:szCs w:val="21"/>
          <w:highlight w:val="none"/>
          <w:lang w:val="en-US" w:eastAsia="zh-CN"/>
        </w:rPr>
        <w:t xml:space="preserve">后</w:t>
      </w:r>
      <w:r>
        <w:rPr>
          <w:rFonts w:hint="eastAsia"/>
          <w:color w:val="000000"/>
          <w:szCs w:val="21"/>
          <w:highlight w:val="none"/>
        </w:rPr>
        <w:t xml:space="preserve">，排风机开启</w:t>
      </w:r>
      <w:r>
        <w:rPr>
          <w:rFonts w:hint="eastAsia"/>
          <w:color w:val="000000"/>
          <w:szCs w:val="21"/>
          <w:highlight w:val="none"/>
          <w:lang w:eastAsia="zh-CN"/>
        </w:rPr>
        <w:t xml:space="preserve">，</w:t>
      </w:r>
      <w:r>
        <w:rPr>
          <w:rFonts w:hint="eastAsia"/>
          <w:color w:val="000000"/>
          <w:szCs w:val="21"/>
          <w:highlight w:val="none"/>
          <w:lang w:val="en-US" w:eastAsia="zh-CN"/>
        </w:rPr>
        <w:t xml:space="preserve">系统关闭时，排风机关闭后送风机关闭</w:t>
      </w:r>
      <w:r>
        <w:rPr>
          <w:rFonts w:hint="eastAsia"/>
          <w:color w:val="000000"/>
          <w:szCs w:val="21"/>
          <w:highlight w:val="none"/>
          <w:lang w:eastAsia="zh-CN"/>
        </w:rPr>
        <w:t xml:space="preserve">，</w:t>
      </w:r>
      <w:r>
        <w:rPr>
          <w:rFonts w:hint="eastAsia"/>
          <w:color w:val="000000"/>
          <w:szCs w:val="21"/>
          <w:highlight w:val="none"/>
          <w:lang w:val="en-US" w:eastAsia="zh-CN"/>
        </w:rPr>
        <w:t xml:space="preserve">若为负压环境则相反</w:t>
      </w:r>
      <w:r>
        <w:rPr>
          <w:rFonts w:hint="eastAsia"/>
          <w:color w:val="000000"/>
          <w:szCs w:val="21"/>
          <w:highlight w:val="none"/>
        </w:rPr>
        <w:t xml:space="preserve">。排风机与排风阀连锁。当阀门关闭时，排风机无法打开。系统不论处于手动还是自动模式。新风阀和机组自动进行连锁，防止之操作人员误操作，对系统造成的影响。</w:t>
      </w:r>
      <w:r>
        <w:rPr>
          <w:color w:val="000000"/>
          <w:szCs w:val="21"/>
          <w:highlight w:val="none"/>
        </w:rPr>
      </w:r>
      <w:r/>
    </w:p>
    <w:p>
      <w:pPr>
        <w:pStyle w:val="901"/>
        <w:ind w:firstLine="420"/>
        <w:spacing w:line="360" w:lineRule="auto"/>
        <w:rPr>
          <w:color w:val="000000"/>
          <w:szCs w:val="21"/>
          <w:highlight w:val="none"/>
        </w:rPr>
      </w:pPr>
      <w:r>
        <w:rPr>
          <w:rFonts w:hint="eastAsia"/>
          <w:color w:val="000000"/>
          <w:szCs w:val="21"/>
          <w:highlight w:val="none"/>
        </w:rPr>
        <w:t xml:space="preserve">机组工备控制方案：</w:t>
      </w:r>
      <w:r>
        <w:rPr>
          <w:color w:val="000000"/>
          <w:szCs w:val="21"/>
          <w:highlight w:val="none"/>
        </w:rPr>
      </w:r>
      <w:r/>
    </w:p>
    <w:p>
      <w:pPr>
        <w:pStyle w:val="901"/>
        <w:ind w:firstLine="420"/>
        <w:spacing w:line="360" w:lineRule="auto"/>
        <w:rPr>
          <w:rFonts w:hint="eastAsia"/>
          <w:color w:val="000000"/>
          <w:szCs w:val="21"/>
          <w:highlight w:val="none"/>
        </w:rPr>
      </w:pPr>
      <w:r>
        <w:rPr>
          <w:rFonts w:hint="eastAsia"/>
          <w:color w:val="000000"/>
          <w:szCs w:val="21"/>
          <w:highlight w:val="none"/>
        </w:rPr>
        <w:t xml:space="preserve">当</w:t>
      </w:r>
      <w:r>
        <w:rPr>
          <w:color w:val="000000"/>
          <w:szCs w:val="21"/>
          <w:highlight w:val="none"/>
        </w:rPr>
        <w:t xml:space="preserve">2</w:t>
      </w:r>
      <w:r>
        <w:rPr>
          <w:rFonts w:hint="eastAsia"/>
          <w:color w:val="000000"/>
          <w:szCs w:val="21"/>
          <w:highlight w:val="none"/>
        </w:rPr>
        <w:t xml:space="preserve">台机组均处于自动模式时，系统优先启动累计运行时间最短的机组，优先停止累计运行时最长的机组。当一台机组发生故障时，另一台处于自动状态的机组立即投入使用，同时系统发生报警提示操作人员。各机组均设置独立的手自动模式，当遇到特殊情况时，操作人员可以切换至手动模式对系统进行手动启停操作。支持手动一键轮换功能。避免一台机组运行时间过长，实现等磨损。</w:t>
      </w:r>
      <w:r>
        <w:rPr>
          <w:rFonts w:hint="eastAsia"/>
          <w:color w:val="000000"/>
          <w:szCs w:val="21"/>
          <w:highlight w:val="none"/>
        </w:rPr>
      </w:r>
      <w:r/>
    </w:p>
    <w:p>
      <w:pPr>
        <w:pStyle w:val="901"/>
        <w:ind w:firstLine="420"/>
        <w:spacing w:line="360" w:lineRule="auto"/>
        <w:rPr>
          <w:rFonts w:hint="eastAsia"/>
          <w:color w:val="000000"/>
          <w:szCs w:val="21"/>
          <w:highlight w:val="none"/>
        </w:rPr>
      </w:pPr>
      <w:r>
        <w:rPr>
          <w:rFonts w:hint="eastAsia"/>
          <w:color w:val="000000"/>
          <w:szCs w:val="21"/>
          <w:highlight w:val="none"/>
          <w:lang w:val="en-US" w:eastAsia="zh-CN"/>
        </w:rPr>
        <w:t xml:space="preserve">自控系统需具有手动控制功能，如风阀开度、冷热水盘管开度、送排风机频率设置等。</w:t>
      </w:r>
      <w:r>
        <w:rPr>
          <w:rFonts w:hint="eastAsia"/>
          <w:color w:val="000000"/>
          <w:szCs w:val="21"/>
          <w:highlight w:val="none"/>
        </w:rPr>
      </w:r>
      <w:r/>
    </w:p>
    <w:p>
      <w:pPr>
        <w:pStyle w:val="979"/>
        <w:ind w:firstLine="0"/>
        <w:spacing w:line="360" w:lineRule="auto"/>
        <w:rPr>
          <w:rFonts w:hint="eastAsia" w:eastAsia="宋体" w:cs="Times New Roman"/>
          <w:b/>
          <w:color w:val="000000"/>
          <w:szCs w:val="21"/>
          <w:highlight w:val="none"/>
          <w:lang w:eastAsia="zh-CN"/>
        </w:rPr>
      </w:pPr>
      <w:r>
        <w:rPr>
          <w:rFonts w:hint="eastAsia" w:eastAsia="宋体" w:cs="Times New Roman"/>
          <w:b/>
          <w:color w:val="000000"/>
          <w:szCs w:val="21"/>
          <w:highlight w:val="none"/>
          <w:lang w:eastAsia="zh-CN"/>
        </w:rPr>
        <w:t xml:space="preserve">（</w:t>
      </w:r>
      <w:r>
        <w:rPr>
          <w:rFonts w:hint="eastAsia" w:eastAsia="宋体" w:cs="Times New Roman"/>
          <w:b/>
          <w:color w:val="000000"/>
          <w:szCs w:val="21"/>
          <w:highlight w:val="none"/>
          <w:lang w:val="en-US" w:eastAsia="zh-CN"/>
        </w:rPr>
        <w:t xml:space="preserve">六</w:t>
      </w:r>
      <w:r>
        <w:rPr>
          <w:rFonts w:hint="eastAsia" w:eastAsia="宋体" w:cs="Times New Roman"/>
          <w:b/>
          <w:color w:val="000000"/>
          <w:szCs w:val="21"/>
          <w:highlight w:val="none"/>
          <w:lang w:eastAsia="zh-CN"/>
        </w:rPr>
        <w:t xml:space="preserve">）弱电系统技术要求</w:t>
      </w:r>
      <w:r>
        <w:rPr>
          <w:rFonts w:hint="eastAsia" w:eastAsia="宋体" w:cs="Times New Roman"/>
          <w:b/>
          <w:color w:val="000000"/>
          <w:szCs w:val="21"/>
          <w:highlight w:val="none"/>
          <w:lang w:eastAsia="zh-CN"/>
        </w:rPr>
      </w:r>
      <w:r/>
    </w:p>
    <w:p>
      <w:pPr>
        <w:pStyle w:val="958"/>
        <w:ind w:firstLine="422"/>
        <w:spacing w:line="360" w:lineRule="auto"/>
        <w:rPr>
          <w:b/>
          <w:color w:val="000000"/>
          <w:sz w:val="21"/>
          <w:szCs w:val="21"/>
          <w:highlight w:val="none"/>
        </w:rPr>
      </w:pPr>
      <w:r>
        <w:rPr>
          <w:rFonts w:hint="eastAsia"/>
          <w:b/>
          <w:color w:val="000000"/>
          <w:sz w:val="21"/>
          <w:szCs w:val="21"/>
          <w:highlight w:val="none"/>
        </w:rPr>
        <w:t xml:space="preserve">弱电系统包含监控系统、对讲系统、门禁系统和综合布线系统等四部分。</w:t>
      </w:r>
      <w:r>
        <w:rPr>
          <w:b/>
          <w:color w:val="000000"/>
          <w:sz w:val="21"/>
          <w:szCs w:val="21"/>
          <w:highlight w:val="none"/>
        </w:rPr>
      </w:r>
      <w:r/>
    </w:p>
    <w:p>
      <w:pPr>
        <w:pStyle w:val="901"/>
        <w:jc w:val="left"/>
        <w:spacing w:line="360" w:lineRule="auto"/>
        <w:widowControl/>
        <w:rPr>
          <w:b/>
          <w:bCs/>
          <w:color w:val="000000"/>
          <w:szCs w:val="21"/>
          <w:highlight w:val="none"/>
        </w:rPr>
      </w:pPr>
      <w:r>
        <w:rPr>
          <w:rFonts w:hint="eastAsia"/>
          <w:b/>
          <w:bCs/>
          <w:color w:val="000000"/>
          <w:szCs w:val="21"/>
          <w:highlight w:val="none"/>
          <w:lang w:val="en-US" w:eastAsia="zh-CN"/>
        </w:rPr>
        <w:t xml:space="preserve">1、</w:t>
      </w:r>
      <w:r>
        <w:rPr>
          <w:rFonts w:hint="eastAsia"/>
          <w:b/>
          <w:bCs/>
          <w:color w:val="000000"/>
          <w:szCs w:val="21"/>
          <w:highlight w:val="none"/>
        </w:rPr>
        <w:t xml:space="preserve">监控系统要求</w:t>
      </w:r>
      <w:r>
        <w:rPr>
          <w:b/>
          <w:bCs/>
          <w:color w:val="000000"/>
          <w:szCs w:val="21"/>
          <w:highlight w:val="none"/>
        </w:rPr>
      </w:r>
      <w:r/>
    </w:p>
    <w:p>
      <w:pPr>
        <w:pStyle w:val="901"/>
        <w:ind w:firstLine="420"/>
        <w:jc w:val="left"/>
        <w:spacing w:line="360" w:lineRule="auto"/>
        <w:widowControl/>
        <w:rPr>
          <w:rFonts w:eastAsia="宋体"/>
          <w:color w:val="000000"/>
          <w:szCs w:val="21"/>
          <w:highlight w:val="none"/>
          <w:lang w:val="en-US" w:eastAsia="zh-CN"/>
        </w:rPr>
      </w:pPr>
      <w:r>
        <w:rPr>
          <w:rFonts w:hint="eastAsia"/>
          <w:color w:val="000000"/>
          <w:szCs w:val="21"/>
          <w:highlight w:val="none"/>
        </w:rPr>
        <w:t xml:space="preserve">本工程在饲养间、实验室需设置彩色带红外云台网络摄像机（可转动、变焦、以满足清晰观察到监视区域内的任意一只动物或实验开展细节），在走道设半球摄像机，</w:t>
      </w:r>
      <w:r>
        <w:rPr>
          <w:rFonts w:hint="eastAsia"/>
          <w:color w:val="000000"/>
          <w:szCs w:val="21"/>
          <w:highlight w:val="none"/>
          <w:lang w:val="en-US" w:eastAsia="zh-CN"/>
        </w:rPr>
        <w:t xml:space="preserve">室外部分设置枪机摄像头，</w:t>
      </w:r>
      <w:r>
        <w:rPr>
          <w:rFonts w:hint="eastAsia"/>
          <w:color w:val="000000"/>
          <w:szCs w:val="21"/>
          <w:highlight w:val="none"/>
        </w:rPr>
        <w:t xml:space="preserve">所有摄像机的电源均由控制机房集中供给（含</w:t>
      </w:r>
      <w:r>
        <w:rPr>
          <w:color w:val="000000"/>
          <w:szCs w:val="21"/>
          <w:highlight w:val="none"/>
        </w:rPr>
        <w:t xml:space="preserve">UPS</w:t>
      </w:r>
      <w:r>
        <w:rPr>
          <w:rFonts w:hint="eastAsia"/>
          <w:color w:val="000000"/>
          <w:szCs w:val="21"/>
          <w:highlight w:val="none"/>
        </w:rPr>
        <w:t xml:space="preserve">电源供电），系统为编码控制，所有摄像点可同时录像。普通区、电梯口的监控由投标单位统一设置，需满足日常监控要求。</w:t>
      </w:r>
      <w:r>
        <w:rPr>
          <w:rFonts w:eastAsia="宋体"/>
          <w:color w:val="000000"/>
          <w:szCs w:val="21"/>
          <w:highlight w:val="none"/>
          <w:lang w:val="en-US" w:eastAsia="zh-CN"/>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监控安装原则上要求全覆盖，无死角。监控点位布置要求是：一层每个饲养室安装</w:t>
      </w:r>
      <w:r>
        <w:rPr>
          <w:color w:val="000000"/>
          <w:szCs w:val="21"/>
          <w:highlight w:val="none"/>
        </w:rPr>
        <w:t xml:space="preserve">2</w:t>
      </w:r>
      <w:r>
        <w:rPr>
          <w:rFonts w:hint="eastAsia"/>
          <w:color w:val="000000"/>
          <w:szCs w:val="21"/>
          <w:highlight w:val="none"/>
        </w:rPr>
        <w:t xml:space="preserve">只，对角线布置，其它房间安装</w:t>
      </w:r>
      <w:r>
        <w:rPr>
          <w:color w:val="000000"/>
          <w:szCs w:val="21"/>
          <w:highlight w:val="none"/>
        </w:rPr>
        <w:t xml:space="preserve">1</w:t>
      </w:r>
      <w:r>
        <w:rPr>
          <w:rFonts w:hint="eastAsia"/>
          <w:color w:val="000000"/>
          <w:szCs w:val="21"/>
          <w:highlight w:val="none"/>
        </w:rPr>
        <w:t xml:space="preserve">只；二层每个饲养室安装笼具的位置、每个过道安装</w:t>
      </w:r>
      <w:r>
        <w:rPr>
          <w:color w:val="000000"/>
          <w:szCs w:val="21"/>
          <w:highlight w:val="none"/>
        </w:rPr>
        <w:t xml:space="preserve">1</w:t>
      </w:r>
      <w:r>
        <w:rPr>
          <w:rFonts w:hint="eastAsia"/>
          <w:color w:val="000000"/>
          <w:szCs w:val="21"/>
          <w:highlight w:val="none"/>
        </w:rPr>
        <w:t xml:space="preserve">只，其它房间安装</w:t>
      </w:r>
      <w:r>
        <w:rPr>
          <w:color w:val="000000"/>
          <w:szCs w:val="21"/>
          <w:highlight w:val="none"/>
        </w:rPr>
        <w:t xml:space="preserve">1</w:t>
      </w:r>
      <w:r>
        <w:rPr>
          <w:rFonts w:hint="eastAsia"/>
          <w:color w:val="000000"/>
          <w:szCs w:val="21"/>
          <w:highlight w:val="none"/>
        </w:rPr>
        <w:t xml:space="preserve">只；三层东侧屏障区</w:t>
      </w:r>
      <w:r>
        <w:rPr>
          <w:color w:val="000000"/>
          <w:szCs w:val="21"/>
          <w:highlight w:val="none"/>
        </w:rPr>
        <w:t xml:space="preserve">3007</w:t>
      </w:r>
      <w:r>
        <w:rPr>
          <w:rFonts w:hint="eastAsia"/>
          <w:color w:val="000000"/>
          <w:szCs w:val="21"/>
          <w:highlight w:val="none"/>
        </w:rPr>
        <w:t xml:space="preserve">及</w:t>
      </w:r>
      <w:r>
        <w:rPr>
          <w:color w:val="000000"/>
          <w:szCs w:val="21"/>
          <w:highlight w:val="none"/>
        </w:rPr>
        <w:t xml:space="preserve">3008</w:t>
      </w:r>
      <w:r>
        <w:rPr>
          <w:rFonts w:hint="eastAsia"/>
          <w:color w:val="000000"/>
          <w:szCs w:val="21"/>
          <w:highlight w:val="none"/>
        </w:rPr>
        <w:t xml:space="preserve">饲养室安装</w:t>
      </w:r>
      <w:r>
        <w:rPr>
          <w:color w:val="000000"/>
          <w:szCs w:val="21"/>
          <w:highlight w:val="none"/>
        </w:rPr>
        <w:t xml:space="preserve">3</w:t>
      </w:r>
      <w:r>
        <w:rPr>
          <w:rFonts w:hint="eastAsia"/>
          <w:color w:val="000000"/>
          <w:szCs w:val="21"/>
          <w:highlight w:val="none"/>
        </w:rPr>
        <w:t xml:space="preserve">只，其它饲养室安装</w:t>
      </w:r>
      <w:r>
        <w:rPr>
          <w:color w:val="000000"/>
          <w:szCs w:val="21"/>
          <w:highlight w:val="none"/>
        </w:rPr>
        <w:t xml:space="preserve">2</w:t>
      </w:r>
      <w:r>
        <w:rPr>
          <w:rFonts w:hint="eastAsia"/>
          <w:color w:val="000000"/>
          <w:szCs w:val="21"/>
          <w:highlight w:val="none"/>
        </w:rPr>
        <w:t xml:space="preserve">只，其它房间安装</w:t>
      </w:r>
      <w:r>
        <w:rPr>
          <w:color w:val="000000"/>
          <w:szCs w:val="21"/>
          <w:highlight w:val="none"/>
        </w:rPr>
        <w:t xml:space="preserve">1</w:t>
      </w:r>
      <w:r>
        <w:rPr>
          <w:rFonts w:hint="eastAsia"/>
          <w:color w:val="000000"/>
          <w:szCs w:val="21"/>
          <w:highlight w:val="none"/>
        </w:rPr>
        <w:t xml:space="preserve">只；三层西侧屏障区每个饲养室安装笼具的位置、每个过道安装</w:t>
      </w:r>
      <w:r>
        <w:rPr>
          <w:color w:val="000000"/>
          <w:szCs w:val="21"/>
          <w:highlight w:val="none"/>
        </w:rPr>
        <w:t xml:space="preserve">1</w:t>
      </w:r>
      <w:r>
        <w:rPr>
          <w:rFonts w:hint="eastAsia"/>
          <w:color w:val="000000"/>
          <w:szCs w:val="21"/>
          <w:highlight w:val="none"/>
        </w:rPr>
        <w:t xml:space="preserve">只，其它房间安装</w:t>
      </w:r>
      <w:r>
        <w:rPr>
          <w:color w:val="000000"/>
          <w:szCs w:val="21"/>
          <w:highlight w:val="none"/>
        </w:rPr>
        <w:t xml:space="preserve">1</w:t>
      </w:r>
      <w:r>
        <w:rPr>
          <w:rFonts w:hint="eastAsia"/>
          <w:color w:val="000000"/>
          <w:szCs w:val="21"/>
          <w:highlight w:val="none"/>
        </w:rPr>
        <w:t xml:space="preserve">只；四层每个饲养室安装</w:t>
      </w:r>
      <w:r>
        <w:rPr>
          <w:color w:val="000000"/>
          <w:szCs w:val="21"/>
          <w:highlight w:val="none"/>
        </w:rPr>
        <w:t xml:space="preserve">2</w:t>
      </w:r>
      <w:r>
        <w:rPr>
          <w:rFonts w:hint="eastAsia"/>
          <w:color w:val="000000"/>
          <w:szCs w:val="21"/>
          <w:highlight w:val="none"/>
        </w:rPr>
        <w:t xml:space="preserve">只；其它走廊、普通实验室等按照常规进行布置点位。</w:t>
      </w:r>
      <w:r>
        <w:rPr>
          <w:color w:val="000000"/>
          <w:szCs w:val="21"/>
          <w:highlight w:val="none"/>
        </w:rPr>
        <w:t xml:space="preserve">系统设置UPS不间断电源，保证系统稳定运行。</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电视监视系统功能包含：</w:t>
      </w:r>
      <w:r>
        <w:rPr>
          <w:color w:val="000000"/>
          <w:szCs w:val="21"/>
          <w:highlight w:val="none"/>
        </w:rPr>
        <w:t xml:space="preserve"> </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）可定时录像功能和循环录像功能；</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）可通过局域网</w:t>
      </w:r>
      <w:r>
        <w:rPr>
          <w:color w:val="000000"/>
          <w:szCs w:val="21"/>
          <w:highlight w:val="none"/>
        </w:rPr>
        <w:t xml:space="preserve">/</w:t>
      </w:r>
      <w:r>
        <w:rPr>
          <w:rFonts w:hint="eastAsia"/>
          <w:color w:val="000000"/>
          <w:szCs w:val="21"/>
          <w:highlight w:val="none"/>
        </w:rPr>
        <w:t xml:space="preserve">广域网进行本地或远程监控；</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3</w:t>
      </w:r>
      <w:r>
        <w:rPr>
          <w:rFonts w:hint="eastAsia"/>
          <w:color w:val="000000"/>
          <w:szCs w:val="21"/>
          <w:highlight w:val="none"/>
        </w:rPr>
        <w:t xml:space="preserve">）全中文操作界面，操作简单、方便；</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4</w:t>
      </w:r>
      <w:r>
        <w:rPr>
          <w:rFonts w:hint="eastAsia"/>
          <w:color w:val="000000"/>
          <w:szCs w:val="21"/>
          <w:highlight w:val="none"/>
        </w:rPr>
        <w:t xml:space="preserve">）常规监视点存储时间不低于</w:t>
      </w:r>
      <w:r>
        <w:rPr>
          <w:color w:val="000000"/>
          <w:szCs w:val="21"/>
          <w:highlight w:val="none"/>
        </w:rPr>
        <w:t xml:space="preserve">45</w:t>
      </w:r>
      <w:r>
        <w:rPr>
          <w:rFonts w:hint="eastAsia"/>
          <w:color w:val="000000"/>
          <w:szCs w:val="21"/>
          <w:highlight w:val="none"/>
        </w:rPr>
        <w:t xml:space="preserve">天；</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5</w:t>
      </w:r>
      <w:r>
        <w:rPr>
          <w:rFonts w:hint="eastAsia"/>
          <w:color w:val="000000"/>
          <w:szCs w:val="21"/>
          <w:highlight w:val="none"/>
        </w:rPr>
        <w:t xml:space="preserve">）录像文件存储方式采用固定硬盘方法；</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）多画面处理功能：≥2</w:t>
      </w:r>
      <w:r>
        <w:rPr>
          <w:color w:val="000000"/>
          <w:szCs w:val="21"/>
          <w:highlight w:val="none"/>
        </w:rPr>
        <w:t xml:space="preserve">4</w:t>
      </w:r>
      <w:r>
        <w:rPr>
          <w:rFonts w:hint="eastAsia"/>
          <w:color w:val="000000"/>
          <w:szCs w:val="21"/>
          <w:highlight w:val="none"/>
        </w:rPr>
        <w:t xml:space="preserve">画面分割显示现场视频图像；单画面</w:t>
      </w:r>
      <w:r>
        <w:rPr>
          <w:color w:val="000000"/>
          <w:szCs w:val="21"/>
          <w:highlight w:val="none"/>
        </w:rPr>
        <w:t xml:space="preserve">/</w:t>
      </w:r>
      <w:r>
        <w:rPr>
          <w:rFonts w:hint="eastAsia"/>
          <w:color w:val="000000"/>
          <w:szCs w:val="21"/>
          <w:highlight w:val="none"/>
        </w:rPr>
        <w:t xml:space="preserve">多画面切换显示现场视频图像；</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）远程传输功能：可通过局域网通信方式进行远程图像传输；远程回放录像数据及云台镜头控制；</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）硬盘处理功能：录像：每台可实现≥2</w:t>
      </w:r>
      <w:r>
        <w:rPr>
          <w:color w:val="000000"/>
          <w:szCs w:val="21"/>
          <w:highlight w:val="none"/>
        </w:rPr>
        <w:t xml:space="preserve">4</w:t>
      </w:r>
      <w:r>
        <w:rPr>
          <w:rFonts w:hint="eastAsia"/>
          <w:color w:val="000000"/>
          <w:szCs w:val="21"/>
          <w:highlight w:val="none"/>
        </w:rPr>
        <w:t xml:space="preserve">路实时录像；视频同步录像；可将录像数据记录在本机硬盘里，也可以接活动硬盘，光盘刻录机作长时间的数据备份。</w:t>
      </w:r>
      <w:r>
        <w:rPr>
          <w:color w:val="000000"/>
          <w:szCs w:val="21"/>
          <w:highlight w:val="none"/>
        </w:rPr>
      </w:r>
      <w:r/>
    </w:p>
    <w:p>
      <w:pPr>
        <w:pStyle w:val="901"/>
        <w:ind w:firstLine="420"/>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9</w:t>
      </w:r>
      <w:r>
        <w:rPr>
          <w:rFonts w:hint="eastAsia"/>
          <w:color w:val="000000"/>
          <w:szCs w:val="21"/>
          <w:highlight w:val="none"/>
        </w:rPr>
        <w:t xml:space="preserve">）回放功能：</w:t>
      </w:r>
      <w:r>
        <w:rPr>
          <w:rFonts w:hint="eastAsia"/>
          <w:color w:val="000000"/>
          <w:szCs w:val="21"/>
          <w:highlight w:val="none"/>
          <w:lang w:val="en-US" w:eastAsia="zh-CN"/>
        </w:rPr>
        <w:t xml:space="preserve">监</w:t>
      </w:r>
      <w:r>
        <w:rPr>
          <w:rFonts w:hint="eastAsia" w:eastAsia="宋体"/>
          <w:color w:val="000000"/>
          <w:highlight w:val="none"/>
          <w:lang w:val="en-US" w:eastAsia="zh-CN"/>
        </w:rPr>
        <w:t xml:space="preserve">控系统需具备自动校时功能，</w:t>
      </w:r>
      <w:r>
        <w:rPr>
          <w:rFonts w:hint="eastAsia"/>
          <w:color w:val="000000"/>
          <w:szCs w:val="21"/>
          <w:highlight w:val="none"/>
        </w:rPr>
        <w:t xml:space="preserve">可按录像时间日期进行选择回放；可选择不同的速度回放，快进或快退；可捕捉单帧图像打印或进行电子放大；录像与回放可同时进行。</w:t>
      </w:r>
      <w:r>
        <w:rPr>
          <w:color w:val="000000"/>
          <w:szCs w:val="21"/>
          <w:highlight w:val="none"/>
        </w:rPr>
      </w:r>
      <w:r/>
    </w:p>
    <w:p>
      <w:pPr>
        <w:pStyle w:val="958"/>
        <w:ind w:firstLine="0"/>
        <w:spacing w:line="360" w:lineRule="auto"/>
        <w:rPr>
          <w:b/>
          <w:bCs/>
          <w:color w:val="000000"/>
          <w:szCs w:val="21"/>
          <w:highlight w:val="none"/>
        </w:rPr>
      </w:pPr>
      <w:r>
        <w:rPr>
          <w:rFonts w:hint="eastAsia"/>
          <w:b/>
          <w:bCs/>
          <w:color w:val="000000"/>
          <w:sz w:val="21"/>
          <w:szCs w:val="21"/>
          <w:highlight w:val="none"/>
          <w:lang w:val="en-US" w:eastAsia="zh-CN"/>
        </w:rPr>
        <w:t xml:space="preserve">2、</w:t>
      </w:r>
      <w:r>
        <w:rPr>
          <w:rFonts w:hint="eastAsia"/>
          <w:b/>
          <w:bCs/>
          <w:color w:val="000000"/>
          <w:sz w:val="21"/>
          <w:szCs w:val="21"/>
          <w:highlight w:val="none"/>
        </w:rPr>
        <w:t xml:space="preserve">对讲系统技术要求</w:t>
      </w:r>
      <w:r>
        <w:rPr>
          <w:b/>
          <w:bCs/>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lang w:val="en-US" w:eastAsia="zh-CN"/>
        </w:rPr>
        <w:t xml:space="preserve">2.1</w:t>
      </w:r>
      <w:r>
        <w:rPr>
          <w:rFonts w:hint="eastAsia"/>
          <w:color w:val="000000"/>
          <w:szCs w:val="21"/>
          <w:highlight w:val="none"/>
        </w:rPr>
        <w:t xml:space="preserve">工作区：按照需要在办公室、动物房、洁存间、检疫间、实验室、值班室、后勤保障房间、大型设备房间等处设置语音及数据通用的信息插座，用于连接电话、计算机或其它终端设备。动物饲养室、屏障区域走廊、普通级动物房走廊、净化实验室等区域，应匹配洁净室电话机方便随时与外界进行电话沟通。</w:t>
      </w:r>
      <w:r>
        <w:rPr>
          <w:color w:val="000000"/>
          <w:szCs w:val="21"/>
          <w:highlight w:val="none"/>
        </w:rPr>
      </w:r>
      <w:r/>
    </w:p>
    <w:p>
      <w:pPr>
        <w:pStyle w:val="958"/>
        <w:spacing w:line="360" w:lineRule="auto"/>
        <w:rPr>
          <w:color w:val="000000"/>
          <w:sz w:val="21"/>
          <w:szCs w:val="21"/>
          <w:highlight w:val="none"/>
        </w:rPr>
      </w:pPr>
      <w:r>
        <w:rPr>
          <w:rFonts w:hint="eastAsia"/>
          <w:color w:val="000000"/>
          <w:sz w:val="21"/>
          <w:szCs w:val="21"/>
          <w:highlight w:val="none"/>
        </w:rPr>
        <w:t xml:space="preserve">洁净电话布置原则，屏障区内所有饲养室内安装一只洁净电话机，走廊长度</w:t>
      </w:r>
      <w:r>
        <w:rPr>
          <w:color w:val="000000"/>
          <w:sz w:val="21"/>
          <w:szCs w:val="21"/>
          <w:highlight w:val="none"/>
        </w:rPr>
        <w:t xml:space="preserve">30</w:t>
      </w:r>
      <w:r>
        <w:rPr>
          <w:rFonts w:hint="eastAsia"/>
          <w:color w:val="000000"/>
          <w:sz w:val="21"/>
          <w:szCs w:val="21"/>
          <w:highlight w:val="none"/>
        </w:rPr>
        <w:t xml:space="preserve">米以下的安装</w:t>
      </w:r>
      <w:r>
        <w:rPr>
          <w:color w:val="000000"/>
          <w:sz w:val="21"/>
          <w:szCs w:val="21"/>
          <w:highlight w:val="none"/>
        </w:rPr>
        <w:t xml:space="preserve">2</w:t>
      </w:r>
      <w:r>
        <w:rPr>
          <w:rFonts w:hint="eastAsia"/>
          <w:color w:val="000000"/>
          <w:sz w:val="21"/>
          <w:szCs w:val="21"/>
          <w:highlight w:val="none"/>
        </w:rPr>
        <w:t xml:space="preserve">只，</w:t>
      </w:r>
      <w:r>
        <w:rPr>
          <w:color w:val="000000"/>
          <w:sz w:val="21"/>
          <w:szCs w:val="21"/>
          <w:highlight w:val="none"/>
        </w:rPr>
        <w:t xml:space="preserve">30</w:t>
      </w:r>
      <w:r>
        <w:rPr>
          <w:rFonts w:hint="eastAsia"/>
          <w:color w:val="000000"/>
          <w:sz w:val="21"/>
          <w:szCs w:val="21"/>
          <w:highlight w:val="none"/>
        </w:rPr>
        <w:t xml:space="preserve">米以上的安装</w:t>
      </w:r>
      <w:r>
        <w:rPr>
          <w:color w:val="000000"/>
          <w:sz w:val="21"/>
          <w:szCs w:val="21"/>
          <w:highlight w:val="none"/>
        </w:rPr>
        <w:t xml:space="preserve">4</w:t>
      </w:r>
      <w:r>
        <w:rPr>
          <w:rFonts w:hint="eastAsia"/>
          <w:color w:val="000000"/>
          <w:sz w:val="21"/>
          <w:szCs w:val="21"/>
          <w:highlight w:val="none"/>
        </w:rPr>
        <w:t xml:space="preserve">只，其它房间适当安装洁净电话机；非屏障区饲养室不安装洁净电话机，走廊安装</w:t>
      </w:r>
      <w:r>
        <w:rPr>
          <w:color w:val="000000"/>
          <w:sz w:val="21"/>
          <w:szCs w:val="21"/>
          <w:highlight w:val="none"/>
        </w:rPr>
        <w:t xml:space="preserve">4</w:t>
      </w:r>
      <w:r>
        <w:rPr>
          <w:rFonts w:hint="eastAsia"/>
          <w:color w:val="000000"/>
          <w:sz w:val="21"/>
          <w:szCs w:val="21"/>
          <w:highlight w:val="none"/>
        </w:rPr>
        <w:t xml:space="preserve">只；三层和四层</w:t>
      </w:r>
      <w:r>
        <w:rPr>
          <w:color w:val="000000"/>
          <w:sz w:val="21"/>
          <w:szCs w:val="21"/>
          <w:highlight w:val="none"/>
        </w:rPr>
        <w:t xml:space="preserve">P2</w:t>
      </w:r>
      <w:r>
        <w:rPr>
          <w:rFonts w:hint="eastAsia"/>
          <w:color w:val="000000"/>
          <w:sz w:val="21"/>
          <w:szCs w:val="21"/>
          <w:highlight w:val="none"/>
        </w:rPr>
        <w:t xml:space="preserve">实验室安装</w:t>
      </w:r>
      <w:r>
        <w:rPr>
          <w:color w:val="000000"/>
          <w:sz w:val="21"/>
          <w:szCs w:val="21"/>
          <w:highlight w:val="none"/>
        </w:rPr>
        <w:t xml:space="preserve">1</w:t>
      </w:r>
      <w:r>
        <w:rPr>
          <w:rFonts w:hint="eastAsia"/>
          <w:color w:val="000000"/>
          <w:sz w:val="21"/>
          <w:szCs w:val="21"/>
          <w:highlight w:val="none"/>
        </w:rPr>
        <w:t xml:space="preserve">只洁净电话；其它区域房间、过道、值班室、准备室等应适当留通讯接口。</w:t>
      </w:r>
      <w:r>
        <w:rPr>
          <w:color w:val="000000"/>
          <w:sz w:val="21"/>
          <w:szCs w:val="21"/>
          <w:highlight w:val="none"/>
        </w:rPr>
      </w:r>
      <w:r/>
    </w:p>
    <w:p>
      <w:pPr>
        <w:pStyle w:val="901"/>
        <w:jc w:val="left"/>
        <w:spacing w:line="360" w:lineRule="auto"/>
        <w:widowControl/>
        <w:rPr>
          <w:color w:val="000000"/>
          <w:szCs w:val="21"/>
          <w:highlight w:val="none"/>
        </w:rPr>
      </w:pPr>
      <w:r>
        <w:rPr>
          <w:rFonts w:hint="eastAsia"/>
          <w:color w:val="000000"/>
          <w:szCs w:val="21"/>
          <w:highlight w:val="none"/>
          <w:lang w:val="en-US" w:eastAsia="zh-CN"/>
        </w:rPr>
        <w:t xml:space="preserve">2.2</w:t>
      </w:r>
      <w:r>
        <w:rPr>
          <w:rFonts w:hint="eastAsia"/>
          <w:color w:val="000000"/>
          <w:szCs w:val="21"/>
          <w:highlight w:val="none"/>
        </w:rPr>
        <w:t xml:space="preserve">信息插座选用标准：六类</w:t>
      </w:r>
      <w:r>
        <w:rPr>
          <w:color w:val="000000"/>
          <w:szCs w:val="21"/>
          <w:highlight w:val="none"/>
        </w:rPr>
        <w:t xml:space="preserve"> RJ45 </w:t>
      </w:r>
      <w:r>
        <w:rPr>
          <w:rFonts w:hint="eastAsia"/>
          <w:color w:val="000000"/>
          <w:szCs w:val="21"/>
          <w:highlight w:val="none"/>
        </w:rPr>
        <w:t xml:space="preserve">插座，每一孔的配线电缆采用一条六类铜芯非屏蔽</w:t>
      </w:r>
      <w:r>
        <w:rPr>
          <w:color w:val="000000"/>
          <w:szCs w:val="21"/>
          <w:highlight w:val="none"/>
        </w:rPr>
        <w:t xml:space="preserve"> 4 </w:t>
      </w:r>
      <w:r>
        <w:rPr>
          <w:rFonts w:hint="eastAsia"/>
          <w:color w:val="000000"/>
          <w:szCs w:val="21"/>
          <w:highlight w:val="none"/>
        </w:rPr>
        <w:t xml:space="preserve">对双绞线。末端支线采用六类电缆；出线端口采用六类连接器件。</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lang w:val="en-US" w:eastAsia="zh-CN"/>
        </w:rPr>
        <w:t xml:space="preserve">2.3</w:t>
      </w:r>
      <w:r>
        <w:rPr>
          <w:rFonts w:hint="eastAsia"/>
          <w:color w:val="000000"/>
          <w:szCs w:val="21"/>
          <w:highlight w:val="none"/>
        </w:rPr>
        <w:t xml:space="preserve">综合布线系统采用光纤和铜缆，通过配线架上的主配线架用星形结构连接。</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lang w:val="en-US" w:eastAsia="zh-CN"/>
        </w:rPr>
        <w:t xml:space="preserve">2.4</w:t>
      </w:r>
      <w:r>
        <w:rPr>
          <w:rFonts w:hint="eastAsia"/>
          <w:color w:val="000000"/>
          <w:szCs w:val="21"/>
          <w:highlight w:val="none"/>
        </w:rPr>
        <w:t xml:space="preserve">在设计和施工过程中，需根据招标人的使用需求，设置相应的网线端口，不得遗漏。</w:t>
      </w:r>
      <w:r>
        <w:rPr>
          <w:color w:val="000000"/>
          <w:szCs w:val="21"/>
          <w:highlight w:val="none"/>
        </w:rPr>
      </w:r>
      <w:r/>
    </w:p>
    <w:p>
      <w:pPr>
        <w:pStyle w:val="958"/>
        <w:ind w:firstLine="0"/>
        <w:spacing w:line="360" w:lineRule="auto"/>
        <w:rPr>
          <w:b/>
          <w:bCs/>
          <w:color w:val="000000"/>
          <w:sz w:val="21"/>
          <w:szCs w:val="21"/>
          <w:highlight w:val="none"/>
        </w:rPr>
      </w:pPr>
      <w:r>
        <w:rPr>
          <w:rFonts w:hint="eastAsia"/>
          <w:b/>
          <w:bCs/>
          <w:color w:val="000000"/>
          <w:sz w:val="21"/>
          <w:szCs w:val="21"/>
          <w:highlight w:val="none"/>
          <w:lang w:val="en-US" w:eastAsia="zh-CN"/>
        </w:rPr>
        <w:t xml:space="preserve">3、</w:t>
      </w:r>
      <w:r>
        <w:rPr>
          <w:rFonts w:hint="eastAsia"/>
          <w:b/>
          <w:bCs/>
          <w:color w:val="000000"/>
          <w:sz w:val="21"/>
          <w:szCs w:val="21"/>
          <w:highlight w:val="none"/>
        </w:rPr>
        <w:t xml:space="preserve">门禁系统技术要求</w:t>
      </w:r>
      <w:r>
        <w:rPr>
          <w:b/>
          <w:bCs/>
          <w:color w:val="000000"/>
          <w:sz w:val="21"/>
          <w:szCs w:val="21"/>
          <w:highlight w:val="none"/>
        </w:rPr>
      </w:r>
      <w:r/>
    </w:p>
    <w:p>
      <w:pPr>
        <w:pStyle w:val="901"/>
        <w:spacing w:line="360" w:lineRule="auto"/>
        <w:rPr>
          <w:rFonts w:hint="eastAsia"/>
          <w:color w:val="000000"/>
          <w:szCs w:val="21"/>
          <w:highlight w:val="none"/>
        </w:rPr>
      </w:pPr>
      <w:r>
        <w:rPr>
          <w:rFonts w:hint="eastAsia"/>
          <w:color w:val="000000"/>
          <w:szCs w:val="21"/>
          <w:highlight w:val="none"/>
          <w:lang w:val="en-US" w:eastAsia="zh-CN"/>
        </w:rPr>
        <w:t xml:space="preserve">3.1</w:t>
      </w:r>
      <w:r>
        <w:rPr>
          <w:rFonts w:hint="eastAsia"/>
          <w:color w:val="000000"/>
          <w:szCs w:val="21"/>
          <w:highlight w:val="none"/>
        </w:rPr>
        <w:t xml:space="preserve">动物实验中心所有门均设置为电子门锁。</w:t>
      </w:r>
      <w:r>
        <w:rPr>
          <w:rFonts w:hint="eastAsia"/>
          <w:color w:val="000000"/>
          <w:szCs w:val="21"/>
          <w:highlight w:val="none"/>
        </w:rPr>
      </w:r>
      <w:r/>
    </w:p>
    <w:p>
      <w:pPr>
        <w:pStyle w:val="901"/>
        <w:jc w:val="left"/>
        <w:spacing w:line="360" w:lineRule="auto"/>
        <w:widowControl/>
        <w:rPr>
          <w:rFonts w:hint="eastAsia" w:eastAsia="宋体" w:cs="Times New Roman"/>
          <w:color w:val="000000"/>
          <w:szCs w:val="21"/>
          <w:highlight w:val="none"/>
        </w:rPr>
      </w:pPr>
      <w:r>
        <w:rPr>
          <w:rFonts w:hint="eastAsia" w:eastAsia="宋体" w:cs="Times New Roman"/>
          <w:color w:val="000000"/>
          <w:szCs w:val="21"/>
          <w:highlight w:val="none"/>
        </w:rPr>
        <w:t xml:space="preserve">（1）洁净区出入口以及所有饲养间、实验室设置门禁，用“磁卡+密码”进行授权，通过磁卡进行授权后应能禁止权限被复制； </w:t>
      </w:r>
      <w:r>
        <w:rPr>
          <w:rFonts w:hint="eastAsia" w:eastAsia="宋体" w:cs="Times New Roman"/>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）出入控制系统要求能记录出入人员资料，并能设置出入级别，分区授予进入时间段；</w:t>
      </w:r>
      <w:r>
        <w:rPr>
          <w:color w:val="000000"/>
          <w:szCs w:val="21"/>
          <w:highlight w:val="none"/>
        </w:rPr>
        <w:t xml:space="preserve"> </w:t>
      </w:r>
      <w:r>
        <w:rPr>
          <w:color w:val="000000"/>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3</w:t>
      </w:r>
      <w:r>
        <w:rPr>
          <w:rFonts w:hint="eastAsia"/>
          <w:color w:val="000000"/>
          <w:sz w:val="21"/>
          <w:szCs w:val="21"/>
          <w:highlight w:val="none"/>
        </w:rPr>
        <w:t xml:space="preserve">）</w:t>
      </w:r>
      <w:r>
        <w:rPr>
          <w:rFonts w:hint="eastAsia" w:ascii="宋体" w:hAnsi="宋体" w:eastAsia="宋体" w:cs="宋体"/>
          <w:b w:val="0"/>
          <w:bCs w:val="0"/>
          <w:color w:val="000000"/>
          <w:sz w:val="21"/>
          <w:szCs w:val="21"/>
          <w:highlight w:val="none"/>
        </w:rPr>
        <w:t xml:space="preserve">在人员进入的一更、二更、双走廊饲养室的前后门、所有进出缓冲间设互锁</w:t>
      </w:r>
      <w:r>
        <w:rPr>
          <w:rFonts w:hint="eastAsia"/>
          <w:color w:val="000000"/>
          <w:sz w:val="21"/>
          <w:szCs w:val="21"/>
          <w:highlight w:val="none"/>
        </w:rPr>
        <w:t xml:space="preserve">；</w:t>
      </w:r>
      <w:r>
        <w:rPr>
          <w:color w:val="000000"/>
          <w:sz w:val="21"/>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4</w:t>
      </w:r>
      <w:r>
        <w:rPr>
          <w:rFonts w:hint="eastAsia"/>
          <w:color w:val="000000"/>
          <w:szCs w:val="21"/>
          <w:highlight w:val="none"/>
        </w:rPr>
        <w:t xml:space="preserve">）出现火灾时，所有门禁控制的门都必须自动处于开启状态；出现地震等紧急状况时，所有门禁控制的门要求可快速统一释放至开启状态；</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5</w:t>
      </w:r>
      <w:r>
        <w:rPr>
          <w:rFonts w:hint="eastAsia"/>
          <w:color w:val="000000"/>
          <w:szCs w:val="21"/>
          <w:highlight w:val="none"/>
        </w:rPr>
        <w:t xml:space="preserve">）系统采用网络形式或</w:t>
      </w:r>
      <w:r>
        <w:rPr>
          <w:color w:val="000000"/>
          <w:szCs w:val="21"/>
          <w:highlight w:val="none"/>
        </w:rPr>
        <w:t xml:space="preserve">RS485</w:t>
      </w:r>
      <w:r>
        <w:rPr>
          <w:rFonts w:hint="eastAsia"/>
          <w:color w:val="000000"/>
          <w:szCs w:val="21"/>
          <w:highlight w:val="none"/>
        </w:rPr>
        <w:t xml:space="preserve">通讯形式，选用六类非屏蔽双绞线，所有线缆均沿弱电桥架走线；</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）刷卡记录</w:t>
      </w:r>
      <w:r>
        <w:rPr>
          <w:color w:val="000000"/>
          <w:szCs w:val="21"/>
          <w:highlight w:val="none"/>
        </w:rPr>
        <w:t xml:space="preserve">/</w:t>
      </w:r>
      <w:r>
        <w:rPr>
          <w:rFonts w:hint="eastAsia"/>
          <w:color w:val="000000"/>
          <w:szCs w:val="21"/>
          <w:highlight w:val="none"/>
        </w:rPr>
        <w:t xml:space="preserve">进出记录必须可以长期保存（不少于</w:t>
      </w:r>
      <w:r>
        <w:rPr>
          <w:color w:val="000000"/>
          <w:szCs w:val="21"/>
          <w:highlight w:val="none"/>
        </w:rPr>
        <w:t xml:space="preserve"> 10 </w:t>
      </w:r>
      <w:r>
        <w:rPr>
          <w:rFonts w:hint="eastAsia"/>
          <w:color w:val="000000"/>
          <w:szCs w:val="21"/>
          <w:highlight w:val="none"/>
        </w:rPr>
        <w:t xml:space="preserve">年），数据可以按卡检索，按门检索，按时间检索；</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）动物设施主出入口需多门互锁功能，门在未正常关闭的状态需联动延时蜂鸣报警功能，并应提前考虑发生人员意外被锁时的应急开门功能；</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）所有门禁读卡器安装应严格按相应施工标准或规范进行施工，就近设置于方便人员开启的部位。</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color w:val="000000"/>
          <w:szCs w:val="21"/>
          <w:highlight w:val="none"/>
        </w:rPr>
        <w:t xml:space="preserve">3.2</w:t>
      </w:r>
      <w:r>
        <w:rPr>
          <w:rFonts w:hint="eastAsia"/>
          <w:color w:val="000000"/>
          <w:szCs w:val="21"/>
          <w:highlight w:val="none"/>
        </w:rPr>
        <w:t xml:space="preserve">门禁系统功能</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1</w:t>
      </w:r>
      <w:r>
        <w:rPr>
          <w:rFonts w:hint="eastAsia"/>
          <w:color w:val="000000"/>
          <w:szCs w:val="21"/>
          <w:highlight w:val="none"/>
        </w:rPr>
        <w:t xml:space="preserve">）门禁管理子系统是通过非接触式感应卡的方式对出入口进行设防，对人员的身份、进出及停留时间作记录，对电动门锁进行控制，既能防止外盗，又能防止内部作案，要能实时反映、记录各点工作状态，且不可更改。</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2</w:t>
      </w:r>
      <w:r>
        <w:rPr>
          <w:rFonts w:hint="eastAsia"/>
          <w:color w:val="000000"/>
          <w:szCs w:val="21"/>
          <w:highlight w:val="none"/>
        </w:rPr>
        <w:t xml:space="preserve">）系统应采用先进的系统结构，即上位主机以门禁控制器的控制结构，确保系统在脱机状态下的可靠性高及在联机状态下的实时性强的要求。</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3</w:t>
      </w:r>
      <w:r>
        <w:rPr>
          <w:rFonts w:hint="eastAsia"/>
          <w:color w:val="000000"/>
          <w:szCs w:val="21"/>
          <w:highlight w:val="none"/>
        </w:rPr>
        <w:t xml:space="preserve">）系统可采用</w:t>
      </w:r>
      <w:r>
        <w:rPr>
          <w:color w:val="000000"/>
          <w:szCs w:val="21"/>
          <w:highlight w:val="none"/>
        </w:rPr>
        <w:t xml:space="preserve"> IC</w:t>
      </w:r>
      <w:r>
        <w:rPr>
          <w:rFonts w:hint="eastAsia"/>
          <w:color w:val="000000"/>
          <w:szCs w:val="21"/>
          <w:highlight w:val="none"/>
        </w:rPr>
        <w:t xml:space="preserve">卡刷卡的方式进入各个通道。离开各个通道时应可以通过非刷卡式的感应方式离开，并要求在每一处门禁内侧设置紧急开门装置以防门禁故障。</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4</w:t>
      </w:r>
      <w:r>
        <w:rPr>
          <w:rFonts w:hint="eastAsia"/>
          <w:color w:val="000000"/>
          <w:szCs w:val="21"/>
          <w:highlight w:val="none"/>
        </w:rPr>
        <w:t xml:space="preserve">）系统应能对设防区域的位置、通过对象及通行时间等进行实时控制或设定多级程序控制。</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5</w:t>
      </w:r>
      <w:r>
        <w:rPr>
          <w:rFonts w:hint="eastAsia"/>
          <w:color w:val="000000"/>
          <w:szCs w:val="21"/>
          <w:highlight w:val="none"/>
        </w:rPr>
        <w:t xml:space="preserve">）系统当有人员进出通道、非法开门、破坏时，可触发报警并自动调用附近的摄像机图像，实时通过闭路电视监控系统观察进出人员的情况。</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6</w:t>
      </w:r>
      <w:r>
        <w:rPr>
          <w:rFonts w:hint="eastAsia"/>
          <w:color w:val="000000"/>
          <w:szCs w:val="21"/>
          <w:highlight w:val="none"/>
        </w:rPr>
        <w:t xml:space="preserve">）系统应与消防系统联动，在火灾报警时能及时开启有关通道和门。</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7</w:t>
      </w:r>
      <w:r>
        <w:rPr>
          <w:rFonts w:hint="eastAsia"/>
          <w:color w:val="000000"/>
          <w:szCs w:val="21"/>
          <w:highlight w:val="none"/>
        </w:rPr>
        <w:t xml:space="preserve">）系统应能以协议的方式接入到集成平台管理软件，当门禁系统的任何事件发生时，可对电视监控系统进行视频切换、调用快球预置位、控制快球转动、控制摄像机光圈</w:t>
      </w:r>
      <w:r>
        <w:rPr>
          <w:color w:val="000000"/>
          <w:szCs w:val="21"/>
          <w:highlight w:val="none"/>
        </w:rPr>
        <w:t xml:space="preserve">/</w:t>
      </w:r>
      <w:r>
        <w:rPr>
          <w:rFonts w:hint="eastAsia"/>
          <w:color w:val="000000"/>
          <w:szCs w:val="21"/>
          <w:highlight w:val="none"/>
        </w:rPr>
        <w:t xml:space="preserve">对焦</w:t>
      </w:r>
      <w:r>
        <w:rPr>
          <w:color w:val="000000"/>
          <w:szCs w:val="21"/>
          <w:highlight w:val="none"/>
        </w:rPr>
        <w:t xml:space="preserve">/</w:t>
      </w:r>
      <w:r>
        <w:rPr>
          <w:rFonts w:hint="eastAsia"/>
          <w:color w:val="000000"/>
          <w:szCs w:val="21"/>
          <w:highlight w:val="none"/>
        </w:rPr>
        <w:t xml:space="preserve">变焦以及调用巡视和成组切换。</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8</w:t>
      </w:r>
      <w:r>
        <w:rPr>
          <w:rFonts w:hint="eastAsia"/>
          <w:color w:val="000000"/>
          <w:szCs w:val="21"/>
          <w:highlight w:val="none"/>
        </w:rPr>
        <w:t xml:space="preserve">）门禁控制器可通过门禁管理软件进行管理与控制，同时与中心集成管理平台软件以协议的方式进行通讯。</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9</w:t>
      </w:r>
      <w:r>
        <w:rPr>
          <w:rFonts w:hint="eastAsia"/>
          <w:color w:val="000000"/>
          <w:szCs w:val="21"/>
          <w:highlight w:val="none"/>
        </w:rPr>
        <w:t xml:space="preserve">）系统应能对出入口进行多级控制和集中管理。</w:t>
      </w:r>
      <w:r>
        <w:rPr>
          <w:color w:val="000000"/>
          <w:szCs w:val="21"/>
          <w:highlight w:val="none"/>
        </w:rPr>
        <w:t xml:space="preserve"> </w:t>
      </w:r>
      <w:r>
        <w:rPr>
          <w:color w:val="000000"/>
          <w:szCs w:val="21"/>
          <w:highlight w:val="none"/>
        </w:rPr>
      </w:r>
      <w:r/>
    </w:p>
    <w:p>
      <w:pPr>
        <w:pStyle w:val="901"/>
        <w:jc w:val="left"/>
        <w:spacing w:line="360" w:lineRule="auto"/>
        <w:widowControl/>
        <w:rPr>
          <w:color w:val="000000"/>
          <w:szCs w:val="21"/>
          <w:highlight w:val="none"/>
        </w:rPr>
      </w:pPr>
      <w:r>
        <w:rPr>
          <w:rFonts w:hint="eastAsia"/>
          <w:color w:val="000000"/>
          <w:szCs w:val="21"/>
          <w:highlight w:val="none"/>
        </w:rPr>
        <w:t xml:space="preserve">（</w:t>
      </w:r>
      <w:r>
        <w:rPr>
          <w:color w:val="000000"/>
          <w:szCs w:val="21"/>
          <w:highlight w:val="none"/>
        </w:rPr>
        <w:t xml:space="preserve">10</w:t>
      </w:r>
      <w:r>
        <w:rPr>
          <w:rFonts w:hint="eastAsia"/>
          <w:color w:val="000000"/>
          <w:szCs w:val="21"/>
          <w:highlight w:val="none"/>
        </w:rPr>
        <w:t xml:space="preserve">）普通场所选用感应距离可达</w:t>
      </w:r>
      <w:r>
        <w:rPr>
          <w:color w:val="000000"/>
          <w:szCs w:val="21"/>
          <w:highlight w:val="none"/>
        </w:rPr>
        <w:t xml:space="preserve"> 5-10cm </w:t>
      </w:r>
      <w:r>
        <w:rPr>
          <w:rFonts w:hint="eastAsia"/>
          <w:color w:val="000000"/>
          <w:szCs w:val="21"/>
          <w:highlight w:val="none"/>
        </w:rPr>
        <w:t xml:space="preserve">的非接触式</w:t>
      </w:r>
      <w:r>
        <w:rPr>
          <w:color w:val="000000"/>
          <w:szCs w:val="21"/>
          <w:highlight w:val="none"/>
        </w:rPr>
        <w:t xml:space="preserve"> ID </w:t>
      </w:r>
      <w:r>
        <w:rPr>
          <w:rFonts w:hint="eastAsia"/>
          <w:color w:val="000000"/>
          <w:szCs w:val="21"/>
          <w:highlight w:val="none"/>
        </w:rPr>
        <w:t xml:space="preserve">读卡器，感应卡的质量要符合国家标准。</w:t>
      </w:r>
      <w:r>
        <w:rPr>
          <w:color w:val="000000"/>
          <w:szCs w:val="21"/>
          <w:highlight w:val="none"/>
        </w:rPr>
      </w:r>
      <w:r/>
    </w:p>
    <w:p>
      <w:pPr>
        <w:pStyle w:val="958"/>
        <w:ind w:firstLine="0"/>
        <w:spacing w:line="360" w:lineRule="auto"/>
        <w:rPr>
          <w:rFonts w:hint="eastAsia"/>
          <w:color w:val="000000"/>
          <w:sz w:val="21"/>
          <w:szCs w:val="21"/>
          <w:highlight w:val="none"/>
        </w:rPr>
      </w:pPr>
      <w:r>
        <w:rPr>
          <w:rFonts w:hint="eastAsia"/>
          <w:color w:val="000000"/>
          <w:sz w:val="21"/>
          <w:szCs w:val="21"/>
          <w:highlight w:val="none"/>
        </w:rPr>
        <w:t xml:space="preserve">（</w:t>
      </w:r>
      <w:r>
        <w:rPr>
          <w:color w:val="000000"/>
          <w:sz w:val="21"/>
          <w:szCs w:val="21"/>
          <w:highlight w:val="none"/>
        </w:rPr>
        <w:t xml:space="preserve">11</w:t>
      </w:r>
      <w:r>
        <w:rPr>
          <w:rFonts w:hint="eastAsia"/>
          <w:color w:val="000000"/>
          <w:sz w:val="21"/>
          <w:szCs w:val="21"/>
          <w:highlight w:val="none"/>
        </w:rPr>
        <w:t xml:space="preserve">）门禁控制器</w:t>
      </w:r>
      <w:r>
        <w:rPr>
          <w:color w:val="000000"/>
          <w:sz w:val="21"/>
          <w:szCs w:val="21"/>
          <w:highlight w:val="none"/>
        </w:rPr>
        <w:t xml:space="preserve"> TCP/IP </w:t>
      </w:r>
      <w:r>
        <w:rPr>
          <w:rFonts w:hint="eastAsia"/>
          <w:color w:val="000000"/>
          <w:sz w:val="21"/>
          <w:szCs w:val="21"/>
          <w:highlight w:val="none"/>
        </w:rPr>
        <w:t xml:space="preserve">或</w:t>
      </w:r>
      <w:r>
        <w:rPr>
          <w:color w:val="000000"/>
          <w:sz w:val="21"/>
          <w:szCs w:val="21"/>
          <w:highlight w:val="none"/>
        </w:rPr>
        <w:t xml:space="preserve"> RS485 </w:t>
      </w:r>
      <w:r>
        <w:rPr>
          <w:rFonts w:hint="eastAsia"/>
          <w:color w:val="000000"/>
          <w:sz w:val="21"/>
          <w:szCs w:val="21"/>
          <w:highlight w:val="none"/>
        </w:rPr>
        <w:t xml:space="preserve">通讯协议的网络型控制器。</w:t>
      </w:r>
      <w:r>
        <w:rPr>
          <w:rFonts w:hint="eastAsia"/>
          <w:color w:val="000000"/>
          <w:sz w:val="21"/>
          <w:szCs w:val="21"/>
          <w:highlight w:val="none"/>
        </w:rPr>
      </w:r>
      <w:r/>
    </w:p>
    <w:p>
      <w:pPr>
        <w:pStyle w:val="958"/>
        <w:ind w:firstLine="0"/>
        <w:spacing w:line="360" w:lineRule="auto"/>
        <w:rPr>
          <w:rFonts w:hint="eastAsia" w:ascii="Times New Roman" w:hAnsi="Times New Roman" w:eastAsia="宋体" w:cs="Times New Roman"/>
          <w:color w:val="000000"/>
          <w:sz w:val="21"/>
          <w:szCs w:val="21"/>
          <w:highlight w:val="none"/>
          <w:lang w:val="en-US" w:eastAsia="zh-CN"/>
        </w:rPr>
      </w:pPr>
      <w:r>
        <w:rPr>
          <w:rFonts w:hint="eastAsia"/>
          <w:color w:val="000000"/>
          <w:sz w:val="21"/>
          <w:szCs w:val="21"/>
          <w:highlight w:val="none"/>
        </w:rPr>
        <w:t xml:space="preserve">（</w:t>
      </w:r>
      <w:r>
        <w:rPr>
          <w:color w:val="000000"/>
          <w:sz w:val="21"/>
          <w:szCs w:val="21"/>
          <w:highlight w:val="none"/>
        </w:rPr>
        <w:t xml:space="preserve">1</w:t>
      </w:r>
      <w:r>
        <w:rPr>
          <w:rFonts w:hint="eastAsia"/>
          <w:color w:val="000000"/>
          <w:sz w:val="21"/>
          <w:szCs w:val="21"/>
          <w:highlight w:val="none"/>
          <w:lang w:val="en-US" w:eastAsia="zh-CN"/>
        </w:rPr>
        <w:t xml:space="preserve">2</w:t>
      </w:r>
      <w:r>
        <w:rPr>
          <w:rFonts w:hint="eastAsia"/>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控制器应具有反馈功能，实时监测实验室门的关闭状态。</w:t>
      </w:r>
      <w:r>
        <w:rPr>
          <w:rFonts w:hint="eastAsia" w:ascii="Times New Roman" w:hAnsi="Times New Roman" w:eastAsia="宋体" w:cs="Times New Roman"/>
          <w:color w:val="000000"/>
          <w:sz w:val="21"/>
          <w:szCs w:val="21"/>
          <w:highlight w:val="none"/>
          <w:lang w:val="en-US" w:eastAsia="zh-CN"/>
        </w:rPr>
      </w:r>
      <w:r/>
    </w:p>
    <w:p>
      <w:pPr>
        <w:pStyle w:val="958"/>
        <w:ind w:firstLine="0"/>
        <w:spacing w:line="360" w:lineRule="auto"/>
        <w:rPr>
          <w:rFonts w:hint="eastAsia" w:ascii="宋体" w:hAnsi="宋体" w:eastAsia="宋体" w:cs="宋体"/>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3</w:t>
      </w:r>
      <w:r>
        <w:rPr>
          <w:rFonts w:hint="eastAsia" w:ascii="Times New Roman" w:hAnsi="Times New Roman" w:eastAsia="宋体" w:cs="Times New Roman"/>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门禁系统</w:t>
      </w:r>
      <w:r>
        <w:rPr>
          <w:rFonts w:hint="eastAsia" w:ascii="宋体" w:hAnsi="宋体" w:eastAsia="宋体" w:cs="宋体"/>
          <w:b w:val="0"/>
          <w:bCs w:val="0"/>
          <w:color w:val="000000"/>
          <w:sz w:val="21"/>
          <w:szCs w:val="21"/>
          <w:highlight w:val="none"/>
          <w:lang w:val="en-US" w:eastAsia="zh-CN"/>
        </w:rPr>
        <w:t xml:space="preserve">对接要求：</w:t>
      </w:r>
      <w:r>
        <w:rPr>
          <w:rFonts w:hint="eastAsia" w:ascii="宋体" w:hAnsi="宋体" w:eastAsia="宋体" w:cs="宋体"/>
          <w:color w:val="000000"/>
          <w:sz w:val="21"/>
          <w:szCs w:val="21"/>
          <w:highlight w:val="none"/>
        </w:rPr>
      </w:r>
      <w:r/>
    </w:p>
    <w:p>
      <w:pPr>
        <w:pStyle w:val="901"/>
        <w:numPr>
          <w:ilvl w:val="0"/>
          <w:numId w:val="6"/>
        </w:numPr>
        <w:ind w:left="0" w:right="0" w:firstLine="0"/>
        <w:jc w:val="left"/>
        <w:keepLines w:val="0"/>
        <w:keepNext w:val="0"/>
        <w:spacing w:before="0" w:beforeAutospacing="0" w:after="0" w:afterAutospacing="0" w:line="360" w:lineRule="atLeast"/>
        <w:widowControl/>
        <w:tabs>
          <w:tab w:val="left" w:pos="720" w:leader="none"/>
        </w:tabs>
        <w:rPr>
          <w:rFonts w:hint="eastAsia" w:ascii="宋体" w:hAnsi="宋体" w:eastAsia="宋体" w:cs="宋体"/>
          <w:b w:val="0"/>
          <w:bCs/>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961"/>
          <w:rFonts w:hint="eastAsia" w:ascii="宋体" w:hAnsi="宋体" w:eastAsia="宋体" w:cs="宋体"/>
          <w:b w:val="0"/>
          <w:bCs/>
          <w:color w:val="000000"/>
          <w:sz w:val="21"/>
          <w:szCs w:val="21"/>
          <w:highlight w:val="none"/>
          <w:lang w:val="en-US" w:eastAsia="zh-CN"/>
        </w:rPr>
        <w:t xml:space="preserve">与数据中台</w:t>
      </w:r>
      <w:r>
        <w:rPr>
          <w:rStyle w:val="961"/>
          <w:rFonts w:hint="eastAsia" w:ascii="宋体" w:hAnsi="宋体" w:eastAsia="宋体" w:cs="宋体"/>
          <w:b w:val="0"/>
          <w:bCs/>
          <w:color w:val="000000"/>
          <w:sz w:val="21"/>
          <w:szCs w:val="21"/>
          <w:highlight w:val="none"/>
        </w:rPr>
        <w:t xml:space="preserve">集成</w:t>
      </w:r>
      <w:r>
        <w:rPr>
          <w:rFonts w:hint="eastAsia" w:ascii="宋体" w:hAnsi="宋体" w:eastAsia="宋体" w:cs="宋体"/>
          <w:b w:val="0"/>
          <w:bCs/>
          <w:color w:val="000000"/>
          <w:sz w:val="21"/>
          <w:szCs w:val="21"/>
          <w:highlight w:val="none"/>
        </w:rPr>
        <w:t xml:space="preserve">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b w:val="0"/>
          <w:bCs/>
          <w:color w:val="000000"/>
          <w:sz w:val="21"/>
          <w:szCs w:val="21"/>
          <w:highlight w:val="none"/>
        </w:rPr>
        <w:t xml:space="preserve">门禁平台对接学校</w:t>
      </w:r>
      <w:r>
        <w:rPr>
          <w:rFonts w:hint="eastAsia" w:ascii="宋体" w:hAnsi="宋体" w:eastAsia="宋体" w:cs="宋体"/>
          <w:b w:val="0"/>
          <w:bCs/>
          <w:color w:val="000000"/>
          <w:sz w:val="21"/>
          <w:szCs w:val="21"/>
          <w:highlight w:val="none"/>
          <w:lang w:val="en-US" w:eastAsia="zh-CN"/>
        </w:rPr>
        <w:t xml:space="preserve">数据中台</w:t>
      </w:r>
      <w:r>
        <w:rPr>
          <w:rFonts w:hint="eastAsia" w:ascii="宋体" w:hAnsi="宋体" w:eastAsia="宋体" w:cs="宋体"/>
          <w:b w:val="0"/>
          <w:bCs/>
          <w:color w:val="000000"/>
          <w:sz w:val="21"/>
          <w:szCs w:val="21"/>
          <w:highlight w:val="none"/>
        </w:rPr>
        <w:t xml:space="preserve">，读取师生工号身份，刷卡权限同步校内统一账号；</w:t>
      </w:r>
      <w:r>
        <w:rPr>
          <w:rFonts w:hint="eastAsia" w:ascii="宋体" w:hAnsi="宋体" w:eastAsia="宋体" w:cs="宋体"/>
          <w:b w:val="0"/>
          <w:bCs/>
          <w:color w:val="000000"/>
          <w:sz w:val="21"/>
          <w:szCs w:val="21"/>
          <w:highlight w:val="none"/>
        </w:rPr>
      </w:r>
      <w:r/>
    </w:p>
    <w:p>
      <w:pPr>
        <w:pStyle w:val="901"/>
        <w:numPr>
          <w:ilvl w:val="0"/>
          <w:numId w:val="6"/>
        </w:numPr>
        <w:ind w:left="0" w:right="0" w:firstLine="0"/>
        <w:jc w:val="left"/>
        <w:keepLines w:val="0"/>
        <w:keepNext w:val="0"/>
        <w:spacing w:before="0" w:beforeAutospacing="0" w:after="0" w:afterAutospacing="0" w:line="360" w:lineRule="atLeast"/>
        <w:widowControl/>
        <w:tabs>
          <w:tab w:val="left" w:pos="720" w:leader="none"/>
        </w:tabs>
        <w:rPr>
          <w:rFonts w:hint="eastAsia" w:ascii="宋体" w:hAnsi="宋体" w:eastAsia="宋体" w:cs="宋体"/>
          <w:b w:val="0"/>
          <w:bCs/>
          <w:color w:val="00000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rPr>
        <w:t xml:space="preserve">与学校门禁系统集成   </w:t>
      </w:r>
      <w:r>
        <w:rPr>
          <w:rFonts w:hint="eastAsia" w:ascii="宋体" w:hAnsi="宋体" w:eastAsia="宋体" w:cs="宋体"/>
          <w:b w:val="0"/>
          <w:bCs/>
          <w:color w:val="000000"/>
          <w:sz w:val="21"/>
          <w:szCs w:val="21"/>
          <w:highlight w:val="none"/>
        </w:rPr>
        <w:t xml:space="preserve">门禁出入记录、人员权限数据回流学校</w:t>
      </w:r>
      <w:r>
        <w:rPr>
          <w:rFonts w:hint="eastAsia" w:ascii="宋体" w:hAnsi="宋体" w:eastAsia="宋体" w:cs="宋体"/>
          <w:b w:val="0"/>
          <w:bCs/>
          <w:color w:val="000000"/>
          <w:sz w:val="21"/>
          <w:szCs w:val="21"/>
          <w:highlight w:val="none"/>
          <w:lang w:val="en-US" w:eastAsia="zh-CN"/>
        </w:rPr>
        <w:t xml:space="preserve">门禁系统</w:t>
      </w:r>
      <w:r>
        <w:rPr>
          <w:rFonts w:hint="eastAsia" w:ascii="宋体" w:hAnsi="宋体" w:eastAsia="宋体" w:cs="宋体"/>
          <w:b w:val="0"/>
          <w:bCs/>
          <w:color w:val="000000"/>
          <w:sz w:val="21"/>
          <w:szCs w:val="21"/>
          <w:highlight w:val="none"/>
        </w:rPr>
        <w:t xml:space="preserve">，遵循学校一数一源、编码标准；</w:t>
      </w:r>
      <w:r>
        <w:rPr>
          <w:rFonts w:hint="eastAsia" w:ascii="宋体" w:hAnsi="宋体" w:eastAsia="宋体" w:cs="宋体"/>
          <w:b w:val="0"/>
          <w:bCs/>
          <w:color w:val="000000"/>
          <w:sz w:val="21"/>
          <w:szCs w:val="21"/>
          <w:highlight w:val="none"/>
        </w:rPr>
      </w:r>
      <w:r/>
    </w:p>
    <w:p>
      <w:pPr>
        <w:pStyle w:val="901"/>
        <w:numPr>
          <w:ilvl w:val="0"/>
          <w:numId w:val="6"/>
        </w:numPr>
        <w:jc w:val="left"/>
        <w:spacing w:line="360" w:lineRule="atLeast"/>
        <w:widowControl/>
        <w:rPr>
          <w:rFonts w:hint="eastAsia" w:ascii="宋体" w:hAnsi="宋体" w:eastAsia="宋体" w:cs="宋体"/>
          <w:b/>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1"/>
          <w:szCs w:val="21"/>
          <w:highlight w:val="none"/>
          <w:lang w:val="en-US" w:eastAsia="zh-CN"/>
        </w:rPr>
        <w:t xml:space="preserve">与学校人脸中台对接   </w:t>
      </w:r>
      <w:r>
        <w:rPr>
          <w:rFonts w:hint="eastAsia" w:ascii="宋体" w:hAnsi="宋体" w:eastAsia="宋体" w:cs="宋体"/>
          <w:b w:val="0"/>
          <w:bCs/>
          <w:color w:val="000000"/>
          <w:sz w:val="21"/>
          <w:szCs w:val="21"/>
          <w:highlight w:val="none"/>
        </w:rPr>
        <w:t xml:space="preserve">门禁管理平台采用校方标准化API接口对接校级统一人脸中台，不独立采集、存储师生原</w:t>
      </w:r>
      <w:r>
        <w:rPr>
          <w:rFonts w:hint="eastAsia" w:ascii="宋体" w:hAnsi="宋体" w:eastAsia="宋体" w:cs="宋体"/>
          <w:color w:val="000000"/>
          <w:sz w:val="21"/>
          <w:szCs w:val="21"/>
          <w:highlight w:val="none"/>
        </w:rPr>
        <w:t xml:space="preserve">始人脸照片；仅按需获取加密人脸特征值下发至现场门禁终端，实现刷卡+人脸双重核验通行；师生人脸信息由学校中台统一采集、统一授权</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b/>
          <w:color w:val="000000"/>
          <w:sz w:val="21"/>
          <w:szCs w:val="21"/>
          <w:highlight w:val="none"/>
        </w:rPr>
      </w:r>
      <w:r/>
    </w:p>
    <w:p>
      <w:pPr>
        <w:pStyle w:val="958"/>
        <w:ind w:firstLine="0"/>
        <w:spacing w:line="360" w:lineRule="auto"/>
        <w:rPr>
          <w:rFonts w:ascii="Times New Roman" w:hAnsi="Times New Roman" w:eastAsia="宋体" w:cs="Times New Roman"/>
          <w:color w:val="000000"/>
          <w:sz w:val="21"/>
          <w:szCs w:val="21"/>
          <w:highlight w:val="none"/>
          <w:lang w:val="en-US" w:eastAsia="zh-CN"/>
        </w:rPr>
      </w:pPr>
      <w:r>
        <w:rPr>
          <w:rFonts w:ascii="Times New Roman" w:hAnsi="Times New Roman" w:eastAsia="宋体" w:cs="Times New Roman"/>
          <w:color w:val="000000"/>
          <w:sz w:val="21"/>
          <w:szCs w:val="21"/>
          <w:highlight w:val="none"/>
          <w:lang w:val="en-US" w:eastAsia="zh-CN"/>
        </w:rPr>
      </w:r>
      <w:r/>
    </w:p>
    <w:p>
      <w:pPr>
        <w:pStyle w:val="958"/>
        <w:ind w:firstLine="0"/>
        <w:spacing w:line="360" w:lineRule="auto"/>
        <w:rPr>
          <w:b/>
          <w:color w:val="000000"/>
          <w:sz w:val="21"/>
          <w:szCs w:val="21"/>
          <w:highlight w:val="none"/>
        </w:rPr>
      </w:pPr>
      <w:r>
        <w:rPr>
          <w:rFonts w:hint="eastAsia"/>
          <w:b/>
          <w:color w:val="000000"/>
          <w:sz w:val="21"/>
          <w:szCs w:val="21"/>
          <w:highlight w:val="none"/>
          <w:lang w:val="en-US" w:eastAsia="zh-CN"/>
        </w:rPr>
        <w:t xml:space="preserve">4、</w:t>
      </w:r>
      <w:r>
        <w:rPr>
          <w:b/>
          <w:color w:val="000000"/>
          <w:sz w:val="21"/>
          <w:szCs w:val="21"/>
          <w:highlight w:val="none"/>
        </w:rPr>
        <w:t xml:space="preserve"> </w:t>
      </w:r>
      <w:r>
        <w:rPr>
          <w:rFonts w:hint="eastAsia"/>
          <w:b/>
          <w:color w:val="000000"/>
          <w:sz w:val="21"/>
          <w:szCs w:val="21"/>
          <w:highlight w:val="none"/>
        </w:rPr>
        <w:t xml:space="preserve">综合网线布置原则</w:t>
      </w:r>
      <w:r>
        <w:rPr>
          <w:b/>
          <w:color w:val="000000"/>
          <w:sz w:val="21"/>
          <w:szCs w:val="21"/>
          <w:highlight w:val="none"/>
        </w:rPr>
      </w:r>
      <w:r/>
    </w:p>
    <w:p>
      <w:pPr>
        <w:pStyle w:val="958"/>
        <w:spacing w:line="360" w:lineRule="auto"/>
        <w:rPr>
          <w:color w:val="000000"/>
          <w:sz w:val="21"/>
          <w:szCs w:val="21"/>
          <w:highlight w:val="none"/>
        </w:rPr>
      </w:pPr>
      <w:r>
        <w:rPr>
          <w:rFonts w:hint="eastAsia"/>
          <w:color w:val="000000"/>
          <w:sz w:val="21"/>
          <w:szCs w:val="21"/>
          <w:highlight w:val="none"/>
          <w:lang w:val="en-US" w:eastAsia="zh-CN"/>
        </w:rPr>
        <w:t xml:space="preserve">系统设置</w:t>
      </w:r>
      <w:r>
        <w:rPr>
          <w:rFonts w:hint="eastAsia"/>
          <w:color w:val="000000"/>
          <w:sz w:val="21"/>
          <w:szCs w:val="21"/>
          <w:highlight w:val="none"/>
        </w:rPr>
        <w:t xml:space="preserve">设备网与通讯网，以及内网与外网，并在物理层面进行分隔与互通，以增强网络安全性</w:t>
      </w:r>
      <w:r>
        <w:rPr>
          <w:rFonts w:hint="eastAsia"/>
          <w:color w:val="000000"/>
          <w:sz w:val="21"/>
          <w:szCs w:val="21"/>
          <w:highlight w:val="none"/>
          <w:lang w:eastAsia="zh-CN"/>
        </w:rPr>
        <w:t xml:space="preserve">。</w:t>
      </w:r>
      <w:r>
        <w:rPr>
          <w:rFonts w:hint="eastAsia"/>
          <w:color w:val="000000"/>
          <w:sz w:val="21"/>
          <w:szCs w:val="21"/>
          <w:highlight w:val="none"/>
        </w:rPr>
        <w:t xml:space="preserve">所有房间布置</w:t>
      </w:r>
      <w:r>
        <w:rPr>
          <w:color w:val="000000"/>
          <w:sz w:val="21"/>
          <w:szCs w:val="21"/>
          <w:highlight w:val="none"/>
        </w:rPr>
        <w:t xml:space="preserve">1</w:t>
      </w:r>
      <w:r>
        <w:rPr>
          <w:rFonts w:hint="eastAsia"/>
          <w:color w:val="000000"/>
          <w:sz w:val="21"/>
          <w:szCs w:val="21"/>
          <w:highlight w:val="none"/>
        </w:rPr>
        <w:t xml:space="preserve">个有线和</w:t>
      </w:r>
      <w:r>
        <w:rPr>
          <w:color w:val="000000"/>
          <w:sz w:val="21"/>
          <w:szCs w:val="21"/>
          <w:highlight w:val="none"/>
        </w:rPr>
        <w:t xml:space="preserve">1</w:t>
      </w:r>
      <w:r>
        <w:rPr>
          <w:rFonts w:hint="eastAsia"/>
          <w:color w:val="000000"/>
          <w:sz w:val="21"/>
          <w:szCs w:val="21"/>
          <w:highlight w:val="none"/>
        </w:rPr>
        <w:t xml:space="preserve">个无线接口。一层走廊根据需求布置无线接口，西侧洗消室四面墙布置</w:t>
      </w:r>
      <w:r>
        <w:rPr>
          <w:color w:val="000000"/>
          <w:sz w:val="21"/>
          <w:szCs w:val="21"/>
          <w:highlight w:val="none"/>
        </w:rPr>
        <w:t xml:space="preserve">1</w:t>
      </w:r>
      <w:r>
        <w:rPr>
          <w:rFonts w:hint="eastAsia"/>
          <w:color w:val="000000"/>
          <w:sz w:val="21"/>
          <w:szCs w:val="21"/>
          <w:highlight w:val="none"/>
        </w:rPr>
        <w:t xml:space="preserve">个有线接口；二层每个</w:t>
      </w:r>
      <w:r>
        <w:rPr>
          <w:color w:val="000000"/>
          <w:sz w:val="21"/>
          <w:szCs w:val="21"/>
          <w:highlight w:val="none"/>
        </w:rPr>
        <w:t xml:space="preserve">IVC</w:t>
      </w:r>
      <w:r>
        <w:rPr>
          <w:rFonts w:hint="eastAsia"/>
          <w:color w:val="000000"/>
          <w:sz w:val="21"/>
          <w:szCs w:val="21"/>
          <w:highlight w:val="none"/>
        </w:rPr>
        <w:t xml:space="preserve">主机布置</w:t>
      </w:r>
      <w:r>
        <w:rPr>
          <w:color w:val="000000"/>
          <w:sz w:val="21"/>
          <w:szCs w:val="21"/>
          <w:highlight w:val="none"/>
        </w:rPr>
        <w:t xml:space="preserve">1</w:t>
      </w:r>
      <w:r>
        <w:rPr>
          <w:rFonts w:hint="eastAsia"/>
          <w:color w:val="000000"/>
          <w:sz w:val="21"/>
          <w:szCs w:val="21"/>
          <w:highlight w:val="none"/>
        </w:rPr>
        <w:t xml:space="preserve">个有线接口，东侧每个实验室布置</w:t>
      </w:r>
      <w:r>
        <w:rPr>
          <w:color w:val="000000"/>
          <w:sz w:val="21"/>
          <w:szCs w:val="21"/>
          <w:highlight w:val="none"/>
        </w:rPr>
        <w:t xml:space="preserve">2</w:t>
      </w:r>
      <w:r>
        <w:rPr>
          <w:rFonts w:hint="eastAsia"/>
          <w:color w:val="000000"/>
          <w:sz w:val="21"/>
          <w:szCs w:val="21"/>
          <w:highlight w:val="none"/>
        </w:rPr>
        <w:t xml:space="preserve">个有线接口；三层东侧饲养室布置</w:t>
      </w:r>
      <w:r>
        <w:rPr>
          <w:color w:val="000000"/>
          <w:sz w:val="21"/>
          <w:szCs w:val="21"/>
          <w:highlight w:val="none"/>
        </w:rPr>
        <w:t xml:space="preserve">2</w:t>
      </w:r>
      <w:r>
        <w:rPr>
          <w:rFonts w:hint="eastAsia"/>
          <w:color w:val="000000"/>
          <w:sz w:val="21"/>
          <w:szCs w:val="21"/>
          <w:highlight w:val="none"/>
        </w:rPr>
        <w:t xml:space="preserve">个有线接口，</w:t>
      </w:r>
      <w:r>
        <w:rPr>
          <w:color w:val="000000"/>
          <w:sz w:val="21"/>
          <w:szCs w:val="21"/>
          <w:highlight w:val="none"/>
        </w:rPr>
        <w:t xml:space="preserve">3007</w:t>
      </w:r>
      <w:r>
        <w:rPr>
          <w:rFonts w:hint="eastAsia"/>
          <w:color w:val="000000"/>
          <w:sz w:val="21"/>
          <w:szCs w:val="21"/>
          <w:highlight w:val="none"/>
        </w:rPr>
        <w:t xml:space="preserve">和</w:t>
      </w:r>
      <w:r>
        <w:rPr>
          <w:color w:val="000000"/>
          <w:sz w:val="21"/>
          <w:szCs w:val="21"/>
          <w:highlight w:val="none"/>
        </w:rPr>
        <w:t xml:space="preserve">3008</w:t>
      </w:r>
      <w:r>
        <w:rPr>
          <w:rFonts w:hint="eastAsia"/>
          <w:color w:val="000000"/>
          <w:sz w:val="21"/>
          <w:szCs w:val="21"/>
          <w:highlight w:val="none"/>
        </w:rPr>
        <w:t xml:space="preserve">中每个</w:t>
      </w:r>
      <w:r>
        <w:rPr>
          <w:color w:val="000000"/>
          <w:sz w:val="21"/>
          <w:szCs w:val="21"/>
          <w:highlight w:val="none"/>
        </w:rPr>
        <w:t xml:space="preserve">IVC</w:t>
      </w:r>
      <w:r>
        <w:rPr>
          <w:rFonts w:hint="eastAsia"/>
          <w:color w:val="000000"/>
          <w:sz w:val="21"/>
          <w:szCs w:val="21"/>
          <w:highlight w:val="none"/>
        </w:rPr>
        <w:t xml:space="preserve">主机布置</w:t>
      </w:r>
      <w:r>
        <w:rPr>
          <w:color w:val="000000"/>
          <w:sz w:val="21"/>
          <w:szCs w:val="21"/>
          <w:highlight w:val="none"/>
        </w:rPr>
        <w:t xml:space="preserve">1</w:t>
      </w:r>
      <w:r>
        <w:rPr>
          <w:rFonts w:hint="eastAsia"/>
          <w:color w:val="000000"/>
          <w:sz w:val="21"/>
          <w:szCs w:val="21"/>
          <w:highlight w:val="none"/>
        </w:rPr>
        <w:t xml:space="preserve">个有线接口；三层西侧饲养室中每个</w:t>
      </w:r>
      <w:r>
        <w:rPr>
          <w:color w:val="000000"/>
          <w:sz w:val="21"/>
          <w:szCs w:val="21"/>
          <w:highlight w:val="none"/>
        </w:rPr>
        <w:t xml:space="preserve">IVC</w:t>
      </w:r>
      <w:r>
        <w:rPr>
          <w:rFonts w:hint="eastAsia"/>
          <w:color w:val="000000"/>
          <w:sz w:val="21"/>
          <w:szCs w:val="21"/>
          <w:highlight w:val="none"/>
        </w:rPr>
        <w:t xml:space="preserve">主机布置</w:t>
      </w:r>
      <w:r>
        <w:rPr>
          <w:color w:val="000000"/>
          <w:sz w:val="21"/>
          <w:szCs w:val="21"/>
          <w:highlight w:val="none"/>
        </w:rPr>
        <w:t xml:space="preserve">1</w:t>
      </w:r>
      <w:r>
        <w:rPr>
          <w:rFonts w:hint="eastAsia"/>
          <w:color w:val="000000"/>
          <w:sz w:val="21"/>
          <w:szCs w:val="21"/>
          <w:highlight w:val="none"/>
        </w:rPr>
        <w:t xml:space="preserve">个有线接口；四层每个实验室布置</w:t>
      </w:r>
      <w:r>
        <w:rPr>
          <w:color w:val="000000"/>
          <w:sz w:val="21"/>
          <w:szCs w:val="21"/>
          <w:highlight w:val="none"/>
        </w:rPr>
        <w:t xml:space="preserve">2</w:t>
      </w:r>
      <w:r>
        <w:rPr>
          <w:rFonts w:hint="eastAsia"/>
          <w:color w:val="000000"/>
          <w:sz w:val="21"/>
          <w:szCs w:val="21"/>
          <w:highlight w:val="none"/>
        </w:rPr>
        <w:t xml:space="preserve">个有线接口。</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4.1</w:t>
      </w:r>
      <w:r>
        <w:rPr>
          <w:rFonts w:hint="eastAsia"/>
          <w:color w:val="000000"/>
          <w:sz w:val="21"/>
          <w:szCs w:val="21"/>
          <w:highlight w:val="none"/>
        </w:rPr>
        <w:t xml:space="preserve">信息面板：采用</w:t>
      </w:r>
      <w:r>
        <w:rPr>
          <w:color w:val="000000"/>
          <w:sz w:val="21"/>
          <w:szCs w:val="21"/>
          <w:highlight w:val="none"/>
        </w:rPr>
        <w:t xml:space="preserve">86</w:t>
      </w:r>
      <w:r>
        <w:rPr>
          <w:rFonts w:hint="eastAsia"/>
          <w:color w:val="000000"/>
          <w:sz w:val="21"/>
          <w:szCs w:val="21"/>
          <w:highlight w:val="none"/>
        </w:rPr>
        <w:t xml:space="preserve">型单双口通用面板、含标签条、带防尘门、电话网络标签块。</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4.2</w:t>
      </w:r>
      <w:r>
        <w:rPr>
          <w:rFonts w:hint="eastAsia"/>
          <w:color w:val="000000"/>
          <w:sz w:val="21"/>
          <w:szCs w:val="21"/>
          <w:highlight w:val="none"/>
        </w:rPr>
        <w:t xml:space="preserve">六类非屏蔽类</w:t>
      </w:r>
      <w:r>
        <w:rPr>
          <w:rFonts w:hint="eastAsia" w:eastAsia="宋体" w:cs="Times New Roman"/>
          <w:color w:val="000000"/>
          <w:sz w:val="21"/>
          <w:szCs w:val="21"/>
          <w:highlight w:val="none"/>
        </w:rPr>
        <w:t xml:space="preserve">：Cat6UTP4P，23AWG实心铜线，十字芯，低烟无卤外皮，测试带宽达到250MHz。</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4.3  </w:t>
      </w:r>
      <w:r>
        <w:rPr>
          <w:color w:val="000000"/>
          <w:sz w:val="21"/>
          <w:szCs w:val="21"/>
          <w:highlight w:val="none"/>
        </w:rPr>
        <w:t xml:space="preserve">24</w:t>
      </w:r>
      <w:r>
        <w:rPr>
          <w:rFonts w:hint="eastAsia"/>
          <w:color w:val="000000"/>
          <w:sz w:val="21"/>
          <w:szCs w:val="21"/>
          <w:highlight w:val="none"/>
        </w:rPr>
        <w:t xml:space="preserve">口光纤配线架：</w:t>
      </w:r>
      <w:r>
        <w:rPr>
          <w:color w:val="000000"/>
          <w:sz w:val="21"/>
          <w:szCs w:val="21"/>
          <w:highlight w:val="none"/>
        </w:rPr>
        <w:t xml:space="preserve">24</w:t>
      </w:r>
      <w:r>
        <w:rPr>
          <w:rFonts w:hint="eastAsia"/>
          <w:color w:val="000000"/>
          <w:sz w:val="21"/>
          <w:szCs w:val="21"/>
          <w:highlight w:val="none"/>
        </w:rPr>
        <w:t xml:space="preserve">口机架式光纤配线架、</w:t>
      </w:r>
      <w:r>
        <w:rPr>
          <w:color w:val="000000"/>
          <w:sz w:val="21"/>
          <w:szCs w:val="21"/>
          <w:highlight w:val="none"/>
        </w:rPr>
        <w:t xml:space="preserve">19</w:t>
      </w:r>
      <w:r>
        <w:rPr>
          <w:rFonts w:hint="eastAsia"/>
          <w:color w:val="000000"/>
          <w:sz w:val="21"/>
          <w:szCs w:val="21"/>
          <w:highlight w:val="none"/>
        </w:rPr>
        <w:t xml:space="preserve">寸机架式</w:t>
      </w:r>
      <w:r>
        <w:rPr>
          <w:color w:val="000000"/>
          <w:sz w:val="21"/>
          <w:szCs w:val="21"/>
          <w:highlight w:val="none"/>
        </w:rPr>
        <w:t xml:space="preserve">1U</w:t>
      </w:r>
      <w:r>
        <w:rPr>
          <w:rFonts w:hint="eastAsia"/>
          <w:color w:val="000000"/>
          <w:sz w:val="21"/>
          <w:szCs w:val="21"/>
          <w:highlight w:val="none"/>
        </w:rPr>
        <w:t xml:space="preserve">、可前拆面板、带塑料透明标签条、可装</w:t>
      </w:r>
      <w:r>
        <w:rPr>
          <w:color w:val="000000"/>
          <w:sz w:val="21"/>
          <w:szCs w:val="21"/>
          <w:highlight w:val="none"/>
        </w:rPr>
        <w:t xml:space="preserve">ST\SC\FC\LC</w:t>
      </w:r>
      <w:r>
        <w:rPr>
          <w:rFonts w:hint="eastAsia"/>
          <w:color w:val="000000"/>
          <w:sz w:val="21"/>
          <w:szCs w:val="21"/>
          <w:highlight w:val="none"/>
        </w:rPr>
        <w:t xml:space="preserve">耦合器。</w:t>
      </w:r>
      <w:r>
        <w:rPr>
          <w:color w:val="000000"/>
          <w:sz w:val="21"/>
          <w:szCs w:val="21"/>
          <w:highlight w:val="none"/>
        </w:rPr>
      </w:r>
      <w:r/>
    </w:p>
    <w:p>
      <w:pPr>
        <w:pStyle w:val="958"/>
        <w:ind w:firstLine="0"/>
        <w:spacing w:line="360" w:lineRule="auto"/>
        <w:rPr>
          <w:color w:val="000000"/>
          <w:sz w:val="21"/>
          <w:szCs w:val="21"/>
          <w:highlight w:val="none"/>
        </w:rPr>
      </w:pPr>
      <w:r>
        <w:rPr>
          <w:rFonts w:hint="eastAsia"/>
          <w:color w:val="000000"/>
          <w:sz w:val="21"/>
          <w:szCs w:val="21"/>
          <w:highlight w:val="none"/>
          <w:lang w:val="en-US" w:eastAsia="zh-CN"/>
        </w:rPr>
        <w:t xml:space="preserve">4.4</w:t>
      </w:r>
      <w:r>
        <w:rPr>
          <w:rFonts w:hint="eastAsia"/>
          <w:color w:val="000000"/>
          <w:sz w:val="21"/>
          <w:szCs w:val="21"/>
          <w:highlight w:val="none"/>
        </w:rPr>
        <w:t xml:space="preserve">线路以及桥架敷设应横平竖直、整齐美观、尽量避免交叉。信号电缆与电力电缆交叉时，应成直角；当平行敷设时，需确保足够的间距以减少干扰。不同信号、不同电压等级的电缆在同一线槽内应分类布置。交流电源线路和连锁线路，应用隔板与无屏蔽的信号线路隔开敷设。线路敷设应避开易受机械损伤、有腐蚀性介质排放、潮湿以及强磁场和强静电场干扰的区域，否则需采取保护或屏蔽措施。动物房内，尤</w:t>
      </w:r>
      <w:r>
        <w:rPr>
          <w:rFonts w:hint="eastAsia"/>
          <w:color w:val="000000"/>
          <w:sz w:val="21"/>
          <w:szCs w:val="21"/>
          <w:highlight w:val="none"/>
        </w:rPr>
        <w:t xml:space="preserve">其是净化区，电气管线应暗敷。穿过墙和楼板的电线管应加套管，套管与线管之间需采用不收缩、不燃的材料进行可靠密封，这对于维持屏障环境的完整性至关重要。管线敷设需和装饰工程密切配合：配合预留弱电系统穿墙孔洞和预埋管路；配合水、电、风、气各系统协调线槽和桥架施工；配合室内装饰工程敷设暗装管线和各种插座。弱电系统设备安装应在装饰工程基本结束时进行，包括设备的定位、安装和连接。每个接线端子上最多允许接两根芯线。线缆两端应加标签注明弱电类型、房间、序号，以便识别和维护。机柜安装需防震加固，设备接地应采用足够截面的导线（如</w:t>
      </w:r>
      <w:r>
        <w:rPr>
          <w:color w:val="000000"/>
          <w:sz w:val="21"/>
          <w:szCs w:val="21"/>
          <w:highlight w:val="none"/>
        </w:rPr>
        <w:t xml:space="preserve">6mm</w:t>
      </w:r>
      <w:r>
        <w:rPr>
          <w:color w:val="000000"/>
          <w:sz w:val="21"/>
          <w:szCs w:val="21"/>
          <w:highlight w:val="none"/>
          <w:vertAlign w:val="superscript"/>
        </w:rPr>
        <w:t xml:space="preserve">2</w:t>
      </w:r>
      <w:r>
        <w:rPr>
          <w:rFonts w:hint="eastAsia"/>
          <w:color w:val="000000"/>
          <w:sz w:val="21"/>
          <w:szCs w:val="21"/>
          <w:highlight w:val="none"/>
        </w:rPr>
        <w:t xml:space="preserve">多芯铜线），并注意避免交直流地混接。屏蔽线缆的屏蔽层也需正确接地。</w:t>
      </w:r>
      <w:r>
        <w:rPr>
          <w:color w:val="000000"/>
          <w:sz w:val="21"/>
          <w:szCs w:val="21"/>
          <w:highlight w:val="none"/>
        </w:rPr>
      </w:r>
      <w:r/>
    </w:p>
    <w:p>
      <w:pPr>
        <w:pStyle w:val="958"/>
        <w:ind w:firstLine="0"/>
        <w:spacing w:line="360" w:lineRule="auto"/>
        <w:rPr>
          <w:b/>
          <w:bCs/>
          <w:color w:val="000000"/>
          <w:sz w:val="21"/>
          <w:szCs w:val="21"/>
          <w:highlight w:val="none"/>
        </w:rPr>
      </w:pPr>
      <w:r>
        <w:rPr>
          <w:rFonts w:hint="eastAsia"/>
          <w:b/>
          <w:bCs/>
          <w:color w:val="000000"/>
          <w:sz w:val="21"/>
          <w:szCs w:val="21"/>
          <w:highlight w:val="none"/>
          <w:lang w:val="en-US" w:eastAsia="zh-CN"/>
        </w:rPr>
        <w:t xml:space="preserve">5、</w:t>
      </w:r>
      <w:r>
        <w:rPr>
          <w:rFonts w:hint="eastAsia"/>
          <w:b/>
          <w:bCs/>
          <w:color w:val="000000"/>
          <w:sz w:val="21"/>
          <w:szCs w:val="21"/>
          <w:highlight w:val="none"/>
        </w:rPr>
        <w:t xml:space="preserve">其他要求：</w:t>
      </w:r>
      <w:r>
        <w:rPr>
          <w:b/>
          <w:bCs/>
          <w:color w:val="000000"/>
          <w:sz w:val="21"/>
          <w:szCs w:val="21"/>
          <w:highlight w:val="none"/>
        </w:rPr>
      </w:r>
      <w:r/>
    </w:p>
    <w:p>
      <w:pPr>
        <w:pStyle w:val="931"/>
        <w:spacing w:line="360" w:lineRule="auto"/>
        <w:rPr>
          <w:rFonts w:ascii="Times New Roman" w:hAnsi="Times New Roman"/>
          <w:color w:val="000000"/>
          <w:highlight w:val="none"/>
        </w:rPr>
      </w:pPr>
      <w:r>
        <w:rPr>
          <w:rFonts w:hint="eastAsia" w:ascii="Times New Roman" w:hAnsi="Times New Roman"/>
          <w:color w:val="000000"/>
          <w:highlight w:val="none"/>
          <w:lang w:val="en-US" w:eastAsia="zh-CN"/>
        </w:rPr>
        <w:t xml:space="preserve">5.1</w:t>
      </w:r>
      <w:r>
        <w:rPr>
          <w:rFonts w:hint="eastAsia" w:ascii="Times New Roman" w:hAnsi="Times New Roman"/>
          <w:color w:val="000000"/>
          <w:highlight w:val="none"/>
        </w:rPr>
        <w:t xml:space="preserve">所有楼板及隔墙</w:t>
      </w:r>
      <w:r>
        <w:rPr>
          <w:rFonts w:hint="eastAsia" w:ascii="Times New Roman" w:hAnsi="Times New Roman"/>
          <w:color w:val="000000"/>
          <w:highlight w:val="none"/>
          <w:lang w:val="en-US" w:eastAsia="zh-CN"/>
        </w:rPr>
        <w:t xml:space="preserve">预</w:t>
      </w:r>
      <w:r>
        <w:rPr>
          <w:rFonts w:ascii="Times New Roman" w:hAnsi="Times New Roman"/>
          <w:color w:val="000000"/>
          <w:highlight w:val="none"/>
        </w:rPr>
        <w:t xml:space="preserve">留电气洞</w:t>
      </w:r>
      <w:r>
        <w:rPr>
          <w:rFonts w:hint="eastAsia" w:ascii="Times New Roman" w:hAnsi="Times New Roman"/>
          <w:color w:val="000000"/>
          <w:highlight w:val="none"/>
        </w:rPr>
        <w:t xml:space="preserve">。</w:t>
      </w:r>
      <w:r>
        <w:rPr>
          <w:rFonts w:ascii="Times New Roman" w:hAnsi="Times New Roman"/>
          <w:color w:val="000000"/>
          <w:highlight w:val="none"/>
        </w:rPr>
        <w:t xml:space="preserve">当线槽穿越后</w:t>
      </w:r>
      <w:r>
        <w:rPr>
          <w:rFonts w:hint="eastAsia" w:ascii="Times New Roman" w:hAnsi="Times New Roman"/>
          <w:color w:val="000000"/>
          <w:highlight w:val="none"/>
        </w:rPr>
        <w:t xml:space="preserve">，</w:t>
      </w:r>
      <w:r>
        <w:rPr>
          <w:rFonts w:ascii="Times New Roman" w:hAnsi="Times New Roman"/>
          <w:color w:val="000000"/>
          <w:highlight w:val="none"/>
        </w:rPr>
        <w:t xml:space="preserve">均应做防火封堵</w:t>
      </w:r>
      <w:r>
        <w:rPr>
          <w:rFonts w:hint="eastAsia" w:ascii="Times New Roman" w:hAnsi="Times New Roman"/>
          <w:color w:val="000000"/>
          <w:highlight w:val="none"/>
        </w:rPr>
        <w:t xml:space="preserve">，</w:t>
      </w:r>
      <w:r>
        <w:rPr>
          <w:rFonts w:ascii="Times New Roman" w:hAnsi="Times New Roman"/>
          <w:color w:val="000000"/>
          <w:highlight w:val="none"/>
        </w:rPr>
        <w:t xml:space="preserve">严禁采用混凝土封堵</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931"/>
        <w:spacing w:line="360" w:lineRule="auto"/>
        <w:rPr>
          <w:rFonts w:ascii="Times New Roman" w:hAnsi="Times New Roman"/>
          <w:color w:val="000000"/>
          <w:highlight w:val="none"/>
        </w:rPr>
      </w:pPr>
      <w:r>
        <w:rPr>
          <w:rFonts w:hint="eastAsia" w:ascii="Times New Roman" w:hAnsi="Times New Roman"/>
          <w:color w:val="000000"/>
          <w:highlight w:val="none"/>
          <w:lang w:val="en-US" w:eastAsia="zh-CN"/>
        </w:rPr>
        <w:t xml:space="preserve">5.2</w:t>
      </w:r>
      <w:r>
        <w:rPr>
          <w:rFonts w:ascii="Times New Roman" w:hAnsi="Times New Roman"/>
          <w:color w:val="000000"/>
          <w:highlight w:val="none"/>
        </w:rPr>
        <w:t xml:space="preserve">各类弱电系统信息插座与交流电源插座以及两者的管线间距最小应控制在200mm以上</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931"/>
        <w:spacing w:line="360" w:lineRule="auto"/>
        <w:rPr>
          <w:rFonts w:ascii="Times New Roman" w:hAnsi="Times New Roman"/>
          <w:color w:val="000000"/>
          <w:highlight w:val="none"/>
        </w:rPr>
      </w:pPr>
      <w:r>
        <w:rPr>
          <w:rFonts w:hint="eastAsia" w:ascii="Times New Roman" w:hAnsi="Times New Roman"/>
          <w:color w:val="000000"/>
          <w:highlight w:val="none"/>
          <w:lang w:val="en-US" w:eastAsia="zh-CN"/>
        </w:rPr>
        <w:t xml:space="preserve">5.3</w:t>
      </w:r>
      <w:r>
        <w:rPr>
          <w:rFonts w:ascii="Times New Roman" w:hAnsi="Times New Roman"/>
          <w:color w:val="000000"/>
          <w:highlight w:val="none"/>
        </w:rPr>
        <w:t xml:space="preserve">施工过程中请与水暖及土建专业密切配合</w:t>
      </w:r>
      <w:r>
        <w:rPr>
          <w:rFonts w:hint="eastAsia" w:ascii="Times New Roman" w:hAnsi="Times New Roman"/>
          <w:color w:val="000000"/>
          <w:highlight w:val="none"/>
        </w:rPr>
        <w:t xml:space="preserve">，</w:t>
      </w:r>
      <w:r>
        <w:rPr>
          <w:rFonts w:ascii="Times New Roman" w:hAnsi="Times New Roman"/>
          <w:color w:val="000000"/>
          <w:highlight w:val="none"/>
        </w:rPr>
        <w:t xml:space="preserve">遇有问题及时与设计人员协商解决</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931"/>
        <w:spacing w:line="360" w:lineRule="auto"/>
        <w:rPr>
          <w:rFonts w:ascii="Times New Roman" w:hAnsi="Times New Roman"/>
          <w:color w:val="000000"/>
          <w:highlight w:val="none"/>
        </w:rPr>
      </w:pPr>
      <w:r>
        <w:rPr>
          <w:rFonts w:hint="eastAsia" w:ascii="Times New Roman" w:hAnsi="Times New Roman"/>
          <w:color w:val="000000"/>
          <w:highlight w:val="none"/>
          <w:lang w:val="en-US" w:eastAsia="zh-CN"/>
        </w:rPr>
        <w:t xml:space="preserve">5.4</w:t>
      </w:r>
      <w:r>
        <w:rPr>
          <w:rFonts w:ascii="Times New Roman" w:hAnsi="Times New Roman"/>
          <w:color w:val="000000"/>
          <w:highlight w:val="none"/>
        </w:rPr>
        <w:t xml:space="preserve">强电专业应配合弱电专业需要，配置相应设备专用电源</w:t>
      </w:r>
      <w:r>
        <w:rPr>
          <w:rFonts w:hint="eastAsia" w:ascii="Times New Roman" w:hAnsi="Times New Roman"/>
          <w:color w:val="000000"/>
          <w:highlight w:val="none"/>
        </w:rPr>
        <w:t xml:space="preserve">；</w:t>
      </w:r>
      <w:r>
        <w:rPr>
          <w:rFonts w:ascii="Times New Roman" w:hAnsi="Times New Roman"/>
          <w:color w:val="000000"/>
          <w:highlight w:val="none"/>
        </w:rPr>
      </w:r>
      <w:r/>
    </w:p>
    <w:p>
      <w:pPr>
        <w:pStyle w:val="901"/>
        <w:spacing w:line="360" w:lineRule="auto"/>
        <w:rPr>
          <w:b/>
          <w:bCs/>
          <w:color w:val="000000"/>
          <w:sz w:val="36"/>
          <w:szCs w:val="36"/>
          <w:highlight w:val="none"/>
          <w:lang w:val="en-US" w:eastAsia="zh-CN"/>
        </w:rPr>
      </w:pPr>
      <w:r>
        <w:rPr>
          <w:rFonts w:hint="eastAsia" w:ascii="Times New Roman" w:hAnsi="Times New Roman"/>
          <w:color w:val="000000"/>
          <w:highlight w:val="none"/>
          <w:lang w:val="en-US" w:eastAsia="zh-CN"/>
        </w:rPr>
        <w:t xml:space="preserve">5.5</w:t>
      </w:r>
      <w:r>
        <w:rPr>
          <w:rFonts w:ascii="Times New Roman" w:hAnsi="Times New Roman"/>
          <w:color w:val="000000"/>
          <w:highlight w:val="none"/>
        </w:rPr>
        <w:t xml:space="preserve">内径不小于60mm的电气配管及重力不小于150N/m的电缆梯架、电缆槽盒、母线槽抗震设防要求</w:t>
      </w:r>
      <w:r>
        <w:rPr>
          <w:rFonts w:hint="eastAsia" w:ascii="Times New Roman" w:hAnsi="Times New Roman"/>
          <w:color w:val="000000"/>
          <w:highlight w:val="none"/>
        </w:rPr>
        <w:t xml:space="preserve">：</w:t>
      </w:r>
      <w:r>
        <w:rPr>
          <w:rFonts w:ascii="Times New Roman" w:hAnsi="Times New Roman"/>
          <w:color w:val="000000"/>
          <w:highlight w:val="none"/>
        </w:rPr>
        <w:t xml:space="preserve">在电缆桥架、电缆槽盒内敷设的缆线在引进、引出和转弯处，应在长度上留有余量</w:t>
      </w:r>
      <w:r>
        <w:rPr>
          <w:rFonts w:hint="eastAsia" w:ascii="Times New Roman" w:hAnsi="Times New Roman"/>
          <w:color w:val="000000"/>
          <w:highlight w:val="none"/>
        </w:rPr>
        <w:t xml:space="preserve">；</w:t>
      </w:r>
      <w:r>
        <w:rPr>
          <w:rFonts w:ascii="Times New Roman" w:hAnsi="Times New Roman"/>
          <w:color w:val="000000"/>
          <w:highlight w:val="none"/>
        </w:rPr>
        <w:t xml:space="preserve">电气管线穿越抗震缝时，应在抗震缝两侧各设置一个柔性管接头</w:t>
      </w:r>
      <w:r>
        <w:rPr>
          <w:rFonts w:hint="eastAsia" w:ascii="Times New Roman" w:hAnsi="Times New Roman"/>
          <w:color w:val="000000"/>
          <w:highlight w:val="none"/>
        </w:rPr>
        <w:t xml:space="preserve">。</w:t>
      </w:r>
      <w:r>
        <w:rPr>
          <w:rFonts w:ascii="Times New Roman" w:hAnsi="Times New Roman"/>
          <w:color w:val="000000"/>
          <w:highlight w:val="none"/>
        </w:rPr>
        <w:t xml:space="preserve">电缆梯架、电缆槽盒、母线槽在抗震缝两侧应设置伸缩节，抗震缝的两端应</w:t>
      </w:r>
      <w:r>
        <w:rPr>
          <w:rFonts w:hint="eastAsia" w:ascii="Times New Roman" w:hAnsi="Times New Roman"/>
          <w:color w:val="000000"/>
          <w:highlight w:val="none"/>
        </w:rPr>
        <w:t xml:space="preserve">设置</w:t>
      </w:r>
      <w:r>
        <w:rPr>
          <w:rFonts w:ascii="Times New Roman" w:hAnsi="Times New Roman"/>
          <w:color w:val="000000"/>
          <w:highlight w:val="none"/>
        </w:rPr>
        <w:t xml:space="preserve">可靠连接；电气管路采用金属导管、刚性塑料导管、电缆梯架或者电缆槽盒敷设时，应使用刚性托盘或支架固定，不宜使用吊架。当必须使用吊架时，应安装横向防晃吊架；当金属导管、刚性塑料导管、电缆梯架或电缆槽盒穿越防火分区时，其缝隙应采用柔性防火封堵材料封堵，并应在贯穿部位附近设置抗震支撑；金属导管、刚性塑料导管的直线段部分每隔置伸缩节</w:t>
      </w:r>
      <w:r>
        <w:rPr>
          <w:rFonts w:hint="eastAsia" w:ascii="Times New Roman" w:hAnsi="Times New Roman"/>
          <w:color w:val="000000"/>
          <w:highlight w:val="none"/>
        </w:rPr>
        <w:t xml:space="preserve">。</w:t>
      </w:r>
      <w:r>
        <w:rPr>
          <w:b/>
          <w:bCs/>
          <w:color w:val="000000"/>
          <w:sz w:val="36"/>
          <w:szCs w:val="36"/>
          <w:highlight w:val="none"/>
          <w:lang w:val="en-US" w:eastAsia="zh-CN"/>
        </w:rPr>
      </w:r>
      <w:r/>
    </w:p>
    <w:p>
      <w:pPr>
        <w:pStyle w:val="901"/>
        <w:spacing w:line="360" w:lineRule="auto"/>
        <w:rPr>
          <w:rFonts w:hint="eastAsia"/>
          <w:color w:val="000000"/>
          <w:highlight w:val="none"/>
          <w:lang w:val="en-US" w:eastAsia="zh-CN"/>
        </w:rPr>
      </w:pPr>
      <w:r>
        <w:rPr>
          <w:rFonts w:hint="eastAsia"/>
          <w:color w:val="000000"/>
          <w:highlight w:val="none"/>
          <w:lang w:val="en-US" w:eastAsia="zh-CN"/>
        </w:rPr>
      </w:r>
      <w:r/>
    </w:p>
    <w:p>
      <w:pPr>
        <w:pStyle w:val="901"/>
        <w:numPr>
          <w:ilvl w:val="0"/>
          <w:numId w:val="7"/>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实施方案及人员要求</w:t>
      </w:r>
      <w:r>
        <w:rPr>
          <w:rFonts w:hint="eastAsia" w:ascii="宋体" w:hAnsi="宋体" w:eastAsia="宋体" w:cs="宋体"/>
          <w:b/>
          <w:bCs/>
          <w:color w:val="000000"/>
          <w:szCs w:val="21"/>
          <w:highlight w:val="none"/>
          <w:lang w:val="en-US" w:eastAsia="zh-CN"/>
        </w:rPr>
      </w:r>
      <w:r/>
    </w:p>
    <w:p>
      <w:pPr>
        <w:pStyle w:val="901"/>
        <w:numPr>
          <w:ilvl w:val="0"/>
          <w:numId w:val="8"/>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实施方案</w:t>
      </w:r>
      <w:r>
        <w:rPr>
          <w:rFonts w:hint="eastAsia" w:ascii="宋体" w:hAnsi="宋体" w:eastAsia="宋体" w:cs="宋体"/>
          <w:b/>
          <w:bCs/>
          <w:color w:val="000000"/>
          <w:szCs w:val="21"/>
          <w:highlight w:val="none"/>
          <w:lang w:val="en-US" w:eastAsia="zh-CN"/>
        </w:rPr>
      </w:r>
      <w:r/>
    </w:p>
    <w:p>
      <w:pPr>
        <w:pStyle w:val="901"/>
        <w:numPr>
          <w:ilvl w:val="0"/>
          <w:numId w:val="0"/>
        </w:numPr>
        <w:ind w:firstLine="420"/>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投标人根据本项目动物实验中心自控与弱电系统的实际情况，编制详尽、可落地的实施方案与售后服务方案。</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1. 系统施工方案</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1.1 机电工程方案： 包含本项目所有机电设备的安装、接线、调试的完整工艺流程、技术要点和质量控制措施。</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1.2 自控系统方案： 包含PLC控制柜安装、传感器布线、执行器调试、系统联调的完整工艺流程和技术措施。</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1.3 弱电系统方案： 包含网络布线、服务器部署、客户端安装、系统集成的完整工艺流程和技术措施。</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2. 技术措施与进度安排</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2.1 专项技术措施： 针对本项目特点，编制分层、分区域的施工技术措施，明确各区域交叉施工的协调方法和节点安排。</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2.2 整体进度计划： 编制可落地的整体施工进度计划，计划中须明确各分项工程的起止时间、关键路径和里程碑节点。</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3. 验收方案</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3.1 验收节点与标准： 编制项目全流程验收方案，明确分阶段验收的节点、每个节点的执行标准和判定依据。</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3.2 验收流程与资料： 明确验收的报验流程、参与方职责，以及各阶段需提交的验收资料清单和整改闭环要求。</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4. 专项安全与生物安全防护</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4.1 临时用电安全： 针对施工现场环境，制定具体的临时用电安全管理制度和防护措施。</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4.2 生物安全防护： 针对动物房屏障区域特点，制定专项的生物安全防护、人员进出管理和消杀措施。</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5. 屏障环境密封与防污染工艺</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5.1 密封工艺： 详细列明设备穿墙封堵、围护结构接缝的整体密封工艺，包括施工步骤、使用材料和具体做法。</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5.2 防污染工艺： 制定交叉施工期间的防污染工艺，明确洁净区与非洁净区的隔离措施和施工顺序。</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6. 重难点分析与故障预案</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6.1 重难点分析： 完整覆盖温湿度控制、压差控制、换气次数、洁净度保障、屏障密封、动物许可证取证、ABSL-2模块等全部重难点，并结合本项目屏障工况进行深度分析。</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6.2 故障应急预案： 对风机、空调、过滤器、压差、温湿度等关键设备或参数的故障，编制技术预案，明确一般故障和紧急故障的响应到场时限、备用切换方案和快速修复流程。</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7. 售后服务方案</w:t>
      </w:r>
      <w:r>
        <w:rPr>
          <w:rFonts w:hint="eastAsia" w:ascii="宋体" w:hAnsi="宋体" w:eastAsia="宋体" w:cs="宋体"/>
          <w:b/>
          <w:bCs/>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7.1 服务流程： 提供完整的故障处理流程和日常维护保障流程，流程环节须完整、步骤须详实。</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7.2 保障措施与风险预判： 提供全面的服务保障措施，并全面预判项目潜在风险，配套完整、可行的风险应对处置方案。</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7.3 维保与培训： 明确提供设备定期维保、客户定期回访服务，并提供内容完善、计划清晰的免费技术培训方案。</w:t>
      </w:r>
      <w:r>
        <w:rPr>
          <w:rFonts w:hint="eastAsia" w:ascii="宋体" w:hAnsi="宋体" w:eastAsia="宋体" w:cs="宋体"/>
          <w:b w:val="0"/>
          <w:bCs w:val="0"/>
          <w:color w:val="000000"/>
          <w:szCs w:val="21"/>
          <w:highlight w:val="none"/>
          <w:lang w:val="en-US" w:eastAsia="zh-CN"/>
        </w:rPr>
      </w:r>
      <w:r/>
    </w:p>
    <w:p>
      <w:pPr>
        <w:pStyle w:val="901"/>
        <w:numPr>
          <w:ilvl w:val="0"/>
          <w:numId w:val="8"/>
        </w:numPr>
        <w:jc w:val="left"/>
        <w:spacing w:line="360" w:lineRule="auto"/>
        <w:rPr>
          <w:rFonts w:hint="eastAsia" w:ascii="宋体" w:hAnsi="宋体" w:eastAsia="宋体" w:cs="宋体"/>
          <w:b w:val="0"/>
          <w:bCs w:val="0"/>
          <w:color w:val="000000"/>
          <w:szCs w:val="21"/>
          <w:highlight w:val="none"/>
          <w:lang w:val="en-US" w:eastAsia="zh-CN"/>
        </w:rPr>
      </w:pPr>
      <w:r>
        <w:rPr>
          <w:rFonts w:ascii="宋体" w:hAnsi="宋体" w:eastAsia="宋体" w:cs="宋体"/>
          <w:b/>
          <w:bCs/>
          <w:color w:val="000000"/>
          <w:szCs w:val="21"/>
          <w:highlight w:val="none"/>
          <w:lang w:val="en-US" w:eastAsia="zh-CN"/>
        </w:rPr>
        <w:t xml:space="preserve">项目团队人员配备要求：</w:t>
      </w:r>
      <w:r>
        <w:rPr>
          <w:rFonts w:hint="eastAsia" w:ascii="宋体" w:hAnsi="宋体" w:eastAsia="宋体" w:cs="宋体"/>
          <w:b w:val="0"/>
          <w:bCs w:val="0"/>
          <w:color w:val="000000"/>
          <w:szCs w:val="21"/>
          <w:highlight w:val="none"/>
          <w:lang w:val="en-US" w:eastAsia="zh-CN"/>
        </w:rPr>
        <w:br w:type="textWrapping" w:clear="all"/>
      </w:r>
      <w:r>
        <w:rPr>
          <w:rFonts w:hint="eastAsia" w:ascii="宋体" w:hAnsi="宋体" w:eastAsia="宋体" w:cs="宋体"/>
          <w:b w:val="0"/>
          <w:bCs w:val="0"/>
          <w:color w:val="000000"/>
          <w:szCs w:val="21"/>
          <w:highlight w:val="none"/>
          <w:lang w:val="en-US" w:eastAsia="zh-CN"/>
        </w:rPr>
        <w:t xml:space="preserve">    为保障本项目的顺利实施与工程质量，投标人须为本项目组建专业的项目团队。除拟派项目负责人须满足本公告规定的资格要求外，投标人还需为本项目配备以下核心管理及技术人员，确保人员数量和专业能力满足项目履约需要：</w:t>
      </w:r>
      <w:r>
        <w:rPr>
          <w:rFonts w:hint="eastAsia" w:ascii="宋体" w:hAnsi="宋体" w:eastAsia="宋体" w:cs="宋体"/>
          <w:b w:val="0"/>
          <w:bCs w:val="0"/>
          <w:color w:val="000000"/>
          <w:szCs w:val="21"/>
          <w:highlight w:val="none"/>
          <w:lang w:val="en-US" w:eastAsia="zh-CN"/>
        </w:rPr>
      </w:r>
      <w:r/>
    </w:p>
    <w:p>
      <w:pPr>
        <w:pStyle w:val="901"/>
        <w:numPr>
          <w:ilvl w:val="0"/>
          <w:numId w:val="0"/>
        </w:numPr>
        <w:jc w:val="left"/>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1、技术负责人：1名，负责项目整体技术方案把控与现场技术指导，应具备相应的机电或自动化专业技术能力。</w:t>
      </w:r>
      <w:r>
        <w:rPr>
          <w:rFonts w:hint="eastAsia" w:ascii="宋体" w:hAnsi="宋体" w:eastAsia="宋体" w:cs="宋体"/>
          <w:b w:val="0"/>
          <w:bCs w:val="0"/>
          <w:i/>
          <w:iCs/>
          <w:color w:val="000000"/>
          <w:szCs w:val="21"/>
          <w:highlight w:val="none"/>
          <w:u w:val="single"/>
          <w:lang w:val="en-US" w:eastAsia="zh-CN"/>
        </w:rPr>
      </w:r>
      <w:r/>
    </w:p>
    <w:p>
      <w:pPr>
        <w:pStyle w:val="901"/>
        <w:numPr>
          <w:ilvl w:val="0"/>
          <w:numId w:val="0"/>
        </w:numPr>
        <w:jc w:val="left"/>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2、施工员：1名，负责现场施工组织与进度协调，应具备设备安装相关的现场管理能力。</w:t>
      </w:r>
      <w:r>
        <w:rPr>
          <w:rFonts w:hint="eastAsia" w:ascii="宋体" w:hAnsi="宋体" w:eastAsia="宋体" w:cs="宋体"/>
          <w:b w:val="0"/>
          <w:bCs w:val="0"/>
          <w:i/>
          <w:iCs/>
          <w:color w:val="000000"/>
          <w:szCs w:val="21"/>
          <w:highlight w:val="none"/>
          <w:u w:val="single"/>
          <w:lang w:val="en-US" w:eastAsia="zh-CN"/>
        </w:rPr>
      </w:r>
      <w:r/>
    </w:p>
    <w:p>
      <w:pPr>
        <w:pStyle w:val="901"/>
        <w:numPr>
          <w:ilvl w:val="0"/>
          <w:numId w:val="0"/>
        </w:numPr>
        <w:jc w:val="left"/>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3、自控专业工程师：1名，负责自控系统设备的安装指导、调试与技术支持，应具备机电或自动化相关的专业技术能力。</w:t>
      </w:r>
      <w:r>
        <w:rPr>
          <w:rFonts w:hint="eastAsia" w:ascii="宋体" w:hAnsi="宋体" w:eastAsia="宋体" w:cs="宋体"/>
          <w:b w:val="0"/>
          <w:bCs w:val="0"/>
          <w:i/>
          <w:iCs/>
          <w:color w:val="000000"/>
          <w:szCs w:val="21"/>
          <w:highlight w:val="none"/>
          <w:u w:val="single"/>
          <w:lang w:val="en-US" w:eastAsia="zh-CN"/>
        </w:rPr>
      </w:r>
      <w:r/>
    </w:p>
    <w:p>
      <w:pPr>
        <w:pStyle w:val="901"/>
        <w:numPr>
          <w:ilvl w:val="0"/>
          <w:numId w:val="0"/>
        </w:numPr>
        <w:jc w:val="left"/>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4、质量员：1名，负责现场施工质量检验与验收把关，应具备设备安装相关的质量检验能力。</w:t>
      </w:r>
      <w:r>
        <w:rPr>
          <w:rFonts w:hint="eastAsia" w:ascii="宋体" w:hAnsi="宋体" w:eastAsia="宋体" w:cs="宋体"/>
          <w:b w:val="0"/>
          <w:bCs w:val="0"/>
          <w:i/>
          <w:iCs/>
          <w:color w:val="000000"/>
          <w:szCs w:val="21"/>
          <w:highlight w:val="none"/>
          <w:u w:val="single"/>
          <w:lang w:val="en-US" w:eastAsia="zh-CN"/>
        </w:rPr>
      </w:r>
      <w:r/>
    </w:p>
    <w:p>
      <w:pPr>
        <w:pStyle w:val="901"/>
        <w:numPr>
          <w:ilvl w:val="0"/>
          <w:numId w:val="0"/>
        </w:numPr>
        <w:jc w:val="left"/>
        <w:spacing w:line="360" w:lineRule="auto"/>
        <w:rPr>
          <w:rFonts w:hint="eastAsia" w:ascii="宋体" w:hAnsi="宋体" w:eastAsia="宋体" w:cs="宋体"/>
          <w:b w:val="0"/>
          <w:bCs w:val="0"/>
          <w:i/>
          <w:iCs/>
          <w:color w:val="000000"/>
          <w:szCs w:val="21"/>
          <w:highlight w:val="none"/>
          <w:u w:val="single"/>
          <w:lang w:val="en-US" w:eastAsia="zh-CN"/>
        </w:rPr>
      </w:pPr>
      <w:r>
        <w:rPr>
          <w:rFonts w:hint="eastAsia" w:ascii="宋体" w:hAnsi="宋体" w:eastAsia="宋体" w:cs="宋体"/>
          <w:b w:val="0"/>
          <w:bCs w:val="0"/>
          <w:i/>
          <w:iCs/>
          <w:color w:val="000000"/>
          <w:szCs w:val="21"/>
          <w:highlight w:val="none"/>
          <w:u w:val="single"/>
          <w:lang w:val="en-US" w:eastAsia="zh-CN"/>
        </w:rPr>
        <w:t xml:space="preserve">5、专职安全生产管理人员：1名，负责现场施工安全监督与管理，应具备国家规定的安全生产管理能力。</w:t>
      </w:r>
      <w:r>
        <w:rPr>
          <w:rFonts w:hint="eastAsia" w:ascii="宋体" w:hAnsi="宋体" w:eastAsia="宋体" w:cs="宋体"/>
          <w:b w:val="0"/>
          <w:bCs w:val="0"/>
          <w:i/>
          <w:iCs/>
          <w:color w:val="000000"/>
          <w:szCs w:val="21"/>
          <w:highlight w:val="none"/>
          <w:u w:val="single"/>
          <w:lang w:val="en-US" w:eastAsia="zh-CN"/>
        </w:rPr>
      </w:r>
      <w:r/>
    </w:p>
    <w:p>
      <w:pPr>
        <w:pStyle w:val="901"/>
        <w:numPr>
          <w:ilvl w:val="0"/>
          <w:numId w:val="0"/>
        </w:numPr>
        <w:jc w:val="left"/>
        <w:spacing w:line="360" w:lineRule="auto"/>
        <w:rPr>
          <w:rFonts w:hint="eastAsia" w:ascii="宋体" w:hAnsi="宋体" w:eastAsia="宋体" w:cs="宋体"/>
          <w:b/>
          <w:bCs/>
          <w:i/>
          <w:iCs/>
          <w:color w:val="000000"/>
          <w:szCs w:val="21"/>
          <w:highlight w:val="none"/>
          <w:u w:val="single"/>
          <w:lang w:val="en-US" w:eastAsia="zh-CN"/>
        </w:rPr>
      </w:pPr>
      <w:r>
        <w:rPr>
          <w:rFonts w:hint="eastAsia" w:ascii="宋体" w:hAnsi="宋体" w:eastAsia="宋体" w:cs="宋体"/>
          <w:b/>
          <w:bCs/>
          <w:i/>
          <w:iCs/>
          <w:color w:val="000000"/>
          <w:szCs w:val="21"/>
          <w:highlight w:val="none"/>
          <w:u w:val="single"/>
          <w:lang w:val="en-US" w:eastAsia="zh-CN"/>
        </w:rPr>
        <w:t xml:space="preserve">上述拟派人员均须为投标人正式员工，且不得相互兼任。投标人须在响应文件中提供上述人员的岗位承诺函</w:t>
      </w:r>
      <w:r>
        <w:rPr>
          <w:rFonts w:hint="eastAsia" w:ascii="宋体" w:hAnsi="宋体" w:eastAsia="宋体" w:cs="宋体"/>
          <w:b/>
          <w:bCs/>
          <w:i w:val="0"/>
          <w:iCs w:val="0"/>
          <w:color w:val="000000"/>
          <w:szCs w:val="21"/>
          <w:highlight w:val="none"/>
          <w:u w:val="single"/>
          <w:lang w:val="en-US" w:eastAsia="zh-CN"/>
        </w:rPr>
        <w:t xml:space="preserve">，</w:t>
      </w:r>
      <w:r>
        <w:rPr>
          <w:rFonts w:hint="eastAsia" w:ascii="宋体" w:hAnsi="宋体" w:eastAsia="宋体" w:cs="宋体"/>
          <w:b/>
          <w:bCs/>
          <w:i w:val="0"/>
          <w:iCs w:val="0"/>
          <w:color w:val="000000"/>
          <w:sz w:val="21"/>
          <w:szCs w:val="21"/>
          <w:highlight w:val="none"/>
          <w:u w:val="single"/>
          <w:lang w:val="en-US" w:eastAsia="zh-CN"/>
        </w:rPr>
        <w:t xml:space="preserve">并提供</w:t>
      </w:r>
      <w:r>
        <w:rPr>
          <w:rFonts w:hint="eastAsia" w:ascii="宋体" w:hAnsi="宋体" w:eastAsia="宋体" w:cs="宋体"/>
          <w:b/>
          <w:bCs/>
          <w:i w:val="0"/>
          <w:iCs w:val="0"/>
          <w:color w:val="000000"/>
          <w:sz w:val="21"/>
          <w:szCs w:val="21"/>
          <w:highlight w:val="none"/>
          <w:u w:val="single"/>
          <w:lang w:eastAsia="zh-CN"/>
        </w:rPr>
        <w:t xml:space="preserve">投标人近一年内</w:t>
      </w:r>
      <w:r>
        <w:rPr>
          <w:rFonts w:hint="eastAsia" w:hAnsi="宋体" w:eastAsia="宋体" w:cs="宋体"/>
          <w:b/>
          <w:bCs/>
          <w:i w:val="0"/>
          <w:iCs w:val="0"/>
          <w:color w:val="000000"/>
          <w:sz w:val="21"/>
          <w:szCs w:val="21"/>
          <w:highlight w:val="none"/>
          <w:u w:val="single"/>
          <w:lang w:val="en-US" w:eastAsia="zh-CN"/>
        </w:rPr>
        <w:t xml:space="preserve">任意</w:t>
      </w:r>
      <w:r>
        <w:rPr>
          <w:rFonts w:hint="eastAsia" w:ascii="宋体" w:hAnsi="宋体" w:eastAsia="宋体" w:cs="宋体"/>
          <w:b/>
          <w:bCs/>
          <w:i w:val="0"/>
          <w:iCs w:val="0"/>
          <w:color w:val="000000"/>
          <w:sz w:val="21"/>
          <w:szCs w:val="21"/>
          <w:highlight w:val="none"/>
          <w:u w:val="single"/>
          <w:lang w:eastAsia="zh-CN"/>
        </w:rPr>
        <w:t xml:space="preserve">一个月为其缴纳社保的证明材料</w:t>
      </w:r>
      <w:r>
        <w:rPr>
          <w:rFonts w:hint="eastAsia" w:ascii="宋体" w:hAnsi="宋体" w:eastAsia="宋体" w:cs="宋体"/>
          <w:b/>
          <w:bCs/>
          <w:i w:val="0"/>
          <w:iCs w:val="0"/>
          <w:color w:val="000000"/>
          <w:sz w:val="21"/>
          <w:szCs w:val="21"/>
          <w:highlight w:val="none"/>
          <w:u w:val="single"/>
          <w:lang w:val="en-US" w:eastAsia="zh-CN"/>
        </w:rPr>
        <w:t xml:space="preserve">原件扫描上传</w:t>
      </w:r>
      <w:r>
        <w:rPr>
          <w:rFonts w:hint="eastAsia" w:ascii="宋体" w:hAnsi="宋体" w:eastAsia="宋体" w:cs="宋体"/>
          <w:b/>
          <w:bCs/>
          <w:i w:val="0"/>
          <w:iCs w:val="0"/>
          <w:color w:val="000000"/>
          <w:sz w:val="21"/>
          <w:szCs w:val="21"/>
          <w:highlight w:val="none"/>
          <w:u w:val="single"/>
        </w:rPr>
        <w:t xml:space="preserve">，</w:t>
      </w:r>
      <w:r>
        <w:rPr>
          <w:rFonts w:hint="eastAsia" w:ascii="宋体" w:hAnsi="宋体" w:eastAsia="宋体" w:cs="宋体"/>
          <w:b/>
          <w:bCs/>
          <w:i/>
          <w:iCs/>
          <w:color w:val="000000"/>
          <w:szCs w:val="21"/>
          <w:highlight w:val="none"/>
          <w:u w:val="single"/>
          <w:lang w:val="en-US" w:eastAsia="zh-CN"/>
        </w:rPr>
        <w:t xml:space="preserve">未按要求提供证明材料的，视为未实质性响应。</w:t>
      </w:r>
      <w:r>
        <w:rPr>
          <w:rFonts w:hint="eastAsia" w:ascii="宋体" w:hAnsi="宋体" w:eastAsia="宋体" w:cs="宋体"/>
          <w:b/>
          <w:bCs/>
          <w:i/>
          <w:iCs/>
          <w:color w:val="000000"/>
          <w:szCs w:val="21"/>
          <w:highlight w:val="none"/>
          <w:u w:val="single"/>
          <w:lang w:val="en-US" w:eastAsia="zh-CN"/>
        </w:rPr>
      </w:r>
      <w:r/>
    </w:p>
    <w:p>
      <w:pPr>
        <w:pStyle w:val="901"/>
        <w:jc w:val="left"/>
        <w:spacing w:line="360" w:lineRule="auto"/>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五、商务要求</w:t>
      </w:r>
      <w:r>
        <w:rPr>
          <w:rFonts w:hint="eastAsia" w:ascii="宋体" w:hAnsi="宋体" w:eastAsia="宋体" w:cs="宋体"/>
          <w:b/>
          <w:bCs/>
          <w:color w:val="000000"/>
          <w:szCs w:val="21"/>
          <w:highlight w:val="none"/>
          <w:lang w:val="en-US" w:eastAsia="zh-CN"/>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工期：</w:t>
      </w:r>
      <w:r>
        <w:rPr>
          <w:rFonts w:hint="eastAsia" w:ascii="宋体" w:hAnsi="宋体" w:cs="宋体"/>
          <w:color w:val="000000"/>
          <w:sz w:val="21"/>
          <w:szCs w:val="21"/>
          <w:highlight w:val="none"/>
          <w:lang w:val="en-US" w:eastAsia="zh-CN" w:bidi="ar-SA"/>
        </w:rPr>
        <w:t xml:space="preserve">合同签订后150 日历天</w:t>
      </w:r>
      <w:r>
        <w:rPr>
          <w:rFonts w:hint="eastAsia" w:ascii="宋体" w:hAnsi="宋体" w:cs="宋体"/>
          <w:color w:val="000000"/>
          <w:sz w:val="21"/>
          <w:szCs w:val="21"/>
          <w:highlight w:val="none"/>
          <w:lang w:val="en-US" w:eastAsia="zh-CN" w:bidi="ar-SA"/>
        </w:rPr>
        <w:t xml:space="preserve">内</w:t>
      </w:r>
      <w:r>
        <w:rPr>
          <w:rFonts w:hint="eastAsia" w:ascii="宋体" w:hAnsi="宋体" w:eastAsia="宋体" w:cs="宋体"/>
          <w:color w:val="000000"/>
          <w:sz w:val="21"/>
          <w:szCs w:val="21"/>
          <w:highlight w:val="none"/>
          <w:lang w:val="en-US" w:eastAsia="zh-CN" w:bidi="ar-SA"/>
        </w:rPr>
        <w:t xml:space="preserve">完成整个工程的工程量并且合格，</w:t>
      </w:r>
      <w:r>
        <w:rPr>
          <w:rFonts w:hint="eastAsia" w:ascii="宋体" w:hAnsi="宋体" w:eastAsia="宋体" w:cs="宋体"/>
          <w:color w:val="000000"/>
          <w:sz w:val="21"/>
          <w:szCs w:val="21"/>
          <w:highlight w:val="none"/>
        </w:rPr>
        <w:t xml:space="preserve">计划开工日期：</w:t>
      </w:r>
      <w:r>
        <w:rPr>
          <w:rFonts w:hint="eastAsia" w:ascii="宋体" w:hAnsi="宋体" w:eastAsia="宋体" w:cs="宋体"/>
          <w:color w:val="000000"/>
          <w:sz w:val="21"/>
          <w:szCs w:val="21"/>
          <w:highlight w:val="none"/>
        </w:rPr>
        <w:t xml:space="preserve">2026年</w:t>
      </w:r>
      <w:r>
        <w:rPr>
          <w:rFonts w:hint="eastAsia" w:ascii="宋体" w:hAnsi="宋体" w:eastAsia="宋体" w:cs="宋体"/>
          <w:color w:val="000000"/>
          <w:sz w:val="21"/>
          <w:szCs w:val="21"/>
          <w:highlight w:val="none"/>
          <w:lang w:val="en-US" w:eastAsia="zh-CN"/>
        </w:rPr>
        <w:t xml:space="preserve">08</w:t>
      </w:r>
      <w:r>
        <w:rPr>
          <w:rFonts w:hint="eastAsia" w:ascii="宋体" w:hAnsi="宋体" w:eastAsia="宋体" w:cs="宋体"/>
          <w:color w:val="000000"/>
          <w:sz w:val="21"/>
          <w:szCs w:val="21"/>
          <w:highlight w:val="none"/>
        </w:rPr>
        <w:t xml:space="preserve">月</w:t>
      </w: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rPr>
        <w:t xml:space="preserve">日，计划竣工日期：202</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01</w:t>
      </w:r>
      <w:r>
        <w:rPr>
          <w:rFonts w:hint="eastAsia" w:ascii="宋体" w:hAnsi="宋体" w:eastAsia="宋体" w:cs="宋体"/>
          <w:color w:val="000000"/>
          <w:sz w:val="21"/>
          <w:szCs w:val="21"/>
          <w:highlight w:val="none"/>
        </w:rPr>
        <w:t xml:space="preserve">月20</w:t>
      </w:r>
      <w:r>
        <w:rPr>
          <w:rFonts w:hint="eastAsia" w:ascii="宋体" w:hAnsi="宋体" w:cs="宋体"/>
          <w:color w:val="000000"/>
          <w:sz w:val="21"/>
          <w:szCs w:val="21"/>
          <w:highlight w:val="none"/>
          <w:lang w:val="en-US" w:eastAsia="zh-CN"/>
        </w:rPr>
        <w:t xml:space="preserve">日</w:t>
      </w:r>
      <w:r>
        <w:rPr>
          <w:rFonts w:hint="eastAsia" w:ascii="宋体" w:hAnsi="宋体" w:eastAsia="宋体" w:cs="宋体"/>
          <w:color w:val="000000"/>
          <w:sz w:val="21"/>
          <w:szCs w:val="21"/>
          <w:highlight w:val="none"/>
        </w:rPr>
        <w:t xml:space="preserve">。（具体开工日期以甲方签发的书面开工通知为准）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bidi="ar-SA"/>
        </w:rPr>
        <w:t xml:space="preserve">2、</w:t>
      </w:r>
      <w:r>
        <w:rPr>
          <w:rFonts w:hint="eastAsia" w:ascii="宋体" w:hAnsi="宋体" w:eastAsia="宋体" w:cs="宋体"/>
          <w:i/>
          <w:iCs/>
          <w:color w:val="000000"/>
          <w:sz w:val="21"/>
          <w:szCs w:val="21"/>
          <w:highlight w:val="none"/>
          <w:u w:val="single"/>
        </w:rPr>
        <w:t xml:space="preserve">报价应按照采购人提供的工程量清单的格式，不得改变工程量清单。</w:t>
      </w:r>
      <w:r>
        <w:rPr>
          <w:rFonts w:hint="eastAsia" w:ascii="宋体" w:hAnsi="宋体" w:eastAsia="宋体" w:cs="宋体"/>
          <w:i/>
          <w:iCs/>
          <w:color w:val="000000"/>
          <w:sz w:val="21"/>
          <w:szCs w:val="21"/>
          <w:highlight w:val="none"/>
          <w:u w:val="single"/>
          <w:lang w:val="en-US" w:eastAsia="zh-CN"/>
        </w:rPr>
        <w:t xml:space="preserve">否则作无效响应。</w:t>
      </w:r>
      <w:r>
        <w:rPr>
          <w:rFonts w:hint="eastAsia" w:ascii="宋体" w:hAnsi="宋体" w:eastAsia="宋体" w:cs="宋体"/>
          <w:i/>
          <w:iCs/>
          <w:color w:val="000000"/>
          <w:sz w:val="21"/>
          <w:szCs w:val="21"/>
          <w:highlight w:val="none"/>
          <w:u w:val="single"/>
        </w:rPr>
        <w:t xml:space="preserve">报价应有详细的报价组成，应按采购人提供的工程量清单及相关费用、费率报价。漏报项视为价格已分摊到其他清单项中</w:t>
      </w:r>
      <w:r>
        <w:rPr>
          <w:rFonts w:hint="eastAsia" w:ascii="宋体" w:hAnsi="宋体" w:eastAsia="宋体" w:cs="宋体"/>
          <w:i/>
          <w:iCs/>
          <w:color w:val="000000"/>
          <w:sz w:val="21"/>
          <w:szCs w:val="21"/>
          <w:highlight w:val="none"/>
          <w:u w:val="single"/>
          <w:lang w:eastAsia="zh-CN"/>
        </w:rPr>
        <w:t xml:space="preserve">。</w:t>
      </w:r>
      <w:r>
        <w:rPr>
          <w:rFonts w:hint="eastAsia" w:ascii="宋体" w:hAnsi="宋体" w:eastAsia="宋体" w:cs="宋体"/>
          <w:color w:val="000000"/>
          <w:sz w:val="21"/>
          <w:szCs w:val="21"/>
          <w:highlight w:val="none"/>
          <w:lang w:eastAsia="zh-CN"/>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、以总价方式报价，</w:t>
      </w:r>
      <w:r>
        <w:rPr>
          <w:rFonts w:hint="eastAsia" w:ascii="宋体" w:hAnsi="宋体" w:eastAsia="宋体" w:cs="宋体"/>
          <w:color w:val="000000"/>
          <w:sz w:val="21"/>
          <w:szCs w:val="21"/>
          <w:highlight w:val="none"/>
          <w:lang w:val="en-US" w:eastAsia="zh-CN"/>
        </w:rPr>
        <w:t xml:space="preserve">中标价</w:t>
      </w:r>
      <w:r>
        <w:rPr>
          <w:rFonts w:hint="eastAsia" w:ascii="宋体" w:hAnsi="宋体" w:eastAsia="宋体" w:cs="宋体"/>
          <w:color w:val="000000"/>
          <w:sz w:val="21"/>
          <w:szCs w:val="21"/>
          <w:highlight w:val="none"/>
        </w:rPr>
        <w:t xml:space="preserve">即</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合同价</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01"/>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、本工程结算价需经有关部门审定确认。</w:t>
      </w:r>
      <w:r>
        <w:rPr>
          <w:rFonts w:hint="eastAsia" w:ascii="宋体" w:hAnsi="宋体" w:eastAsia="宋体" w:cs="宋体"/>
          <w:color w:val="000000"/>
          <w:sz w:val="21"/>
          <w:szCs w:val="21"/>
          <w:highlight w:val="none"/>
        </w:rPr>
      </w:r>
      <w:r/>
    </w:p>
    <w:p>
      <w:pPr>
        <w:pStyle w:val="113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应彻底自行踏勘现场，以充分了解项目位置、交通状况以及工作范围等任何足以影响其报价的情况。任何忽视或误解项目基本情况，而使采购人在项目实施过程中蒙受的损失，将由</w:t>
      </w:r>
      <w:r>
        <w:rPr>
          <w:rFonts w:hint="eastAsia"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进行赔偿。施工现场实际情况：现状道路通畅；交通便利，有道路通入施工现场；</w:t>
      </w:r>
      <w:r>
        <w:rPr>
          <w:rFonts w:hint="eastAsia" w:ascii="宋体" w:hAnsi="宋体" w:eastAsia="宋体" w:cs="宋体"/>
          <w:color w:val="000000"/>
          <w:sz w:val="21"/>
          <w:szCs w:val="21"/>
          <w:highlight w:val="none"/>
        </w:rPr>
      </w:r>
      <w:r/>
    </w:p>
    <w:p>
      <w:pPr>
        <w:pStyle w:val="1136"/>
        <w:ind w:firstLine="420"/>
        <w:keepLines w:val="0"/>
        <w:keepNext w:val="0"/>
        <w:pageBreakBefore w:val="0"/>
        <w:spacing w:line="360" w:lineRule="auto"/>
        <w:rPr>
          <w:rFonts w:hint="eastAsia" w:ascii="宋体" w:hAnsi="宋体" w:eastAsia="宋体" w:cs="宋体"/>
          <w:b/>
          <w:bCs/>
          <w:i/>
          <w:color w:val="000000"/>
          <w:sz w:val="21"/>
          <w:szCs w:val="21"/>
          <w:highlight w:val="none"/>
          <w:u w:val="single"/>
          <w:lang w:val="en-US" w:eastAsia="zh-CN"/>
        </w:rPr>
      </w:pPr>
      <w:r>
        <w:rPr>
          <w:rFonts w:hint="eastAsia"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质保期：</w:t>
      </w:r>
      <w:r>
        <w:rPr>
          <w:rFonts w:hint="eastAsia" w:hAnsi="宋体" w:cs="宋体"/>
          <w:color w:val="000000"/>
          <w:sz w:val="21"/>
          <w:szCs w:val="21"/>
          <w:highlight w:val="none"/>
          <w:lang w:val="en-US" w:eastAsia="zh-CN"/>
        </w:rPr>
        <w:t xml:space="preserve">2年</w:t>
      </w:r>
      <w:r>
        <w:rPr>
          <w:rFonts w:hint="eastAsia" w:ascii="宋体" w:hAnsi="宋体" w:eastAsia="宋体" w:cs="宋体"/>
          <w:color w:val="000000"/>
          <w:sz w:val="21"/>
          <w:szCs w:val="21"/>
          <w:highlight w:val="none"/>
          <w:lang w:val="en-US" w:eastAsia="zh-CN"/>
        </w:rPr>
        <w:t xml:space="preserve">。质保期间，</w:t>
      </w:r>
      <w:r>
        <w:rPr>
          <w:rFonts w:hint="eastAsia" w:hAnsi="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lang w:val="en-US" w:eastAsia="zh-CN"/>
        </w:rPr>
        <w:t xml:space="preserve">确保紧急事故处理，自通知后立即响应，3小时</w:t>
      </w:r>
      <w:r>
        <w:rPr>
          <w:rFonts w:hint="eastAsia" w:hAnsi="宋体" w:cs="宋体"/>
          <w:color w:val="000000"/>
          <w:sz w:val="21"/>
          <w:szCs w:val="21"/>
          <w:highlight w:val="none"/>
          <w:lang w:val="en-US" w:eastAsia="zh-CN"/>
        </w:rPr>
        <w:t xml:space="preserve">内</w:t>
      </w:r>
      <w:r>
        <w:rPr>
          <w:rFonts w:hint="eastAsia" w:ascii="宋体" w:hAnsi="宋体" w:eastAsia="宋体" w:cs="宋体"/>
          <w:color w:val="000000"/>
          <w:sz w:val="21"/>
          <w:szCs w:val="21"/>
          <w:highlight w:val="none"/>
          <w:lang w:val="en-US" w:eastAsia="zh-CN"/>
        </w:rPr>
        <w:t xml:space="preserve">到达现场</w:t>
      </w:r>
      <w:r>
        <w:rPr>
          <w:rFonts w:hint="eastAsia" w:hAnsi="宋体" w:cs="宋体"/>
          <w:color w:val="000000"/>
          <w:sz w:val="21"/>
          <w:szCs w:val="21"/>
          <w:highlight w:val="none"/>
          <w:lang w:val="en-US" w:eastAsia="zh-CN"/>
        </w:rPr>
        <w:t xml:space="preserve">。</w:t>
      </w:r>
      <w:r>
        <w:rPr>
          <w:rFonts w:hint="eastAsia" w:ascii="宋体" w:hAnsi="宋体" w:eastAsia="宋体" w:cs="宋体"/>
          <w:b/>
          <w:bCs/>
          <w:i/>
          <w:color w:val="000000"/>
          <w:sz w:val="21"/>
          <w:szCs w:val="21"/>
          <w:highlight w:val="none"/>
          <w:u w:val="single"/>
          <w:lang w:val="en-US" w:eastAsia="zh-CN"/>
        </w:rPr>
      </w:r>
      <w:r/>
    </w:p>
    <w:p>
      <w:pPr>
        <w:pStyle w:val="1136"/>
        <w:ind w:firstLine="422"/>
        <w:keepLines w:val="0"/>
        <w:keepNext w:val="0"/>
        <w:pageBreakBefore w:val="0"/>
        <w:spacing w:line="360" w:lineRule="auto"/>
        <w:rPr>
          <w:rFonts w:hint="eastAsia" w:ascii="宋体" w:hAnsi="宋体" w:eastAsia="宋体" w:cs="宋体"/>
          <w:i/>
          <w:iCs/>
          <w:color w:val="000000"/>
          <w:sz w:val="21"/>
          <w:szCs w:val="21"/>
          <w:highlight w:val="none"/>
          <w:u w:val="single"/>
        </w:rPr>
      </w:pPr>
      <w:r>
        <w:rPr>
          <w:rFonts w:hint="eastAsia" w:hAnsi="宋体" w:cs="宋体"/>
          <w:i/>
          <w:iCs/>
          <w:color w:val="000000"/>
          <w:sz w:val="21"/>
          <w:szCs w:val="21"/>
          <w:highlight w:val="none"/>
          <w:u w:val="single"/>
          <w:lang w:val="en-US" w:eastAsia="zh-CN"/>
        </w:rPr>
        <w:t xml:space="preserve">7、</w:t>
      </w:r>
      <w:r>
        <w:rPr>
          <w:rFonts w:hint="eastAsia" w:ascii="宋体" w:hAnsi="宋体" w:eastAsia="宋体" w:cs="宋体"/>
          <w:i/>
          <w:iCs/>
          <w:color w:val="000000"/>
          <w:sz w:val="21"/>
          <w:szCs w:val="21"/>
          <w:highlight w:val="none"/>
          <w:u w:val="single"/>
        </w:rPr>
        <w:t xml:space="preserve">本项目承包范围为</w:t>
      </w:r>
      <w:r>
        <w:rPr>
          <w:rFonts w:hint="eastAsia" w:hAnsi="宋体" w:cs="宋体"/>
          <w:i/>
          <w:iCs/>
          <w:color w:val="000000"/>
          <w:sz w:val="21"/>
          <w:szCs w:val="21"/>
          <w:highlight w:val="none"/>
          <w:u w:val="single"/>
          <w:lang w:val="en-US" w:eastAsia="zh-CN"/>
        </w:rPr>
        <w:t xml:space="preserve">采购</w:t>
      </w:r>
      <w:r>
        <w:rPr>
          <w:rFonts w:hint="eastAsia" w:ascii="宋体" w:hAnsi="宋体" w:eastAsia="宋体" w:cs="宋体"/>
          <w:i/>
          <w:iCs/>
          <w:color w:val="000000"/>
          <w:sz w:val="21"/>
          <w:szCs w:val="21"/>
          <w:highlight w:val="none"/>
          <w:u w:val="single"/>
        </w:rPr>
        <w:t xml:space="preserve">文件、工程量清单、图纸等附件范围相关的内容。</w:t>
      </w:r>
      <w:r>
        <w:rPr>
          <w:rFonts w:hint="eastAsia" w:hAnsi="宋体" w:cs="宋体"/>
          <w:i/>
          <w:iCs/>
          <w:color w:val="000000"/>
          <w:sz w:val="21"/>
          <w:szCs w:val="21"/>
          <w:highlight w:val="none"/>
          <w:u w:val="single"/>
          <w:lang w:eastAsia="zh-CN"/>
        </w:rPr>
        <w:t xml:space="preserve">投标人</w:t>
      </w:r>
      <w:r>
        <w:rPr>
          <w:rFonts w:hint="eastAsia" w:ascii="宋体" w:hAnsi="宋体" w:eastAsia="宋体" w:cs="宋体"/>
          <w:i/>
          <w:iCs/>
          <w:color w:val="000000"/>
          <w:sz w:val="21"/>
          <w:szCs w:val="21"/>
          <w:highlight w:val="none"/>
          <w:u w:val="single"/>
        </w:rPr>
        <w:t xml:space="preserve">应根据附件内容以现场踏勘为准仔细核对工程量清单，核对内容包括清单数量、清单特征、计量单位等，并将疑问在提问截止时间书面提出，如未提出任何疑问，则视为对采购人提供的工程量清单不存在问题。</w:t>
      </w:r>
      <w:r>
        <w:rPr>
          <w:rFonts w:hint="eastAsia" w:ascii="宋体" w:hAnsi="宋体" w:eastAsia="宋体" w:cs="宋体"/>
          <w:b/>
          <w:bCs/>
          <w:i/>
          <w:iCs/>
          <w:color w:val="000000"/>
          <w:sz w:val="21"/>
          <w:szCs w:val="21"/>
          <w:highlight w:val="none"/>
          <w:u w:val="single"/>
          <w:lang w:val="en-US" w:eastAsia="zh-CN" w:bidi="en-US"/>
        </w:rPr>
        <w:t xml:space="preserve">（须提供承诺</w:t>
      </w:r>
      <w:r>
        <w:rPr>
          <w:rFonts w:hint="eastAsia" w:hAnsi="宋体" w:cs="宋体"/>
          <w:b/>
          <w:bCs/>
          <w:i/>
          <w:iCs/>
          <w:color w:val="000000"/>
          <w:sz w:val="21"/>
          <w:szCs w:val="21"/>
          <w:highlight w:val="none"/>
          <w:u w:val="single"/>
          <w:lang w:val="en-US" w:eastAsia="zh-CN" w:bidi="en-US"/>
        </w:rPr>
        <w:t xml:space="preserve">原件扫描上传</w:t>
      </w:r>
      <w:r>
        <w:rPr>
          <w:rFonts w:hint="eastAsia" w:ascii="宋体" w:hAnsi="宋体" w:eastAsia="宋体" w:cs="宋体"/>
          <w:b/>
          <w:bCs/>
          <w:i/>
          <w:iCs/>
          <w:color w:val="000000"/>
          <w:sz w:val="21"/>
          <w:szCs w:val="21"/>
          <w:highlight w:val="none"/>
          <w:u w:val="single"/>
          <w:lang w:val="en-US" w:eastAsia="zh-CN" w:bidi="en-US"/>
        </w:rPr>
        <w:t xml:space="preserve">，格式自拟）</w:t>
      </w:r>
      <w:r>
        <w:rPr>
          <w:rFonts w:hint="eastAsia" w:ascii="宋体" w:hAnsi="宋体" w:eastAsia="宋体" w:cs="宋体"/>
          <w:i/>
          <w:iCs/>
          <w:color w:val="000000"/>
          <w:sz w:val="21"/>
          <w:szCs w:val="21"/>
          <w:highlight w:val="none"/>
          <w:u w:val="single"/>
          <w:lang w:val="en-US" w:eastAsia="zh-CN" w:bidi="en-US"/>
        </w:rPr>
        <w:t xml:space="preserve">。</w:t>
      </w:r>
      <w:r>
        <w:rPr>
          <w:rFonts w:hint="eastAsia" w:ascii="宋体" w:hAnsi="宋体" w:eastAsia="宋体" w:cs="宋体"/>
          <w:i/>
          <w:iCs/>
          <w:color w:val="000000"/>
          <w:sz w:val="21"/>
          <w:szCs w:val="21"/>
          <w:highlight w:val="none"/>
          <w:u w:val="single"/>
        </w:rPr>
      </w:r>
      <w:r/>
    </w:p>
    <w:p>
      <w:pPr>
        <w:pStyle w:val="90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、报价编制要求 </w:t>
      </w:r>
      <w:r>
        <w:rPr>
          <w:rFonts w:hint="eastAsia" w:ascii="宋体" w:hAnsi="宋体" w:eastAsia="宋体" w:cs="宋体"/>
          <w:color w:val="000000"/>
          <w:sz w:val="21"/>
          <w:szCs w:val="21"/>
          <w:highlight w:val="none"/>
        </w:rPr>
      </w:r>
      <w:r/>
    </w:p>
    <w:p>
      <w:pPr>
        <w:pStyle w:val="901"/>
        <w:ind w:firstLine="420"/>
        <w:jc w:val="left"/>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bidi="ar"/>
        </w:rPr>
        <w:t xml:space="preserve">.1所有报价以人民币表示，</w:t>
      </w:r>
      <w:r>
        <w:rPr>
          <w:rFonts w:hint="eastAsia" w:ascii="宋体" w:hAnsi="宋体" w:eastAsia="宋体" w:cs="宋体"/>
          <w:color w:val="000000"/>
          <w:sz w:val="21"/>
          <w:szCs w:val="21"/>
          <w:highlight w:val="none"/>
          <w:lang w:eastAsia="zh-CN" w:bidi="ar"/>
        </w:rPr>
        <w:t xml:space="preserve">投标</w:t>
      </w:r>
      <w:r>
        <w:rPr>
          <w:rFonts w:hint="eastAsia" w:ascii="宋体" w:hAnsi="宋体" w:eastAsia="宋体" w:cs="宋体"/>
          <w:color w:val="000000"/>
          <w:sz w:val="21"/>
          <w:szCs w:val="21"/>
          <w:highlight w:val="none"/>
          <w:lang w:bidi="ar"/>
        </w:rPr>
        <w:t xml:space="preserve">报价单位为元，保留小数点后两位。</w:t>
      </w:r>
      <w:r>
        <w:rPr>
          <w:rFonts w:hint="eastAsia" w:ascii="宋体" w:hAnsi="宋体" w:eastAsia="宋体" w:cs="宋体"/>
          <w:color w:val="000000"/>
          <w:sz w:val="21"/>
          <w:szCs w:val="21"/>
          <w:highlight w:val="none"/>
        </w:rPr>
      </w:r>
      <w:r/>
    </w:p>
    <w:p>
      <w:pPr>
        <w:pStyle w:val="1136"/>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.2</w:t>
      </w:r>
      <w:r>
        <w:rPr>
          <w:rFonts w:hint="eastAsia"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在</w:t>
      </w:r>
      <w:r>
        <w:rPr>
          <w:rFonts w:hint="eastAsia"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截止时间前修改</w:t>
      </w:r>
      <w:r>
        <w:rPr>
          <w:rFonts w:hint="eastAsia" w:hAnsi="宋体" w:cs="宋体"/>
          <w:color w:val="000000"/>
          <w:sz w:val="21"/>
          <w:szCs w:val="21"/>
          <w:highlight w:val="none"/>
          <w:lang w:val="en-US" w:eastAsia="zh-CN"/>
        </w:rPr>
        <w:t xml:space="preserve">报价</w:t>
      </w:r>
      <w:r>
        <w:rPr>
          <w:rFonts w:hint="eastAsia" w:ascii="宋体" w:hAnsi="宋体" w:eastAsia="宋体" w:cs="宋体"/>
          <w:color w:val="000000"/>
          <w:sz w:val="21"/>
          <w:szCs w:val="21"/>
          <w:highlight w:val="none"/>
        </w:rPr>
        <w:t xml:space="preserve">函中的报价，应同时修改“工程量清单”中的相应报价。</w:t>
      </w:r>
      <w:r>
        <w:rPr>
          <w:rFonts w:hint="eastAsia" w:ascii="宋体" w:hAnsi="宋体" w:eastAsia="宋体" w:cs="宋体"/>
          <w:color w:val="000000"/>
          <w:sz w:val="21"/>
          <w:szCs w:val="21"/>
          <w:highlight w:val="none"/>
        </w:rPr>
      </w:r>
      <w:r/>
    </w:p>
    <w:p>
      <w:pPr>
        <w:pStyle w:val="1136"/>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.3除</w:t>
      </w:r>
      <w:r>
        <w:rPr>
          <w:rFonts w:hint="eastAsia"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文件有强制性规定以及不可竞争部分以外，</w:t>
      </w:r>
      <w:r>
        <w:rPr>
          <w:rFonts w:hint="eastAsia" w:hAnsi="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报价应根据</w:t>
      </w:r>
      <w:r>
        <w:rPr>
          <w:rFonts w:hint="eastAsia" w:hAnsi="宋体" w:cs="宋体"/>
          <w:color w:val="000000"/>
          <w:sz w:val="21"/>
          <w:szCs w:val="21"/>
          <w:highlight w:val="none"/>
          <w:lang w:val="en-US" w:eastAsia="zh-CN"/>
        </w:rPr>
        <w:t xml:space="preserve">采购</w:t>
      </w:r>
      <w:r>
        <w:rPr>
          <w:rFonts w:hint="eastAsia" w:ascii="宋体" w:hAnsi="宋体" w:eastAsia="宋体" w:cs="宋体"/>
          <w:color w:val="000000"/>
          <w:sz w:val="21"/>
          <w:szCs w:val="21"/>
          <w:highlight w:val="none"/>
        </w:rPr>
        <w:t xml:space="preserve">文件中的有关要求，并依据</w:t>
      </w:r>
      <w:r>
        <w:rPr>
          <w:rFonts w:hint="eastAsia" w:hAnsi="宋体" w:cs="宋体"/>
          <w:color w:val="000000"/>
          <w:sz w:val="21"/>
          <w:szCs w:val="21"/>
          <w:highlight w:val="none"/>
          <w:lang w:eastAsia="zh-CN"/>
        </w:rPr>
        <w:t xml:space="preserve">投标人</w:t>
      </w:r>
      <w:r>
        <w:rPr>
          <w:rFonts w:hint="eastAsia" w:ascii="宋体" w:hAnsi="宋体" w:eastAsia="宋体" w:cs="宋体"/>
          <w:color w:val="000000"/>
          <w:sz w:val="21"/>
          <w:szCs w:val="21"/>
          <w:highlight w:val="none"/>
        </w:rPr>
        <w:t xml:space="preserve">根据工程实际情况和本企业经营管理水平自主合理报价，但不得低于企业成本价。</w:t>
      </w:r>
      <w:r>
        <w:rPr>
          <w:rFonts w:hint="eastAsia" w:ascii="宋体" w:hAnsi="宋体" w:eastAsia="宋体" w:cs="宋体"/>
          <w:color w:val="000000"/>
          <w:sz w:val="21"/>
          <w:szCs w:val="21"/>
          <w:highlight w:val="none"/>
        </w:rPr>
      </w:r>
      <w:r/>
    </w:p>
    <w:p>
      <w:pPr>
        <w:pStyle w:val="1136"/>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8.4投标人根据本项目合同分包条款约定的具体情况，综合考虑总承包服务费，包含在本次报价中。</w:t>
      </w:r>
      <w:r>
        <w:rPr>
          <w:rFonts w:hint="eastAsia" w:ascii="宋体" w:hAnsi="宋体" w:eastAsia="宋体" w:cs="宋体"/>
          <w:color w:val="000000"/>
          <w:sz w:val="21"/>
          <w:szCs w:val="21"/>
          <w:highlight w:val="none"/>
          <w:lang w:val="en-US" w:eastAsia="zh-CN"/>
        </w:rPr>
      </w:r>
      <w:r/>
    </w:p>
    <w:p>
      <w:pPr>
        <w:pStyle w:val="901"/>
        <w:ind w:firstLine="420"/>
        <w:jc w:val="left"/>
        <w:keepLines w:val="0"/>
        <w:keepNext w:val="0"/>
        <w:pageBreakBefore w:val="0"/>
        <w:spacing w:line="36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9、验收标准：</w:t>
      </w:r>
      <w:r>
        <w:rPr>
          <w:rFonts w:ascii="宋体" w:hAnsi="宋体" w:eastAsia="宋体" w:cs="宋体"/>
          <w:color w:val="000000"/>
          <w:sz w:val="21"/>
          <w:szCs w:val="21"/>
          <w:highlight w:val="none"/>
          <w:lang w:val="en-US" w:eastAsia="zh-CN" w:bidi="ar"/>
        </w:rPr>
      </w:r>
      <w:r/>
    </w:p>
    <w:p>
      <w:pPr>
        <w:pStyle w:val="90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经第三方检测各项指标符合国家相关标准要求，并成立专家验收小组进行验收。专家验收小组组成：3人及以上单数，专业人员占比≥2/3；可邀请使用人、专家、第三方参与 。</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    9.1质量标准</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    9.1.1一次性验收合格，符合国家现行规范。环</w:t>
      </w:r>
      <w:r>
        <w:rPr>
          <w:rFonts w:hint="eastAsia" w:ascii="宋体" w:hAnsi="宋体" w:eastAsia="宋体" w:cs="宋体"/>
          <w:color w:val="000000"/>
          <w:sz w:val="21"/>
          <w:szCs w:val="21"/>
          <w:highlight w:val="none"/>
          <w:lang w:val="en-US" w:eastAsia="zh-CN" w:bidi="ar"/>
        </w:rPr>
        <w:t xml:space="preserve">境指标（GB14925-2023）（包含不限于以下指标）</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(1)屏障环境：温度20-26℃，相对湿度30-70%，换气次数≥15次/h，洁净度7级；</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(2)普通环境：温度18-26℃，相对湿度30-70%，换气次数≥12次/h；</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(3)压差梯度：洁净走廊→饲养间→污物走廊→外界，三级正压；</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   9.1.2第三方环境检测合格；</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   9.1.3施工方需配合发包方取得《实验动物使用许可证》《实验动物生产许可证》。</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   9.2验收程序</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(1)材料进场验收（材质证明、检测报告、品牌核对）；</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(2)系统联调（所有监控点测试，数据记录）；</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(3)第三方检测（不合格费用由乙方承担并整改至合格）；</w:t>
      </w:r>
      <w:r>
        <w:rPr>
          <w:rFonts w:hint="eastAsia" w:ascii="宋体" w:hAnsi="宋体" w:eastAsia="宋体" w:cs="宋体"/>
          <w:color w:val="000000"/>
          <w:sz w:val="21"/>
          <w:szCs w:val="21"/>
          <w:highlight w:val="none"/>
          <w:lang w:val="en-US" w:eastAsia="zh-CN" w:bidi="ar"/>
        </w:rPr>
        <w:br w:type="textWrapping" w:clear="all"/>
      </w:r>
      <w:r>
        <w:rPr>
          <w:rFonts w:hint="eastAsia" w:ascii="宋体" w:hAnsi="宋体" w:eastAsia="宋体" w:cs="宋体"/>
          <w:color w:val="000000"/>
          <w:sz w:val="21"/>
          <w:szCs w:val="21"/>
          <w:highlight w:val="none"/>
          <w:lang w:val="en-US" w:eastAsia="zh-CN" w:bidi="ar"/>
        </w:rPr>
        <w:t xml:space="preserve">(4)竣工资料（竣工图、说明书、合格证、检测报告、调试报告、培训记录、SOP）。</w:t>
      </w:r>
      <w:r>
        <w:rPr>
          <w:rFonts w:hint="eastAsia" w:ascii="宋体" w:hAnsi="宋体" w:eastAsia="宋体" w:cs="宋体"/>
          <w:color w:val="000000"/>
          <w:sz w:val="21"/>
          <w:szCs w:val="21"/>
          <w:highlight w:val="none"/>
          <w:lang w:val="en-US" w:eastAsia="zh-CN" w:bidi="ar"/>
        </w:rPr>
      </w:r>
      <w:r/>
    </w:p>
    <w:p>
      <w:pPr>
        <w:pStyle w:val="901"/>
        <w:ind w:firstLine="420"/>
        <w:jc w:val="left"/>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10、付款周期</w:t>
      </w:r>
      <w:r>
        <w:rPr>
          <w:rFonts w:hint="eastAsia" w:ascii="宋体" w:hAnsi="宋体" w:eastAsia="宋体" w:cs="宋体"/>
          <w:color w:val="000000"/>
          <w:sz w:val="21"/>
          <w:szCs w:val="21"/>
          <w:highlight w:val="none"/>
          <w:lang w:val="en-US" w:eastAsia="zh-CN" w:bidi="ar"/>
        </w:rPr>
      </w:r>
      <w:r/>
    </w:p>
    <w:p>
      <w:pPr>
        <w:pStyle w:val="901"/>
        <w:ind w:firstLine="371"/>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10.1</w:t>
      </w:r>
      <w:r>
        <w:rPr>
          <w:rFonts w:hint="eastAsia" w:ascii="宋体" w:hAnsi="宋体" w:cs="宋体"/>
          <w:color w:val="000000"/>
          <w:szCs w:val="21"/>
          <w:highlight w:val="none"/>
        </w:rPr>
        <w:t xml:space="preserve">合同总额包括但不限于所有设备、材料、管理费、税金、包装费、运杂费、保险费、卸力费、安装调试费、资料费、保修期内维修费用及服务费等直至完全交付甲方使用的所有费用；</w:t>
      </w:r>
      <w:r>
        <w:rPr>
          <w:rFonts w:ascii="宋体" w:hAnsi="宋体" w:cs="宋体"/>
          <w:color w:val="000000"/>
          <w:szCs w:val="21"/>
          <w:highlight w:val="none"/>
        </w:rPr>
      </w:r>
      <w:r/>
    </w:p>
    <w:p>
      <w:pPr>
        <w:pStyle w:val="901"/>
        <w:ind w:firstLine="56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10.2</w:t>
      </w:r>
      <w:r>
        <w:rPr>
          <w:rFonts w:hint="eastAsia" w:ascii="宋体" w:hAnsi="宋体" w:cs="宋体"/>
          <w:color w:val="000000"/>
          <w:szCs w:val="21"/>
          <w:highlight w:val="none"/>
        </w:rPr>
        <w:t xml:space="preserve">发包人按工程进度付款：每月按应予计量的已完工程合同价格的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%支付（不包含设计变更、签证等合同价以外调整费用）。付款时，发包人还应扣除①发包人代缴的相关费用；②计入合同价格的甲供材料和设备费用；</w:t>
      </w:r>
      <w:r>
        <w:rPr>
          <w:rFonts w:hint="eastAsia"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10.3</w:t>
      </w:r>
      <w:r>
        <w:rPr>
          <w:rFonts w:hint="eastAsia" w:ascii="宋体" w:hAnsi="宋体" w:cs="宋体"/>
          <w:color w:val="000000"/>
          <w:szCs w:val="21"/>
          <w:highlight w:val="none"/>
        </w:rPr>
        <w:t xml:space="preserve">工程竣工，付至应予计量的已完工程合同价格的</w:t>
      </w:r>
      <w:r>
        <w:rPr>
          <w:rFonts w:hint="eastAsia" w:ascii="宋体" w:hAnsi="宋体" w:cs="宋体"/>
          <w:color w:val="000000"/>
          <w:szCs w:val="21"/>
          <w:highlight w:val="none"/>
          <w:lang w:val="en-US" w:eastAsia="zh-CN"/>
        </w:rPr>
        <w:t xml:space="preserve">80</w:t>
      </w:r>
      <w:r>
        <w:rPr>
          <w:rFonts w:hint="eastAsia" w:ascii="宋体" w:hAnsi="宋体" w:cs="宋体"/>
          <w:color w:val="000000"/>
          <w:szCs w:val="21"/>
          <w:highlight w:val="none"/>
        </w:rPr>
        <w:t xml:space="preserve">%（不包含设计变更、签证等合同价以外调整费用），同时扣清预付的安全文明措施费用。发包人和监理人对进度款的审核仅作为进度付款依据。</w:t>
      </w:r>
      <w:r>
        <w:rPr>
          <w:rFonts w:ascii="宋体" w:hAnsi="宋体" w:cs="宋体"/>
          <w:color w:val="000000"/>
          <w:szCs w:val="21"/>
          <w:highlight w:val="none"/>
        </w:rPr>
      </w:r>
      <w:r/>
    </w:p>
    <w:p>
      <w:pPr>
        <w:pStyle w:val="901"/>
        <w:ind w:firstLine="560"/>
        <w:spacing w:line="360" w:lineRule="auto"/>
        <w:rPr>
          <w:rFonts w:ascii="宋体" w:hAnsi="宋体" w:cs="宋体"/>
          <w:color w:val="000000"/>
          <w:szCs w:val="21"/>
          <w:highlight w:val="none"/>
        </w:rPr>
      </w:pPr>
      <w:r>
        <w:rPr>
          <w:rFonts w:hint="eastAsia" w:ascii="宋体" w:hAnsi="宋体" w:cs="宋体"/>
          <w:color w:val="000000"/>
          <w:szCs w:val="21"/>
          <w:highlight w:val="none"/>
          <w:lang w:val="en-US" w:eastAsia="zh-CN"/>
        </w:rPr>
        <w:t xml:space="preserve">10.4</w:t>
      </w:r>
      <w:r>
        <w:rPr>
          <w:rFonts w:hint="eastAsia" w:ascii="宋体" w:hAnsi="宋体" w:cs="宋体"/>
          <w:color w:val="000000"/>
          <w:szCs w:val="21"/>
          <w:highlight w:val="none"/>
        </w:rPr>
        <w:t xml:space="preserve">发包人审计完成后，结付至审计价的97%。余款3%作为工程质量保证金，待工程缺陷责任期满且履行了缺陷修复义务后一次性结清（不计利息）。</w:t>
      </w:r>
      <w:r>
        <w:rPr>
          <w:rFonts w:ascii="宋体" w:hAnsi="宋体" w:cs="宋体"/>
          <w:color w:val="000000"/>
          <w:szCs w:val="21"/>
          <w:highlight w:val="none"/>
        </w:rPr>
      </w:r>
      <w:r/>
    </w:p>
    <w:p>
      <w:pPr>
        <w:pStyle w:val="901"/>
        <w:ind w:firstLine="56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上述款项的支付，须以承包人提供合法票据为前提。</w:t>
      </w:r>
      <w:r>
        <w:rPr>
          <w:rFonts w:hint="eastAsia" w:ascii="宋体" w:hAnsi="宋体" w:cs="宋体"/>
          <w:color w:val="000000"/>
          <w:szCs w:val="21"/>
          <w:highlight w:val="none"/>
        </w:rPr>
      </w:r>
      <w:r/>
    </w:p>
    <w:p>
      <w:pPr>
        <w:pStyle w:val="913"/>
        <w:numPr>
          <w:ilvl w:val="0"/>
          <w:numId w:val="0"/>
        </w:numPr>
        <w:ind w:left="420"/>
        <w:tabs>
          <w:tab w:val="left" w:pos="780" w:leader="none"/>
        </w:tabs>
        <w:rPr>
          <w:rFonts w:eastAsia="宋体"/>
          <w:color w:val="000000"/>
          <w:highlight w:val="none"/>
          <w:lang w:val="en-US" w:eastAsia="zh-CN"/>
        </w:rPr>
      </w:pPr>
      <w:r>
        <w:rPr>
          <w:rFonts w:eastAsia="宋体"/>
          <w:color w:val="000000"/>
          <w:highlight w:val="none"/>
          <w:lang w:val="en-US" w:eastAsia="zh-CN"/>
        </w:rPr>
      </w:r>
      <w:r/>
    </w:p>
    <w:p>
      <w:pPr>
        <w:pStyle w:val="902"/>
        <w:ind w:firstLine="1807"/>
        <w:spacing w:line="360" w:lineRule="auto"/>
        <w:rPr>
          <w:rFonts w:hint="eastAsia" w:ascii="宋体" w:hAnsi="宋体" w:cs="宋体"/>
          <w:color w:val="000000"/>
          <w:sz w:val="36"/>
          <w:highlight w:val="none"/>
          <w:lang w:val="en-US" w:eastAsia="zh-CN"/>
        </w:rPr>
      </w:pPr>
      <w:r>
        <w:rPr>
          <w:rFonts w:hint="eastAsia" w:ascii="宋体" w:hAnsi="宋体" w:cs="宋体"/>
          <w:color w:val="000000"/>
          <w:sz w:val="36"/>
          <w:highlight w:val="none"/>
          <w:lang w:val="en-US" w:eastAsia="zh-CN"/>
        </w:rPr>
      </w:r>
      <w:r/>
    </w:p>
    <w:p>
      <w:pPr>
        <w:pStyle w:val="901"/>
        <w:rPr>
          <w:rFonts w:hint="eastAsia" w:ascii="宋体" w:hAnsi="宋体" w:cs="宋体"/>
          <w:color w:val="000000"/>
          <w:sz w:val="36"/>
          <w:highlight w:val="none"/>
        </w:rPr>
      </w:pPr>
      <w:r>
        <w:rPr>
          <w:rFonts w:hint="eastAsia" w:ascii="宋体" w:hAnsi="宋体" w:cs="宋体"/>
          <w:color w:val="000000"/>
          <w:sz w:val="36"/>
          <w:highlight w:val="none"/>
        </w:rPr>
      </w:r>
      <w:r/>
    </w:p>
    <w:p>
      <w:pPr>
        <w:pStyle w:val="901"/>
        <w:rPr>
          <w:rFonts w:hint="eastAsia" w:ascii="宋体" w:hAnsi="宋体" w:cs="宋体"/>
          <w:color w:val="000000"/>
          <w:sz w:val="36"/>
          <w:highlight w:val="none"/>
        </w:rPr>
      </w:pPr>
      <w:r>
        <w:rPr>
          <w:rFonts w:hint="eastAsia" w:ascii="宋体" w:hAnsi="宋体" w:cs="宋体"/>
          <w:color w:val="000000"/>
          <w:sz w:val="36"/>
          <w:highlight w:val="none"/>
        </w:rPr>
      </w:r>
      <w:r/>
    </w:p>
    <w:p>
      <w:pPr>
        <w:pStyle w:val="902"/>
        <w:ind w:firstLine="1807"/>
        <w:spacing w:line="360" w:lineRule="auto"/>
        <w:rPr>
          <w:rFonts w:hint="eastAsia" w:ascii="宋体" w:hAnsi="宋体" w:cs="宋体"/>
          <w:color w:val="000000"/>
          <w:sz w:val="36"/>
          <w:highlight w:val="none"/>
        </w:rPr>
      </w:pPr>
      <w:r>
        <w:rPr>
          <w:rFonts w:hint="eastAsia" w:ascii="宋体" w:hAnsi="宋体" w:cs="宋体"/>
          <w:color w:val="000000"/>
          <w:sz w:val="36"/>
          <w:highlight w:val="none"/>
        </w:rPr>
        <w:t xml:space="preserve">第五章 </w:t>
      </w:r>
      <w:bookmarkEnd w:id="168"/>
      <w:r/>
      <w:bookmarkEnd w:id="169"/>
      <w:r>
        <w:rPr>
          <w:rFonts w:hint="eastAsia" w:ascii="宋体" w:hAnsi="宋体"/>
          <w:color w:val="000000"/>
          <w:sz w:val="36"/>
          <w:highlight w:val="none"/>
        </w:rPr>
        <w:t xml:space="preserve">评标方法与评标标准</w:t>
      </w:r>
      <w:bookmarkEnd w:id="170"/>
      <w:r>
        <w:rPr>
          <w:rFonts w:hint="eastAsia" w:ascii="宋体" w:hAnsi="宋体" w:cs="宋体"/>
          <w:color w:val="000000"/>
          <w:sz w:val="36"/>
          <w:highlight w:val="none"/>
        </w:rPr>
      </w:r>
      <w:r/>
    </w:p>
    <w:p>
      <w:pPr>
        <w:pStyle w:val="1103"/>
        <w:ind w:firstLine="422"/>
        <w:spacing w:line="360" w:lineRule="auto"/>
        <w:rPr>
          <w:rFonts w:hint="eastAsia" w:ascii="宋体" w:hAnsi="宋体" w:cs="宋体"/>
          <w:b/>
          <w:color w:val="000000"/>
          <w:sz w:val="21"/>
          <w:szCs w:val="21"/>
          <w:highlight w:val="none"/>
        </w:rPr>
      </w:pPr>
      <w:r>
        <w:rPr>
          <w:rFonts w:hint="eastAsia" w:ascii="宋体" w:hAnsi="宋体" w:cs="宋体"/>
          <w:b/>
          <w:color w:val="000000"/>
          <w:sz w:val="21"/>
          <w:szCs w:val="21"/>
          <w:highlight w:val="none"/>
        </w:rPr>
        <w:t xml:space="preserve">一、评标方法</w:t>
      </w:r>
      <w:r>
        <w:rPr>
          <w:rFonts w:hint="eastAsia" w:ascii="宋体" w:hAnsi="宋体" w:cs="宋体"/>
          <w:b/>
          <w:color w:val="000000"/>
          <w:sz w:val="21"/>
          <w:szCs w:val="21"/>
          <w:highlight w:val="none"/>
        </w:rPr>
      </w:r>
      <w:r/>
    </w:p>
    <w:p>
      <w:pPr>
        <w:pStyle w:val="901"/>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bookmarkStart w:id="172" w:name="_Toc449016388"/>
      <w:r/>
      <w:bookmarkStart w:id="173" w:name="_Toc449017024"/>
      <w:r>
        <w:rPr>
          <w:rFonts w:hint="eastAsia" w:ascii="宋体" w:hAnsi="宋体" w:cs="宋体"/>
          <w:color w:val="000000"/>
          <w:szCs w:val="21"/>
          <w:highlight w:val="none"/>
        </w:rPr>
        <w:t xml:space="preserve">本次采用综合评分法，</w:t>
      </w:r>
      <w:r>
        <w:rPr>
          <w:rFonts w:hint="eastAsia" w:ascii="宋体" w:hAnsi="宋体" w:eastAsia="宋体" w:cs="宋体"/>
          <w:color w:val="000000"/>
          <w:sz w:val="21"/>
          <w:szCs w:val="21"/>
          <w:highlight w:val="none"/>
        </w:rPr>
        <w:t xml:space="preserve">本项目采用综合评分法，</w:t>
      </w:r>
      <w:r>
        <w:rPr>
          <w:rFonts w:hint="eastAsia" w:ascii="宋体" w:hAnsi="宋体" w:eastAsia="宋体" w:cs="宋体"/>
          <w:color w:val="000000"/>
          <w:sz w:val="21"/>
          <w:szCs w:val="21"/>
          <w:highlight w:val="none"/>
          <w:lang w:val="en-US" w:eastAsia="zh-CN"/>
        </w:rPr>
        <w:t xml:space="preserve">评标委员会</w:t>
      </w:r>
      <w:r>
        <w:rPr>
          <w:rFonts w:hint="eastAsia" w:ascii="宋体" w:hAnsi="宋体" w:eastAsia="宋体" w:cs="宋体"/>
          <w:color w:val="000000"/>
          <w:sz w:val="21"/>
          <w:szCs w:val="21"/>
          <w:highlight w:val="none"/>
        </w:rPr>
        <w:t xml:space="preserve">将对确定为实质性响应采购文件要求的</w:t>
      </w:r>
      <w:r>
        <w:rPr>
          <w:rFonts w:hint="eastAsia" w:ascii="宋体" w:hAnsi="宋体" w:eastAsia="宋体" w:cs="宋体"/>
          <w:color w:val="000000"/>
          <w:sz w:val="21"/>
          <w:szCs w:val="21"/>
          <w:highlight w:val="none"/>
          <w:lang w:val="en-US" w:eastAsia="zh-CN"/>
        </w:rPr>
        <w:t xml:space="preserve">投标</w:t>
      </w:r>
      <w:r>
        <w:rPr>
          <w:rFonts w:hint="eastAsia" w:ascii="宋体" w:hAnsi="宋体" w:eastAsia="宋体" w:cs="宋体"/>
          <w:color w:val="000000"/>
          <w:sz w:val="21"/>
          <w:szCs w:val="21"/>
          <w:highlight w:val="none"/>
        </w:rPr>
        <w:t xml:space="preserve">文件进行评价和比较。评审结果按评审后得分由高到低顺序排列。</w:t>
      </w:r>
      <w:r>
        <w:rPr>
          <w:rFonts w:hint="eastAsia" w:ascii="宋体" w:hAnsi="宋体" w:cs="宋体"/>
          <w:color w:val="000000"/>
          <w:sz w:val="21"/>
          <w:szCs w:val="21"/>
          <w:highlight w:val="none"/>
          <w:lang w:val="en-US" w:eastAsia="zh-CN"/>
        </w:rPr>
        <w:t xml:space="preserve">评分</w:t>
      </w:r>
      <w:r>
        <w:rPr>
          <w:rFonts w:hint="eastAsia" w:ascii="宋体" w:hAnsi="宋体" w:eastAsia="宋体" w:cs="宋体"/>
          <w:color w:val="000000"/>
          <w:sz w:val="21"/>
          <w:szCs w:val="21"/>
          <w:highlight w:val="none"/>
        </w:rPr>
        <w:t xml:space="preserve">得分相同的，按</w:t>
      </w: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报价由低到高顺序</w:t>
      </w:r>
      <w:r>
        <w:rPr>
          <w:rFonts w:hint="eastAsia" w:ascii="宋体" w:hAnsi="宋体" w:cs="宋体"/>
          <w:color w:val="000000"/>
          <w:sz w:val="21"/>
          <w:szCs w:val="21"/>
          <w:highlight w:val="none"/>
          <w:lang w:val="en-US" w:eastAsia="zh-CN"/>
        </w:rPr>
        <w:t xml:space="preserve">推荐</w:t>
      </w:r>
      <w:r>
        <w:rPr>
          <w:rFonts w:hint="eastAsia" w:ascii="宋体" w:hAnsi="宋体" w:eastAsia="宋体" w:cs="宋体"/>
          <w:color w:val="000000"/>
          <w:sz w:val="21"/>
          <w:szCs w:val="21"/>
          <w:highlight w:val="none"/>
        </w:rPr>
        <w:t xml:space="preserve">排列。</w:t>
      </w:r>
      <w:r>
        <w:rPr>
          <w:rFonts w:hint="eastAsia" w:ascii="宋体" w:hAnsi="宋体" w:cs="宋体"/>
          <w:color w:val="000000"/>
          <w:sz w:val="21"/>
          <w:szCs w:val="21"/>
          <w:highlight w:val="none"/>
          <w:lang w:val="en-US" w:eastAsia="zh-CN"/>
        </w:rPr>
        <w:t xml:space="preserve">评审得分且最后报价相同的，按照实施方案优劣顺序排序</w:t>
      </w:r>
      <w:r>
        <w:rPr>
          <w:rFonts w:hint="eastAsia" w:ascii="宋体" w:hAnsi="宋体" w:eastAsia="宋体" w:cs="宋体"/>
          <w:color w:val="000000"/>
          <w:sz w:val="21"/>
          <w:szCs w:val="21"/>
          <w:highlight w:val="none"/>
        </w:rPr>
        <w:t xml:space="preserve">，如</w:t>
      </w:r>
      <w:r>
        <w:rPr>
          <w:rFonts w:hint="eastAsia" w:ascii="宋体" w:hAnsi="宋体" w:cs="宋体"/>
          <w:color w:val="000000"/>
          <w:sz w:val="21"/>
          <w:szCs w:val="21"/>
          <w:highlight w:val="none"/>
          <w:lang w:val="en-US" w:eastAsia="zh-CN"/>
        </w:rPr>
        <w:t xml:space="preserve">实施方案</w:t>
      </w:r>
      <w:r>
        <w:rPr>
          <w:rFonts w:hint="eastAsia" w:ascii="宋体" w:hAnsi="宋体" w:eastAsia="宋体" w:cs="宋体"/>
          <w:color w:val="000000"/>
          <w:sz w:val="21"/>
          <w:szCs w:val="21"/>
          <w:highlight w:val="none"/>
        </w:rPr>
        <w:t xml:space="preserve">得分也相同，由</w:t>
      </w:r>
      <w:r>
        <w:rPr>
          <w:rFonts w:hint="eastAsia" w:ascii="宋体" w:hAnsi="宋体" w:eastAsia="宋体" w:cs="宋体"/>
          <w:color w:val="000000"/>
          <w:sz w:val="21"/>
          <w:szCs w:val="21"/>
          <w:highlight w:val="none"/>
          <w:lang w:val="en-US" w:eastAsia="zh-CN"/>
        </w:rPr>
        <w:t xml:space="preserve">评标委员会</w:t>
      </w:r>
      <w:r>
        <w:rPr>
          <w:rFonts w:hint="eastAsia" w:ascii="宋体" w:hAnsi="宋体" w:eastAsia="宋体" w:cs="宋体"/>
          <w:color w:val="000000"/>
          <w:sz w:val="21"/>
          <w:szCs w:val="21"/>
          <w:highlight w:val="none"/>
        </w:rPr>
        <w:t xml:space="preserve">随机抽取确定排序，本项目选取3名</w:t>
      </w:r>
      <w:r>
        <w:rPr>
          <w:rFonts w:hint="eastAsia" w:ascii="宋体" w:hAnsi="宋体" w:cs="宋体"/>
          <w:color w:val="000000"/>
          <w:sz w:val="21"/>
          <w:szCs w:val="21"/>
          <w:highlight w:val="none"/>
          <w:lang w:val="en-US" w:eastAsia="zh-CN"/>
        </w:rPr>
        <w:t xml:space="preserve">中标</w:t>
      </w:r>
      <w:r>
        <w:rPr>
          <w:rFonts w:hint="eastAsia" w:ascii="宋体" w:hAnsi="宋体" w:eastAsia="宋体" w:cs="宋体"/>
          <w:color w:val="000000"/>
          <w:sz w:val="21"/>
          <w:szCs w:val="21"/>
          <w:highlight w:val="none"/>
        </w:rPr>
        <w:t xml:space="preserve">候选人。</w:t>
      </w:r>
      <w:r>
        <w:rPr>
          <w:rFonts w:hint="eastAsia" w:ascii="宋体" w:hAnsi="宋体" w:eastAsia="宋体" w:cs="宋体"/>
          <w:color w:val="000000"/>
          <w:sz w:val="21"/>
          <w:szCs w:val="21"/>
          <w:highlight w:val="none"/>
        </w:rPr>
      </w:r>
      <w:r/>
    </w:p>
    <w:p>
      <w:pPr>
        <w:pStyle w:val="901"/>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bookmarkEnd w:id="172"/>
      <w:r/>
      <w:bookmarkEnd w:id="173"/>
      <w:r>
        <w:rPr>
          <w:rFonts w:hint="eastAsia" w:ascii="宋体" w:hAnsi="宋体" w:eastAsia="宋体" w:cs="宋体"/>
          <w:b/>
          <w:bCs/>
          <w:color w:val="000000"/>
          <w:sz w:val="21"/>
          <w:szCs w:val="21"/>
          <w:highlight w:val="none"/>
          <w:lang w:val="en-US" w:eastAsia="zh-CN"/>
        </w:rPr>
        <w:t xml:space="preserve">二、</w:t>
      </w:r>
      <w:r>
        <w:rPr>
          <w:rFonts w:hint="eastAsia" w:ascii="宋体" w:hAnsi="宋体" w:eastAsia="宋体" w:cs="宋体"/>
          <w:b/>
          <w:bCs/>
          <w:color w:val="000000"/>
          <w:sz w:val="21"/>
          <w:szCs w:val="21"/>
          <w:highlight w:val="none"/>
        </w:rPr>
        <w:t xml:space="preserve">政府采购政策功能落实</w:t>
      </w:r>
      <w:r>
        <w:rPr>
          <w:rFonts w:hint="eastAsia" w:ascii="宋体" w:hAnsi="宋体" w:eastAsia="宋体" w:cs="宋体"/>
          <w:b/>
          <w:bCs/>
          <w:color w:val="000000"/>
          <w:sz w:val="21"/>
          <w:szCs w:val="21"/>
          <w:highlight w:val="none"/>
        </w:rPr>
      </w:r>
      <w:r/>
    </w:p>
    <w:p>
      <w:pPr>
        <w:pStyle w:val="901"/>
        <w:ind w:left="0" w:right="0" w:firstLine="441"/>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本项目专门面向中小企业：</w:t>
      </w:r>
      <w:r>
        <w:rPr>
          <w:rFonts w:hint="eastAsia" w:ascii="宋体" w:hAnsi="宋体" w:eastAsia="宋体" w:cs="宋体"/>
          <w:color w:val="000000"/>
          <w:sz w:val="21"/>
          <w:szCs w:val="21"/>
          <w:highlight w:val="none"/>
        </w:rPr>
      </w:r>
      <w:r/>
    </w:p>
    <w:tbl>
      <w:tblPr>
        <w:tblStyle w:val="960"/>
        <w:tblW w:w="0" w:type="auto"/>
        <w:tblInd w:w="493"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3"/>
        <w:gridCol w:w="6156"/>
      </w:tblGrid>
      <w:tr>
        <w:trPr>
          <w:trHeight w:val="23"/>
        </w:trPr>
        <w:tc>
          <w:tcPr>
            <w:tcMar>
              <w:left w:w="108" w:type="dxa"/>
              <w:top w:w="0" w:type="dxa"/>
              <w:right w:w="108" w:type="dxa"/>
              <w:bottom w:w="0" w:type="dxa"/>
            </w:tcMar>
            <w:tcW w:w="1303" w:type="dxa"/>
            <w:vAlign w:val="top"/>
            <w:textDirection w:val="lrTb"/>
            <w:noWrap w:val="false"/>
          </w:tcPr>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采购包号</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156" w:type="dxa"/>
            <w:vAlign w:val="top"/>
            <w:textDirection w:val="lrTb"/>
            <w:noWrap w:val="false"/>
          </w:tcPr>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专门面向中小企业</w:t>
            </w:r>
            <w:r>
              <w:rPr>
                <w:rFonts w:hint="eastAsia" w:ascii="宋体" w:hAnsi="宋体" w:eastAsia="宋体" w:cs="宋体"/>
                <w:color w:val="000000"/>
                <w:sz w:val="21"/>
                <w:szCs w:val="21"/>
                <w:highlight w:val="none"/>
              </w:rPr>
            </w:r>
            <w:r/>
          </w:p>
        </w:tc>
      </w:tr>
      <w:tr>
        <w:trPr>
          <w:trHeight w:val="23"/>
        </w:trPr>
        <w:tc>
          <w:tcPr>
            <w:tcMar>
              <w:left w:w="108" w:type="dxa"/>
              <w:top w:w="0" w:type="dxa"/>
              <w:right w:w="108" w:type="dxa"/>
              <w:bottom w:w="0" w:type="dxa"/>
            </w:tcMar>
            <w:tcW w:w="1303" w:type="dxa"/>
            <w:vAlign w:val="top"/>
            <w:textDirection w:val="lrTb"/>
            <w:noWrap w:val="false"/>
          </w:tcPr>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108" w:type="dxa"/>
              <w:top w:w="0" w:type="dxa"/>
              <w:right w:w="108" w:type="dxa"/>
              <w:bottom w:w="0" w:type="dxa"/>
            </w:tcMar>
            <w:tcW w:w="6156" w:type="dxa"/>
            <w:vAlign w:val="top"/>
            <w:textDirection w:val="lrTb"/>
            <w:noWrap w:val="false"/>
          </w:tcPr>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901"/>
              <w:ind w:left="0" w:right="0" w:firstLine="0"/>
              <w:jc w:val="center"/>
              <w:keepLines w:val="0"/>
              <w:keepNext w:val="0"/>
              <w:pageBreakBefore w:val="0"/>
              <w:spacing w:before="0" w:after="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是</w:t>
            </w:r>
            <w:r>
              <w:rPr>
                <w:rFonts w:hint="eastAsia" w:ascii="宋体" w:hAnsi="宋体" w:eastAsia="宋体" w:cs="宋体"/>
                <w:color w:val="000000"/>
                <w:sz w:val="21"/>
                <w:szCs w:val="21"/>
                <w:highlight w:val="none"/>
              </w:rPr>
            </w:r>
            <w:r/>
          </w:p>
        </w:tc>
      </w:tr>
    </w:tbl>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1、小微型企业价格扣除</w:t>
      </w:r>
      <w:r>
        <w:rPr>
          <w:rFonts w:hint="eastAsia" w:ascii="宋体" w:hAnsi="宋体" w:eastAsia="宋体" w:cs="宋体"/>
          <w:color w:val="000000"/>
          <w:sz w:val="21"/>
          <w:szCs w:val="21"/>
          <w:highlight w:val="none"/>
        </w:rPr>
      </w:r>
      <w:r/>
    </w:p>
    <w:p>
      <w:pPr>
        <w:pStyle w:val="901"/>
        <w:ind w:left="0" w:right="0" w:firstLine="36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（1）本项目对小型和微型企业产品给予</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的扣除价格，用扣除后的价格参与评审。</w:t>
      </w:r>
      <w:r>
        <w:rPr>
          <w:rFonts w:hint="eastAsia" w:ascii="宋体" w:hAnsi="宋体" w:eastAsia="宋体" w:cs="宋体"/>
          <w:color w:val="000000"/>
          <w:sz w:val="21"/>
          <w:szCs w:val="21"/>
          <w:highlight w:val="none"/>
        </w:rPr>
      </w:r>
      <w:r/>
    </w:p>
    <w:p>
      <w:pPr>
        <w:pStyle w:val="901"/>
        <w:ind w:left="0" w:right="0" w:firstLine="36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（2）供应商需按照采购文件的要求提供相应的《中小企业声明函》。</w:t>
      </w:r>
      <w:r>
        <w:rPr>
          <w:rFonts w:hint="eastAsia" w:ascii="宋体" w:hAnsi="宋体" w:eastAsia="宋体" w:cs="宋体"/>
          <w:color w:val="000000"/>
          <w:sz w:val="21"/>
          <w:szCs w:val="21"/>
          <w:highlight w:val="none"/>
        </w:rPr>
      </w:r>
      <w:r/>
    </w:p>
    <w:p>
      <w:pPr>
        <w:pStyle w:val="901"/>
        <w:ind w:left="0" w:right="0" w:firstLine="360"/>
        <w:jc w:val="both"/>
        <w:keepLines w:val="0"/>
        <w:keepNext w:val="0"/>
        <w:pageBreakBefore w:val="0"/>
        <w:spacing w:before="240" w:after="24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（3）企业标准请参照《关于印发中小企业划型标准规定的通知》（工信部联企业</w:t>
      </w:r>
      <w:r>
        <w:rPr>
          <w:rFonts w:hint="eastAsia" w:ascii="宋体" w:hAnsi="宋体" w:eastAsia="宋体" w:cs="宋体"/>
          <w:color w:val="000000"/>
          <w:sz w:val="21"/>
          <w:szCs w:val="21"/>
          <w:highlight w:val="none"/>
          <w:lang w:eastAsia="zh-CN"/>
        </w:rPr>
        <w:t xml:space="preserve">〔2011〕300号</w:t>
      </w:r>
      <w:r>
        <w:rPr>
          <w:rFonts w:hint="eastAsia" w:ascii="宋体" w:hAnsi="宋体" w:eastAsia="宋体" w:cs="宋体"/>
          <w:color w:val="000000"/>
          <w:sz w:val="21"/>
          <w:szCs w:val="21"/>
          <w:highlight w:val="none"/>
        </w:rPr>
        <w:t xml:space="preserve">）文件规定自行填写。</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2、残疾人福利单位价格扣除</w:t>
      </w:r>
      <w:r>
        <w:rPr>
          <w:rFonts w:hint="eastAsia" w:ascii="宋体" w:hAnsi="宋体" w:eastAsia="宋体" w:cs="宋体"/>
          <w:color w:val="000000"/>
          <w:sz w:val="21"/>
          <w:szCs w:val="21"/>
          <w:highlight w:val="none"/>
        </w:rPr>
      </w:r>
      <w:r/>
    </w:p>
    <w:p>
      <w:pPr>
        <w:pStyle w:val="901"/>
        <w:ind w:left="120" w:right="0" w:firstLine="36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（1）本项目对残疾人福利性单位视同小型、微型企业，给予</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01"/>
        <w:ind w:left="120" w:right="0" w:firstLine="36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（2）残疾人福利单位需按照采购文件的要求提供《残疾人福利性单位声明函》。</w:t>
      </w:r>
      <w:r>
        <w:rPr>
          <w:rFonts w:hint="eastAsia" w:ascii="宋体" w:hAnsi="宋体" w:eastAsia="宋体" w:cs="宋体"/>
          <w:color w:val="000000"/>
          <w:sz w:val="21"/>
          <w:szCs w:val="21"/>
          <w:highlight w:val="none"/>
        </w:rPr>
      </w:r>
      <w:r/>
    </w:p>
    <w:p>
      <w:pPr>
        <w:pStyle w:val="901"/>
        <w:ind w:left="120" w:right="0" w:firstLine="36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（3）残疾人福利单位标准请参照《关于促进残疾人就业政府采购政策的通知》（财库〔2017〕141号）。</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3、监狱和戒毒企业价格扣除</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（1）本项目对监狱和戒毒企业（简称监狱企业）视同小型、微型企业，给予</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（3）监狱企业标准请参照《关于政府采购支持监狱企业发展有关问题的通知》（财库〔2014〕68号）。</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4、残疾人福利单位、监狱企业属于小型、微型企业的，不重复享受政策。</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5、如本项目同意联合体</w:t>
      </w:r>
      <w:r>
        <w:rPr>
          <w:rFonts w:hint="eastAsia" w:ascii="宋体" w:hAnsi="宋体" w:cs="宋体"/>
          <w:color w:val="000000"/>
          <w:sz w:val="21"/>
          <w:szCs w:val="21"/>
          <w:highlight w:val="none"/>
          <w:lang w:eastAsia="zh-CN"/>
        </w:rPr>
        <w:t xml:space="preserve">投标（响应）</w:t>
      </w:r>
      <w:r>
        <w:rPr>
          <w:rFonts w:hint="eastAsia" w:ascii="宋体" w:hAnsi="宋体" w:eastAsia="宋体" w:cs="宋体"/>
          <w:color w:val="000000"/>
          <w:sz w:val="21"/>
          <w:szCs w:val="21"/>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的价格扣除，用扣除后的价格参与评审。</w:t>
      </w:r>
      <w:r>
        <w:rPr>
          <w:rFonts w:hint="eastAsia" w:ascii="宋体" w:hAnsi="宋体" w:eastAsia="宋体" w:cs="宋体"/>
          <w:color w:val="000000"/>
          <w:sz w:val="21"/>
          <w:szCs w:val="21"/>
          <w:highlight w:val="none"/>
        </w:rPr>
      </w:r>
      <w:r/>
    </w:p>
    <w:p>
      <w:pPr>
        <w:pStyle w:val="901"/>
        <w:ind w:left="0" w:right="0" w:firstLine="480"/>
        <w:jc w:val="both"/>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6、联合体各方均为小型、微型企业（残疾人福利单位、监狱企业）的，联合体享受</w:t>
      </w:r>
      <w:r>
        <w:rPr>
          <w:rFonts w:hint="eastAsia" w:ascii="宋体" w:hAnsi="宋体" w:eastAsia="宋体" w:cs="宋体"/>
          <w:color w:val="000000"/>
          <w:sz w:val="21"/>
          <w:szCs w:val="21"/>
          <w:highlight w:val="none"/>
          <w:u w:val="single"/>
          <w:lang w:val="en-US" w:eastAsia="zh-CN"/>
        </w:rPr>
        <w:t xml:space="preserve">/</w:t>
      </w:r>
      <w:r>
        <w:rPr>
          <w:rFonts w:hint="eastAsia" w:ascii="宋体" w:hAnsi="宋体" w:eastAsia="宋体" w:cs="宋体"/>
          <w:color w:val="000000"/>
          <w:sz w:val="21"/>
          <w:szCs w:val="21"/>
          <w:highlight w:val="none"/>
        </w:rPr>
        <w:t xml:space="preserve">价格扣除，用扣除后的价格参与评审。</w:t>
      </w:r>
      <w:r>
        <w:rPr>
          <w:rFonts w:hint="eastAsia" w:ascii="宋体" w:hAnsi="宋体" w:eastAsia="宋体" w:cs="宋体"/>
          <w:color w:val="000000"/>
          <w:sz w:val="21"/>
          <w:szCs w:val="21"/>
          <w:highlight w:val="none"/>
        </w:rPr>
      </w:r>
      <w:r/>
    </w:p>
    <w:p>
      <w:pPr>
        <w:pStyle w:val="901"/>
        <w:ind w:firstLine="422"/>
        <w:spacing w:line="360" w:lineRule="auto"/>
        <w:rPr>
          <w:rFonts w:hint="eastAsia" w:ascii="宋体" w:hAnsi="宋体" w:eastAsia="宋体" w:cs="宋体"/>
          <w:b/>
          <w:color w:val="000000"/>
          <w:szCs w:val="21"/>
          <w:highlight w:val="none"/>
          <w:lang w:val="en-US" w:eastAsia="zh-CN"/>
        </w:rPr>
      </w:pPr>
      <w:r>
        <w:rPr>
          <w:rFonts w:hint="eastAsia" w:ascii="宋体" w:hAnsi="宋体" w:eastAsia="宋体" w:cs="宋体"/>
          <w:b/>
          <w:color w:val="000000"/>
          <w:szCs w:val="21"/>
          <w:highlight w:val="none"/>
          <w:lang w:val="en-US" w:eastAsia="zh-CN"/>
        </w:rPr>
        <w:t xml:space="preserve">三、评分标准</w:t>
      </w:r>
      <w:r>
        <w:rPr>
          <w:rFonts w:hint="eastAsia" w:ascii="宋体" w:hAnsi="宋体" w:eastAsia="宋体" w:cs="宋体"/>
          <w:b/>
          <w:color w:val="000000"/>
          <w:szCs w:val="21"/>
          <w:highlight w:val="none"/>
          <w:lang w:val="en-US" w:eastAsia="zh-CN"/>
        </w:rPr>
      </w:r>
      <w:r/>
    </w:p>
    <w:p>
      <w:pPr>
        <w:pStyle w:val="901"/>
        <w:numPr>
          <w:ilvl w:val="0"/>
          <w:numId w:val="0"/>
        </w:numPr>
        <w:jc w:val="both"/>
        <w:spacing w:line="360" w:lineRule="auto"/>
        <w:widowControl w:val="off"/>
        <w:rPr>
          <w:rFonts w:hint="eastAsia" w:ascii="仿宋_GB2312" w:hAnsi="仿宋_GB2312" w:eastAsia="仿宋_GB2312" w:cs="仿宋_GB2312"/>
          <w:color w:val="000000"/>
          <w:highlight w:val="none"/>
          <w:lang w:val="en-US" w:eastAsia="zh-CN"/>
        </w:rPr>
      </w:pPr>
      <w:r>
        <w:rPr>
          <w:rFonts w:hint="eastAsia" w:ascii="仿宋_GB2312" w:hAnsi="仿宋_GB2312" w:eastAsia="仿宋_GB2312" w:cs="仿宋_GB2312"/>
          <w:color w:val="000000"/>
          <w:highlight w:val="none"/>
          <w:lang w:val="en-US" w:eastAsia="zh-CN"/>
        </w:rPr>
      </w:r>
      <w:r/>
    </w:p>
    <w:tbl>
      <w:tblPr>
        <w:tblW w:w="484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2"/>
        <w:gridCol w:w="570"/>
        <w:gridCol w:w="1230"/>
        <w:gridCol w:w="5228"/>
      </w:tblGrid>
      <w:tr>
        <w:trPr/>
        <w:tc>
          <w:tcPr>
            <w:tcW w:w="745" w:type="dxa"/>
            <w:vAlign w:val="top"/>
            <w:textDirection w:val="lrTb"/>
            <w:noWrap w:val="false"/>
          </w:tcPr>
          <w:p>
            <w:pPr>
              <w:pStyle w:val="901"/>
              <w:jc w:val="center"/>
              <w:spacing w:line="360" w:lineRule="auto"/>
              <w:rPr>
                <w:b/>
                <w:color w:val="000000"/>
                <w:szCs w:val="21"/>
                <w:highlight w:val="none"/>
              </w:rPr>
            </w:pPr>
            <w:r/>
            <w:bookmarkStart w:id="174" w:name="_Toc109304976"/>
            <w:r>
              <w:rPr>
                <w:rFonts w:hint="eastAsia"/>
                <w:b/>
                <w:color w:val="000000"/>
                <w:szCs w:val="21"/>
                <w:highlight w:val="none"/>
              </w:rPr>
              <w:t xml:space="preserve">评审因素</w:t>
            </w:r>
            <w:r>
              <w:rPr>
                <w:b/>
                <w:color w:val="000000"/>
                <w:szCs w:val="21"/>
                <w:highlight w:val="none"/>
              </w:rPr>
            </w:r>
            <w:r/>
          </w:p>
        </w:tc>
        <w:tc>
          <w:tcPr>
            <w:tcW w:w="345" w:type="dxa"/>
            <w:vAlign w:val="top"/>
            <w:textDirection w:val="lrTb"/>
            <w:noWrap w:val="false"/>
          </w:tcPr>
          <w:p>
            <w:pPr>
              <w:pStyle w:val="901"/>
              <w:jc w:val="center"/>
              <w:spacing w:line="360" w:lineRule="auto"/>
              <w:rPr>
                <w:b/>
                <w:color w:val="000000"/>
                <w:szCs w:val="21"/>
                <w:highlight w:val="none"/>
              </w:rPr>
            </w:pPr>
            <w:r>
              <w:rPr>
                <w:rFonts w:hint="eastAsia"/>
                <w:b/>
                <w:color w:val="000000"/>
                <w:szCs w:val="21"/>
                <w:highlight w:val="none"/>
              </w:rPr>
              <w:t xml:space="preserve">分值</w:t>
            </w:r>
            <w:r>
              <w:rPr>
                <w:b/>
                <w:color w:val="000000"/>
                <w:szCs w:val="21"/>
                <w:highlight w:val="none"/>
              </w:rPr>
            </w:r>
            <w:r/>
          </w:p>
        </w:tc>
        <w:tc>
          <w:tcPr>
            <w:gridSpan w:val="2"/>
            <w:tcW w:w="6458" w:type="dxa"/>
            <w:vAlign w:val="top"/>
            <w:textDirection w:val="lrTb"/>
            <w:noWrap w:val="false"/>
          </w:tcPr>
          <w:p>
            <w:pPr>
              <w:pStyle w:val="901"/>
              <w:jc w:val="center"/>
              <w:spacing w:line="360" w:lineRule="auto"/>
              <w:rPr>
                <w:b/>
                <w:color w:val="000000"/>
                <w:szCs w:val="21"/>
                <w:highlight w:val="none"/>
              </w:rPr>
            </w:pPr>
            <w:r>
              <w:rPr>
                <w:rFonts w:hint="eastAsia"/>
                <w:b/>
                <w:color w:val="000000"/>
                <w:szCs w:val="21"/>
                <w:highlight w:val="none"/>
              </w:rPr>
              <w:t xml:space="preserve">评分细则</w:t>
            </w:r>
            <w:r>
              <w:rPr>
                <w:b/>
                <w:color w:val="000000"/>
                <w:szCs w:val="21"/>
                <w:highlight w:val="none"/>
              </w:rPr>
            </w:r>
            <w:r/>
          </w:p>
        </w:tc>
      </w:tr>
      <w:tr>
        <w:trPr/>
        <w:tc>
          <w:tcPr>
            <w:tcW w:w="745" w:type="dxa"/>
            <w:vAlign w:val="center"/>
            <w:textDirection w:val="lrTb"/>
            <w:noWrap w:val="false"/>
          </w:tcPr>
          <w:p>
            <w:pPr>
              <w:pStyle w:val="901"/>
              <w:jc w:val="center"/>
              <w:spacing w:line="360" w:lineRule="auto"/>
              <w:rPr>
                <w:color w:val="000000"/>
                <w:szCs w:val="21"/>
                <w:highlight w:val="none"/>
              </w:rPr>
            </w:pPr>
            <w:r>
              <w:rPr>
                <w:rFonts w:hint="eastAsia"/>
                <w:color w:val="000000"/>
                <w:szCs w:val="21"/>
                <w:highlight w:val="none"/>
              </w:rPr>
              <w:t xml:space="preserve">报价</w:t>
            </w:r>
            <w:r>
              <w:rPr>
                <w:color w:val="000000"/>
                <w:szCs w:val="21"/>
                <w:highlight w:val="none"/>
              </w:rPr>
            </w:r>
            <w:r/>
          </w:p>
        </w:tc>
        <w:tc>
          <w:tcPr>
            <w:tcW w:w="345" w:type="dxa"/>
            <w:vAlign w:val="center"/>
            <w:textDirection w:val="lrTb"/>
            <w:noWrap w:val="false"/>
          </w:tcPr>
          <w:p>
            <w:pPr>
              <w:pStyle w:val="901"/>
              <w:jc w:val="center"/>
              <w:spacing w:line="360" w:lineRule="auto"/>
              <w:rPr>
                <w:color w:val="000000"/>
                <w:szCs w:val="21"/>
                <w:highlight w:val="none"/>
              </w:rPr>
            </w:pPr>
            <w:r>
              <w:rPr>
                <w:color w:val="000000"/>
                <w:szCs w:val="21"/>
                <w:highlight w:val="none"/>
              </w:rPr>
              <w:t xml:space="preserve">30</w:t>
            </w:r>
            <w:r>
              <w:rPr>
                <w:color w:val="000000"/>
                <w:szCs w:val="21"/>
                <w:highlight w:val="none"/>
              </w:rPr>
            </w:r>
            <w:r/>
          </w:p>
        </w:tc>
        <w:tc>
          <w:tcPr>
            <w:gridSpan w:val="2"/>
            <w:tcW w:w="6458" w:type="dxa"/>
            <w:vAlign w:val="center"/>
            <w:textDirection w:val="lrTb"/>
            <w:noWrap w:val="false"/>
          </w:tcPr>
          <w:p>
            <w:pPr>
              <w:pStyle w:val="901"/>
              <w:spacing w:line="360" w:lineRule="auto"/>
              <w:tabs>
                <w:tab w:val="left" w:pos="0" w:leader="none"/>
                <w:tab w:val="left" w:pos="1134" w:leader="none"/>
              </w:tabs>
              <w:rPr>
                <w:color w:val="000000"/>
                <w:highlight w:val="none"/>
              </w:rPr>
            </w:pPr>
            <w:r>
              <w:rPr>
                <w:rFonts w:hint="eastAsia"/>
                <w:color w:val="000000"/>
                <w:szCs w:val="21"/>
                <w:highlight w:val="none"/>
              </w:rPr>
              <w:t xml:space="preserve">以满足</w:t>
            </w:r>
            <w:r>
              <w:rPr>
                <w:rFonts w:hint="eastAsia"/>
                <w:color w:val="000000"/>
                <w:szCs w:val="21"/>
                <w:highlight w:val="none"/>
                <w:lang w:eastAsia="zh-CN"/>
              </w:rPr>
              <w:t xml:space="preserve">采购文件</w:t>
            </w:r>
            <w:r>
              <w:rPr>
                <w:rFonts w:hint="eastAsia"/>
                <w:color w:val="000000"/>
                <w:szCs w:val="21"/>
                <w:highlight w:val="none"/>
              </w:rPr>
              <w:t xml:space="preserve">要求且报价最低的</w:t>
            </w:r>
            <w:r>
              <w:rPr>
                <w:rFonts w:hint="eastAsia"/>
                <w:color w:val="000000"/>
                <w:szCs w:val="21"/>
                <w:highlight w:val="none"/>
                <w:lang w:eastAsia="zh-CN"/>
              </w:rPr>
              <w:t xml:space="preserve">投标人</w:t>
            </w:r>
            <w:r>
              <w:rPr>
                <w:rFonts w:hint="eastAsia"/>
                <w:color w:val="000000"/>
                <w:szCs w:val="21"/>
                <w:highlight w:val="none"/>
              </w:rPr>
              <w:t xml:space="preserve">的价格为基准价，其价格分得满分</w:t>
            </w:r>
            <w:r>
              <w:rPr>
                <w:color w:val="000000"/>
                <w:szCs w:val="21"/>
                <w:highlight w:val="none"/>
              </w:rPr>
              <w:t xml:space="preserve">30</w:t>
            </w:r>
            <w:r>
              <w:rPr>
                <w:rFonts w:hint="eastAsia"/>
                <w:color w:val="000000"/>
                <w:szCs w:val="21"/>
                <w:highlight w:val="none"/>
              </w:rPr>
              <w:t xml:space="preserve">分。其他</w:t>
            </w:r>
            <w:r>
              <w:rPr>
                <w:rFonts w:hint="eastAsia"/>
                <w:color w:val="000000"/>
                <w:szCs w:val="21"/>
                <w:highlight w:val="none"/>
                <w:lang w:eastAsia="zh-CN"/>
              </w:rPr>
              <w:t xml:space="preserve">投标人</w:t>
            </w:r>
            <w:r>
              <w:rPr>
                <w:rFonts w:hint="eastAsia"/>
                <w:color w:val="000000"/>
                <w:szCs w:val="21"/>
                <w:highlight w:val="none"/>
              </w:rPr>
              <w:t xml:space="preserve">价格得分统一按下列公式计算：</w:t>
            </w:r>
            <w:r>
              <w:rPr>
                <w:rFonts w:hint="eastAsia"/>
                <w:color w:val="000000"/>
                <w:szCs w:val="21"/>
                <w:highlight w:val="none"/>
                <w:lang w:eastAsia="zh-CN"/>
              </w:rPr>
              <w:t xml:space="preserve">评标</w:t>
            </w:r>
            <w:r>
              <w:rPr>
                <w:rFonts w:hint="eastAsia"/>
                <w:color w:val="000000"/>
                <w:szCs w:val="21"/>
                <w:highlight w:val="none"/>
              </w:rPr>
              <w:t xml:space="preserve">报价得分</w:t>
            </w:r>
            <w:r>
              <w:rPr>
                <w:color w:val="000000"/>
                <w:szCs w:val="21"/>
                <w:highlight w:val="none"/>
              </w:rPr>
              <w:t xml:space="preserve">=</w:t>
            </w:r>
            <w:r>
              <w:rPr>
                <w:rFonts w:hint="eastAsia"/>
                <w:color w:val="000000"/>
                <w:szCs w:val="21"/>
                <w:highlight w:val="none"/>
              </w:rPr>
              <w:t xml:space="preserve">（基准价</w:t>
            </w:r>
            <w:r>
              <w:rPr>
                <w:color w:val="000000"/>
                <w:szCs w:val="21"/>
                <w:highlight w:val="none"/>
              </w:rPr>
              <w:t xml:space="preserve">/</w:t>
            </w:r>
            <w:r>
              <w:rPr>
                <w:rFonts w:hint="eastAsia"/>
                <w:color w:val="000000"/>
                <w:szCs w:val="21"/>
                <w:highlight w:val="none"/>
              </w:rPr>
              <w:t xml:space="preserve">其他</w:t>
            </w:r>
            <w:r>
              <w:rPr>
                <w:rFonts w:hint="eastAsia"/>
                <w:color w:val="000000"/>
                <w:szCs w:val="21"/>
                <w:highlight w:val="none"/>
                <w:lang w:val="en-US" w:eastAsia="zh-CN"/>
              </w:rPr>
              <w:t xml:space="preserve">投标</w:t>
            </w:r>
            <w:r>
              <w:rPr>
                <w:rFonts w:hint="eastAsia"/>
                <w:color w:val="000000"/>
                <w:szCs w:val="21"/>
                <w:highlight w:val="none"/>
              </w:rPr>
              <w:t xml:space="preserve">报价）×</w:t>
            </w:r>
            <w:r>
              <w:rPr>
                <w:rFonts w:hint="eastAsia"/>
                <w:color w:val="000000"/>
                <w:szCs w:val="21"/>
                <w:highlight w:val="none"/>
                <w:lang w:val="en-US" w:eastAsia="zh-CN"/>
              </w:rPr>
              <w:t xml:space="preserve">30</w:t>
            </w:r>
            <w:r>
              <w:rPr>
                <w:rFonts w:hint="eastAsia"/>
                <w:color w:val="000000"/>
                <w:szCs w:val="21"/>
                <w:highlight w:val="none"/>
              </w:rPr>
              <w:t xml:space="preserve">（保留两位小数）</w:t>
            </w:r>
            <w:r>
              <w:rPr>
                <w:color w:val="000000"/>
                <w:highlight w:val="none"/>
              </w:rPr>
            </w:r>
            <w:r/>
          </w:p>
        </w:tc>
      </w:tr>
      <w:tr>
        <w:trPr>
          <w:trHeight w:val="2771"/>
        </w:trPr>
        <w:tc>
          <w:tcPr>
            <w:tcW w:w="745" w:type="dxa"/>
            <w:vAlign w:val="center"/>
            <w:textDirection w:val="lrTb"/>
            <w:noWrap w:val="false"/>
          </w:tcPr>
          <w:p>
            <w:pPr>
              <w:pStyle w:val="901"/>
              <w:jc w:val="center"/>
              <w:spacing w:line="360" w:lineRule="auto"/>
              <w:rPr>
                <w:rFonts w:eastAsia="宋体"/>
                <w:color w:val="000000"/>
                <w:szCs w:val="21"/>
                <w:highlight w:val="none"/>
                <w:lang w:val="en-US" w:eastAsia="zh-CN" w:bidi="ar"/>
              </w:rPr>
            </w:pPr>
            <w:r>
              <w:rPr>
                <w:rFonts w:hint="eastAsia"/>
                <w:color w:val="000000"/>
                <w:szCs w:val="21"/>
                <w:highlight w:val="none"/>
                <w:lang w:val="en-US" w:eastAsia="zh-CN" w:bidi="ar"/>
              </w:rPr>
              <w:t xml:space="preserve">实施方案</w:t>
            </w:r>
            <w:r>
              <w:rPr>
                <w:rFonts w:eastAsia="宋体"/>
                <w:color w:val="000000"/>
                <w:szCs w:val="21"/>
                <w:highlight w:val="none"/>
                <w:lang w:val="en-US" w:eastAsia="zh-CN" w:bidi="ar"/>
              </w:rPr>
            </w:r>
            <w:r/>
          </w:p>
        </w:tc>
        <w:tc>
          <w:tcPr>
            <w:tcW w:w="345" w:type="dxa"/>
            <w:vAlign w:val="center"/>
            <w:textDirection w:val="lrTb"/>
            <w:noWrap w:val="false"/>
          </w:tcPr>
          <w:p>
            <w:pPr>
              <w:pStyle w:val="901"/>
              <w:jc w:val="center"/>
              <w:spacing w:line="360" w:lineRule="auto"/>
              <w:rPr>
                <w:rFonts w:eastAsia="宋体"/>
                <w:color w:val="000000"/>
                <w:szCs w:val="21"/>
                <w:highlight w:val="none"/>
                <w:lang w:val="en-US" w:eastAsia="zh-CN"/>
              </w:rPr>
            </w:pPr>
            <w:r>
              <w:rPr>
                <w:rFonts w:hint="eastAsia"/>
                <w:color w:val="000000"/>
                <w:szCs w:val="21"/>
                <w:highlight w:val="none"/>
                <w:lang w:val="en-US" w:eastAsia="zh-CN"/>
              </w:rPr>
              <w:t xml:space="preserve">47</w:t>
            </w:r>
            <w:r>
              <w:rPr>
                <w:rFonts w:eastAsia="宋体"/>
                <w:color w:val="000000"/>
                <w:szCs w:val="21"/>
                <w:highlight w:val="none"/>
                <w:lang w:val="en-US" w:eastAsia="zh-CN"/>
              </w:rPr>
            </w:r>
            <w:r/>
          </w:p>
        </w:tc>
        <w:tc>
          <w:tcPr>
            <w:gridSpan w:val="2"/>
            <w:tcW w:w="6458" w:type="dxa"/>
            <w:vAlign w:val="center"/>
            <w:textDirection w:val="lrTb"/>
            <w:noWrap w:val="false"/>
          </w:tcPr>
          <w:p>
            <w:pPr>
              <w:pStyle w:val="901"/>
              <w:jc w:val="left"/>
              <w:spacing w:line="360" w:lineRule="auto"/>
              <w:rPr>
                <w:b/>
                <w:bCs/>
                <w:color w:val="000000"/>
                <w:highlight w:val="none"/>
              </w:rPr>
            </w:pPr>
            <w:r>
              <w:rPr>
                <w:b/>
                <w:bCs/>
                <w:color w:val="000000"/>
                <w:highlight w:val="none"/>
              </w:rPr>
              <w:t xml:space="preserve">1. 系统施工方案（7分）</w:t>
            </w:r>
            <w:r>
              <w:rPr>
                <w:b/>
                <w:bCs/>
                <w:color w:val="000000"/>
                <w:highlight w:val="none"/>
              </w:rPr>
            </w:r>
            <w:r/>
          </w:p>
          <w:p>
            <w:pPr>
              <w:pStyle w:val="901"/>
              <w:jc w:val="left"/>
              <w:spacing w:line="360" w:lineRule="auto"/>
              <w:rPr>
                <w:color w:val="000000"/>
                <w:highlight w:val="none"/>
              </w:rPr>
            </w:pPr>
            <w:r>
              <w:rPr>
                <w:color w:val="000000"/>
                <w:highlight w:val="none"/>
              </w:rPr>
              <w:t xml:space="preserve">三大系统（机电、自控、弱电）专项施工方案内容全面贴合本项目实际，工艺流程针对性极强，技术要点和质量控制措施完整详实，得 7 分；</w:t>
            </w:r>
            <w:r>
              <w:rPr>
                <w:color w:val="000000"/>
                <w:highlight w:val="none"/>
              </w:rPr>
            </w:r>
            <w:r/>
          </w:p>
          <w:p>
            <w:pPr>
              <w:pStyle w:val="901"/>
              <w:jc w:val="left"/>
              <w:spacing w:line="360" w:lineRule="auto"/>
              <w:rPr>
                <w:color w:val="000000"/>
                <w:highlight w:val="none"/>
              </w:rPr>
            </w:pPr>
            <w:r>
              <w:rPr>
                <w:color w:val="000000"/>
                <w:highlight w:val="none"/>
              </w:rPr>
              <w:t xml:space="preserve">方案内容较完整，对三大系统均有较好的针对性描述，措施较合理，得 5 分；</w:t>
            </w:r>
            <w:r>
              <w:rPr>
                <w:color w:val="000000"/>
                <w:highlight w:val="none"/>
              </w:rPr>
            </w:r>
            <w:r/>
          </w:p>
          <w:p>
            <w:pPr>
              <w:pStyle w:val="901"/>
              <w:jc w:val="left"/>
              <w:spacing w:line="360" w:lineRule="auto"/>
              <w:rPr>
                <w:color w:val="000000"/>
                <w:highlight w:val="none"/>
              </w:rPr>
            </w:pPr>
            <w:r>
              <w:rPr>
                <w:color w:val="000000"/>
                <w:highlight w:val="none"/>
              </w:rPr>
              <w:t xml:space="preserve">方案内容基本覆盖三大系统，但针对性一般，仅为基础框架，得 3 分；</w:t>
            </w:r>
            <w:r>
              <w:rPr>
                <w:color w:val="000000"/>
                <w:highlight w:val="none"/>
              </w:rPr>
            </w:r>
            <w:r/>
          </w:p>
          <w:p>
            <w:pPr>
              <w:pStyle w:val="901"/>
              <w:jc w:val="left"/>
              <w:spacing w:line="360" w:lineRule="auto"/>
              <w:rPr>
                <w:color w:val="000000"/>
                <w:highlight w:val="none"/>
              </w:rPr>
            </w:pPr>
            <w:r>
              <w:rPr>
                <w:color w:val="000000"/>
                <w:highlight w:val="none"/>
              </w:rPr>
              <w:t xml:space="preserve">方案内容简略，针对性差，或存在明显缺项，得 1 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b/>
                <w:bCs/>
                <w:color w:val="000000"/>
                <w:highlight w:val="none"/>
              </w:rPr>
              <w:t xml:space="preserve">2. 技术措施与进度安排（7分）</w:t>
            </w:r>
            <w:r>
              <w:rPr>
                <w:b/>
                <w:bCs/>
                <w:color w:val="000000"/>
                <w:highlight w:val="none"/>
              </w:rPr>
            </w:r>
            <w:r/>
          </w:p>
          <w:p>
            <w:pPr>
              <w:pStyle w:val="901"/>
              <w:jc w:val="left"/>
              <w:spacing w:line="360" w:lineRule="auto"/>
              <w:rPr>
                <w:color w:val="000000"/>
                <w:highlight w:val="none"/>
              </w:rPr>
            </w:pPr>
            <w:r>
              <w:rPr>
                <w:color w:val="000000"/>
                <w:highlight w:val="none"/>
              </w:rPr>
              <w:t xml:space="preserve">分层分区域技术措施及交叉施工协调方法详实可落地，整体进度计划逻辑严密、关键路径与里程碑节点清晰明确，得 7 分；</w:t>
            </w:r>
            <w:r>
              <w:rPr>
                <w:color w:val="000000"/>
                <w:highlight w:val="none"/>
              </w:rPr>
            </w:r>
            <w:r/>
          </w:p>
          <w:p>
            <w:pPr>
              <w:pStyle w:val="901"/>
              <w:jc w:val="left"/>
              <w:spacing w:line="360" w:lineRule="auto"/>
              <w:rPr>
                <w:color w:val="000000"/>
                <w:highlight w:val="none"/>
              </w:rPr>
            </w:pPr>
            <w:r>
              <w:rPr>
                <w:color w:val="000000"/>
                <w:highlight w:val="none"/>
              </w:rPr>
              <w:t xml:space="preserve">技术措施较完善，进度计划较合理，关键节点基本明确，得 5 分；</w:t>
            </w:r>
            <w:r>
              <w:rPr>
                <w:color w:val="000000"/>
                <w:highlight w:val="none"/>
              </w:rPr>
            </w:r>
            <w:r/>
          </w:p>
          <w:p>
            <w:pPr>
              <w:pStyle w:val="901"/>
              <w:jc w:val="left"/>
              <w:spacing w:line="360" w:lineRule="auto"/>
              <w:rPr>
                <w:color w:val="000000"/>
                <w:highlight w:val="none"/>
              </w:rPr>
            </w:pPr>
            <w:r>
              <w:rPr>
                <w:color w:val="000000"/>
                <w:highlight w:val="none"/>
              </w:rPr>
              <w:t xml:space="preserve">具备基础技术措施和总进度计划，但缺少交叉施工协调或细分分项工期，得 3 分；</w:t>
            </w:r>
            <w:r>
              <w:rPr>
                <w:color w:val="000000"/>
                <w:highlight w:val="none"/>
              </w:rPr>
            </w:r>
            <w:r/>
          </w:p>
          <w:p>
            <w:pPr>
              <w:pStyle w:val="901"/>
              <w:jc w:val="left"/>
              <w:spacing w:line="360" w:lineRule="auto"/>
              <w:rPr>
                <w:color w:val="000000"/>
                <w:highlight w:val="none"/>
              </w:rPr>
            </w:pPr>
            <w:r>
              <w:rPr>
                <w:color w:val="000000"/>
                <w:highlight w:val="none"/>
              </w:rPr>
              <w:t xml:space="preserve">技术措施或进度安排极其简略，缺乏实操性，得 1 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b/>
                <w:bCs/>
                <w:color w:val="000000"/>
                <w:highlight w:val="none"/>
              </w:rPr>
              <w:t xml:space="preserve">3.  专项安全防护（7分）</w:t>
            </w:r>
            <w:r>
              <w:rPr>
                <w:b/>
                <w:bCs/>
                <w:color w:val="000000"/>
                <w:highlight w:val="none"/>
              </w:rPr>
            </w:r>
            <w:r/>
          </w:p>
          <w:p>
            <w:pPr>
              <w:pStyle w:val="901"/>
              <w:jc w:val="left"/>
              <w:spacing w:line="360" w:lineRule="auto"/>
              <w:rPr>
                <w:color w:val="000000"/>
                <w:highlight w:val="none"/>
              </w:rPr>
            </w:pPr>
            <w:r>
              <w:rPr>
                <w:color w:val="000000"/>
                <w:highlight w:val="none"/>
              </w:rPr>
              <w:t xml:space="preserve">针对动物房屏障区域特点制定的临时用电、生物安全、消杀防护措施条款具体、管控细则完善，可直接落地执行，得 7 分；</w:t>
            </w:r>
            <w:r>
              <w:rPr>
                <w:color w:val="000000"/>
                <w:highlight w:val="none"/>
              </w:rPr>
            </w:r>
            <w:r/>
          </w:p>
          <w:p>
            <w:pPr>
              <w:pStyle w:val="901"/>
              <w:jc w:val="left"/>
              <w:spacing w:line="360" w:lineRule="auto"/>
              <w:rPr>
                <w:color w:val="000000"/>
                <w:highlight w:val="none"/>
              </w:rPr>
            </w:pPr>
            <w:r>
              <w:rPr>
                <w:color w:val="000000"/>
                <w:highlight w:val="none"/>
              </w:rPr>
              <w:t xml:space="preserve">安全防护措施较完善，包含用电及生物安全内容，管控细则较合理，得 5 分；</w:t>
            </w:r>
            <w:r>
              <w:rPr>
                <w:color w:val="000000"/>
                <w:highlight w:val="none"/>
              </w:rPr>
            </w:r>
            <w:r/>
          </w:p>
          <w:p>
            <w:pPr>
              <w:pStyle w:val="901"/>
              <w:jc w:val="left"/>
              <w:spacing w:line="360" w:lineRule="auto"/>
              <w:rPr>
                <w:color w:val="000000"/>
                <w:highlight w:val="none"/>
              </w:rPr>
            </w:pPr>
            <w:r>
              <w:rPr>
                <w:color w:val="000000"/>
                <w:highlight w:val="none"/>
              </w:rPr>
              <w:t xml:space="preserve">包含用电及生物安全内容，但措施描述笼统，缺少洁净区专属管控细则，得 3 分；</w:t>
            </w:r>
            <w:r>
              <w:rPr>
                <w:color w:val="000000"/>
                <w:highlight w:val="none"/>
              </w:rPr>
            </w:r>
            <w:r/>
          </w:p>
          <w:p>
            <w:pPr>
              <w:pStyle w:val="901"/>
              <w:jc w:val="left"/>
              <w:spacing w:line="360" w:lineRule="auto"/>
              <w:rPr>
                <w:color w:val="000000"/>
                <w:highlight w:val="none"/>
              </w:rPr>
            </w:pPr>
            <w:r>
              <w:rPr>
                <w:color w:val="000000"/>
                <w:highlight w:val="none"/>
              </w:rPr>
              <w:t xml:space="preserve">未单独制定或仅套用通用安全套话，得 1 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rFonts w:hint="eastAsia"/>
                <w:b/>
                <w:bCs/>
                <w:color w:val="000000"/>
                <w:highlight w:val="none"/>
                <w:lang w:val="en-US" w:eastAsia="zh-CN"/>
              </w:rPr>
              <w:t xml:space="preserve">4</w:t>
            </w:r>
            <w:r>
              <w:rPr>
                <w:b/>
                <w:bCs/>
                <w:color w:val="000000"/>
                <w:highlight w:val="none"/>
              </w:rPr>
              <w:t xml:space="preserve">. 屏障密封与防污染工艺（7分）</w:t>
            </w:r>
            <w:r>
              <w:rPr>
                <w:b/>
                <w:bCs/>
                <w:color w:val="000000"/>
                <w:highlight w:val="none"/>
              </w:rPr>
            </w:r>
            <w:r/>
          </w:p>
          <w:p>
            <w:pPr>
              <w:pStyle w:val="901"/>
              <w:jc w:val="left"/>
              <w:spacing w:line="360" w:lineRule="auto"/>
              <w:rPr>
                <w:color w:val="000000"/>
                <w:highlight w:val="none"/>
              </w:rPr>
            </w:pPr>
            <w:r>
              <w:rPr>
                <w:color w:val="000000"/>
                <w:highlight w:val="none"/>
              </w:rPr>
              <w:t xml:space="preserve">针对SPF屏障环境，详细列明穿墙封堵、接缝密封、交叉施工防污染全套工艺，施工步骤、材料、做法完整清晰，得 7 分；</w:t>
            </w:r>
            <w:r>
              <w:rPr>
                <w:color w:val="000000"/>
                <w:highlight w:val="none"/>
              </w:rPr>
            </w:r>
            <w:r/>
          </w:p>
          <w:p>
            <w:pPr>
              <w:pStyle w:val="901"/>
              <w:jc w:val="left"/>
              <w:spacing w:line="360" w:lineRule="auto"/>
              <w:rPr>
                <w:color w:val="000000"/>
                <w:highlight w:val="none"/>
              </w:rPr>
            </w:pPr>
            <w:r>
              <w:rPr>
                <w:color w:val="000000"/>
                <w:highlight w:val="none"/>
              </w:rPr>
              <w:t xml:space="preserve">密封与防污染工艺较完善，步骤和做法较清晰，能较好满足屏障环境要求，得 5 分；</w:t>
            </w:r>
            <w:r>
              <w:rPr>
                <w:color w:val="000000"/>
                <w:highlight w:val="none"/>
              </w:rPr>
            </w:r>
            <w:r/>
          </w:p>
          <w:p>
            <w:pPr>
              <w:pStyle w:val="901"/>
              <w:jc w:val="left"/>
              <w:spacing w:line="360" w:lineRule="auto"/>
              <w:rPr>
                <w:color w:val="000000"/>
                <w:highlight w:val="none"/>
              </w:rPr>
            </w:pPr>
            <w:r>
              <w:rPr>
                <w:color w:val="000000"/>
                <w:highlight w:val="none"/>
              </w:rPr>
              <w:t xml:space="preserve">提及相关内容，但仅列举基础工艺名称，步骤或节点做法描述简略，得 3 分；</w:t>
            </w:r>
            <w:r>
              <w:rPr>
                <w:color w:val="000000"/>
                <w:highlight w:val="none"/>
              </w:rPr>
            </w:r>
            <w:r/>
          </w:p>
          <w:p>
            <w:pPr>
              <w:pStyle w:val="901"/>
              <w:jc w:val="left"/>
              <w:spacing w:line="360" w:lineRule="auto"/>
              <w:rPr>
                <w:color w:val="000000"/>
                <w:highlight w:val="none"/>
              </w:rPr>
            </w:pPr>
            <w:r>
              <w:rPr>
                <w:color w:val="000000"/>
                <w:highlight w:val="none"/>
              </w:rPr>
              <w:t xml:space="preserve">工艺描述极其简略或无实操做法，得 1 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rFonts w:hint="eastAsia"/>
                <w:b/>
                <w:bCs/>
                <w:color w:val="000000"/>
                <w:highlight w:val="none"/>
                <w:lang w:val="en-US" w:eastAsia="zh-CN"/>
              </w:rPr>
              <w:t xml:space="preserve">5</w:t>
            </w:r>
            <w:r>
              <w:rPr>
                <w:b/>
                <w:bCs/>
                <w:color w:val="000000"/>
                <w:highlight w:val="none"/>
              </w:rPr>
              <w:t xml:space="preserve">. 重难点分析与故障预案（</w:t>
            </w:r>
            <w:r>
              <w:rPr>
                <w:rFonts w:hint="eastAsia"/>
                <w:b/>
                <w:bCs/>
                <w:color w:val="000000"/>
                <w:highlight w:val="none"/>
                <w:lang w:val="en-US" w:eastAsia="zh-CN"/>
              </w:rPr>
              <w:t xml:space="preserve">7</w:t>
            </w:r>
            <w:r>
              <w:rPr>
                <w:b/>
                <w:bCs/>
                <w:color w:val="000000"/>
                <w:highlight w:val="none"/>
              </w:rPr>
              <w:t xml:space="preserve">分）</w:t>
            </w:r>
            <w:r>
              <w:rPr>
                <w:b/>
                <w:bCs/>
                <w:color w:val="000000"/>
                <w:highlight w:val="none"/>
              </w:rPr>
            </w:r>
            <w:r/>
          </w:p>
          <w:p>
            <w:pPr>
              <w:pStyle w:val="901"/>
              <w:jc w:val="left"/>
              <w:spacing w:line="360" w:lineRule="auto"/>
              <w:rPr>
                <w:color w:val="000000"/>
                <w:highlight w:val="none"/>
              </w:rPr>
            </w:pPr>
            <w:r>
              <w:rPr>
                <w:color w:val="000000"/>
                <w:highlight w:val="none"/>
              </w:rPr>
              <w:t xml:space="preserve">完整覆盖温湿度、压差、换气、洁净度、屏障密封、动物许可证取证、ABSL-2模块全部重难点并深度分析，且对关键设备故障编制了区分一般/紧急的响应及修复预案，得 </w:t>
            </w:r>
            <w:r>
              <w:rPr>
                <w:rFonts w:hint="eastAsia"/>
                <w:color w:val="000000"/>
                <w:highlight w:val="none"/>
                <w:lang w:val="en-US" w:eastAsia="zh-CN"/>
              </w:rPr>
              <w:t xml:space="preserve">7</w:t>
            </w:r>
            <w:r>
              <w:rPr>
                <w:color w:val="000000"/>
                <w:highlight w:val="none"/>
              </w:rPr>
              <w:t xml:space="preserve"> 分；</w:t>
            </w:r>
            <w:r>
              <w:rPr>
                <w:color w:val="000000"/>
                <w:highlight w:val="none"/>
              </w:rPr>
            </w:r>
            <w:r/>
          </w:p>
          <w:p>
            <w:pPr>
              <w:pStyle w:val="901"/>
              <w:jc w:val="left"/>
              <w:spacing w:line="360" w:lineRule="auto"/>
              <w:rPr>
                <w:color w:val="000000"/>
                <w:highlight w:val="none"/>
              </w:rPr>
            </w:pPr>
            <w:r>
              <w:rPr>
                <w:color w:val="000000"/>
                <w:highlight w:val="none"/>
              </w:rPr>
              <w:t xml:space="preserve">重难点分析较全面，故障预案较完善，响应方案合理，得 </w:t>
            </w:r>
            <w:r>
              <w:rPr>
                <w:rFonts w:hint="eastAsia"/>
                <w:color w:val="000000"/>
                <w:highlight w:val="none"/>
                <w:lang w:val="en-US" w:eastAsia="zh-CN"/>
              </w:rPr>
              <w:t xml:space="preserve">5</w:t>
            </w:r>
            <w:r>
              <w:rPr>
                <w:color w:val="000000"/>
                <w:highlight w:val="none"/>
              </w:rPr>
              <w:t xml:space="preserve"> 分；</w:t>
            </w:r>
            <w:r>
              <w:rPr>
                <w:color w:val="000000"/>
                <w:highlight w:val="none"/>
              </w:rPr>
            </w:r>
            <w:r/>
          </w:p>
          <w:p>
            <w:pPr>
              <w:pStyle w:val="901"/>
              <w:jc w:val="left"/>
              <w:spacing w:line="360" w:lineRule="auto"/>
              <w:rPr>
                <w:color w:val="000000"/>
                <w:highlight w:val="none"/>
              </w:rPr>
            </w:pPr>
            <w:r>
              <w:rPr>
                <w:color w:val="000000"/>
                <w:highlight w:val="none"/>
              </w:rPr>
              <w:t xml:space="preserve">对温湿度、压差等有逐项自控落地措施，但重难点分析或故障预案不够全面，得 </w:t>
            </w:r>
            <w:r>
              <w:rPr>
                <w:rFonts w:hint="eastAsia"/>
                <w:color w:val="000000"/>
                <w:highlight w:val="none"/>
                <w:lang w:val="en-US" w:eastAsia="zh-CN"/>
              </w:rPr>
              <w:t xml:space="preserve">3</w:t>
            </w:r>
            <w:r>
              <w:rPr>
                <w:color w:val="000000"/>
                <w:highlight w:val="none"/>
              </w:rPr>
              <w:t xml:space="preserve">分；</w:t>
            </w:r>
            <w:r>
              <w:rPr>
                <w:color w:val="000000"/>
                <w:highlight w:val="none"/>
              </w:rPr>
            </w:r>
            <w:r/>
          </w:p>
          <w:p>
            <w:pPr>
              <w:pStyle w:val="901"/>
              <w:jc w:val="left"/>
              <w:spacing w:line="360" w:lineRule="auto"/>
              <w:rPr>
                <w:color w:val="000000"/>
                <w:highlight w:val="none"/>
              </w:rPr>
            </w:pPr>
            <w:r>
              <w:rPr>
                <w:color w:val="000000"/>
                <w:highlight w:val="none"/>
              </w:rPr>
              <w:t xml:space="preserve">分析内容缺失、无针对性或预案不可行，得 </w:t>
            </w:r>
            <w:r>
              <w:rPr>
                <w:rFonts w:hint="eastAsia"/>
                <w:color w:val="000000"/>
                <w:highlight w:val="none"/>
                <w:lang w:val="en-US" w:eastAsia="zh-CN"/>
              </w:rPr>
              <w:t xml:space="preserve">1</w:t>
            </w:r>
            <w:r>
              <w:rPr>
                <w:color w:val="000000"/>
                <w:highlight w:val="none"/>
              </w:rPr>
              <w:t xml:space="preserve">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rFonts w:hint="eastAsia"/>
                <w:b/>
                <w:bCs/>
                <w:color w:val="000000"/>
                <w:highlight w:val="none"/>
                <w:lang w:val="en-US" w:eastAsia="zh-CN"/>
              </w:rPr>
              <w:t xml:space="preserve">6.</w:t>
            </w:r>
            <w:r>
              <w:rPr>
                <w:b/>
                <w:bCs/>
                <w:color w:val="000000"/>
                <w:highlight w:val="none"/>
              </w:rPr>
              <w:t xml:space="preserve">验收方案（6分）</w:t>
            </w:r>
            <w:r>
              <w:rPr>
                <w:b/>
                <w:bCs/>
                <w:color w:val="000000"/>
                <w:highlight w:val="none"/>
              </w:rPr>
            </w:r>
            <w:r/>
          </w:p>
          <w:p>
            <w:pPr>
              <w:pStyle w:val="901"/>
              <w:jc w:val="left"/>
              <w:spacing w:line="360" w:lineRule="auto"/>
              <w:rPr>
                <w:color w:val="000000"/>
                <w:highlight w:val="none"/>
              </w:rPr>
            </w:pPr>
            <w:r>
              <w:rPr>
                <w:color w:val="000000"/>
                <w:highlight w:val="none"/>
              </w:rPr>
              <w:t xml:space="preserve">全流程验收方案完整规范，分阶段节点、执行标准、报验流程、资料要求及整改闭环机制清晰明确，得 6 分；</w:t>
            </w:r>
            <w:r>
              <w:rPr>
                <w:color w:val="000000"/>
                <w:highlight w:val="none"/>
              </w:rPr>
            </w:r>
            <w:r/>
          </w:p>
          <w:p>
            <w:pPr>
              <w:pStyle w:val="901"/>
              <w:jc w:val="left"/>
              <w:spacing w:line="360" w:lineRule="auto"/>
              <w:rPr>
                <w:color w:val="000000"/>
                <w:highlight w:val="none"/>
              </w:rPr>
            </w:pPr>
            <w:r>
              <w:rPr>
                <w:color w:val="000000"/>
                <w:highlight w:val="none"/>
              </w:rPr>
              <w:t xml:space="preserve">验收方案较完善，流程和标准较清晰，基本满足项目验收要求，得 4 分；</w:t>
            </w:r>
            <w:r>
              <w:rPr>
                <w:color w:val="000000"/>
                <w:highlight w:val="none"/>
              </w:rPr>
            </w:r>
            <w:r/>
          </w:p>
          <w:p>
            <w:pPr>
              <w:pStyle w:val="901"/>
              <w:jc w:val="left"/>
              <w:spacing w:line="360" w:lineRule="auto"/>
              <w:rPr>
                <w:color w:val="000000"/>
                <w:highlight w:val="none"/>
              </w:rPr>
            </w:pPr>
            <w:r>
              <w:rPr>
                <w:color w:val="000000"/>
                <w:highlight w:val="none"/>
              </w:rPr>
              <w:t xml:space="preserve">仅列明主要验收节点，缺少细分判定标准或整改闭环要求，得 2 分；</w:t>
            </w:r>
            <w:r>
              <w:rPr>
                <w:color w:val="000000"/>
                <w:highlight w:val="none"/>
              </w:rPr>
            </w:r>
            <w:r/>
          </w:p>
          <w:p>
            <w:pPr>
              <w:pStyle w:val="901"/>
              <w:jc w:val="left"/>
              <w:spacing w:line="360" w:lineRule="auto"/>
              <w:rPr>
                <w:color w:val="000000"/>
                <w:highlight w:val="none"/>
              </w:rPr>
            </w:pPr>
            <w:r>
              <w:rPr>
                <w:color w:val="000000"/>
                <w:highlight w:val="none"/>
              </w:rPr>
              <w:t xml:space="preserve">未提供或完全不符合要求，得 0 分。</w:t>
            </w:r>
            <w:r>
              <w:rPr>
                <w:color w:val="000000"/>
                <w:highlight w:val="none"/>
              </w:rPr>
            </w:r>
            <w:r/>
          </w:p>
          <w:p>
            <w:pPr>
              <w:pStyle w:val="901"/>
              <w:jc w:val="left"/>
              <w:spacing w:line="360" w:lineRule="auto"/>
              <w:rPr>
                <w:b/>
                <w:bCs/>
                <w:color w:val="000000"/>
                <w:highlight w:val="none"/>
              </w:rPr>
            </w:pPr>
            <w:r>
              <w:rPr>
                <w:b/>
                <w:bCs/>
                <w:color w:val="000000"/>
                <w:highlight w:val="none"/>
              </w:rPr>
              <w:t xml:space="preserve">7. 售后服务方案（</w:t>
            </w:r>
            <w:r>
              <w:rPr>
                <w:rFonts w:hint="eastAsia"/>
                <w:b/>
                <w:bCs/>
                <w:color w:val="000000"/>
                <w:highlight w:val="none"/>
                <w:lang w:val="en-US" w:eastAsia="zh-CN"/>
              </w:rPr>
              <w:t xml:space="preserve">6</w:t>
            </w:r>
            <w:r>
              <w:rPr>
                <w:b/>
                <w:bCs/>
                <w:color w:val="000000"/>
                <w:highlight w:val="none"/>
              </w:rPr>
              <w:t xml:space="preserve">分）</w:t>
            </w:r>
            <w:r>
              <w:rPr>
                <w:b/>
                <w:bCs/>
                <w:color w:val="000000"/>
                <w:highlight w:val="none"/>
              </w:rPr>
            </w:r>
            <w:r/>
          </w:p>
          <w:p>
            <w:pPr>
              <w:pStyle w:val="901"/>
              <w:jc w:val="left"/>
              <w:spacing w:line="360" w:lineRule="auto"/>
              <w:rPr>
                <w:color w:val="000000"/>
                <w:highlight w:val="none"/>
              </w:rPr>
            </w:pPr>
            <w:r>
              <w:rPr>
                <w:color w:val="000000"/>
                <w:highlight w:val="none"/>
              </w:rPr>
              <w:t xml:space="preserve">服务流程详实可落地，风险预判全面且应对方案完整；明确承诺故障抵达现场时间</w:t>
            </w:r>
            <w:r>
              <w:rPr>
                <w:rFonts w:hint="eastAsia"/>
                <w:color w:val="000000"/>
                <w:highlight w:val="none"/>
                <w:lang w:eastAsia="zh-CN"/>
              </w:rPr>
              <w:t xml:space="preserve">，</w:t>
            </w:r>
            <w:r>
              <w:rPr>
                <w:color w:val="000000"/>
                <w:highlight w:val="none"/>
              </w:rPr>
              <w:t xml:space="preserve">维保、回访及免费培训方案内容完善、安排具体，得 </w:t>
            </w:r>
            <w:r>
              <w:rPr>
                <w:rFonts w:hint="eastAsia"/>
                <w:color w:val="000000"/>
                <w:highlight w:val="none"/>
                <w:lang w:val="en-US" w:eastAsia="zh-CN"/>
              </w:rPr>
              <w:t xml:space="preserve">6</w:t>
            </w:r>
            <w:r>
              <w:rPr>
                <w:color w:val="000000"/>
                <w:highlight w:val="none"/>
              </w:rPr>
              <w:t xml:space="preserve"> 分；</w:t>
            </w:r>
            <w:r>
              <w:rPr>
                <w:color w:val="000000"/>
                <w:highlight w:val="none"/>
              </w:rPr>
            </w:r>
            <w:r/>
          </w:p>
          <w:p>
            <w:pPr>
              <w:pStyle w:val="901"/>
              <w:jc w:val="left"/>
              <w:spacing w:line="360" w:lineRule="auto"/>
              <w:rPr>
                <w:color w:val="000000"/>
                <w:highlight w:val="none"/>
              </w:rPr>
            </w:pPr>
            <w:r>
              <w:rPr>
                <w:color w:val="000000"/>
                <w:highlight w:val="none"/>
              </w:rPr>
              <w:t xml:space="preserve">服务流程及保障措施较完善，风险预判及应对方案合理；维保培训方案较清晰，得 </w:t>
            </w:r>
            <w:r>
              <w:rPr>
                <w:rFonts w:hint="eastAsia"/>
                <w:color w:val="000000"/>
                <w:highlight w:val="none"/>
                <w:lang w:val="en-US" w:eastAsia="zh-CN"/>
              </w:rPr>
              <w:t xml:space="preserve">4</w:t>
            </w:r>
            <w:r>
              <w:rPr>
                <w:color w:val="000000"/>
                <w:highlight w:val="none"/>
              </w:rPr>
              <w:t xml:space="preserve"> 分；</w:t>
            </w:r>
            <w:r>
              <w:rPr>
                <w:color w:val="000000"/>
                <w:highlight w:val="none"/>
              </w:rPr>
            </w:r>
            <w:r/>
          </w:p>
          <w:p>
            <w:pPr>
              <w:pStyle w:val="901"/>
              <w:jc w:val="left"/>
              <w:spacing w:line="360" w:lineRule="auto"/>
              <w:rPr>
                <w:color w:val="000000"/>
                <w:highlight w:val="none"/>
              </w:rPr>
            </w:pPr>
            <w:r>
              <w:rPr>
                <w:color w:val="000000"/>
                <w:highlight w:val="none"/>
              </w:rPr>
              <w:t xml:space="preserve">方案表述一般，流程环节不够完整，或响应时间仅满足基本要求，维保培训方案简略，得 </w:t>
            </w:r>
            <w:r>
              <w:rPr>
                <w:rFonts w:hint="eastAsia"/>
                <w:color w:val="000000"/>
                <w:highlight w:val="none"/>
                <w:lang w:val="en-US" w:eastAsia="zh-CN"/>
              </w:rPr>
              <w:t xml:space="preserve">2</w:t>
            </w:r>
            <w:r>
              <w:rPr>
                <w:color w:val="000000"/>
                <w:highlight w:val="none"/>
              </w:rPr>
              <w:t xml:space="preserve">分；</w:t>
            </w:r>
            <w:r>
              <w:rPr>
                <w:color w:val="000000"/>
                <w:highlight w:val="none"/>
              </w:rPr>
            </w:r>
            <w:r/>
          </w:p>
          <w:p>
            <w:pPr>
              <w:pStyle w:val="901"/>
              <w:jc w:val="left"/>
              <w:spacing w:line="360" w:lineRule="auto"/>
              <w:rPr>
                <w:rFonts w:hint="eastAsia" w:eastAsia="宋体"/>
                <w:color w:val="000000"/>
                <w:highlight w:val="none"/>
                <w:lang w:eastAsia="zh-CN"/>
              </w:rPr>
            </w:pPr>
            <w:r>
              <w:rPr>
                <w:color w:val="000000"/>
                <w:highlight w:val="none"/>
              </w:rPr>
              <w:t xml:space="preserve">未提供或完全不符合要求，得 0 分。</w:t>
            </w:r>
            <w:r>
              <w:rPr>
                <w:rFonts w:hint="eastAsia" w:eastAsia="宋体"/>
                <w:color w:val="000000"/>
                <w:highlight w:val="none"/>
                <w:lang w:eastAsia="zh-CN"/>
              </w:rPr>
            </w:r>
            <w:r/>
          </w:p>
        </w:tc>
      </w:tr>
      <w:tr>
        <w:trPr/>
        <w:tc>
          <w:tcPr>
            <w:tcW w:w="745" w:type="dxa"/>
            <w:vAlign w:val="center"/>
            <w:vMerge w:val="restart"/>
            <w:textDirection w:val="lrTb"/>
            <w:noWrap w:val="false"/>
          </w:tcPr>
          <w:p>
            <w:pPr>
              <w:pStyle w:val="901"/>
              <w:jc w:val="center"/>
              <w:spacing w:line="360" w:lineRule="auto"/>
              <w:widowControl/>
              <w:rPr>
                <w:color w:val="000000"/>
                <w:szCs w:val="21"/>
                <w:highlight w:val="none"/>
                <w:lang w:bidi="ar"/>
              </w:rPr>
            </w:pPr>
            <w:r>
              <w:rPr>
                <w:rFonts w:hint="eastAsia"/>
                <w:color w:val="000000"/>
                <w:szCs w:val="21"/>
                <w:highlight w:val="none"/>
              </w:rPr>
              <w:t xml:space="preserve">商务分</w:t>
            </w:r>
            <w:r>
              <w:rPr>
                <w:color w:val="000000"/>
                <w:szCs w:val="21"/>
                <w:highlight w:val="none"/>
                <w:lang w:bidi="ar"/>
              </w:rPr>
            </w:r>
            <w:r/>
          </w:p>
        </w:tc>
        <w:tc>
          <w:tcPr>
            <w:tcW w:w="345" w:type="dxa"/>
            <w:vAlign w:val="center"/>
            <w:vMerge w:val="restart"/>
            <w:textDirection w:val="lrTb"/>
            <w:noWrap w:val="false"/>
          </w:tcPr>
          <w:p>
            <w:pPr>
              <w:pStyle w:val="901"/>
              <w:jc w:val="center"/>
              <w:spacing w:line="360" w:lineRule="auto"/>
              <w:rPr>
                <w:rFonts w:eastAsia="宋体"/>
                <w:color w:val="000000"/>
                <w:szCs w:val="21"/>
                <w:highlight w:val="none"/>
                <w:lang w:val="en-US" w:eastAsia="zh-CN"/>
              </w:rPr>
            </w:pPr>
            <w:r>
              <w:rPr>
                <w:rFonts w:hint="eastAsia"/>
                <w:color w:val="000000"/>
                <w:szCs w:val="21"/>
                <w:highlight w:val="none"/>
                <w:lang w:val="en-US" w:eastAsia="zh-CN"/>
              </w:rPr>
              <w:t xml:space="preserve">23</w:t>
            </w:r>
            <w:r>
              <w:rPr>
                <w:rFonts w:eastAsia="宋体"/>
                <w:color w:val="000000"/>
                <w:szCs w:val="21"/>
                <w:highlight w:val="none"/>
                <w:lang w:val="en-US" w:eastAsia="zh-CN"/>
              </w:rPr>
            </w:r>
            <w:r/>
          </w:p>
        </w:tc>
        <w:tc>
          <w:tcPr>
            <w:tcW w:w="744" w:type="dxa"/>
            <w:vAlign w:val="center"/>
            <w:textDirection w:val="lrTb"/>
            <w:noWrap w:val="false"/>
          </w:tcPr>
          <w:p>
            <w:pPr>
              <w:pStyle w:val="901"/>
              <w:jc w:val="center"/>
              <w:spacing w:line="360" w:lineRule="auto"/>
              <w:rPr>
                <w:color w:val="000000"/>
                <w:szCs w:val="21"/>
                <w:highlight w:val="none"/>
                <w:lang w:bidi="ar"/>
              </w:rPr>
            </w:pPr>
            <w:r>
              <w:rPr>
                <w:rFonts w:hint="eastAsia"/>
                <w:color w:val="000000"/>
                <w:szCs w:val="21"/>
                <w:highlight w:val="none"/>
                <w:lang w:bidi="ar"/>
              </w:rPr>
              <w:t xml:space="preserve">业绩</w:t>
            </w:r>
            <w:r>
              <w:rPr>
                <w:color w:val="000000"/>
                <w:szCs w:val="21"/>
                <w:highlight w:val="none"/>
                <w:lang w:bidi="ar"/>
              </w:rPr>
            </w:r>
            <w:r/>
          </w:p>
          <w:p>
            <w:pPr>
              <w:pStyle w:val="901"/>
              <w:jc w:val="center"/>
              <w:spacing w:line="360" w:lineRule="auto"/>
              <w:rPr>
                <w:color w:val="000000"/>
                <w:szCs w:val="21"/>
                <w:highlight w:val="none"/>
              </w:rPr>
            </w:pPr>
            <w:r>
              <w:rPr>
                <w:color w:val="000000"/>
                <w:szCs w:val="21"/>
                <w:highlight w:val="none"/>
                <w:lang w:bidi="ar"/>
              </w:rPr>
              <w:t xml:space="preserve">(1</w:t>
            </w:r>
            <w:r>
              <w:rPr>
                <w:rFonts w:hint="eastAsia"/>
                <w:color w:val="000000"/>
                <w:szCs w:val="21"/>
                <w:highlight w:val="none"/>
                <w:lang w:val="en-US" w:eastAsia="zh-CN" w:bidi="ar"/>
              </w:rPr>
              <w:t xml:space="preserve">4</w:t>
            </w:r>
            <w:r>
              <w:rPr>
                <w:rFonts w:hint="eastAsia"/>
                <w:color w:val="000000"/>
                <w:szCs w:val="21"/>
                <w:highlight w:val="none"/>
              </w:rPr>
              <w:t xml:space="preserve">分</w:t>
            </w:r>
            <w:r>
              <w:rPr>
                <w:color w:val="000000"/>
                <w:szCs w:val="21"/>
                <w:highlight w:val="none"/>
              </w:rPr>
              <w:t xml:space="preserve">)</w:t>
            </w:r>
            <w:r>
              <w:rPr>
                <w:color w:val="000000"/>
                <w:szCs w:val="21"/>
                <w:highlight w:val="none"/>
              </w:rPr>
            </w:r>
            <w:r/>
          </w:p>
        </w:tc>
        <w:tc>
          <w:tcPr>
            <w:tcW w:w="3164" w:type="dxa"/>
            <w:vAlign w:val="top"/>
            <w:textDirection w:val="lrTb"/>
            <w:noWrap w:val="false"/>
          </w:tcPr>
          <w:p>
            <w:pPr>
              <w:pStyle w:val="931"/>
              <w:numPr>
                <w:ilvl w:val="0"/>
                <w:numId w:val="9"/>
              </w:numPr>
              <w:spacing w:before="120" w:after="120" w:line="360" w:lineRule="auto"/>
              <w:rPr>
                <w:rFonts w:hint="eastAsia" w:ascii="Times New Roman" w:hAnsi="Times New Roman" w:eastAsia="宋体" w:cs="宋体"/>
                <w:color w:val="000000"/>
                <w:sz w:val="21"/>
                <w:szCs w:val="21"/>
                <w:highlight w:val="none"/>
                <w:lang w:bidi="ar"/>
              </w:rPr>
            </w:pPr>
            <w:r>
              <w:rPr>
                <w:rFonts w:hint="eastAsia"/>
                <w:color w:val="000000"/>
                <w:szCs w:val="21"/>
                <w:highlight w:val="none"/>
              </w:rPr>
              <w:t xml:space="preserve">投标</w:t>
            </w:r>
            <w:r>
              <w:rPr>
                <w:rFonts w:hint="eastAsia"/>
                <w:color w:val="000000"/>
                <w:szCs w:val="21"/>
                <w:highlight w:val="none"/>
                <w:lang w:val="en-US" w:eastAsia="zh-CN"/>
              </w:rPr>
              <w:t xml:space="preserve">人</w:t>
            </w:r>
            <w:r>
              <w:rPr>
                <w:rFonts w:hint="eastAsia" w:ascii="Times New Roman" w:hAnsi="Times New Roman" w:eastAsia="宋体" w:cs="宋体"/>
                <w:color w:val="000000"/>
                <w:sz w:val="21"/>
                <w:szCs w:val="21"/>
                <w:highlight w:val="none"/>
                <w:lang w:bidi="ar"/>
              </w:rPr>
              <w:t xml:space="preserve">自202</w:t>
            </w:r>
            <w:r>
              <w:rPr>
                <w:rFonts w:hint="eastAsia" w:ascii="Times New Roman" w:hAnsi="Times New Roman" w:eastAsia="宋体" w:cs="宋体"/>
                <w:color w:val="000000"/>
                <w:sz w:val="21"/>
                <w:szCs w:val="21"/>
                <w:highlight w:val="none"/>
                <w:lang w:val="en-US" w:eastAsia="zh-CN" w:bidi="ar"/>
              </w:rPr>
              <w:t xml:space="preserve">3</w:t>
            </w:r>
            <w:r>
              <w:rPr>
                <w:rFonts w:hint="eastAsia" w:ascii="Times New Roman" w:hAnsi="Times New Roman" w:eastAsia="宋体" w:cs="宋体"/>
                <w:color w:val="000000"/>
                <w:sz w:val="21"/>
                <w:szCs w:val="21"/>
                <w:highlight w:val="none"/>
                <w:lang w:bidi="ar"/>
              </w:rPr>
              <w:t xml:space="preserve">年1月1日以来，承担过</w:t>
            </w:r>
            <w:r>
              <w:rPr>
                <w:rFonts w:hint="eastAsia" w:ascii="Times New Roman" w:hAnsi="Times New Roman" w:eastAsia="宋体" w:cs="宋体"/>
                <w:color w:val="000000"/>
                <w:sz w:val="21"/>
                <w:szCs w:val="21"/>
                <w:highlight w:val="none"/>
                <w:lang w:val="en-US" w:eastAsia="zh-CN" w:bidi="ar"/>
              </w:rPr>
              <w:t xml:space="preserve">同类</w:t>
            </w:r>
            <w:r>
              <w:rPr>
                <w:rFonts w:hint="eastAsia" w:ascii="Times New Roman" w:hAnsi="Times New Roman" w:eastAsia="宋体" w:cs="宋体"/>
                <w:color w:val="000000"/>
                <w:sz w:val="21"/>
                <w:szCs w:val="21"/>
                <w:highlight w:val="none"/>
                <w:lang w:bidi="ar"/>
              </w:rPr>
              <w:t xml:space="preserve">项目，每有一项得2分，满分</w:t>
            </w:r>
            <w:r>
              <w:rPr>
                <w:rFonts w:hint="eastAsia" w:ascii="Times New Roman" w:hAnsi="Times New Roman" w:eastAsia="宋体" w:cs="宋体"/>
                <w:color w:val="000000"/>
                <w:sz w:val="21"/>
                <w:szCs w:val="21"/>
                <w:highlight w:val="none"/>
                <w:lang w:val="en-US" w:eastAsia="zh-CN" w:bidi="ar"/>
              </w:rPr>
              <w:t xml:space="preserve">10</w:t>
            </w:r>
            <w:r>
              <w:rPr>
                <w:rFonts w:hint="eastAsia" w:ascii="Times New Roman" w:hAnsi="Times New Roman" w:eastAsia="宋体" w:cs="宋体"/>
                <w:color w:val="000000"/>
                <w:sz w:val="21"/>
                <w:szCs w:val="21"/>
                <w:highlight w:val="none"/>
                <w:lang w:bidi="ar"/>
              </w:rPr>
              <w:t xml:space="preserve">分。</w:t>
            </w:r>
            <w:r>
              <w:rPr>
                <w:rFonts w:hint="eastAsia" w:ascii="Times New Roman" w:hAnsi="Times New Roman" w:eastAsia="宋体" w:cs="宋体"/>
                <w:color w:val="000000"/>
                <w:sz w:val="21"/>
                <w:szCs w:val="21"/>
                <w:highlight w:val="none"/>
                <w:lang w:bidi="ar"/>
              </w:rPr>
            </w:r>
            <w:r/>
          </w:p>
          <w:p>
            <w:pPr>
              <w:pStyle w:val="931"/>
              <w:numPr>
                <w:ilvl w:val="0"/>
                <w:numId w:val="9"/>
              </w:numPr>
              <w:spacing w:before="120" w:after="120" w:line="360" w:lineRule="auto"/>
              <w:rPr>
                <w:rFonts w:hint="eastAsia" w:ascii="Times New Roman" w:hAnsi="Times New Roman" w:eastAsia="宋体" w:cs="宋体"/>
                <w:color w:val="000000"/>
                <w:sz w:val="21"/>
                <w:szCs w:val="21"/>
                <w:highlight w:val="none"/>
                <w:lang w:bidi="ar"/>
              </w:rPr>
            </w:pPr>
            <w:r>
              <w:rPr>
                <w:rFonts w:hint="eastAsia"/>
                <w:color w:val="000000"/>
                <w:szCs w:val="21"/>
                <w:highlight w:val="none"/>
              </w:rPr>
              <w:t xml:space="preserve">拟派项目经理</w:t>
            </w:r>
            <w:r>
              <w:rPr>
                <w:rFonts w:hint="eastAsia" w:ascii="Times New Roman" w:hAnsi="Times New Roman" w:eastAsia="宋体" w:cs="宋体"/>
                <w:color w:val="000000"/>
                <w:sz w:val="21"/>
                <w:szCs w:val="21"/>
                <w:highlight w:val="none"/>
                <w:lang w:bidi="ar"/>
              </w:rPr>
              <w:t xml:space="preserve">自202</w:t>
            </w:r>
            <w:r>
              <w:rPr>
                <w:rFonts w:hint="eastAsia" w:ascii="Times New Roman" w:hAnsi="Times New Roman" w:eastAsia="宋体" w:cs="宋体"/>
                <w:color w:val="000000"/>
                <w:sz w:val="21"/>
                <w:szCs w:val="21"/>
                <w:highlight w:val="none"/>
                <w:lang w:val="en-US" w:eastAsia="zh-CN" w:bidi="ar"/>
              </w:rPr>
              <w:t xml:space="preserve">3</w:t>
            </w:r>
            <w:r>
              <w:rPr>
                <w:rFonts w:hint="eastAsia" w:ascii="Times New Roman" w:hAnsi="Times New Roman" w:eastAsia="宋体" w:cs="宋体"/>
                <w:color w:val="000000"/>
                <w:sz w:val="21"/>
                <w:szCs w:val="21"/>
                <w:highlight w:val="none"/>
                <w:lang w:bidi="ar"/>
              </w:rPr>
              <w:t xml:space="preserve">年1月1日以来，承担过</w:t>
            </w:r>
            <w:r>
              <w:rPr>
                <w:rFonts w:hint="eastAsia" w:ascii="Times New Roman" w:hAnsi="Times New Roman" w:eastAsia="宋体" w:cs="宋体"/>
                <w:color w:val="000000"/>
                <w:sz w:val="21"/>
                <w:szCs w:val="21"/>
                <w:highlight w:val="none"/>
                <w:lang w:val="en-US" w:eastAsia="zh-CN" w:bidi="ar"/>
              </w:rPr>
              <w:t xml:space="preserve">同类</w:t>
            </w:r>
            <w:r>
              <w:rPr>
                <w:rFonts w:hint="eastAsia" w:ascii="Times New Roman" w:hAnsi="Times New Roman" w:eastAsia="宋体" w:cs="宋体"/>
                <w:color w:val="000000"/>
                <w:sz w:val="21"/>
                <w:szCs w:val="21"/>
                <w:highlight w:val="none"/>
                <w:lang w:bidi="ar"/>
              </w:rPr>
              <w:t xml:space="preserve">项目，每有一项得2分，满分</w:t>
            </w:r>
            <w:r>
              <w:rPr>
                <w:rFonts w:hint="eastAsia" w:ascii="Times New Roman" w:hAnsi="Times New Roman" w:eastAsia="宋体" w:cs="宋体"/>
                <w:color w:val="000000"/>
                <w:sz w:val="21"/>
                <w:szCs w:val="21"/>
                <w:highlight w:val="none"/>
                <w:lang w:val="en-US" w:eastAsia="zh-CN" w:bidi="ar"/>
              </w:rPr>
              <w:t xml:space="preserve">2</w:t>
            </w:r>
            <w:r>
              <w:rPr>
                <w:rFonts w:hint="eastAsia" w:ascii="Times New Roman" w:hAnsi="Times New Roman" w:eastAsia="宋体" w:cs="宋体"/>
                <w:color w:val="000000"/>
                <w:sz w:val="21"/>
                <w:szCs w:val="21"/>
                <w:highlight w:val="none"/>
                <w:lang w:bidi="ar"/>
              </w:rPr>
              <w:t xml:space="preserve">分。</w:t>
            </w:r>
            <w:r>
              <w:rPr>
                <w:rFonts w:hint="eastAsia" w:ascii="Times New Roman" w:hAnsi="Times New Roman" w:eastAsia="宋体" w:cs="宋体"/>
                <w:color w:val="000000"/>
                <w:sz w:val="21"/>
                <w:szCs w:val="21"/>
                <w:highlight w:val="none"/>
                <w:lang w:val="en-US" w:eastAsia="zh-CN" w:bidi="ar"/>
              </w:rPr>
              <w:t xml:space="preserve">(</w:t>
            </w:r>
            <w:r>
              <w:rPr>
                <w:rFonts w:hint="eastAsia" w:ascii="宋体" w:eastAsia="宋体" w:cs="Times New Roman"/>
                <w:b/>
                <w:bCs/>
                <w:color w:val="000000"/>
                <w:szCs w:val="21"/>
                <w:highlight w:val="none"/>
                <w:lang w:val="en-US" w:eastAsia="zh-CN"/>
              </w:rPr>
              <w:t xml:space="preserve">业绩</w:t>
            </w:r>
            <w:r>
              <w:rPr>
                <w:rFonts w:hint="eastAsia"/>
                <w:b/>
                <w:bCs/>
                <w:color w:val="000000"/>
                <w:szCs w:val="21"/>
                <w:highlight w:val="none"/>
              </w:rPr>
              <w:t xml:space="preserve">资料</w:t>
            </w:r>
            <w:r>
              <w:rPr>
                <w:rFonts w:hint="eastAsia"/>
                <w:b/>
                <w:bCs/>
                <w:color w:val="000000"/>
                <w:szCs w:val="21"/>
                <w:highlight w:val="none"/>
                <w:lang w:val="en-US" w:eastAsia="zh-CN"/>
              </w:rPr>
              <w:t xml:space="preserve">应</w:t>
            </w:r>
            <w:r>
              <w:rPr>
                <w:rFonts w:hint="eastAsia"/>
                <w:b/>
                <w:bCs/>
                <w:color w:val="000000"/>
                <w:szCs w:val="21"/>
                <w:highlight w:val="none"/>
              </w:rPr>
              <w:t xml:space="preserve">体现项目经理姓名</w:t>
            </w:r>
            <w:r>
              <w:rPr>
                <w:rFonts w:hint="eastAsia"/>
                <w:b/>
                <w:bCs/>
                <w:color w:val="000000"/>
                <w:szCs w:val="21"/>
                <w:highlight w:val="none"/>
                <w:lang w:eastAsia="zh-CN"/>
              </w:rPr>
              <w:t xml:space="preserve">）</w:t>
            </w:r>
            <w:r>
              <w:rPr>
                <w:rFonts w:hint="eastAsia" w:ascii="Times New Roman" w:hAnsi="Times New Roman" w:eastAsia="宋体" w:cs="宋体"/>
                <w:color w:val="000000"/>
                <w:sz w:val="21"/>
                <w:szCs w:val="21"/>
                <w:highlight w:val="none"/>
                <w:lang w:bidi="ar"/>
              </w:rPr>
            </w:r>
            <w:r/>
          </w:p>
          <w:p>
            <w:pPr>
              <w:pStyle w:val="931"/>
              <w:numPr>
                <w:ilvl w:val="0"/>
                <w:numId w:val="9"/>
              </w:numPr>
              <w:spacing w:before="120" w:after="120" w:line="360" w:lineRule="auto"/>
              <w:rPr>
                <w:rFonts w:hint="eastAsia" w:ascii="Times New Roman" w:hAnsi="Times New Roman" w:eastAsia="宋体" w:cs="宋体"/>
                <w:color w:val="000000"/>
                <w:sz w:val="21"/>
                <w:szCs w:val="21"/>
                <w:highlight w:val="none"/>
                <w:lang w:bidi="ar"/>
              </w:rPr>
            </w:pPr>
            <w:r>
              <w:rPr>
                <w:rFonts w:hint="eastAsia"/>
                <w:color w:val="000000"/>
                <w:szCs w:val="21"/>
                <w:highlight w:val="none"/>
              </w:rPr>
              <w:t xml:space="preserve">拟派技术负责人</w:t>
            </w:r>
            <w:r>
              <w:rPr>
                <w:rFonts w:hint="eastAsia" w:ascii="Times New Roman" w:hAnsi="Times New Roman" w:eastAsia="宋体" w:cs="宋体"/>
                <w:color w:val="000000"/>
                <w:sz w:val="21"/>
                <w:szCs w:val="21"/>
                <w:highlight w:val="none"/>
                <w:lang w:bidi="ar"/>
              </w:rPr>
              <w:t xml:space="preserve">自202</w:t>
            </w:r>
            <w:r>
              <w:rPr>
                <w:rFonts w:hint="eastAsia" w:ascii="Times New Roman" w:hAnsi="Times New Roman" w:eastAsia="宋体" w:cs="宋体"/>
                <w:color w:val="000000"/>
                <w:sz w:val="21"/>
                <w:szCs w:val="21"/>
                <w:highlight w:val="none"/>
                <w:lang w:val="en-US" w:eastAsia="zh-CN" w:bidi="ar"/>
              </w:rPr>
              <w:t xml:space="preserve">3</w:t>
            </w:r>
            <w:r>
              <w:rPr>
                <w:rFonts w:hint="eastAsia" w:ascii="Times New Roman" w:hAnsi="Times New Roman" w:eastAsia="宋体" w:cs="宋体"/>
                <w:color w:val="000000"/>
                <w:sz w:val="21"/>
                <w:szCs w:val="21"/>
                <w:highlight w:val="none"/>
                <w:lang w:bidi="ar"/>
              </w:rPr>
              <w:t xml:space="preserve">年1月1日以来，承担过</w:t>
            </w:r>
            <w:r>
              <w:rPr>
                <w:rFonts w:hint="eastAsia" w:ascii="Times New Roman" w:hAnsi="Times New Roman" w:eastAsia="宋体" w:cs="宋体"/>
                <w:color w:val="000000"/>
                <w:sz w:val="21"/>
                <w:szCs w:val="21"/>
                <w:highlight w:val="none"/>
                <w:lang w:val="en-US" w:eastAsia="zh-CN" w:bidi="ar"/>
              </w:rPr>
              <w:t xml:space="preserve">同类</w:t>
            </w:r>
            <w:r>
              <w:rPr>
                <w:rFonts w:hint="eastAsia" w:ascii="Times New Roman" w:hAnsi="Times New Roman" w:eastAsia="宋体" w:cs="宋体"/>
                <w:color w:val="000000"/>
                <w:sz w:val="21"/>
                <w:szCs w:val="21"/>
                <w:highlight w:val="none"/>
                <w:lang w:bidi="ar"/>
              </w:rPr>
              <w:t xml:space="preserve">项目，每有一项得2分，满分</w:t>
            </w:r>
            <w:r>
              <w:rPr>
                <w:rFonts w:hint="eastAsia" w:ascii="Times New Roman" w:hAnsi="Times New Roman" w:eastAsia="宋体" w:cs="宋体"/>
                <w:color w:val="000000"/>
                <w:sz w:val="21"/>
                <w:szCs w:val="21"/>
                <w:highlight w:val="none"/>
                <w:lang w:val="en-US" w:eastAsia="zh-CN" w:bidi="ar"/>
              </w:rPr>
              <w:t xml:space="preserve">2</w:t>
            </w:r>
            <w:r>
              <w:rPr>
                <w:rFonts w:hint="eastAsia" w:ascii="Times New Roman" w:hAnsi="Times New Roman" w:eastAsia="宋体" w:cs="宋体"/>
                <w:color w:val="000000"/>
                <w:sz w:val="21"/>
                <w:szCs w:val="21"/>
                <w:highlight w:val="none"/>
                <w:lang w:bidi="ar"/>
              </w:rPr>
              <w:t xml:space="preserve">分。</w:t>
            </w:r>
            <w:r>
              <w:rPr>
                <w:rFonts w:hint="eastAsia" w:ascii="Times New Roman" w:hAnsi="Times New Roman" w:eastAsia="宋体" w:cs="宋体"/>
                <w:color w:val="000000"/>
                <w:sz w:val="21"/>
                <w:szCs w:val="21"/>
                <w:highlight w:val="none"/>
                <w:lang w:val="en-US" w:eastAsia="zh-CN" w:bidi="ar"/>
              </w:rPr>
              <w:t xml:space="preserve">(</w:t>
            </w:r>
            <w:r>
              <w:rPr>
                <w:rFonts w:hint="eastAsia" w:ascii="宋体" w:eastAsia="宋体" w:cs="Times New Roman"/>
                <w:b/>
                <w:bCs/>
                <w:color w:val="000000"/>
                <w:szCs w:val="21"/>
                <w:highlight w:val="none"/>
                <w:lang w:val="en-US" w:eastAsia="zh-CN"/>
              </w:rPr>
              <w:t xml:space="preserve">业绩</w:t>
            </w:r>
            <w:r>
              <w:rPr>
                <w:rFonts w:hint="eastAsia"/>
                <w:b/>
                <w:bCs/>
                <w:color w:val="000000"/>
                <w:szCs w:val="21"/>
                <w:highlight w:val="none"/>
              </w:rPr>
              <w:t xml:space="preserve">资料</w:t>
            </w:r>
            <w:r>
              <w:rPr>
                <w:rFonts w:hint="eastAsia"/>
                <w:b/>
                <w:bCs/>
                <w:color w:val="000000"/>
                <w:szCs w:val="21"/>
                <w:highlight w:val="none"/>
                <w:lang w:val="en-US" w:eastAsia="zh-CN"/>
              </w:rPr>
              <w:t xml:space="preserve">应</w:t>
            </w:r>
            <w:r>
              <w:rPr>
                <w:rFonts w:hint="eastAsia"/>
                <w:b/>
                <w:bCs/>
                <w:color w:val="000000"/>
                <w:szCs w:val="21"/>
                <w:highlight w:val="none"/>
              </w:rPr>
              <w:t xml:space="preserve">体现</w:t>
            </w:r>
            <w:r>
              <w:rPr>
                <w:rFonts w:hint="eastAsia"/>
                <w:b/>
                <w:bCs/>
                <w:color w:val="000000"/>
                <w:szCs w:val="21"/>
                <w:highlight w:val="none"/>
                <w:lang w:val="en-US" w:eastAsia="zh-CN"/>
              </w:rPr>
              <w:t xml:space="preserve">技术负责人</w:t>
            </w:r>
            <w:r>
              <w:rPr>
                <w:rFonts w:hint="eastAsia"/>
                <w:b/>
                <w:bCs/>
                <w:color w:val="000000"/>
                <w:szCs w:val="21"/>
                <w:highlight w:val="none"/>
              </w:rPr>
              <w:t xml:space="preserve">姓名</w:t>
            </w:r>
            <w:r>
              <w:rPr>
                <w:rFonts w:hint="eastAsia"/>
                <w:b/>
                <w:bCs/>
                <w:color w:val="000000"/>
                <w:szCs w:val="21"/>
                <w:highlight w:val="none"/>
                <w:lang w:eastAsia="zh-CN"/>
              </w:rPr>
              <w:t xml:space="preserve">）</w:t>
            </w:r>
            <w:r>
              <w:rPr>
                <w:rFonts w:hint="eastAsia" w:ascii="Times New Roman" w:hAnsi="Times New Roman" w:eastAsia="宋体" w:cs="宋体"/>
                <w:color w:val="000000"/>
                <w:sz w:val="21"/>
                <w:szCs w:val="21"/>
                <w:highlight w:val="none"/>
                <w:lang w:bidi="ar"/>
              </w:rPr>
            </w:r>
            <w:r/>
          </w:p>
          <w:p>
            <w:pPr>
              <w:pStyle w:val="931"/>
              <w:spacing w:before="120" w:after="120" w:line="360" w:lineRule="auto"/>
              <w:rPr>
                <w:rFonts w:hint="eastAsia" w:ascii="Times New Roman" w:hAnsi="Times New Roman"/>
                <w:b w:val="0"/>
                <w:bCs w:val="0"/>
                <w:color w:val="000000"/>
                <w:sz w:val="21"/>
                <w:szCs w:val="21"/>
                <w:highlight w:val="none"/>
              </w:rPr>
            </w:pPr>
            <w:r>
              <w:rPr>
                <w:rFonts w:hint="eastAsia"/>
                <w:b w:val="0"/>
                <w:bCs w:val="0"/>
                <w:color w:val="000000"/>
                <w:szCs w:val="21"/>
                <w:highlight w:val="none"/>
                <w:lang w:val="en-US" w:eastAsia="zh-CN"/>
              </w:rPr>
              <w:t xml:space="preserve">同类项目</w:t>
            </w:r>
            <w:r>
              <w:rPr>
                <w:rFonts w:hint="eastAsia" w:ascii="Times New Roman" w:hAnsi="Times New Roman"/>
                <w:b w:val="0"/>
                <w:bCs w:val="0"/>
                <w:color w:val="000000"/>
                <w:sz w:val="21"/>
                <w:szCs w:val="21"/>
                <w:highlight w:val="none"/>
              </w:rPr>
              <w:t xml:space="preserve">合同名称或项目名称或承包内容中须</w:t>
            </w:r>
            <w:r>
              <w:rPr>
                <w:rFonts w:hint="eastAsia" w:ascii="Times New Roman" w:hAnsi="Times New Roman"/>
                <w:b w:val="0"/>
                <w:bCs w:val="0"/>
                <w:color w:val="000000"/>
                <w:sz w:val="21"/>
                <w:szCs w:val="21"/>
                <w:highlight w:val="none"/>
                <w:lang w:val="en-US" w:eastAsia="zh-CN"/>
              </w:rPr>
              <w:t xml:space="preserve">与</w:t>
            </w:r>
            <w:r>
              <w:rPr>
                <w:rFonts w:ascii="Times New Roman" w:hAnsi="Times New Roman"/>
                <w:b w:val="0"/>
                <w:bCs w:val="0"/>
                <w:color w:val="000000"/>
                <w:sz w:val="21"/>
                <w:szCs w:val="21"/>
                <w:highlight w:val="none"/>
              </w:rPr>
              <w:t xml:space="preserve">实验动物</w:t>
            </w:r>
            <w:r>
              <w:rPr>
                <w:rFonts w:hint="eastAsia" w:ascii="Times New Roman" w:hAnsi="Times New Roman"/>
                <w:b w:val="0"/>
                <w:bCs w:val="0"/>
                <w:color w:val="000000"/>
                <w:sz w:val="21"/>
                <w:szCs w:val="21"/>
                <w:highlight w:val="none"/>
                <w:lang w:val="en-US" w:eastAsia="zh-CN"/>
              </w:rPr>
              <w:t xml:space="preserve">相关</w:t>
            </w:r>
            <w:r>
              <w:rPr>
                <w:rFonts w:hint="eastAsia" w:ascii="Times New Roman" w:hAnsi="Times New Roman"/>
                <w:b w:val="0"/>
                <w:bCs w:val="0"/>
                <w:color w:val="000000"/>
                <w:sz w:val="21"/>
                <w:szCs w:val="21"/>
                <w:highlight w:val="none"/>
              </w:rPr>
              <w:t xml:space="preserve">；</w:t>
            </w:r>
            <w:r>
              <w:rPr>
                <w:rFonts w:hint="eastAsia" w:ascii="Times New Roman" w:hAnsi="Times New Roman"/>
                <w:b w:val="0"/>
                <w:bCs w:val="0"/>
                <w:color w:val="000000"/>
                <w:sz w:val="21"/>
                <w:szCs w:val="21"/>
                <w:highlight w:val="none"/>
              </w:rPr>
            </w:r>
            <w:r/>
          </w:p>
          <w:p>
            <w:pPr>
              <w:pStyle w:val="931"/>
              <w:spacing w:before="120" w:after="120" w:line="360" w:lineRule="auto"/>
              <w:rPr>
                <w:rFonts w:ascii="Times New Roman" w:hAnsi="Times New Roman" w:eastAsia="宋体"/>
                <w:color w:val="000000"/>
                <w:sz w:val="21"/>
                <w:szCs w:val="21"/>
                <w:highlight w:val="none"/>
                <w:lang w:val="en-US" w:eastAsia="zh-CN"/>
              </w:rPr>
            </w:pPr>
            <w:r>
              <w:rPr>
                <w:rFonts w:hint="eastAsia" w:ascii="Times New Roman" w:hAnsi="Times New Roman"/>
                <w:color w:val="000000"/>
                <w:sz w:val="21"/>
                <w:szCs w:val="21"/>
                <w:highlight w:val="none"/>
                <w:lang w:val="en-US" w:eastAsia="zh-CN"/>
              </w:rPr>
              <w:t xml:space="preserve">以上1、2、3业绩可重复得分。</w:t>
            </w:r>
            <w:r>
              <w:rPr>
                <w:rFonts w:ascii="Times New Roman" w:hAnsi="Times New Roman" w:eastAsia="宋体"/>
                <w:color w:val="000000"/>
                <w:sz w:val="21"/>
                <w:szCs w:val="21"/>
                <w:highlight w:val="none"/>
                <w:lang w:val="en-US" w:eastAsia="zh-CN"/>
              </w:rPr>
            </w:r>
            <w:r/>
          </w:p>
          <w:p>
            <w:pPr>
              <w:pStyle w:val="931"/>
              <w:spacing w:before="120" w:after="120" w:line="360" w:lineRule="auto"/>
              <w:rPr>
                <w:color w:val="000000"/>
                <w:highlight w:val="none"/>
              </w:rPr>
            </w:pPr>
            <w:r>
              <w:rPr>
                <w:rFonts w:hint="eastAsia" w:ascii="Times New Roman" w:hAnsi="Times New Roman" w:eastAsia="宋体" w:cs="宋体"/>
                <w:b/>
                <w:bCs/>
                <w:color w:val="000000"/>
                <w:sz w:val="21"/>
                <w:szCs w:val="21"/>
                <w:highlight w:val="none"/>
                <w:lang w:bidi="ar"/>
              </w:rPr>
              <w:t xml:space="preserve">注：业绩认定时间以竣工验收时间为准，业绩材料需同时提供：1、依法承发包的交易结果文件；2、合同；3、竣工验收证明材料；</w:t>
            </w:r>
            <w:r>
              <w:rPr>
                <w:rFonts w:hint="eastAsia" w:ascii="Times New Roman" w:hAnsi="Times New Roman" w:eastAsia="宋体" w:cs="宋体"/>
                <w:b/>
                <w:bCs/>
                <w:color w:val="000000"/>
                <w:sz w:val="21"/>
                <w:szCs w:val="21"/>
                <w:highlight w:val="none"/>
                <w:lang w:bidi="ar"/>
              </w:rPr>
              <w:t xml:space="preserve">4、其他证明资料（如有</w:t>
            </w:r>
            <w:r>
              <w:rPr>
                <w:rFonts w:hint="eastAsia" w:ascii="Times New Roman" w:hAnsi="Times New Roman" w:eastAsia="宋体" w:cs="宋体"/>
                <w:b/>
                <w:bCs/>
                <w:color w:val="000000"/>
                <w:sz w:val="21"/>
                <w:szCs w:val="21"/>
                <w:highlight w:val="none"/>
                <w:lang w:eastAsia="zh-CN" w:bidi="ar"/>
              </w:rPr>
              <w:t xml:space="preserve">，</w:t>
            </w:r>
            <w:r>
              <w:rPr>
                <w:rFonts w:hint="eastAsia" w:ascii="Times New Roman" w:hAnsi="Times New Roman" w:eastAsia="宋体" w:cs="宋体"/>
                <w:b/>
                <w:bCs/>
                <w:color w:val="000000"/>
                <w:sz w:val="21"/>
                <w:szCs w:val="21"/>
                <w:highlight w:val="none"/>
                <w:lang w:val="en-US" w:eastAsia="zh-CN" w:bidi="ar"/>
              </w:rPr>
              <w:t xml:space="preserve">单位任命任职材料、过程管理、会议技术资料、业主方的补充证明等</w:t>
            </w:r>
            <w:r>
              <w:rPr>
                <w:rFonts w:hint="eastAsia" w:ascii="Times New Roman" w:hAnsi="Times New Roman" w:eastAsia="宋体" w:cs="宋体"/>
                <w:b/>
                <w:bCs/>
                <w:color w:val="000000"/>
                <w:sz w:val="21"/>
                <w:szCs w:val="21"/>
                <w:highlight w:val="none"/>
                <w:lang w:bidi="ar"/>
              </w:rPr>
              <w:t xml:space="preserve">）</w:t>
            </w:r>
            <w:r>
              <w:rPr>
                <w:rFonts w:hint="eastAsia" w:ascii="Times New Roman" w:hAnsi="Times New Roman" w:eastAsia="宋体" w:cs="宋体"/>
                <w:b/>
                <w:bCs/>
                <w:color w:val="000000"/>
                <w:sz w:val="21"/>
                <w:szCs w:val="21"/>
                <w:highlight w:val="none"/>
                <w:lang w:bidi="ar"/>
              </w:rPr>
              <w:t xml:space="preserve">。依法承发包的交易结果文件包括中标通知书、直接发包通知书（或备案表）和成交通知书等；依法可以不进行招标</w:t>
            </w:r>
            <w:r>
              <w:rPr>
                <w:rFonts w:hint="eastAsia" w:cs="宋体"/>
                <w:b/>
                <w:bCs/>
                <w:color w:val="000000"/>
                <w:sz w:val="21"/>
                <w:szCs w:val="21"/>
                <w:highlight w:val="none"/>
                <w:lang w:val="en-US" w:eastAsia="zh-CN" w:bidi="ar"/>
              </w:rPr>
              <w:t xml:space="preserve">采购</w:t>
            </w:r>
            <w:r>
              <w:rPr>
                <w:rFonts w:hint="eastAsia" w:ascii="Times New Roman" w:hAnsi="Times New Roman" w:eastAsia="宋体" w:cs="宋体"/>
                <w:b/>
                <w:bCs/>
                <w:color w:val="000000"/>
                <w:sz w:val="21"/>
                <w:szCs w:val="21"/>
                <w:highlight w:val="none"/>
                <w:lang w:bidi="ar"/>
              </w:rPr>
              <w:t xml:space="preserve">的项目，可以提供业主单位或招标代理机构出具的有关中标文件；</w:t>
            </w:r>
            <w:r>
              <w:rPr>
                <w:rFonts w:hint="eastAsia" w:ascii="宋体" w:hAnsi="宋体" w:eastAsia="宋体" w:cs="宋体"/>
                <w:b/>
                <w:bCs/>
                <w:color w:val="000000"/>
                <w:sz w:val="21"/>
                <w:szCs w:val="21"/>
                <w:highlight w:val="none"/>
                <w:lang w:val="en-US" w:eastAsia="zh-CN"/>
              </w:rPr>
              <w:t xml:space="preserve">原件扫描上传</w:t>
            </w:r>
            <w:r>
              <w:rPr>
                <w:rFonts w:hint="eastAsia" w:ascii="宋体" w:hAnsi="宋体" w:eastAsia="宋体" w:cs="宋体"/>
                <w:b/>
                <w:bCs/>
                <w:color w:val="000000"/>
                <w:sz w:val="21"/>
                <w:szCs w:val="21"/>
                <w:highlight w:val="none"/>
              </w:rPr>
              <w:t xml:space="preserve">，不提供不得分。</w:t>
            </w:r>
            <w:r>
              <w:rPr>
                <w:color w:val="000000"/>
                <w:highlight w:val="none"/>
              </w:rPr>
            </w:r>
            <w:r/>
          </w:p>
        </w:tc>
      </w:tr>
      <w:tr>
        <w:trPr/>
        <w:tc>
          <w:tcPr>
            <w:tcW w:w="745" w:type="dxa"/>
            <w:vAlign w:val="center"/>
            <w:vMerge w:val="continue"/>
            <w:textDirection w:val="lrTb"/>
            <w:noWrap w:val="false"/>
          </w:tcPr>
          <w:p>
            <w:pPr>
              <w:pStyle w:val="901"/>
              <w:jc w:val="center"/>
              <w:spacing w:line="360" w:lineRule="auto"/>
              <w:widowControl/>
              <w:rPr>
                <w:rFonts w:hint="eastAsia"/>
                <w:color w:val="000000"/>
                <w:szCs w:val="21"/>
                <w:highlight w:val="none"/>
              </w:rPr>
            </w:pPr>
            <w:r>
              <w:rPr>
                <w:rFonts w:hint="eastAsia"/>
                <w:color w:val="000000"/>
                <w:szCs w:val="21"/>
                <w:highlight w:val="none"/>
              </w:rPr>
            </w:r>
            <w:r/>
          </w:p>
        </w:tc>
        <w:tc>
          <w:tcPr>
            <w:tcW w:w="345" w:type="dxa"/>
            <w:vAlign w:val="center"/>
            <w:vMerge w:val="continue"/>
            <w:textDirection w:val="lrTb"/>
            <w:noWrap w:val="false"/>
          </w:tcPr>
          <w:p>
            <w:pPr>
              <w:pStyle w:val="901"/>
              <w:jc w:val="center"/>
              <w:spacing w:line="360" w:lineRule="auto"/>
              <w:rPr>
                <w:color w:val="000000"/>
                <w:szCs w:val="21"/>
                <w:highlight w:val="none"/>
              </w:rPr>
            </w:pPr>
            <w:r>
              <w:rPr>
                <w:color w:val="000000"/>
                <w:szCs w:val="21"/>
                <w:highlight w:val="none"/>
              </w:rPr>
            </w:r>
            <w:r/>
          </w:p>
        </w:tc>
        <w:tc>
          <w:tcPr>
            <w:tcW w:w="744" w:type="dxa"/>
            <w:vAlign w:val="center"/>
            <w:textDirection w:val="lrTb"/>
            <w:noWrap w:val="false"/>
          </w:tcPr>
          <w:p>
            <w:pPr>
              <w:pStyle w:val="901"/>
              <w:jc w:val="center"/>
              <w:spacing w:line="360" w:lineRule="auto"/>
              <w:rPr>
                <w:rFonts w:hint="eastAsia"/>
                <w:color w:val="000000"/>
                <w:szCs w:val="21"/>
                <w:highlight w:val="none"/>
                <w:lang w:val="en-US" w:eastAsia="zh-CN" w:bidi="ar"/>
              </w:rPr>
            </w:pPr>
            <w:r>
              <w:rPr>
                <w:rFonts w:hint="eastAsia"/>
                <w:color w:val="000000"/>
                <w:szCs w:val="21"/>
                <w:highlight w:val="none"/>
                <w:lang w:val="en-US" w:eastAsia="zh-CN" w:bidi="ar"/>
              </w:rPr>
              <w:t xml:space="preserve">人员配备</w:t>
            </w:r>
            <w:r>
              <w:rPr>
                <w:rFonts w:hint="eastAsia"/>
                <w:color w:val="000000"/>
                <w:szCs w:val="21"/>
                <w:highlight w:val="none"/>
                <w:lang w:val="en-US" w:eastAsia="zh-CN" w:bidi="ar"/>
              </w:rPr>
            </w:r>
            <w:r/>
          </w:p>
          <w:p>
            <w:pPr>
              <w:pStyle w:val="901"/>
              <w:jc w:val="center"/>
              <w:spacing w:line="360" w:lineRule="auto"/>
              <w:rPr>
                <w:rFonts w:eastAsia="宋体"/>
                <w:color w:val="000000"/>
                <w:szCs w:val="21"/>
                <w:highlight w:val="none"/>
                <w:lang w:val="en-US" w:eastAsia="zh-CN" w:bidi="ar"/>
              </w:rPr>
            </w:pPr>
            <w:r>
              <w:rPr>
                <w:rFonts w:hint="eastAsia"/>
                <w:color w:val="000000"/>
                <w:szCs w:val="21"/>
                <w:highlight w:val="none"/>
                <w:lang w:val="en-US" w:eastAsia="zh-CN" w:bidi="ar"/>
              </w:rPr>
              <w:t xml:space="preserve">（5分）</w:t>
            </w:r>
            <w:r>
              <w:rPr>
                <w:rFonts w:eastAsia="宋体"/>
                <w:color w:val="000000"/>
                <w:szCs w:val="21"/>
                <w:highlight w:val="none"/>
                <w:lang w:val="en-US" w:eastAsia="zh-CN" w:bidi="ar"/>
              </w:rPr>
            </w:r>
            <w:r/>
          </w:p>
        </w:tc>
        <w:tc>
          <w:tcPr>
            <w:tcW w:w="3164" w:type="dxa"/>
            <w:vAlign w:val="top"/>
            <w:textDirection w:val="lrTb"/>
            <w:noWrap w:val="false"/>
          </w:tcPr>
          <w:p>
            <w:pPr>
              <w:pStyle w:val="931"/>
              <w:spacing w:before="120" w:after="120" w:line="240" w:lineRule="auto"/>
              <w:rPr>
                <w:rFonts w:hint="eastAsia" w:ascii="Times New Roman" w:hAnsi="Times New Roman" w:eastAsia="宋体" w:cs="宋体"/>
                <w:b w:val="0"/>
                <w:bCs w:val="0"/>
                <w:color w:val="000000"/>
                <w:sz w:val="21"/>
                <w:szCs w:val="21"/>
                <w:highlight w:val="none"/>
                <w:lang w:bidi="ar"/>
              </w:rPr>
            </w:pPr>
            <w:r>
              <w:rPr>
                <w:rFonts w:hint="eastAsia" w:ascii="Times New Roman" w:hAnsi="Times New Roman" w:eastAsia="宋体" w:cs="宋体"/>
                <w:b w:val="0"/>
                <w:bCs w:val="0"/>
                <w:color w:val="000000"/>
                <w:sz w:val="21"/>
                <w:szCs w:val="21"/>
                <w:highlight w:val="none"/>
                <w:lang w:val="en-US" w:eastAsia="zh-CN" w:bidi="ar"/>
              </w:rPr>
              <w:t xml:space="preserve">1、</w:t>
            </w:r>
            <w:r>
              <w:rPr>
                <w:rFonts w:hint="eastAsia" w:ascii="Times New Roman" w:hAnsi="Times New Roman" w:eastAsia="宋体" w:cs="宋体"/>
                <w:b w:val="0"/>
                <w:bCs w:val="0"/>
                <w:color w:val="000000"/>
                <w:sz w:val="21"/>
                <w:szCs w:val="21"/>
                <w:highlight w:val="none"/>
                <w:lang w:bidi="ar"/>
              </w:rPr>
              <w:t xml:space="preserve"> 拟派本项目技术负责人具备机电工程、自动化或相关专业中级及以上职称的，得1分。</w:t>
            </w:r>
            <w:r>
              <w:rPr>
                <w:rFonts w:hint="eastAsia" w:ascii="Times New Roman" w:hAnsi="Times New Roman" w:eastAsia="宋体" w:cs="宋体"/>
                <w:b w:val="0"/>
                <w:bCs w:val="0"/>
                <w:color w:val="000000"/>
                <w:sz w:val="21"/>
                <w:szCs w:val="21"/>
                <w:highlight w:val="none"/>
                <w:lang w:bidi="ar"/>
              </w:rPr>
            </w:r>
            <w:r/>
          </w:p>
          <w:p>
            <w:pPr>
              <w:pStyle w:val="931"/>
              <w:spacing w:before="120" w:after="120" w:line="240" w:lineRule="auto"/>
              <w:rPr>
                <w:rFonts w:hint="eastAsia" w:ascii="Times New Roman" w:hAnsi="Times New Roman" w:eastAsia="宋体" w:cs="宋体"/>
                <w:b w:val="0"/>
                <w:bCs w:val="0"/>
                <w:color w:val="000000"/>
                <w:sz w:val="21"/>
                <w:szCs w:val="21"/>
                <w:highlight w:val="none"/>
                <w:lang w:bidi="ar"/>
              </w:rPr>
            </w:pPr>
            <w:r>
              <w:rPr>
                <w:rFonts w:hint="eastAsia" w:ascii="Times New Roman" w:hAnsi="Times New Roman" w:eastAsia="宋体" w:cs="宋体"/>
                <w:b w:val="0"/>
                <w:bCs w:val="0"/>
                <w:color w:val="000000"/>
                <w:sz w:val="21"/>
                <w:szCs w:val="21"/>
                <w:highlight w:val="none"/>
                <w:lang w:val="en-US" w:eastAsia="zh-CN" w:bidi="ar"/>
              </w:rPr>
              <w:t xml:space="preserve">2、</w:t>
            </w:r>
            <w:r>
              <w:rPr>
                <w:rFonts w:hint="eastAsia" w:ascii="Times New Roman" w:hAnsi="Times New Roman" w:eastAsia="宋体" w:cs="宋体"/>
                <w:b w:val="0"/>
                <w:bCs w:val="0"/>
                <w:color w:val="000000"/>
                <w:sz w:val="21"/>
                <w:szCs w:val="21"/>
                <w:highlight w:val="none"/>
                <w:lang w:bidi="ar"/>
              </w:rPr>
              <w:t xml:space="preserve">拟派本项目施工员具备住房和城乡建设主管部门（或相关行业协会）颁发的设备安装（或机电安装）施工员岗位培训合格证书（或同等效力证书）的，得1分。</w:t>
            </w:r>
            <w:r>
              <w:rPr>
                <w:rFonts w:hint="eastAsia" w:ascii="Times New Roman" w:hAnsi="Times New Roman" w:eastAsia="宋体" w:cs="宋体"/>
                <w:b w:val="0"/>
                <w:bCs w:val="0"/>
                <w:color w:val="000000"/>
                <w:sz w:val="21"/>
                <w:szCs w:val="21"/>
                <w:highlight w:val="none"/>
                <w:lang w:bidi="ar"/>
              </w:rPr>
            </w:r>
            <w:r/>
          </w:p>
          <w:p>
            <w:pPr>
              <w:pStyle w:val="931"/>
              <w:spacing w:before="120" w:after="120" w:line="240" w:lineRule="auto"/>
              <w:rPr>
                <w:rFonts w:hint="eastAsia" w:ascii="Times New Roman" w:hAnsi="Times New Roman" w:eastAsia="宋体" w:cs="宋体"/>
                <w:b w:val="0"/>
                <w:bCs w:val="0"/>
                <w:color w:val="000000"/>
                <w:sz w:val="21"/>
                <w:szCs w:val="21"/>
                <w:highlight w:val="none"/>
                <w:lang w:bidi="ar"/>
              </w:rPr>
            </w:pPr>
            <w:r>
              <w:rPr>
                <w:rFonts w:hint="eastAsia" w:ascii="Times New Roman" w:hAnsi="Times New Roman" w:eastAsia="宋体" w:cs="宋体"/>
                <w:b w:val="0"/>
                <w:bCs w:val="0"/>
                <w:color w:val="000000"/>
                <w:sz w:val="21"/>
                <w:szCs w:val="21"/>
                <w:highlight w:val="none"/>
                <w:lang w:val="en-US" w:eastAsia="zh-CN" w:bidi="ar"/>
              </w:rPr>
              <w:t xml:space="preserve">3、</w:t>
            </w:r>
            <w:r>
              <w:rPr>
                <w:rFonts w:hint="eastAsia" w:ascii="Times New Roman" w:hAnsi="Times New Roman" w:eastAsia="宋体" w:cs="宋体"/>
                <w:b w:val="0"/>
                <w:bCs w:val="0"/>
                <w:color w:val="000000"/>
                <w:sz w:val="21"/>
                <w:szCs w:val="21"/>
                <w:highlight w:val="none"/>
                <w:lang w:bidi="ar"/>
              </w:rPr>
              <w:t xml:space="preserve">拟派本项目自控专业工程师具备机电工程、自动化、电气工程或相关专业中级及以上职称的，得1分。</w:t>
            </w:r>
            <w:r>
              <w:rPr>
                <w:rFonts w:hint="eastAsia" w:ascii="Times New Roman" w:hAnsi="Times New Roman" w:eastAsia="宋体" w:cs="宋体"/>
                <w:b w:val="0"/>
                <w:bCs w:val="0"/>
                <w:color w:val="000000"/>
                <w:sz w:val="21"/>
                <w:szCs w:val="21"/>
                <w:highlight w:val="none"/>
                <w:lang w:bidi="ar"/>
              </w:rPr>
            </w:r>
            <w:r/>
          </w:p>
          <w:p>
            <w:pPr>
              <w:pStyle w:val="931"/>
              <w:spacing w:before="120" w:after="120" w:line="240" w:lineRule="auto"/>
              <w:rPr>
                <w:rFonts w:hint="eastAsia" w:ascii="Times New Roman" w:hAnsi="Times New Roman" w:eastAsia="宋体" w:cs="宋体"/>
                <w:b w:val="0"/>
                <w:bCs w:val="0"/>
                <w:color w:val="000000"/>
                <w:sz w:val="21"/>
                <w:szCs w:val="21"/>
                <w:highlight w:val="none"/>
                <w:lang w:bidi="ar"/>
              </w:rPr>
            </w:pPr>
            <w:r>
              <w:rPr>
                <w:rFonts w:hint="eastAsia" w:ascii="Times New Roman" w:hAnsi="Times New Roman" w:eastAsia="宋体" w:cs="宋体"/>
                <w:b w:val="0"/>
                <w:bCs w:val="0"/>
                <w:color w:val="000000"/>
                <w:sz w:val="21"/>
                <w:szCs w:val="21"/>
                <w:highlight w:val="none"/>
                <w:lang w:val="en-US" w:eastAsia="zh-CN" w:bidi="ar"/>
              </w:rPr>
              <w:t xml:space="preserve">4、</w:t>
            </w:r>
            <w:r>
              <w:rPr>
                <w:rFonts w:hint="eastAsia" w:ascii="Times New Roman" w:hAnsi="Times New Roman" w:eastAsia="宋体" w:cs="宋体"/>
                <w:b w:val="0"/>
                <w:bCs w:val="0"/>
                <w:color w:val="000000"/>
                <w:sz w:val="21"/>
                <w:szCs w:val="21"/>
                <w:highlight w:val="none"/>
                <w:lang w:bidi="ar"/>
              </w:rPr>
              <w:t xml:space="preserve">拟派本项目质量员具备住房和城乡建设主管部门（或相关行业协会）颁发的设备安装（或机电安装）质量员岗位培训合格证书（或同等效力证书）的，得1分。</w:t>
            </w:r>
            <w:r>
              <w:rPr>
                <w:rFonts w:hint="eastAsia" w:ascii="Times New Roman" w:hAnsi="Times New Roman" w:eastAsia="宋体" w:cs="宋体"/>
                <w:b w:val="0"/>
                <w:bCs w:val="0"/>
                <w:color w:val="000000"/>
                <w:sz w:val="21"/>
                <w:szCs w:val="21"/>
                <w:highlight w:val="none"/>
                <w:lang w:bidi="ar"/>
              </w:rPr>
            </w:r>
            <w:r/>
          </w:p>
          <w:p>
            <w:pPr>
              <w:pStyle w:val="931"/>
              <w:spacing w:before="120" w:after="120" w:line="240" w:lineRule="auto"/>
              <w:rPr>
                <w:rFonts w:hint="eastAsia" w:ascii="Times New Roman" w:hAnsi="Times New Roman" w:eastAsia="宋体" w:cs="宋体"/>
                <w:b w:val="0"/>
                <w:bCs w:val="0"/>
                <w:color w:val="000000"/>
                <w:sz w:val="21"/>
                <w:szCs w:val="21"/>
                <w:highlight w:val="none"/>
                <w:lang w:bidi="ar"/>
              </w:rPr>
            </w:pPr>
            <w:r>
              <w:rPr>
                <w:rFonts w:hint="eastAsia" w:ascii="Times New Roman" w:hAnsi="Times New Roman" w:eastAsia="宋体" w:cs="宋体"/>
                <w:b w:val="0"/>
                <w:bCs w:val="0"/>
                <w:color w:val="000000"/>
                <w:sz w:val="21"/>
                <w:szCs w:val="21"/>
                <w:highlight w:val="none"/>
                <w:lang w:val="en-US" w:eastAsia="zh-CN" w:bidi="ar"/>
              </w:rPr>
              <w:t xml:space="preserve">5、</w:t>
            </w:r>
            <w:r>
              <w:rPr>
                <w:rFonts w:hint="eastAsia" w:ascii="Times New Roman" w:hAnsi="Times New Roman" w:eastAsia="宋体" w:cs="宋体"/>
                <w:b w:val="0"/>
                <w:bCs w:val="0"/>
                <w:color w:val="000000"/>
                <w:sz w:val="21"/>
                <w:szCs w:val="21"/>
                <w:highlight w:val="none"/>
                <w:lang w:bidi="ar"/>
              </w:rPr>
              <w:t xml:space="preserve">拟派本项目专职安全生产管理人员具备省级及以上住房和城乡建设主管部门颁发的安全生产考核合格证书的，得1分。</w:t>
            </w:r>
            <w:r>
              <w:rPr>
                <w:rFonts w:hint="eastAsia" w:ascii="Times New Roman" w:hAnsi="Times New Roman" w:eastAsia="宋体" w:cs="宋体"/>
                <w:b w:val="0"/>
                <w:bCs w:val="0"/>
                <w:color w:val="000000"/>
                <w:sz w:val="21"/>
                <w:szCs w:val="21"/>
                <w:highlight w:val="none"/>
                <w:lang w:bidi="ar"/>
              </w:rPr>
            </w:r>
            <w:r/>
          </w:p>
          <w:p>
            <w:pPr>
              <w:pStyle w:val="931"/>
              <w:spacing w:before="120" w:after="120" w:line="240" w:lineRule="auto"/>
              <w:rPr>
                <w:rFonts w:hint="eastAsia" w:ascii="Times New Roman" w:hAnsi="Times New Roman" w:eastAsia="宋体" w:cs="宋体"/>
                <w:b/>
                <w:bCs/>
                <w:color w:val="000000"/>
                <w:sz w:val="21"/>
                <w:szCs w:val="21"/>
                <w:highlight w:val="none"/>
                <w:lang w:bidi="ar"/>
              </w:rPr>
            </w:pPr>
            <w:r>
              <w:rPr>
                <w:rFonts w:hint="eastAsia" w:ascii="宋体" w:hAnsi="宋体" w:eastAsia="宋体" w:cs="宋体"/>
                <w:b/>
                <w:bCs/>
                <w:color w:val="000000"/>
                <w:sz w:val="21"/>
                <w:szCs w:val="21"/>
                <w:highlight w:val="none"/>
              </w:rPr>
              <w:t xml:space="preserve">注：提供相关证书</w:t>
            </w:r>
            <w:r>
              <w:rPr>
                <w:rFonts w:hint="eastAsia" w:ascii="宋体" w:hAnsi="宋体" w:eastAsia="宋体" w:cs="宋体"/>
                <w:b/>
                <w:bCs/>
                <w:color w:val="000000"/>
                <w:sz w:val="21"/>
                <w:szCs w:val="21"/>
                <w:highlight w:val="none"/>
                <w:lang w:eastAsia="zh-CN"/>
              </w:rPr>
              <w:t xml:space="preserve">以及（提供</w:t>
            </w:r>
            <w:r>
              <w:rPr>
                <w:rFonts w:hint="eastAsia" w:ascii="宋体" w:hAnsi="宋体" w:eastAsia="宋体" w:cs="宋体"/>
                <w:b/>
                <w:bCs/>
                <w:color w:val="000000"/>
                <w:sz w:val="21"/>
                <w:szCs w:val="21"/>
                <w:highlight w:val="none"/>
              </w:rPr>
              <w:t xml:space="preserve">以上人员</w:t>
            </w:r>
            <w:r>
              <w:rPr>
                <w:rFonts w:hint="eastAsia" w:ascii="宋体" w:hAnsi="宋体" w:eastAsia="宋体" w:cs="宋体"/>
                <w:b/>
                <w:bCs/>
                <w:color w:val="000000"/>
                <w:sz w:val="21"/>
                <w:szCs w:val="21"/>
                <w:highlight w:val="none"/>
                <w:lang w:eastAsia="zh-CN"/>
              </w:rPr>
              <w:t xml:space="preserve">有效期内证书以及投标人近一年内</w:t>
            </w:r>
            <w:r>
              <w:rPr>
                <w:rFonts w:hint="eastAsia" w:hAnsi="宋体" w:eastAsia="宋体" w:cs="宋体"/>
                <w:b/>
                <w:bCs/>
                <w:color w:val="000000"/>
                <w:sz w:val="21"/>
                <w:szCs w:val="21"/>
                <w:highlight w:val="none"/>
                <w:lang w:val="en-US" w:eastAsia="zh-CN"/>
              </w:rPr>
              <w:t xml:space="preserve">任意</w:t>
            </w:r>
            <w:r>
              <w:rPr>
                <w:rFonts w:hint="eastAsia" w:ascii="宋体" w:hAnsi="宋体" w:eastAsia="宋体" w:cs="宋体"/>
                <w:b/>
                <w:bCs/>
                <w:color w:val="000000"/>
                <w:sz w:val="21"/>
                <w:szCs w:val="21"/>
                <w:highlight w:val="none"/>
                <w:lang w:eastAsia="zh-CN"/>
              </w:rPr>
              <w:t xml:space="preserve">一个月为其缴纳社保的证明材料</w:t>
            </w:r>
            <w:r>
              <w:rPr>
                <w:rFonts w:hint="eastAsia" w:ascii="宋体" w:hAnsi="宋体" w:eastAsia="宋体" w:cs="宋体"/>
                <w:b/>
                <w:bCs/>
                <w:color w:val="000000"/>
                <w:sz w:val="21"/>
                <w:szCs w:val="21"/>
                <w:highlight w:val="none"/>
                <w:lang w:val="en-US" w:eastAsia="zh-CN"/>
              </w:rPr>
              <w:t xml:space="preserve">原件扫描上传</w:t>
            </w:r>
            <w:r>
              <w:rPr>
                <w:rFonts w:hint="eastAsia" w:ascii="宋体" w:hAnsi="宋体" w:eastAsia="宋体" w:cs="宋体"/>
                <w:b/>
                <w:bCs/>
                <w:color w:val="000000"/>
                <w:sz w:val="21"/>
                <w:szCs w:val="21"/>
                <w:highlight w:val="none"/>
              </w:rPr>
              <w:t xml:space="preserve">，不提供不得分。同一成员证书不累计得分。</w:t>
            </w:r>
            <w:r>
              <w:rPr>
                <w:rFonts w:hint="eastAsia" w:ascii="Times New Roman" w:hAnsi="Times New Roman" w:eastAsia="宋体" w:cs="宋体"/>
                <w:b/>
                <w:bCs/>
                <w:color w:val="000000"/>
                <w:sz w:val="21"/>
                <w:szCs w:val="21"/>
                <w:highlight w:val="none"/>
                <w:lang w:bidi="ar"/>
              </w:rPr>
            </w:r>
            <w:r/>
          </w:p>
        </w:tc>
      </w:tr>
      <w:tr>
        <w:trPr>
          <w:trHeight w:val="3180"/>
        </w:trPr>
        <w:tc>
          <w:tcPr>
            <w:tcW w:w="745" w:type="dxa"/>
            <w:vAlign w:val="center"/>
            <w:vMerge w:val="continue"/>
            <w:textDirection w:val="lrTb"/>
            <w:noWrap w:val="false"/>
          </w:tcPr>
          <w:p>
            <w:pPr>
              <w:pStyle w:val="901"/>
              <w:jc w:val="center"/>
              <w:spacing w:line="360" w:lineRule="auto"/>
              <w:widowControl/>
              <w:rPr>
                <w:rFonts w:hint="eastAsia"/>
                <w:color w:val="000000"/>
                <w:szCs w:val="21"/>
                <w:highlight w:val="none"/>
              </w:rPr>
            </w:pPr>
            <w:r>
              <w:rPr>
                <w:rFonts w:hint="eastAsia"/>
                <w:color w:val="000000"/>
                <w:szCs w:val="21"/>
                <w:highlight w:val="none"/>
              </w:rPr>
            </w:r>
            <w:r/>
          </w:p>
        </w:tc>
        <w:tc>
          <w:tcPr>
            <w:tcW w:w="345" w:type="dxa"/>
            <w:vAlign w:val="center"/>
            <w:vMerge w:val="continue"/>
            <w:textDirection w:val="lrTb"/>
            <w:noWrap w:val="false"/>
          </w:tcPr>
          <w:p>
            <w:pPr>
              <w:pStyle w:val="901"/>
              <w:jc w:val="center"/>
              <w:spacing w:line="360" w:lineRule="auto"/>
              <w:rPr>
                <w:color w:val="000000"/>
                <w:szCs w:val="21"/>
                <w:highlight w:val="none"/>
              </w:rPr>
            </w:pPr>
            <w:r>
              <w:rPr>
                <w:color w:val="000000"/>
                <w:szCs w:val="21"/>
                <w:highlight w:val="none"/>
              </w:rPr>
            </w:r>
            <w:r/>
          </w:p>
        </w:tc>
        <w:tc>
          <w:tcPr>
            <w:tcW w:w="744" w:type="dxa"/>
            <w:vAlign w:val="center"/>
            <w:textDirection w:val="lrTb"/>
            <w:noWrap w:val="false"/>
          </w:tcPr>
          <w:p>
            <w:pPr>
              <w:pStyle w:val="901"/>
              <w:jc w:val="center"/>
              <w:spacing w:line="360" w:lineRule="auto"/>
              <w:rPr>
                <w:rFonts w:hint="eastAsia"/>
                <w:color w:val="000000"/>
                <w:szCs w:val="21"/>
                <w:highlight w:val="none"/>
                <w:lang w:val="en-US" w:eastAsia="zh-CN" w:bidi="ar"/>
              </w:rPr>
            </w:pPr>
            <w:r>
              <w:rPr>
                <w:rFonts w:hint="eastAsia"/>
                <w:color w:val="000000"/>
                <w:szCs w:val="21"/>
                <w:highlight w:val="none"/>
                <w:lang w:val="en-US" w:eastAsia="zh-CN" w:bidi="ar"/>
              </w:rPr>
              <w:t xml:space="preserve">承诺</w:t>
            </w:r>
            <w:r>
              <w:rPr>
                <w:rFonts w:hint="eastAsia"/>
                <w:color w:val="000000"/>
                <w:szCs w:val="21"/>
                <w:highlight w:val="none"/>
                <w:lang w:val="en-US" w:eastAsia="zh-CN" w:bidi="ar"/>
              </w:rPr>
            </w:r>
            <w:r/>
          </w:p>
          <w:p>
            <w:pPr>
              <w:pStyle w:val="901"/>
              <w:jc w:val="center"/>
              <w:spacing w:line="360" w:lineRule="auto"/>
              <w:rPr>
                <w:color w:val="000000"/>
                <w:szCs w:val="21"/>
                <w:highlight w:val="none"/>
                <w:lang w:val="en-US" w:eastAsia="zh-CN" w:bidi="ar"/>
              </w:rPr>
            </w:pPr>
            <w:r>
              <w:rPr>
                <w:rFonts w:hint="eastAsia"/>
                <w:color w:val="000000"/>
                <w:szCs w:val="21"/>
                <w:highlight w:val="none"/>
                <w:lang w:val="en-US" w:eastAsia="zh-CN" w:bidi="ar"/>
              </w:rPr>
              <w:t xml:space="preserve">（4分）</w:t>
            </w:r>
            <w:r>
              <w:rPr>
                <w:color w:val="000000"/>
                <w:szCs w:val="21"/>
                <w:highlight w:val="none"/>
                <w:lang w:val="en-US" w:eastAsia="zh-CN" w:bidi="ar"/>
              </w:rPr>
            </w:r>
            <w:r/>
          </w:p>
        </w:tc>
        <w:tc>
          <w:tcPr>
            <w:tcW w:w="3164" w:type="dxa"/>
            <w:vAlign w:val="top"/>
            <w:textDirection w:val="lrTb"/>
            <w:noWrap w:val="false"/>
          </w:tcPr>
          <w:p>
            <w:pPr>
              <w:pStyle w:val="901"/>
              <w:jc w:val="left"/>
              <w:spacing w:line="360" w:lineRule="auto"/>
              <w:rPr>
                <w:color w:val="000000"/>
                <w:szCs w:val="21"/>
                <w:highlight w:val="none"/>
              </w:rPr>
            </w:pPr>
            <w:r>
              <w:rPr>
                <w:rFonts w:hint="eastAsia"/>
                <w:color w:val="000000"/>
                <w:szCs w:val="21"/>
                <w:highlight w:val="none"/>
                <w:lang w:val="en-US" w:eastAsia="zh-CN"/>
              </w:rPr>
              <w:t xml:space="preserve">1、</w:t>
            </w:r>
            <w:r>
              <w:rPr>
                <w:rFonts w:hint="eastAsia"/>
                <w:color w:val="000000"/>
                <w:szCs w:val="21"/>
                <w:highlight w:val="none"/>
              </w:rPr>
              <w:t xml:space="preserve">投标</w:t>
            </w:r>
            <w:r>
              <w:rPr>
                <w:rFonts w:hint="eastAsia"/>
                <w:color w:val="000000"/>
                <w:szCs w:val="21"/>
                <w:highlight w:val="none"/>
                <w:lang w:val="en-US" w:eastAsia="zh-CN"/>
              </w:rPr>
              <w:t xml:space="preserve">人</w:t>
            </w:r>
            <w:r>
              <w:rPr>
                <w:rFonts w:hint="eastAsia"/>
                <w:color w:val="000000"/>
                <w:szCs w:val="21"/>
                <w:highlight w:val="none"/>
              </w:rPr>
              <w:t xml:space="preserve">承诺在质保期间，能确保紧急事故处理，自通知后立即响应，</w:t>
            </w:r>
            <w:r>
              <w:rPr>
                <w:color w:val="000000"/>
                <w:szCs w:val="21"/>
                <w:highlight w:val="none"/>
              </w:rPr>
              <w:t xml:space="preserve">2</w:t>
            </w:r>
            <w:r>
              <w:rPr>
                <w:rFonts w:hint="eastAsia"/>
                <w:color w:val="000000"/>
                <w:szCs w:val="21"/>
                <w:highlight w:val="none"/>
              </w:rPr>
              <w:t xml:space="preserve">小时内（含</w:t>
            </w:r>
            <w:r>
              <w:rPr>
                <w:color w:val="000000"/>
                <w:szCs w:val="21"/>
                <w:highlight w:val="none"/>
              </w:rPr>
              <w:t xml:space="preserve">2</w:t>
            </w:r>
            <w:r>
              <w:rPr>
                <w:rFonts w:hint="eastAsia"/>
                <w:color w:val="000000"/>
                <w:szCs w:val="21"/>
                <w:highlight w:val="none"/>
              </w:rPr>
              <w:t xml:space="preserve">小时）到达现场进行解决，得</w:t>
            </w:r>
            <w:r>
              <w:rPr>
                <w:color w:val="000000"/>
                <w:szCs w:val="21"/>
                <w:highlight w:val="none"/>
              </w:rPr>
              <w:t xml:space="preserve">1</w:t>
            </w:r>
            <w:r>
              <w:rPr>
                <w:rFonts w:hint="eastAsia"/>
                <w:color w:val="000000"/>
                <w:szCs w:val="21"/>
                <w:highlight w:val="none"/>
              </w:rPr>
              <w:t xml:space="preserve">分。</w:t>
            </w:r>
            <w:r>
              <w:rPr>
                <w:color w:val="000000"/>
                <w:szCs w:val="21"/>
                <w:highlight w:val="none"/>
              </w:rPr>
              <w:t xml:space="preserve">2-3</w:t>
            </w:r>
            <w:r>
              <w:rPr>
                <w:rFonts w:hint="eastAsia"/>
                <w:color w:val="000000"/>
                <w:szCs w:val="21"/>
                <w:highlight w:val="none"/>
              </w:rPr>
              <w:t xml:space="preserve">小时内到达现场进行解决，得</w:t>
            </w:r>
            <w:r>
              <w:rPr>
                <w:color w:val="000000"/>
                <w:szCs w:val="21"/>
                <w:highlight w:val="none"/>
              </w:rPr>
              <w:t xml:space="preserve">0.5</w:t>
            </w:r>
            <w:r>
              <w:rPr>
                <w:rFonts w:hint="eastAsia"/>
                <w:color w:val="000000"/>
                <w:szCs w:val="21"/>
                <w:highlight w:val="none"/>
              </w:rPr>
              <w:t xml:space="preserve">分。超过</w:t>
            </w:r>
            <w:r>
              <w:rPr>
                <w:color w:val="000000"/>
                <w:szCs w:val="21"/>
                <w:highlight w:val="none"/>
              </w:rPr>
              <w:t xml:space="preserve">3</w:t>
            </w:r>
            <w:r>
              <w:rPr>
                <w:rFonts w:hint="eastAsia"/>
                <w:color w:val="000000"/>
                <w:szCs w:val="21"/>
                <w:highlight w:val="none"/>
              </w:rPr>
              <w:t xml:space="preserve">小时到达现场的，不得分。</w:t>
            </w:r>
            <w:r>
              <w:rPr>
                <w:rFonts w:hint="eastAsia"/>
                <w:b/>
                <w:color w:val="000000"/>
                <w:szCs w:val="21"/>
                <w:highlight w:val="none"/>
              </w:rPr>
              <w:t xml:space="preserve">满分</w:t>
            </w:r>
            <w:r>
              <w:rPr>
                <w:b/>
                <w:color w:val="000000"/>
                <w:szCs w:val="21"/>
                <w:highlight w:val="none"/>
              </w:rPr>
              <w:t xml:space="preserve">1</w:t>
            </w:r>
            <w:r>
              <w:rPr>
                <w:rFonts w:hint="eastAsia"/>
                <w:b/>
                <w:color w:val="000000"/>
                <w:szCs w:val="21"/>
                <w:highlight w:val="none"/>
              </w:rPr>
              <w:t xml:space="preserve">分。（提供承诺书</w:t>
            </w:r>
            <w:r>
              <w:rPr>
                <w:rFonts w:hint="eastAsia"/>
                <w:b/>
                <w:bCs/>
                <w:color w:val="000000"/>
                <w:szCs w:val="21"/>
                <w:highlight w:val="none"/>
              </w:rPr>
              <w:t xml:space="preserve">扫描上传</w:t>
            </w:r>
            <w:r>
              <w:rPr>
                <w:rFonts w:hint="eastAsia"/>
                <w:b/>
                <w:bCs/>
                <w:color w:val="000000"/>
                <w:szCs w:val="21"/>
                <w:highlight w:val="none"/>
                <w:lang w:eastAsia="zh-CN"/>
              </w:rPr>
              <w:t xml:space="preserve">，</w:t>
            </w:r>
            <w:r>
              <w:rPr>
                <w:rFonts w:hint="eastAsia"/>
                <w:b/>
                <w:bCs/>
                <w:color w:val="000000"/>
                <w:szCs w:val="21"/>
                <w:highlight w:val="none"/>
                <w:lang w:val="en-US" w:eastAsia="zh-CN"/>
              </w:rPr>
              <w:t xml:space="preserve">格式自拟</w:t>
            </w:r>
            <w:r>
              <w:rPr>
                <w:rFonts w:hint="eastAsia"/>
                <w:b/>
                <w:color w:val="000000"/>
                <w:szCs w:val="21"/>
                <w:highlight w:val="none"/>
              </w:rPr>
              <w:t xml:space="preserve">）</w:t>
            </w:r>
            <w:r>
              <w:rPr>
                <w:color w:val="000000"/>
                <w:szCs w:val="21"/>
                <w:highlight w:val="none"/>
              </w:rPr>
            </w:r>
            <w:r/>
          </w:p>
          <w:p>
            <w:pPr>
              <w:pStyle w:val="931"/>
              <w:spacing w:before="120" w:after="120" w:line="360" w:lineRule="auto"/>
              <w:rPr>
                <w:rFonts w:hint="eastAsia" w:ascii="宋体" w:hAnsi="宋体" w:eastAsia="宋体" w:cs="宋体"/>
                <w:b/>
                <w:bCs/>
                <w:color w:val="000000"/>
                <w:sz w:val="21"/>
                <w:szCs w:val="21"/>
                <w:highlight w:val="none"/>
              </w:rPr>
            </w:pPr>
            <w:r>
              <w:rPr>
                <w:rFonts w:hint="eastAsia"/>
                <w:color w:val="000000"/>
                <w:szCs w:val="21"/>
                <w:highlight w:val="none"/>
                <w:lang w:val="en-US" w:eastAsia="zh-CN"/>
              </w:rPr>
              <w:t xml:space="preserve">2、投标人承诺的质保期满足2年的不得分；在此基础上，承诺的保修期每延长一年加1分，最高加3分。满分3分。</w:t>
            </w:r>
            <w:r>
              <w:rPr>
                <w:rFonts w:hint="eastAsia"/>
                <w:b/>
                <w:color w:val="000000"/>
                <w:szCs w:val="21"/>
                <w:highlight w:val="none"/>
              </w:rPr>
              <w:t xml:space="preserve">（提供承诺书</w:t>
            </w:r>
            <w:r>
              <w:rPr>
                <w:rFonts w:hint="eastAsia"/>
                <w:b/>
                <w:bCs/>
                <w:color w:val="000000"/>
                <w:szCs w:val="21"/>
                <w:highlight w:val="none"/>
              </w:rPr>
              <w:t xml:space="preserve">扫描上传</w:t>
            </w:r>
            <w:r>
              <w:rPr>
                <w:rFonts w:hint="eastAsia"/>
                <w:b/>
                <w:bCs/>
                <w:color w:val="000000"/>
                <w:szCs w:val="21"/>
                <w:highlight w:val="none"/>
                <w:lang w:eastAsia="zh-CN"/>
              </w:rPr>
              <w:t xml:space="preserve">，</w:t>
            </w:r>
            <w:r>
              <w:rPr>
                <w:rFonts w:hint="eastAsia"/>
                <w:b/>
                <w:bCs/>
                <w:color w:val="000000"/>
                <w:szCs w:val="21"/>
                <w:highlight w:val="none"/>
                <w:lang w:val="en-US" w:eastAsia="zh-CN"/>
              </w:rPr>
              <w:t xml:space="preserve">格式自拟</w:t>
            </w:r>
            <w:r>
              <w:rPr>
                <w:rFonts w:hint="eastAsia"/>
                <w:b/>
                <w:color w:val="000000"/>
                <w:szCs w:val="21"/>
                <w:highlight w:val="none"/>
              </w:rPr>
              <w:t xml:space="preserve">）</w:t>
            </w:r>
            <w:r>
              <w:rPr>
                <w:rFonts w:hint="eastAsia" w:ascii="宋体" w:hAnsi="宋体" w:eastAsia="宋体" w:cs="宋体"/>
                <w:b/>
                <w:bCs/>
                <w:color w:val="000000"/>
                <w:sz w:val="21"/>
                <w:szCs w:val="21"/>
                <w:highlight w:val="none"/>
              </w:rPr>
            </w:r>
            <w:r/>
          </w:p>
        </w:tc>
      </w:tr>
      <w:tr>
        <w:trPr/>
        <w:tc>
          <w:tcPr>
            <w:tcW w:w="745" w:type="dxa"/>
            <w:vAlign w:val="top"/>
            <w:textDirection w:val="lrTb"/>
            <w:noWrap w:val="false"/>
          </w:tcPr>
          <w:p>
            <w:pPr>
              <w:pStyle w:val="901"/>
              <w:jc w:val="center"/>
              <w:spacing w:line="360" w:lineRule="auto"/>
              <w:rPr>
                <w:b/>
                <w:bCs/>
                <w:color w:val="000000"/>
                <w:szCs w:val="21"/>
                <w:highlight w:val="none"/>
              </w:rPr>
            </w:pPr>
            <w:r>
              <w:rPr>
                <w:rFonts w:hint="eastAsia"/>
                <w:b/>
                <w:bCs/>
                <w:color w:val="000000"/>
                <w:szCs w:val="21"/>
                <w:highlight w:val="none"/>
              </w:rPr>
              <w:t xml:space="preserve">合</w:t>
            </w:r>
            <w:r>
              <w:rPr>
                <w:b/>
                <w:bCs/>
                <w:color w:val="000000"/>
                <w:szCs w:val="21"/>
                <w:highlight w:val="none"/>
              </w:rPr>
              <w:t xml:space="preserve"> </w:t>
            </w:r>
            <w:r>
              <w:rPr>
                <w:rFonts w:hint="eastAsia"/>
                <w:b/>
                <w:bCs/>
                <w:color w:val="000000"/>
                <w:szCs w:val="21"/>
                <w:highlight w:val="none"/>
              </w:rPr>
              <w:t xml:space="preserve">计</w:t>
            </w:r>
            <w:r>
              <w:rPr>
                <w:b/>
                <w:bCs/>
                <w:color w:val="000000"/>
                <w:szCs w:val="21"/>
                <w:highlight w:val="none"/>
              </w:rPr>
            </w:r>
            <w:r/>
          </w:p>
        </w:tc>
        <w:tc>
          <w:tcPr>
            <w:gridSpan w:val="3"/>
            <w:tcW w:w="7028" w:type="dxa"/>
            <w:vAlign w:val="top"/>
            <w:textDirection w:val="lrTb"/>
            <w:noWrap w:val="false"/>
          </w:tcPr>
          <w:p>
            <w:pPr>
              <w:pStyle w:val="901"/>
              <w:jc w:val="center"/>
              <w:spacing w:line="360" w:lineRule="auto"/>
              <w:rPr>
                <w:b/>
                <w:bCs/>
                <w:color w:val="000000"/>
                <w:szCs w:val="21"/>
                <w:highlight w:val="none"/>
              </w:rPr>
            </w:pPr>
            <w:r>
              <w:rPr>
                <w:color w:val="000000"/>
                <w:szCs w:val="21"/>
                <w:highlight w:val="none"/>
              </w:rPr>
              <w:t xml:space="preserve">100</w:t>
            </w:r>
            <w:r>
              <w:rPr>
                <w:rFonts w:hint="eastAsia"/>
                <w:color w:val="000000"/>
                <w:szCs w:val="21"/>
                <w:highlight w:val="none"/>
              </w:rPr>
              <w:t xml:space="preserve">分</w:t>
            </w:r>
            <w:r>
              <w:rPr>
                <w:b/>
                <w:bCs/>
                <w:color w:val="000000"/>
                <w:szCs w:val="21"/>
                <w:highlight w:val="none"/>
              </w:rPr>
            </w:r>
            <w:r/>
          </w:p>
        </w:tc>
      </w:tr>
    </w:tbl>
    <w:p>
      <w:pPr>
        <w:pStyle w:val="901"/>
        <w:numPr>
          <w:ilvl w:val="0"/>
          <w:numId w:val="0"/>
        </w:numPr>
        <w:jc w:val="both"/>
        <w:spacing w:line="360" w:lineRule="auto"/>
        <w:widowControl w:val="off"/>
        <w:rPr>
          <w:rFonts w:ascii="仿宋_GB2312" w:hAnsi="仿宋_GB2312" w:eastAsia="仿宋_GB2312" w:cs="仿宋_GB2312"/>
          <w:color w:val="000000"/>
          <w:highlight w:val="none"/>
          <w:lang w:val="en-US" w:eastAsia="zh-CN"/>
        </w:rPr>
      </w:pPr>
      <w:r/>
      <w:bookmarkEnd w:id="174"/>
      <w:r>
        <w:rPr>
          <w:rFonts w:ascii="仿宋_GB2312" w:hAnsi="仿宋_GB2312" w:eastAsia="仿宋_GB2312" w:cs="仿宋_GB2312"/>
          <w:color w:val="000000"/>
          <w:highlight w:val="none"/>
          <w:lang w:val="en-US" w:eastAsia="zh-CN"/>
        </w:rPr>
      </w:r>
      <w:r/>
    </w:p>
    <w:p>
      <w:pPr>
        <w:pStyle w:val="901"/>
        <w:rPr>
          <w:rFonts w:hint="eastAsia" w:ascii="宋体" w:hAnsi="宋体" w:cs="宋体"/>
          <w:color w:val="000000"/>
          <w:sz w:val="36"/>
          <w:highlight w:val="none"/>
        </w:rPr>
      </w:pPr>
      <w:r>
        <w:rPr>
          <w:rFonts w:hint="eastAsia" w:ascii="宋体" w:hAnsi="宋体" w:cs="宋体"/>
          <w:color w:val="000000"/>
          <w:sz w:val="36"/>
          <w:highlight w:val="none"/>
        </w:rPr>
      </w:r>
      <w:r/>
    </w:p>
    <w:p>
      <w:pPr>
        <w:pStyle w:val="902"/>
        <w:ind w:firstLine="2168"/>
        <w:spacing w:line="360" w:lineRule="auto"/>
        <w:rPr>
          <w:rFonts w:hint="eastAsia" w:ascii="宋体" w:hAnsi="宋体" w:cs="宋体"/>
          <w:color w:val="000000"/>
          <w:sz w:val="36"/>
          <w:highlight w:val="none"/>
        </w:rPr>
      </w:pPr>
      <w:r/>
      <w:bookmarkStart w:id="175" w:name="_Toc15941"/>
      <w:r/>
      <w:bookmarkStart w:id="176" w:name="_Toc6153"/>
      <w:r>
        <w:rPr>
          <w:rFonts w:hint="eastAsia" w:ascii="宋体" w:hAnsi="宋体" w:cs="宋体"/>
          <w:color w:val="000000"/>
          <w:sz w:val="36"/>
          <w:highlight w:val="none"/>
        </w:rPr>
        <w:t xml:space="preserve">第六章 投标文件格式</w:t>
      </w:r>
      <w:bookmarkEnd w:id="175"/>
      <w:r/>
      <w:bookmarkEnd w:id="176"/>
      <w:r>
        <w:rPr>
          <w:rFonts w:hint="eastAsia" w:ascii="宋体" w:hAnsi="宋体" w:cs="宋体"/>
          <w:color w:val="000000"/>
          <w:sz w:val="36"/>
          <w:highlight w:val="none"/>
        </w:rPr>
        <w:t xml:space="preserve"> </w:t>
      </w:r>
      <w:r>
        <w:rPr>
          <w:rFonts w:hint="eastAsia" w:ascii="宋体" w:hAnsi="宋体" w:cs="宋体"/>
          <w:color w:val="000000"/>
          <w:sz w:val="36"/>
          <w:highlight w:val="none"/>
        </w:rPr>
      </w:r>
      <w:r/>
    </w:p>
    <w:p>
      <w:pPr>
        <w:pStyle w:val="901"/>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r>
      <w:r/>
    </w:p>
    <w:p>
      <w:pPr>
        <w:pStyle w:val="901"/>
        <w:jc w:val="center"/>
        <w:spacing w:line="360" w:lineRule="auto"/>
        <w:rPr>
          <w:rFonts w:hint="eastAsia" w:ascii="宋体" w:hAnsi="宋体" w:cs="宋体"/>
          <w:b/>
          <w:color w:val="000000"/>
          <w:sz w:val="72"/>
          <w:highlight w:val="none"/>
        </w:rPr>
      </w:pPr>
      <w:r>
        <w:rPr>
          <w:rFonts w:hint="eastAsia" w:ascii="宋体" w:hAnsi="宋体" w:cs="宋体"/>
          <w:b/>
          <w:color w:val="000000"/>
          <w:sz w:val="72"/>
          <w:highlight w:val="none"/>
        </w:rPr>
        <w:t xml:space="preserve">投  标  文  件</w:t>
      </w:r>
      <w:r>
        <w:rPr>
          <w:rFonts w:hint="eastAsia" w:ascii="宋体" w:hAnsi="宋体" w:cs="宋体"/>
          <w:b/>
          <w:color w:val="000000"/>
          <w:sz w:val="72"/>
          <w:highlight w:val="none"/>
        </w:rPr>
      </w:r>
      <w:r/>
    </w:p>
    <w:p>
      <w:pPr>
        <w:pStyle w:val="901"/>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1"/>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1"/>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1"/>
        <w:jc w:val="center"/>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r>
      <w:r/>
    </w:p>
    <w:p>
      <w:pPr>
        <w:pStyle w:val="901"/>
        <w:ind w:firstLine="1084"/>
        <w:spacing w:line="360" w:lineRule="auto"/>
        <w:rPr>
          <w:rFonts w:hint="eastAsia" w:ascii="宋体" w:hAnsi="宋体" w:cs="宋体"/>
          <w:b/>
          <w:color w:val="000000"/>
          <w:sz w:val="36"/>
          <w:highlight w:val="none"/>
        </w:rPr>
      </w:pPr>
      <w:r>
        <w:rPr>
          <w:rFonts w:hint="eastAsia" w:ascii="宋体" w:hAnsi="宋体" w:cs="宋体"/>
          <w:b/>
          <w:color w:val="000000"/>
          <w:sz w:val="36"/>
          <w:highlight w:val="none"/>
        </w:rPr>
        <w:t xml:space="preserve">项 目 名 称：</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rPr>
      </w:r>
      <w:r/>
    </w:p>
    <w:p>
      <w:pPr>
        <w:pStyle w:val="901"/>
        <w:ind w:firstLine="1084"/>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项 目 编 号：</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01"/>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供应商名称 ：</w:t>
      </w:r>
      <w:r>
        <w:rPr>
          <w:rFonts w:hint="eastAsia" w:ascii="宋体" w:hAnsi="宋体" w:cs="宋体"/>
          <w:b/>
          <w:color w:val="000000"/>
          <w:sz w:val="36"/>
          <w:highlight w:val="none"/>
          <w:u w:val="single"/>
        </w:rPr>
        <w:t xml:space="preserve">（加盖</w:t>
      </w:r>
      <w:r>
        <w:rPr>
          <w:rFonts w:hint="eastAsia" w:ascii="宋体" w:hAnsi="宋体"/>
          <w:b/>
          <w:color w:val="000000"/>
          <w:sz w:val="36"/>
          <w:szCs w:val="21"/>
          <w:highlight w:val="none"/>
          <w:u w:val="single"/>
        </w:rPr>
        <w:t xml:space="preserve">CA电子</w:t>
      </w:r>
      <w:r>
        <w:rPr>
          <w:rFonts w:hint="eastAsia" w:ascii="宋体" w:hAnsi="宋体" w:cs="宋体"/>
          <w:b/>
          <w:color w:val="000000"/>
          <w:sz w:val="36"/>
          <w:highlight w:val="none"/>
          <w:u w:val="single"/>
        </w:rPr>
        <w:t xml:space="preserve">公章）    </w:t>
      </w:r>
      <w:r>
        <w:rPr>
          <w:rFonts w:hint="eastAsia" w:ascii="宋体" w:hAnsi="宋体" w:cs="宋体"/>
          <w:b/>
          <w:color w:val="000000"/>
          <w:sz w:val="36"/>
          <w:highlight w:val="none"/>
          <w:u w:val="single"/>
        </w:rPr>
      </w:r>
      <w:r/>
    </w:p>
    <w:p>
      <w:pPr>
        <w:pStyle w:val="901"/>
        <w:spacing w:line="360" w:lineRule="auto"/>
        <w:rPr>
          <w:rFonts w:hint="eastAsia" w:ascii="宋体" w:hAnsi="宋体" w:cs="宋体"/>
          <w:b/>
          <w:color w:val="000000"/>
          <w:sz w:val="36"/>
          <w:highlight w:val="none"/>
          <w:u w:val="single"/>
        </w:rPr>
      </w:pPr>
      <w:r>
        <w:rPr>
          <w:rFonts w:hint="eastAsia" w:ascii="宋体" w:hAnsi="宋体" w:cs="宋体"/>
          <w:b/>
          <w:color w:val="000000"/>
          <w:sz w:val="36"/>
          <w:highlight w:val="none"/>
        </w:rPr>
        <w:t xml:space="preserve">      日      期 ：</w:t>
      </w:r>
      <w:r>
        <w:rPr>
          <w:rFonts w:hint="eastAsia" w:ascii="宋体" w:hAnsi="宋体" w:cs="宋体"/>
          <w:b/>
          <w:color w:val="000000"/>
          <w:sz w:val="36"/>
          <w:highlight w:val="none"/>
          <w:u w:val="single"/>
        </w:rPr>
        <w:t xml:space="preserve">                       </w:t>
      </w:r>
      <w:r>
        <w:rPr>
          <w:rFonts w:hint="eastAsia" w:ascii="宋体" w:hAnsi="宋体" w:cs="宋体"/>
          <w:b/>
          <w:color w:val="000000"/>
          <w:sz w:val="36"/>
          <w:highlight w:val="none"/>
          <w:u w:val="single"/>
        </w:rPr>
      </w:r>
      <w:r/>
    </w:p>
    <w:p>
      <w:pPr>
        <w:pStyle w:val="901"/>
        <w:rPr>
          <w:rFonts w:hint="eastAsia" w:ascii="宋体" w:hAnsi="宋体" w:cs="宋体"/>
          <w:color w:val="000000"/>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color w:val="000000"/>
          <w:highlight w:val="none"/>
        </w:rPr>
      </w:r>
      <w:r/>
    </w:p>
    <w:p>
      <w:pPr>
        <w:pStyle w:val="901"/>
        <w:jc w:val="center"/>
        <w:spacing w:line="400" w:lineRule="atLeast"/>
        <w:rPr>
          <w:rFonts w:ascii="宋体" w:hAnsi="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sz w:val="32"/>
          <w:szCs w:val="32"/>
          <w:highlight w:val="none"/>
        </w:rPr>
        <w:t xml:space="preserve">投标文件的</w:t>
      </w:r>
      <w:r>
        <w:rPr>
          <w:rFonts w:ascii="宋体" w:hAnsi="宋体"/>
          <w:b/>
          <w:bCs/>
          <w:color w:val="000000"/>
          <w:sz w:val="32"/>
          <w:szCs w:val="32"/>
          <w:highlight w:val="none"/>
        </w:rPr>
        <w:t xml:space="preserve">组成</w:t>
      </w:r>
      <w:r>
        <w:rPr>
          <w:rFonts w:ascii="宋体" w:hAnsi="宋体"/>
          <w:b/>
          <w:bCs/>
          <w:color w:val="000000"/>
          <w:sz w:val="32"/>
          <w:szCs w:val="32"/>
          <w:highlight w:val="none"/>
        </w:rPr>
      </w:r>
      <w:r/>
    </w:p>
    <w:p>
      <w:pPr>
        <w:pStyle w:val="901"/>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一、基本目录</w:t>
      </w:r>
      <w:r>
        <w:rPr>
          <w:rFonts w:hint="eastAsia" w:ascii="宋体" w:hAnsi="宋体" w:cs="宋体"/>
          <w:color w:val="000000"/>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1.开标一览表（格式见附件1）</w:t>
      </w:r>
      <w:r>
        <w:rPr>
          <w:rFonts w:hint="eastAsia" w:ascii="宋体" w:hAnsi="宋体" w:cs="宋体"/>
          <w:color w:val="000000"/>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2.投标分项报价表（格式见附件2）</w:t>
      </w:r>
      <w:r>
        <w:rPr>
          <w:rFonts w:hint="eastAsia" w:ascii="宋体" w:hAnsi="宋体" w:cs="宋体"/>
          <w:color w:val="000000"/>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3.技术要求响应及偏离表（格式见附件3）</w:t>
      </w:r>
      <w:r>
        <w:rPr>
          <w:rFonts w:hint="eastAsia" w:ascii="宋体" w:hAnsi="宋体" w:cs="宋体"/>
          <w:color w:val="000000"/>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4.商务要求响应及偏离表（格式见附件4）</w:t>
      </w:r>
      <w:r>
        <w:rPr>
          <w:rFonts w:hint="eastAsia" w:ascii="宋体" w:hAnsi="宋体" w:cs="宋体"/>
          <w:color w:val="000000"/>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法人授权书（格式见附件5）</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投标函</w:t>
      </w:r>
      <w:r>
        <w:rPr>
          <w:rFonts w:ascii="宋体" w:hAnsi="宋体" w:cs="宋体"/>
          <w:color w:val="000000"/>
          <w:sz w:val="24"/>
          <w:highlight w:val="none"/>
        </w:rPr>
        <w:t xml:space="preserve">（格式见附件</w:t>
      </w:r>
      <w:r>
        <w:rPr>
          <w:rFonts w:hint="eastAsia" w:ascii="宋体" w:hAnsi="宋体" w:cs="宋体"/>
          <w:color w:val="000000"/>
          <w:sz w:val="24"/>
          <w:highlight w:val="none"/>
        </w:rPr>
        <w:t xml:space="preserve">6</w:t>
      </w:r>
      <w:r>
        <w:rPr>
          <w:rFonts w:ascii="宋体" w:hAnsi="宋体" w:cs="宋体"/>
          <w:color w:val="000000"/>
          <w:sz w:val="24"/>
          <w:highlight w:val="none"/>
        </w:rPr>
        <w:t xml:space="preserve">）</w:t>
      </w:r>
      <w:r>
        <w:rPr>
          <w:rFonts w:hint="eastAsia" w:ascii="宋体" w:hAnsi="宋体"/>
          <w:color w:val="000000"/>
          <w:sz w:val="24"/>
          <w:szCs w:val="21"/>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7.其他</w:t>
      </w:r>
      <w:r>
        <w:rPr>
          <w:rFonts w:hint="eastAsia" w:ascii="宋体" w:hAnsi="宋体" w:cs="宋体"/>
          <w:color w:val="000000"/>
          <w:highlight w:val="none"/>
        </w:rPr>
      </w:r>
      <w:r/>
    </w:p>
    <w:p>
      <w:pPr>
        <w:pStyle w:val="901"/>
        <w:ind w:firstLine="200"/>
        <w:spacing w:line="450" w:lineRule="atLeast"/>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****（格式见附件**）</w:t>
      </w:r>
      <w:r>
        <w:rPr>
          <w:rFonts w:hint="eastAsia" w:ascii="宋体" w:hAnsi="宋体" w:cs="宋体"/>
          <w:color w:val="000000"/>
          <w:sz w:val="24"/>
          <w:highlight w:val="none"/>
        </w:rPr>
      </w:r>
      <w:r/>
    </w:p>
    <w:p>
      <w:pPr>
        <w:pStyle w:val="901"/>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二、资格审查内容</w:t>
      </w:r>
      <w:r>
        <w:rPr>
          <w:rFonts w:hint="eastAsia" w:ascii="宋体" w:hAnsi="宋体" w:cs="宋体"/>
          <w:color w:val="000000"/>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1.法人或者其他组织的营业执照等证明文件，自然人的身份证明（</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hint="eastAsia" w:ascii="宋体" w:hAnsi="宋体"/>
          <w:color w:val="000000"/>
          <w:sz w:val="24"/>
          <w:szCs w:val="21"/>
          <w:highlight w:val="none"/>
          <w:lang w:val="en-US" w:eastAsia="zh-CN"/>
        </w:rPr>
        <w:t xml:space="preserve">上一</w:t>
      </w:r>
      <w:r>
        <w:rPr>
          <w:rFonts w:hint="eastAsia" w:ascii="宋体" w:hAnsi="宋体"/>
          <w:color w:val="000000"/>
          <w:sz w:val="24"/>
          <w:szCs w:val="21"/>
          <w:highlight w:val="none"/>
        </w:rPr>
        <w:t xml:space="preserve">年度的财务状况报告（成立不满一年无需提供）（</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3.依法缴纳税收和社会保障资金的相关材料（</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）（提供提交投标文件截止时间前一年内至少一个月依法缴纳税收及缴纳社会保障资金的证明材料。供应商依法享受缓缴、免缴税收、社会保障资金的提供证明材料。）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4.具备履行合同所必需的设备和专业技术能力的书面声明（</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w:t>
      </w:r>
      <w:r>
        <w:rPr>
          <w:rFonts w:ascii="宋体" w:hAnsi="宋体" w:cs="宋体"/>
          <w:color w:val="000000"/>
          <w:sz w:val="24"/>
          <w:highlight w:val="none"/>
        </w:rPr>
        <w:t xml:space="preserve">（格式见附件</w:t>
      </w:r>
      <w:r>
        <w:rPr>
          <w:rFonts w:hint="eastAsia" w:ascii="宋体" w:hAnsi="宋体" w:cs="宋体"/>
          <w:color w:val="000000"/>
          <w:sz w:val="24"/>
          <w:highlight w:val="none"/>
        </w:rPr>
        <w:t xml:space="preserve">8</w:t>
      </w:r>
      <w:r>
        <w:rPr>
          <w:rFonts w:ascii="宋体" w:hAnsi="宋体" w:cs="宋体"/>
          <w:color w:val="000000"/>
          <w:sz w:val="24"/>
          <w:highlight w:val="none"/>
        </w:rPr>
        <w:t xml:space="preserve">）</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5.参加政府采购活动前3年内在经营活动中没有重大违法记录的书面声明（</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w:t>
      </w:r>
      <w:r>
        <w:rPr>
          <w:rFonts w:ascii="宋体" w:hAnsi="宋体" w:cs="宋体"/>
          <w:color w:val="000000"/>
          <w:sz w:val="24"/>
          <w:highlight w:val="none"/>
        </w:rPr>
        <w:t xml:space="preserve">（格式见附件</w:t>
      </w:r>
      <w:r>
        <w:rPr>
          <w:rFonts w:hint="eastAsia" w:ascii="宋体" w:hAnsi="宋体" w:cs="宋体"/>
          <w:color w:val="000000"/>
          <w:sz w:val="24"/>
          <w:highlight w:val="none"/>
        </w:rPr>
        <w:t xml:space="preserve">9</w:t>
      </w:r>
      <w:r>
        <w:rPr>
          <w:rFonts w:ascii="宋体" w:hAnsi="宋体" w:cs="宋体"/>
          <w:color w:val="000000"/>
          <w:sz w:val="24"/>
          <w:highlight w:val="none"/>
        </w:rPr>
        <w:t xml:space="preserve">）</w:t>
      </w:r>
      <w:r>
        <w:rPr>
          <w:rFonts w:hint="eastAsia" w:ascii="宋体" w:hAnsi="宋体"/>
          <w:color w:val="000000"/>
          <w:sz w:val="24"/>
          <w:szCs w:val="21"/>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6.供应商信用承诺书（</w:t>
      </w:r>
      <w:r>
        <w:rPr>
          <w:rFonts w:hint="eastAsia" w:ascii="宋体" w:hAnsi="宋体"/>
          <w:color w:val="000000"/>
          <w:sz w:val="24"/>
          <w:szCs w:val="21"/>
          <w:highlight w:val="none"/>
          <w:lang w:eastAsia="zh-CN"/>
        </w:rPr>
        <w:t xml:space="preserve">原件扫描上传</w:t>
      </w:r>
      <w:r>
        <w:rPr>
          <w:rFonts w:hint="eastAsia" w:ascii="宋体" w:hAnsi="宋体"/>
          <w:color w:val="000000"/>
          <w:sz w:val="24"/>
          <w:szCs w:val="21"/>
          <w:highlight w:val="none"/>
        </w:rPr>
        <w:t xml:space="preserve">）（格式见附件10）</w:t>
      </w:r>
      <w:r>
        <w:rPr>
          <w:rFonts w:hint="eastAsia" w:ascii="宋体" w:hAnsi="宋体"/>
          <w:color w:val="000000"/>
          <w:sz w:val="24"/>
          <w:szCs w:val="21"/>
          <w:highlight w:val="none"/>
        </w:rPr>
      </w:r>
      <w:r/>
    </w:p>
    <w:p>
      <w:pPr>
        <w:pStyle w:val="901"/>
        <w:ind w:firstLine="48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7.</w:t>
      </w:r>
      <w:r>
        <w:rPr>
          <w:rFonts w:ascii="宋体" w:hAnsi="宋体"/>
          <w:color w:val="000000"/>
          <w:sz w:val="24"/>
          <w:szCs w:val="21"/>
          <w:highlight w:val="none"/>
        </w:rPr>
        <w:t xml:space="preserve">企业报价折扣证明文件：</w:t>
      </w:r>
      <w:r>
        <w:rPr>
          <w:rFonts w:ascii="宋体" w:hAnsi="宋体"/>
          <w:color w:val="000000"/>
          <w:sz w:val="24"/>
          <w:szCs w:val="21"/>
          <w:highlight w:val="none"/>
        </w:rPr>
      </w:r>
      <w:r/>
    </w:p>
    <w:p>
      <w:pPr>
        <w:pStyle w:val="901"/>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中小企业声明函（</w:t>
      </w:r>
      <w:r>
        <w:rPr>
          <w:rFonts w:ascii="宋体" w:hAnsi="宋体"/>
          <w:color w:val="000000"/>
          <w:sz w:val="24"/>
          <w:szCs w:val="21"/>
          <w:highlight w:val="none"/>
        </w:rPr>
        <w:t xml:space="preserve">格式</w:t>
      </w:r>
      <w:r>
        <w:rPr>
          <w:rFonts w:hint="eastAsia" w:ascii="宋体" w:hAnsi="宋体"/>
          <w:color w:val="000000"/>
          <w:sz w:val="24"/>
          <w:szCs w:val="21"/>
          <w:highlight w:val="none"/>
        </w:rPr>
        <w:t xml:space="preserve">见</w:t>
      </w:r>
      <w:r>
        <w:rPr>
          <w:rFonts w:ascii="宋体" w:hAnsi="宋体"/>
          <w:color w:val="000000"/>
          <w:sz w:val="24"/>
          <w:szCs w:val="21"/>
          <w:highlight w:val="none"/>
        </w:rPr>
        <w:t xml:space="preserve">附件</w:t>
      </w:r>
      <w:r>
        <w:rPr>
          <w:rFonts w:hint="eastAsia" w:ascii="宋体" w:hAnsi="宋体"/>
          <w:color w:val="000000"/>
          <w:sz w:val="24"/>
          <w:szCs w:val="21"/>
          <w:highlight w:val="none"/>
        </w:rPr>
        <w:t xml:space="preserve">11）。如果本项目</w:t>
      </w:r>
      <w:r>
        <w:rPr>
          <w:rFonts w:ascii="宋体" w:hAnsi="宋体"/>
          <w:color w:val="000000"/>
          <w:sz w:val="24"/>
          <w:szCs w:val="21"/>
          <w:highlight w:val="none"/>
        </w:rPr>
        <w:t xml:space="preserve">专门面向中小企业采购，则必须提供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901"/>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残疾人福利性单位声明函（格式见附件12）。如果本项目</w:t>
      </w:r>
      <w:r>
        <w:rPr>
          <w:rFonts w:ascii="宋体" w:hAnsi="宋体"/>
          <w:color w:val="000000"/>
          <w:sz w:val="24"/>
          <w:szCs w:val="21"/>
          <w:highlight w:val="none"/>
        </w:rPr>
        <w:t xml:space="preserve">专门面向中小企业采购，</w:t>
      </w:r>
      <w:r>
        <w:rPr>
          <w:rFonts w:hint="eastAsia" w:ascii="宋体" w:hAnsi="宋体"/>
          <w:color w:val="000000"/>
          <w:sz w:val="24"/>
          <w:szCs w:val="21"/>
          <w:highlight w:val="none"/>
        </w:rPr>
        <w:t xml:space="preserve">供应商为</w:t>
      </w:r>
      <w:r>
        <w:rPr>
          <w:rFonts w:ascii="宋体" w:hAnsi="宋体"/>
          <w:color w:val="000000"/>
          <w:sz w:val="24"/>
          <w:szCs w:val="21"/>
          <w:highlight w:val="none"/>
        </w:rPr>
        <w:t xml:space="preserve">残疾人福利性单位并</w:t>
      </w:r>
      <w:r>
        <w:rPr>
          <w:rFonts w:hint="eastAsia" w:ascii="宋体" w:hAnsi="宋体"/>
          <w:color w:val="000000"/>
          <w:sz w:val="24"/>
          <w:szCs w:val="21"/>
          <w:highlight w:val="none"/>
        </w:rPr>
        <w:t xml:space="preserve">提供本单位制造的货物，或者提供其他残疾人福利性单位制造的货物，</w:t>
      </w:r>
      <w:r>
        <w:rPr>
          <w:rFonts w:ascii="宋体" w:hAnsi="宋体"/>
          <w:color w:val="000000"/>
          <w:sz w:val="24"/>
          <w:szCs w:val="21"/>
          <w:highlight w:val="none"/>
        </w:rPr>
        <w:t xml:space="preserve">则必须提供</w:t>
      </w:r>
      <w:r>
        <w:rPr>
          <w:rFonts w:hint="eastAsia" w:ascii="宋体" w:hAnsi="宋体"/>
          <w:color w:val="000000"/>
          <w:sz w:val="24"/>
          <w:szCs w:val="21"/>
          <w:highlight w:val="none"/>
        </w:rPr>
        <w:t xml:space="preserve">。</w:t>
      </w:r>
      <w:r>
        <w:rPr>
          <w:rFonts w:ascii="宋体" w:hAnsi="宋体"/>
          <w:color w:val="000000"/>
          <w:sz w:val="24"/>
          <w:szCs w:val="21"/>
          <w:highlight w:val="none"/>
        </w:rPr>
      </w:r>
      <w:r/>
    </w:p>
    <w:p>
      <w:pPr>
        <w:pStyle w:val="901"/>
        <w:ind w:firstLine="720"/>
        <w:spacing w:line="400" w:lineRule="exact"/>
        <w:rPr>
          <w:rFonts w:ascii="宋体" w:hAnsi="宋体"/>
          <w:color w:val="000000"/>
          <w:sz w:val="24"/>
          <w:szCs w:val="21"/>
          <w:highlight w:val="none"/>
        </w:rPr>
      </w:pPr>
      <w:r>
        <w:rPr>
          <w:rFonts w:hint="eastAsia" w:ascii="宋体" w:hAnsi="宋体"/>
          <w:color w:val="000000"/>
          <w:sz w:val="24"/>
          <w:szCs w:val="21"/>
          <w:highlight w:val="none"/>
        </w:rPr>
        <w:t xml:space="preserve">监狱企业的证明文件。</w:t>
      </w:r>
      <w:r>
        <w:rPr>
          <w:rFonts w:ascii="宋体" w:hAnsi="宋体"/>
          <w:color w:val="000000"/>
          <w:sz w:val="24"/>
          <w:szCs w:val="21"/>
          <w:highlight w:val="none"/>
        </w:rPr>
      </w:r>
      <w:r/>
    </w:p>
    <w:p>
      <w:pPr>
        <w:pStyle w:val="901"/>
        <w:ind w:firstLine="480"/>
        <w:spacing w:line="400" w:lineRule="exact"/>
        <w:rPr>
          <w:color w:val="000000"/>
          <w:highlight w:val="none"/>
        </w:rPr>
      </w:pPr>
      <w:r>
        <w:rPr>
          <w:rFonts w:hint="eastAsia" w:ascii="宋体" w:hAnsi="宋体"/>
          <w:color w:val="000000"/>
          <w:sz w:val="24"/>
          <w:szCs w:val="21"/>
          <w:highlight w:val="none"/>
        </w:rPr>
        <w:t xml:space="preserve">8</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特定资格要求的证明文件。如果本项目对供应商</w:t>
      </w:r>
      <w:r>
        <w:rPr>
          <w:rFonts w:ascii="宋体" w:hAnsi="宋体"/>
          <w:color w:val="000000"/>
          <w:sz w:val="24"/>
          <w:szCs w:val="21"/>
          <w:highlight w:val="none"/>
        </w:rPr>
        <w:t xml:space="preserve">做出特定资格要求的</w:t>
      </w:r>
      <w:r>
        <w:rPr>
          <w:rFonts w:hint="eastAsia" w:ascii="宋体" w:hAnsi="宋体"/>
          <w:color w:val="000000"/>
          <w:sz w:val="24"/>
          <w:szCs w:val="21"/>
          <w:highlight w:val="none"/>
        </w:rPr>
        <w:t xml:space="preserve">，则必须提供。</w:t>
      </w:r>
      <w:r>
        <w:rPr>
          <w:color w:val="000000"/>
          <w:highlight w:val="none"/>
        </w:rPr>
      </w:r>
      <w:r/>
    </w:p>
    <w:p>
      <w:pPr>
        <w:pStyle w:val="901"/>
        <w:ind w:left="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三、符合性审查内容</w:t>
      </w:r>
      <w:r>
        <w:rPr>
          <w:rFonts w:hint="eastAsia" w:ascii="宋体" w:hAnsi="宋体" w:cs="宋体"/>
          <w:color w:val="000000"/>
          <w:highlight w:val="none"/>
        </w:rPr>
      </w:r>
      <w:r/>
    </w:p>
    <w:p>
      <w:pPr>
        <w:pStyle w:val="901"/>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招标文件（含技术</w:t>
      </w:r>
      <w:r>
        <w:rPr>
          <w:rFonts w:ascii="宋体" w:hAnsi="宋体"/>
          <w:color w:val="000000"/>
          <w:sz w:val="24"/>
          <w:szCs w:val="21"/>
          <w:highlight w:val="none"/>
        </w:rPr>
        <w:t xml:space="preserve">要求和商务</w:t>
      </w:r>
      <w:r>
        <w:rPr>
          <w:rFonts w:hint="eastAsia" w:ascii="宋体" w:hAnsi="宋体"/>
          <w:color w:val="000000"/>
          <w:sz w:val="24"/>
          <w:szCs w:val="21"/>
          <w:highlight w:val="none"/>
        </w:rPr>
        <w:t xml:space="preserve">要求）</w:t>
      </w:r>
      <w:r>
        <w:rPr>
          <w:rFonts w:ascii="宋体" w:hAnsi="宋体"/>
          <w:color w:val="000000"/>
          <w:sz w:val="24"/>
          <w:szCs w:val="21"/>
          <w:highlight w:val="none"/>
        </w:rPr>
        <w:t xml:space="preserve">中</w:t>
      </w:r>
      <w:r>
        <w:rPr>
          <w:rFonts w:hint="eastAsia" w:ascii="宋体" w:hAnsi="宋体"/>
          <w:b/>
          <w:bCs/>
          <w:i/>
          <w:color w:val="000000"/>
          <w:sz w:val="24"/>
          <w:szCs w:val="21"/>
          <w:highlight w:val="none"/>
          <w:u w:val="single"/>
        </w:rPr>
        <w:t xml:space="preserve">斜体且有下划线部分</w:t>
      </w:r>
      <w:r>
        <w:rPr>
          <w:rFonts w:ascii="宋体" w:hAnsi="宋体"/>
          <w:color w:val="000000"/>
          <w:sz w:val="24"/>
          <w:szCs w:val="21"/>
          <w:highlight w:val="none"/>
        </w:rPr>
        <w:t xml:space="preserve">的实质性要求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，否则作无效投标处理。（格式见</w:t>
      </w:r>
      <w:r>
        <w:rPr>
          <w:rFonts w:ascii="宋体" w:hAnsi="宋体"/>
          <w:color w:val="000000"/>
          <w:sz w:val="24"/>
          <w:szCs w:val="21"/>
          <w:highlight w:val="none"/>
        </w:rPr>
        <w:t xml:space="preserve">附件1</w:t>
      </w:r>
      <w:r>
        <w:rPr>
          <w:rFonts w:hint="eastAsia" w:ascii="宋体" w:hAnsi="宋体"/>
          <w:color w:val="000000"/>
          <w:sz w:val="24"/>
          <w:szCs w:val="21"/>
          <w:highlight w:val="none"/>
          <w:lang w:val="en-US" w:eastAsia="zh-CN"/>
        </w:rPr>
        <w:t xml:space="preserve">3</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13"/>
        <w:numPr>
          <w:ilvl w:val="0"/>
          <w:numId w:val="0"/>
        </w:numPr>
        <w:ind w:left="420"/>
        <w:tabs>
          <w:tab w:val="left" w:pos="780" w:leader="none"/>
        </w:tabs>
        <w:rPr>
          <w:rFonts w:hint="eastAsia" w:ascii="宋体" w:hAnsi="宋体" w:eastAsia="宋体" w:cs="Times New Roman"/>
          <w:color w:val="000000"/>
          <w:sz w:val="24"/>
          <w:szCs w:val="21"/>
          <w:highlight w:val="none"/>
          <w:lang w:val="en-US" w:eastAsia="zh-CN" w:bidi="ar-SA"/>
        </w:rPr>
      </w:pPr>
      <w:r>
        <w:rPr>
          <w:rFonts w:hint="eastAsia" w:ascii="宋体" w:hAnsi="宋体" w:eastAsia="宋体" w:cs="Times New Roman"/>
          <w:color w:val="000000"/>
          <w:sz w:val="24"/>
          <w:szCs w:val="21"/>
          <w:highlight w:val="none"/>
          <w:lang w:val="en-US" w:eastAsia="zh-CN" w:bidi="ar-SA"/>
        </w:rPr>
        <w:t xml:space="preserve">符合性检查响应对照表</w:t>
      </w:r>
      <w:r>
        <w:rPr>
          <w:rFonts w:hint="eastAsia" w:ascii="宋体" w:hAnsi="宋体"/>
          <w:color w:val="000000"/>
          <w:sz w:val="24"/>
          <w:szCs w:val="21"/>
          <w:highlight w:val="none"/>
        </w:rPr>
        <w:t xml:space="preserve">（格式见</w:t>
      </w:r>
      <w:r>
        <w:rPr>
          <w:rFonts w:ascii="宋体" w:hAnsi="宋体"/>
          <w:color w:val="000000"/>
          <w:sz w:val="24"/>
          <w:szCs w:val="21"/>
          <w:highlight w:val="none"/>
        </w:rPr>
        <w:t xml:space="preserve">附件1</w:t>
      </w:r>
      <w:r>
        <w:rPr>
          <w:rFonts w:hint="eastAsia" w:ascii="宋体" w:hAnsi="宋体"/>
          <w:color w:val="000000"/>
          <w:sz w:val="24"/>
          <w:szCs w:val="21"/>
          <w:highlight w:val="none"/>
          <w:lang w:val="en-US" w:eastAsia="zh-CN"/>
        </w:rPr>
        <w:t xml:space="preserve">4</w:t>
      </w:r>
      <w:r>
        <w:rPr>
          <w:rFonts w:hint="eastAsia" w:ascii="宋体" w:hAnsi="宋体"/>
          <w:color w:val="000000"/>
          <w:sz w:val="24"/>
          <w:szCs w:val="21"/>
          <w:highlight w:val="none"/>
        </w:rPr>
        <w:t xml:space="preserve">）</w:t>
      </w:r>
      <w:r>
        <w:rPr>
          <w:rFonts w:hint="eastAsia" w:ascii="宋体" w:hAnsi="宋体" w:eastAsia="宋体" w:cs="Times New Roman"/>
          <w:color w:val="000000"/>
          <w:sz w:val="24"/>
          <w:szCs w:val="21"/>
          <w:highlight w:val="none"/>
          <w:lang w:val="en-US" w:eastAsia="zh-CN" w:bidi="ar-SA"/>
        </w:rPr>
      </w:r>
      <w:r/>
    </w:p>
    <w:p>
      <w:pPr>
        <w:pStyle w:val="901"/>
        <w:ind w:firstLine="480"/>
        <w:spacing w:line="400"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四、价格扣除证明文件</w:t>
      </w:r>
      <w:r>
        <w:rPr>
          <w:rFonts w:hint="eastAsia" w:ascii="宋体" w:hAnsi="宋体" w:cs="宋体"/>
          <w:color w:val="000000"/>
          <w:highlight w:val="none"/>
        </w:rPr>
      </w:r>
      <w:r/>
    </w:p>
    <w:p>
      <w:pPr>
        <w:pStyle w:val="901"/>
        <w:ind w:firstLine="480"/>
        <w:spacing w:line="400"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1.中小企业声明函（格式见附件1</w:t>
      </w:r>
      <w:r>
        <w:rPr>
          <w:rFonts w:hint="eastAsia" w:ascii="宋体" w:hAnsi="宋体" w:cs="宋体"/>
          <w:color w:val="000000"/>
          <w:sz w:val="24"/>
          <w:highlight w:val="none"/>
        </w:rPr>
        <w:t xml:space="preserve">1</w:t>
      </w:r>
      <w:r>
        <w:rPr>
          <w:rFonts w:ascii="宋体" w:hAnsi="宋体" w:cs="宋体"/>
          <w:color w:val="000000"/>
          <w:sz w:val="24"/>
          <w:highlight w:val="none"/>
        </w:rPr>
        <w:t xml:space="preserve">）</w:t>
      </w:r>
      <w:r>
        <w:rPr>
          <w:color w:val="000000"/>
          <w:highlight w:val="none"/>
        </w:rPr>
      </w:r>
      <w:r/>
    </w:p>
    <w:p>
      <w:pPr>
        <w:pStyle w:val="901"/>
        <w:ind w:firstLine="480"/>
        <w:spacing w:line="400"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2.残疾人福利性单位声明函（格式见附件12）</w:t>
      </w:r>
      <w:r>
        <w:rPr>
          <w:rFonts w:ascii="宋体" w:hAnsi="宋体" w:cs="宋体"/>
          <w:color w:val="000000"/>
          <w:sz w:val="24"/>
          <w:highlight w:val="none"/>
        </w:rPr>
      </w:r>
      <w:r/>
    </w:p>
    <w:p>
      <w:pPr>
        <w:pStyle w:val="901"/>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附件1 </w:t>
      </w:r>
      <w:r>
        <w:rPr>
          <w:rFonts w:hint="eastAsia" w:ascii="宋体" w:hAnsi="宋体" w:cs="宋体"/>
          <w:b/>
          <w:color w:val="000000"/>
          <w:sz w:val="24"/>
          <w:highlight w:val="none"/>
        </w:rPr>
      </w:r>
      <w:r/>
    </w:p>
    <w:p>
      <w:pPr>
        <w:pStyle w:val="901"/>
        <w:jc w:val="center"/>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开标一览表</w:t>
      </w:r>
      <w:r>
        <w:rPr>
          <w:rFonts w:hint="eastAsia" w:ascii="宋体" w:hAnsi="宋体" w:cs="宋体"/>
          <w:color w:val="000000"/>
          <w:highlight w:val="none"/>
        </w:rPr>
      </w:r>
      <w:r/>
    </w:p>
    <w:p>
      <w:pPr>
        <w:pStyle w:val="901"/>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供应商全称（加盖CA电子签章）：</w:t>
      </w:r>
      <w:r>
        <w:rPr>
          <w:rFonts w:hint="eastAsia" w:ascii="宋体" w:hAnsi="宋体" w:cs="宋体"/>
          <w:color w:val="000000"/>
          <w:sz w:val="24"/>
          <w:szCs w:val="24"/>
          <w:highlight w:val="none"/>
        </w:rPr>
      </w:r>
      <w:r/>
    </w:p>
    <w:p>
      <w:pPr>
        <w:pStyle w:val="901"/>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01"/>
        <w:ind w:firstLine="482"/>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1"/>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hint="eastAsia" w:ascii="宋体" w:hAnsi="宋体" w:cs="宋体"/>
                <w:color w:val="000000"/>
                <w:sz w:val="24"/>
                <w:szCs w:val="24"/>
                <w:highlight w:val="none"/>
              </w:rPr>
            </w:r>
            <w:r/>
          </w:p>
        </w:tc>
      </w:tr>
      <w:tr>
        <w:trPr>
          <w:cantSplit/>
          <w:trHeight w:val="612"/>
        </w:trPr>
        <w:tc>
          <w:tcPr>
            <w:gridSpan w:val="2"/>
            <w:tcW w:w="8886" w:type="dxa"/>
            <w:vAlign w:val="center"/>
            <w:textDirection w:val="lrTb"/>
            <w:noWrap w:val="false"/>
          </w:tcPr>
          <w:p>
            <w:pPr>
              <w:pStyle w:val="90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大写：</w:t>
            </w:r>
            <w:r>
              <w:rPr>
                <w:rFonts w:hint="eastAsia" w:ascii="宋体" w:hAnsi="宋体" w:cs="宋体"/>
                <w:color w:val="000000"/>
                <w:sz w:val="24"/>
                <w:szCs w:val="24"/>
                <w:highlight w:val="none"/>
              </w:rPr>
            </w:r>
            <w:r/>
          </w:p>
          <w:p>
            <w:pPr>
              <w:pStyle w:val="90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500" w:lineRule="exact"/>
              <w:rPr>
                <w:rFonts w:hint="eastAsia" w:ascii="宋体" w:hAnsi="宋体" w:cs="宋体"/>
                <w:color w:val="000000"/>
                <w:sz w:val="24"/>
                <w:szCs w:val="21"/>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szCs w:val="21"/>
                <w:highlight w:val="none"/>
              </w:rPr>
            </w:r>
            <w:r/>
          </w:p>
        </w:tc>
      </w:tr>
      <w:tr>
        <w:trPr>
          <w:cantSplit/>
          <w:trHeight w:val="612"/>
        </w:trPr>
        <w:tc>
          <w:tcPr>
            <w:tcW w:w="2481" w:type="dxa"/>
            <w:vAlign w:val="center"/>
            <w:textDirection w:val="lrTb"/>
            <w:noWrap w:val="false"/>
          </w:tcPr>
          <w:p>
            <w:pPr>
              <w:pStyle w:val="901"/>
              <w:jc w:val="center"/>
              <w:spacing w:line="300" w:lineRule="auto"/>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tc>
        <w:tc>
          <w:tcPr>
            <w:tcW w:w="6405" w:type="dxa"/>
            <w:vAlign w:val="center"/>
            <w:textDirection w:val="lrTb"/>
            <w:noWrap w:val="false"/>
          </w:tcPr>
          <w:p>
            <w:pPr>
              <w:pStyle w:val="901"/>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1"/>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附件2</w:t>
      </w:r>
      <w:r>
        <w:rPr>
          <w:rFonts w:hint="eastAsia" w:ascii="宋体" w:hAnsi="宋体" w:cs="宋体"/>
          <w:b/>
          <w:color w:val="000000"/>
          <w:sz w:val="24"/>
          <w:highlight w:val="none"/>
        </w:rPr>
      </w:r>
      <w:r/>
    </w:p>
    <w:p>
      <w:pPr>
        <w:pStyle w:val="901"/>
        <w:jc w:val="center"/>
        <w:rPr>
          <w:rFonts w:hint="eastAsia"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投标分项报价表</w:t>
      </w:r>
      <w:r>
        <w:rPr>
          <w:rFonts w:hint="eastAsia" w:ascii="宋体" w:hAnsi="宋体" w:cs="宋体"/>
          <w:b/>
          <w:color w:val="000000"/>
          <w:sz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01"/>
        <w:spacing w:line="400" w:lineRule="exact"/>
        <w:rPr>
          <w:rFonts w:hint="eastAsia" w:ascii="宋体" w:hAnsi="宋体" w:cs="宋体"/>
          <w:b/>
          <w:color w:val="000000"/>
          <w:sz w:val="24"/>
          <w:highlight w:val="none"/>
        </w:rPr>
      </w:pPr>
      <w:r>
        <w:rPr>
          <w:rFonts w:hint="eastAsia" w:ascii="宋体" w:hAnsi="宋体" w:cs="宋体"/>
          <w:color w:val="000000"/>
          <w:sz w:val="24"/>
          <w:szCs w:val="24"/>
          <w:highlight w:val="none"/>
        </w:rPr>
        <w:t xml:space="preserve">项目编号：                                   </w:t>
      </w:r>
      <w:r>
        <w:rPr>
          <w:rFonts w:hint="eastAsia" w:ascii="宋体" w:hAnsi="宋体" w:cs="宋体"/>
          <w:b/>
          <w:color w:val="000000"/>
          <w:sz w:val="24"/>
          <w:highlight w:val="none"/>
        </w:rPr>
      </w:r>
      <w:r/>
    </w:p>
    <w:p>
      <w:pPr>
        <w:pStyle w:val="901"/>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32"/>
          <w:szCs w:val="32"/>
          <w:highlight w:val="none"/>
        </w:rPr>
        <w:t xml:space="preserve">响应分项报价表</w:t>
      </w:r>
      <w:r>
        <w:rPr>
          <w:rFonts w:hint="eastAsia" w:ascii="宋体" w:hAnsi="宋体" w:cs="宋体"/>
          <w:b/>
          <w:bCs/>
          <w:color w:val="000000"/>
          <w:sz w:val="32"/>
          <w:szCs w:val="32"/>
          <w:highlight w:val="none"/>
        </w:rPr>
      </w:r>
      <w:r/>
    </w:p>
    <w:p>
      <w:pPr>
        <w:pStyle w:val="901"/>
        <w:ind w:firstLine="422"/>
        <w:spacing w:line="360" w:lineRule="auto"/>
        <w:rPr>
          <w:rFonts w:ascii="宋体" w:hAnsi="宋体"/>
          <w:color w:val="000000"/>
          <w:szCs w:val="21"/>
          <w:highlight w:val="none"/>
        </w:rPr>
      </w:pPr>
      <w:r>
        <w:rPr>
          <w:rFonts w:hint="eastAsia" w:ascii="宋体" w:hAnsi="宋体"/>
          <w:b/>
          <w:bCs/>
          <w:color w:val="000000"/>
          <w:szCs w:val="21"/>
          <w:highlight w:val="none"/>
        </w:rPr>
        <w:t xml:space="preserve">1、供应商在报价时应按《建设工程工程量清单计价规范》（GB50500-</w:t>
      </w:r>
      <w:r>
        <w:rPr>
          <w:rFonts w:hint="eastAsia" w:ascii="宋体" w:hAnsi="宋体"/>
          <w:b/>
          <w:bCs/>
          <w:color w:val="000000"/>
          <w:szCs w:val="21"/>
          <w:highlight w:val="none"/>
          <w:lang w:val="en-US" w:eastAsia="zh-CN"/>
        </w:rPr>
        <w:t xml:space="preserve">2024</w:t>
      </w:r>
      <w:r>
        <w:rPr>
          <w:rFonts w:hint="eastAsia" w:ascii="宋体" w:hAnsi="宋体"/>
          <w:b/>
          <w:bCs/>
          <w:color w:val="000000"/>
          <w:szCs w:val="21"/>
          <w:highlight w:val="none"/>
        </w:rPr>
        <w:t xml:space="preserve">）和采购文件规定的格式。分项报价表按照附件提供的工程量清单的格式进行填报，分别填报单价和合价，</w:t>
      </w:r>
      <w:r>
        <w:rPr>
          <w:rFonts w:hint="eastAsia" w:ascii="宋体" w:hAnsi="宋体"/>
          <w:b/>
          <w:bCs/>
          <w:color w:val="000000"/>
          <w:szCs w:val="21"/>
          <w:highlight w:val="none"/>
        </w:rPr>
        <w:t xml:space="preserve">要求填报完整</w:t>
      </w:r>
      <w:r>
        <w:rPr>
          <w:rFonts w:hint="eastAsia" w:ascii="宋体" w:hAnsi="宋体"/>
          <w:b/>
          <w:bCs/>
          <w:color w:val="000000"/>
          <w:szCs w:val="21"/>
          <w:highlight w:val="none"/>
          <w:lang w:eastAsia="zh-CN"/>
        </w:rPr>
        <w:t xml:space="preserve">。</w:t>
      </w:r>
      <w:r>
        <w:rPr>
          <w:rFonts w:hint="eastAsia" w:ascii="宋体" w:hAnsi="宋体"/>
          <w:b/>
          <w:bCs/>
          <w:color w:val="000000"/>
          <w:szCs w:val="21"/>
          <w:highlight w:val="none"/>
        </w:rPr>
        <w:t xml:space="preserve"> 不得改变工程量清单。</w:t>
      </w:r>
      <w:r>
        <w:rPr>
          <w:rFonts w:hint="eastAsia" w:ascii="宋体" w:hAnsi="宋体"/>
          <w:b/>
          <w:bCs/>
          <w:color w:val="000000"/>
          <w:szCs w:val="21"/>
          <w:highlight w:val="none"/>
          <w:lang w:val="en-US" w:eastAsia="zh-CN"/>
        </w:rPr>
        <w:t xml:space="preserve">否则作无效响应。</w:t>
      </w:r>
      <w:r>
        <w:rPr>
          <w:rFonts w:hint="eastAsia" w:ascii="宋体" w:hAnsi="宋体"/>
          <w:color w:val="000000"/>
          <w:szCs w:val="21"/>
          <w:highlight w:val="none"/>
        </w:rPr>
        <w:t xml:space="preserve">           </w:t>
      </w:r>
      <w:r>
        <w:rPr>
          <w:rFonts w:ascii="宋体" w:hAnsi="宋体"/>
          <w:color w:val="000000"/>
          <w:szCs w:val="21"/>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keepLines w:val="0"/>
        <w:keepNext w:val="0"/>
        <w:pageBreakBefore/>
        <w:widowControl w:val="off"/>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t xml:space="preserve">附件3 </w:t>
      </w:r>
      <w:r>
        <w:rPr>
          <w:rFonts w:hint="eastAsia" w:ascii="宋体" w:hAnsi="宋体" w:cs="宋体"/>
          <w:b/>
          <w:color w:val="000000"/>
          <w:sz w:val="24"/>
          <w:highlight w:val="none"/>
        </w:rPr>
      </w:r>
      <w:r/>
    </w:p>
    <w:p>
      <w:pPr>
        <w:pStyle w:val="901"/>
        <w:jc w:val="center"/>
        <w:rPr>
          <w:rFonts w:hint="eastAsia" w:ascii="宋体" w:hAnsi="宋体" w:cs="宋体"/>
          <w:b/>
          <w:bCs/>
          <w:color w:val="000000"/>
          <w:sz w:val="24"/>
          <w:szCs w:val="24"/>
          <w:highlight w:val="none"/>
        </w:rPr>
      </w:pPr>
      <w:r>
        <w:rPr>
          <w:rFonts w:hint="eastAsia" w:ascii="宋体" w:hAnsi="宋体" w:cs="宋体"/>
          <w:b/>
          <w:color w:val="000000"/>
          <w:sz w:val="24"/>
          <w:highlight w:val="none"/>
        </w:rPr>
        <w:t xml:space="preserve">技术要求响应及偏离表</w:t>
      </w:r>
      <w:r>
        <w:rPr>
          <w:rFonts w:hint="eastAsia" w:ascii="宋体" w:hAnsi="宋体" w:cs="宋体"/>
          <w:b/>
          <w:bCs/>
          <w:color w:val="000000"/>
          <w:sz w:val="24"/>
          <w:szCs w:val="24"/>
          <w:highlight w:val="none"/>
        </w:rPr>
      </w:r>
      <w:r/>
    </w:p>
    <w:p>
      <w:pPr>
        <w:pStyle w:val="901"/>
        <w:rPr>
          <w:rFonts w:hint="eastAsia" w:ascii="宋体" w:hAnsi="宋体" w:cs="宋体"/>
          <w:color w:val="000000"/>
          <w:highlight w:val="none"/>
        </w:rPr>
      </w:pPr>
      <w:r>
        <w:rPr>
          <w:rFonts w:hint="eastAsia" w:ascii="宋体" w:hAnsi="宋体" w:cs="宋体"/>
          <w:color w:val="000000"/>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901"/>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序号</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技术要求</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投标响应情况</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超出、符合或偏离</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85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bl>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附件3-1  证明材料1，证明材料2，……</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1.供应商需对技术要求（未加斜体下划线的非实质性要求）逐条做出明确响应。</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2.如果招标文件要求提供证明材料，供应商需将证明材料列于该表之下。</w:t>
      </w:r>
      <w:r>
        <w:rPr>
          <w:rFonts w:hint="eastAsia" w:ascii="宋体" w:hAnsi="宋体" w:cs="宋体"/>
          <w:color w:val="000000"/>
          <w:highlight w:val="none"/>
        </w:rPr>
      </w:r>
      <w:r/>
    </w:p>
    <w:p>
      <w:pPr>
        <w:pStyle w:val="90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t xml:space="preserve">附件4</w:t>
      </w:r>
      <w:r>
        <w:rPr>
          <w:rFonts w:hint="eastAsia" w:ascii="宋体" w:hAnsi="宋体" w:cs="宋体"/>
          <w:b/>
          <w:color w:val="000000"/>
          <w:sz w:val="24"/>
          <w:highlight w:val="none"/>
        </w:rPr>
      </w:r>
      <w:r/>
    </w:p>
    <w:p>
      <w:pPr>
        <w:pStyle w:val="901"/>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商务要求响应及偏离表</w:t>
      </w: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rPr>
          <w:rFonts w:hint="eastAsia" w:ascii="宋体" w:hAnsi="宋体" w:cs="宋体"/>
          <w:b/>
          <w:color w:val="000000"/>
          <w:sz w:val="24"/>
          <w:highlight w:val="none"/>
        </w:rPr>
      </w:pPr>
      <w:r>
        <w:rPr>
          <w:rFonts w:hint="eastAsia" w:ascii="宋体" w:hAnsi="宋体" w:cs="宋体"/>
          <w:b/>
          <w:color w:val="000000"/>
          <w:sz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供应商全称（</w:t>
      </w:r>
      <w:r>
        <w:rPr>
          <w:rFonts w:hint="eastAsia" w:ascii="宋体" w:hAnsi="宋体" w:cs="宋体"/>
          <w:color w:val="000000"/>
          <w:sz w:val="24"/>
          <w:szCs w:val="24"/>
          <w:highlight w:val="none"/>
          <w:lang w:eastAsia="zh-CN"/>
        </w:rPr>
        <w:t xml:space="preserve">加盖CA电子签章</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项目编号：                                   </w:t>
      </w:r>
      <w:r>
        <w:rPr>
          <w:rFonts w:hint="eastAsia" w:ascii="宋体" w:hAnsi="宋体" w:cs="宋体"/>
          <w:color w:val="000000"/>
          <w:sz w:val="24"/>
          <w:szCs w:val="24"/>
          <w:highlight w:val="none"/>
        </w:rPr>
      </w:r>
      <w:r/>
    </w:p>
    <w:p>
      <w:pPr>
        <w:pStyle w:val="901"/>
        <w:rPr>
          <w:rFonts w:hint="eastAsia" w:ascii="宋体" w:hAnsi="宋体" w:cs="宋体"/>
          <w:color w:val="000000"/>
          <w:highlight w:val="none"/>
        </w:rPr>
      </w:pPr>
      <w:r>
        <w:rPr>
          <w:rFonts w:hint="eastAsia" w:ascii="宋体" w:hAnsi="宋体" w:cs="宋体"/>
          <w:color w:val="000000"/>
          <w:highlight w:val="none"/>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序号</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商务要求</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投标响应情况</w:t>
            </w:r>
            <w:r>
              <w:rPr>
                <w:rFonts w:hint="eastAsia" w:ascii="宋体" w:hAnsi="宋体" w:cs="宋体"/>
                <w:color w:val="000000"/>
                <w:highlight w:val="none"/>
              </w:rPr>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超出、符合或偏离</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W w:w="456"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44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1343"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c>
          <w:tcPr>
            <w:tcBorders>
              <w:top w:val="none" w:color="000000" w:sz="4" w:space="0"/>
              <w:left w:val="none" w:color="000000" w:sz="4" w:space="0"/>
              <w:bottom w:val="single" w:color="000000" w:sz="8" w:space="0"/>
              <w:right w:val="single" w:color="000000" w:sz="8" w:space="0"/>
            </w:tcBorders>
            <w:tcW w:w="4995" w:type="dxa"/>
            <w:vAlign w:val="top"/>
            <w:textDirection w:val="lrTb"/>
            <w:noWrap w:val="false"/>
          </w:tcPr>
          <w:p>
            <w:pPr>
              <w:pStyle w:val="901"/>
              <w:jc w:val="center"/>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tc>
      </w:tr>
    </w:tbl>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附件4-1  证明材料1，证明材料2，……</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1.供应商需对商务要求（未加斜体下划线的非实质性要求）逐条做出明确响应。</w:t>
      </w:r>
      <w:r>
        <w:rPr>
          <w:rFonts w:hint="eastAsia" w:ascii="宋体" w:hAnsi="宋体" w:cs="宋体"/>
          <w:color w:val="000000"/>
          <w:highlight w:val="none"/>
        </w:rPr>
      </w:r>
      <w:r/>
    </w:p>
    <w:p>
      <w:pPr>
        <w:pStyle w:val="901"/>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2.如果招标文件要求提供证明材料，供应商需将证明材料列于该表之下。</w:t>
      </w:r>
      <w:r>
        <w:rPr>
          <w:rFonts w:hint="eastAsia" w:ascii="宋体" w:hAnsi="宋体" w:cs="宋体"/>
          <w:color w:val="000000"/>
          <w:highlight w:val="none"/>
        </w:rPr>
      </w:r>
      <w:r/>
    </w:p>
    <w:p>
      <w:pPr>
        <w:pStyle w:val="90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highlight w:val="none"/>
        </w:rPr>
      </w:r>
      <w:r/>
    </w:p>
    <w:p>
      <w:pPr>
        <w:pStyle w:val="901"/>
        <w:spacing w:line="460" w:lineRule="atLeast"/>
        <w:rPr>
          <w:rFonts w:hint="eastAsia" w:ascii="宋体" w:hAnsi="宋体" w:cs="宋体"/>
          <w:b/>
          <w:color w:val="000000"/>
          <w:sz w:val="24"/>
          <w:highlight w:val="none"/>
        </w:rPr>
      </w:pPr>
      <w:r>
        <w:rPr>
          <w:rFonts w:hint="eastAsia" w:ascii="宋体" w:hAnsi="宋体" w:cs="宋体"/>
          <w:b/>
          <w:color w:val="000000"/>
          <w:sz w:val="24"/>
          <w:highlight w:val="none"/>
        </w:rPr>
        <w:t xml:space="preserve">附件5</w:t>
      </w:r>
      <w:r>
        <w:rPr>
          <w:rFonts w:hint="eastAsia" w:ascii="宋体" w:hAnsi="宋体" w:cs="宋体"/>
          <w:b/>
          <w:color w:val="000000"/>
          <w:sz w:val="24"/>
          <w:highlight w:val="none"/>
        </w:rPr>
      </w:r>
      <w:r/>
    </w:p>
    <w:p>
      <w:pPr>
        <w:pStyle w:val="901"/>
        <w:jc w:val="center"/>
        <w:spacing w:line="460" w:lineRule="atLeast"/>
        <w:rPr>
          <w:color w:val="000000"/>
          <w:highlight w:val="none"/>
        </w:rPr>
      </w:pPr>
      <w:r>
        <w:rPr>
          <w:rFonts w:hint="eastAsia" w:ascii="宋体" w:hAnsi="宋体" w:cs="宋体"/>
          <w:b/>
          <w:color w:val="000000"/>
          <w:sz w:val="24"/>
          <w:highlight w:val="none"/>
        </w:rPr>
        <w:t xml:space="preserve">法人授权书</w:t>
      </w:r>
      <w:r>
        <w:rPr>
          <w:color w:val="000000"/>
          <w:highlight w:val="none"/>
        </w:rPr>
      </w:r>
      <w:r/>
    </w:p>
    <w:p>
      <w:pPr>
        <w:pStyle w:val="1051"/>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pStyle w:val="1051"/>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本授权书声明：________________（供应商名称）授权________________（被授权人的姓名）为我方就</w:t>
      </w:r>
      <w:r>
        <w:rPr>
          <w:rFonts w:hint="eastAsia" w:ascii="宋体" w:hAnsi="宋体" w:cs="宋体"/>
          <w:color w:val="000000"/>
          <w:sz w:val="21"/>
          <w:szCs w:val="21"/>
          <w:highlight w:val="none"/>
          <w:u w:val="single"/>
        </w:rPr>
        <w:t xml:space="preserve">          号                       </w:t>
      </w:r>
      <w:r>
        <w:rPr>
          <w:rFonts w:hint="eastAsia" w:ascii="宋体" w:hAnsi="宋体" w:cs="宋体"/>
          <w:color w:val="000000"/>
          <w:sz w:val="21"/>
          <w:szCs w:val="21"/>
          <w:highlight w:val="none"/>
        </w:rPr>
        <w:t xml:space="preserve">项目采购活动的合法代理人，以本公司名义全权处理一切与该项目采购有关的事务。</w:t>
      </w:r>
      <w:r>
        <w:rPr>
          <w:rFonts w:hint="eastAsia" w:ascii="宋体" w:hAnsi="宋体" w:cs="宋体"/>
          <w:color w:val="000000"/>
          <w:sz w:val="21"/>
          <w:szCs w:val="21"/>
          <w:highlight w:val="none"/>
        </w:rPr>
      </w:r>
      <w:r/>
    </w:p>
    <w:p>
      <w:pPr>
        <w:pStyle w:val="1051"/>
        <w:ind w:firstLine="42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本授权书于______年____月____日起生效，特此声明。</w:t>
      </w:r>
      <w:r>
        <w:rPr>
          <w:rFonts w:hint="eastAsia" w:ascii="宋体" w:hAnsi="宋体" w:cs="宋体"/>
          <w:color w:val="000000"/>
          <w:sz w:val="21"/>
          <w:szCs w:val="21"/>
          <w:highlight w:val="none"/>
        </w:rPr>
      </w:r>
      <w:r/>
    </w:p>
    <w:p>
      <w:pPr>
        <w:pStyle w:val="1051"/>
        <w:ind w:firstLine="0"/>
        <w:spacing w:line="360" w:lineRule="auto"/>
        <w:tabs>
          <w:tab w:val="left" w:pos="360" w:leader="none"/>
        </w:tabs>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rPr>
          <w:rFonts w:hint="eastAsia" w:ascii="宋体" w:hAnsi="宋体" w:cs="宋体"/>
          <w:color w:val="000000"/>
          <w:sz w:val="21"/>
          <w:szCs w:val="21"/>
          <w:highlight w:val="none"/>
        </w:rPr>
      </w:r>
      <w:r/>
    </w:p>
    <w:p>
      <w:pPr>
        <w:pStyle w:val="901"/>
        <w:ind w:left="0" w:firstLine="42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被授权人身份证号码：</w:t>
      </w:r>
      <w:r>
        <w:rPr>
          <w:rFonts w:hint="eastAsia"/>
          <w:color w:val="000000"/>
          <w:sz w:val="24"/>
          <w:szCs w:val="24"/>
          <w:highlight w:val="none"/>
          <w:u w:val="single"/>
        </w:rPr>
        <w:t xml:space="preserve">                           </w:t>
      </w:r>
      <w:r>
        <w:rPr>
          <w:color w:val="000000"/>
          <w:sz w:val="24"/>
          <w:szCs w:val="24"/>
          <w:highlight w:val="none"/>
          <w:u w:val="single"/>
        </w:rPr>
      </w:r>
      <w:r/>
    </w:p>
    <w:p>
      <w:pPr>
        <w:pStyle w:val="901"/>
        <w:ind w:left="0" w:firstLine="420"/>
        <w:spacing w:line="400" w:lineRule="exact"/>
        <w:tabs>
          <w:tab w:val="left" w:pos="360" w:leader="none"/>
        </w:tabs>
        <w:rPr>
          <w:color w:val="000000"/>
          <w:sz w:val="24"/>
          <w:szCs w:val="24"/>
          <w:highlight w:val="none"/>
          <w:u w:val="single"/>
        </w:rPr>
      </w:pPr>
      <w:r>
        <w:rPr>
          <w:rFonts w:hint="eastAsia"/>
          <w:color w:val="000000"/>
          <w:sz w:val="24"/>
          <w:szCs w:val="24"/>
          <w:highlight w:val="none"/>
        </w:rPr>
        <w:t xml:space="preserve">被授权人联系电话：（手机）</w:t>
      </w:r>
      <w:r>
        <w:rPr>
          <w:rFonts w:hint="eastAsia"/>
          <w:color w:val="000000"/>
          <w:sz w:val="24"/>
          <w:szCs w:val="24"/>
          <w:highlight w:val="none"/>
          <w:u w:val="single"/>
        </w:rPr>
        <w:t xml:space="preserve">                     </w:t>
      </w:r>
      <w:r>
        <w:rPr>
          <w:color w:val="000000"/>
          <w:sz w:val="24"/>
          <w:szCs w:val="24"/>
          <w:highlight w:val="none"/>
          <w:u w:val="single"/>
        </w:rPr>
      </w:r>
      <w:r/>
    </w:p>
    <w:p>
      <w:pPr>
        <w:pStyle w:val="901"/>
        <w:ind w:left="0" w:firstLine="420"/>
        <w:spacing w:line="400" w:lineRule="exact"/>
        <w:tabs>
          <w:tab w:val="left" w:pos="360" w:leader="none"/>
        </w:tabs>
        <w:rPr>
          <w:rFonts w:eastAsia="宋体"/>
          <w:color w:val="000000"/>
          <w:sz w:val="24"/>
          <w:szCs w:val="24"/>
          <w:highlight w:val="none"/>
          <w:u w:val="single"/>
          <w:lang w:val="en-US" w:eastAsia="zh-CN"/>
        </w:rPr>
      </w:pPr>
      <w:r>
        <w:rPr>
          <w:rFonts w:hint="eastAsia"/>
          <w:color w:val="000000"/>
          <w:sz w:val="24"/>
          <w:szCs w:val="24"/>
          <w:highlight w:val="none"/>
        </w:rPr>
        <w:t xml:space="preserve">被授权人电子邮箱：</w:t>
      </w:r>
      <w:r>
        <w:rPr>
          <w:rFonts w:hint="eastAsia"/>
          <w:color w:val="000000"/>
          <w:sz w:val="24"/>
          <w:szCs w:val="24"/>
          <w:highlight w:val="none"/>
          <w:u w:val="single"/>
        </w:rPr>
        <w:t xml:space="preserve">                </w:t>
      </w:r>
      <w:r>
        <w:rPr>
          <w:rFonts w:hint="eastAsia"/>
          <w:color w:val="000000"/>
          <w:sz w:val="24"/>
          <w:szCs w:val="24"/>
          <w:highlight w:val="none"/>
          <w:u w:val="single"/>
          <w:lang w:val="en-US" w:eastAsia="zh-CN"/>
        </w:rPr>
        <w:t xml:space="preserve">             </w:t>
      </w:r>
      <w:r>
        <w:rPr>
          <w:rFonts w:eastAsia="宋体"/>
          <w:color w:val="000000"/>
          <w:sz w:val="24"/>
          <w:szCs w:val="24"/>
          <w:highlight w:val="none"/>
          <w:u w:val="single"/>
          <w:lang w:val="en-US" w:eastAsia="zh-CN"/>
        </w:rPr>
      </w:r>
      <w:r/>
    </w:p>
    <w:p>
      <w:pPr>
        <w:pStyle w:val="901"/>
        <w:ind w:left="0" w:firstLine="420"/>
        <w:spacing w:line="40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u w:val="single"/>
          <w:lang w:val="en-US" w:eastAsia="zh-CN"/>
        </w:rPr>
        <w:t xml:space="preserve">              </w:t>
      </w:r>
      <w:r>
        <w:rPr>
          <w:rFonts w:eastAsia="宋体"/>
          <w:color w:val="000000"/>
          <w:sz w:val="24"/>
          <w:szCs w:val="24"/>
          <w:highlight w:val="none"/>
          <w:lang w:val="en-US" w:eastAsia="zh-CN"/>
        </w:rPr>
      </w:r>
      <w:r/>
    </w:p>
    <w:p>
      <w:pPr>
        <w:pStyle w:val="901"/>
        <w:ind w:left="0" w:firstLine="420"/>
        <w:spacing w:line="40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901"/>
        <w:ind w:left="0" w:firstLine="420"/>
        <w:spacing w:line="400" w:lineRule="exact"/>
        <w:tabs>
          <w:tab w:val="left" w:pos="360" w:leader="none"/>
        </w:tabs>
        <w:rPr>
          <w:color w:val="000000"/>
          <w:sz w:val="24"/>
          <w:szCs w:val="24"/>
          <w:highlight w:val="none"/>
        </w:rPr>
      </w:pPr>
      <w:r>
        <w:rPr>
          <w:rFonts w:hint="eastAsia"/>
          <w:color w:val="000000"/>
          <w:sz w:val="24"/>
          <w:szCs w:val="24"/>
          <w:highlight w:val="none"/>
        </w:rPr>
        <w:t xml:space="preserve">日期：</w:t>
      </w:r>
      <w:r>
        <w:rPr>
          <w:rFonts w:hint="eastAsia"/>
          <w:color w:val="000000"/>
          <w:sz w:val="24"/>
          <w:szCs w:val="24"/>
          <w:highlight w:val="none"/>
          <w:u w:val="single"/>
        </w:rPr>
        <w:t xml:space="preserve">                                         </w:t>
      </w:r>
      <w:r>
        <w:rPr>
          <w:color w:val="000000"/>
          <w:sz w:val="24"/>
          <w:szCs w:val="24"/>
          <w:highlight w:val="none"/>
        </w:rPr>
      </w:r>
      <w:r/>
    </w:p>
    <w:p>
      <w:pPr>
        <w:pStyle w:val="901"/>
        <w:spacing w:line="460" w:lineRule="exact"/>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901"/>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901"/>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附件6 </w:t>
      </w:r>
      <w:r>
        <w:rPr>
          <w:rFonts w:hint="eastAsia" w:ascii="宋体" w:hAnsi="宋体" w:cs="宋体"/>
          <w:b/>
          <w:color w:val="000000"/>
          <w:sz w:val="24"/>
          <w:highlight w:val="none"/>
        </w:rPr>
      </w:r>
      <w:r/>
    </w:p>
    <w:p>
      <w:pPr>
        <w:pStyle w:val="901"/>
        <w:jc w:val="center"/>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投标函</w:t>
      </w:r>
      <w:r>
        <w:rPr>
          <w:rFonts w:hint="eastAsia" w:ascii="宋体" w:hAnsi="宋体" w:cs="宋体"/>
          <w:b/>
          <w:color w:val="000000"/>
          <w:sz w:val="24"/>
          <w:highlight w:val="none"/>
        </w:rPr>
      </w:r>
      <w:r/>
    </w:p>
    <w:p>
      <w:pPr>
        <w:pStyle w:val="1103"/>
        <w:ind w:firstLine="0"/>
        <w:spacing w:before="0" w:after="0"/>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rPr>
        <w:t xml:space="preserve">致：</w:t>
      </w:r>
      <w:r>
        <w:rPr>
          <w:rFonts w:hint="eastAsia" w:ascii="宋体" w:hAnsi="宋体" w:cs="宋体"/>
          <w:color w:val="000000"/>
          <w:sz w:val="21"/>
          <w:szCs w:val="21"/>
          <w:highlight w:val="none"/>
          <w:lang w:eastAsia="zh-CN"/>
        </w:rPr>
        <w:t xml:space="preserve">江苏远锐工程管理咨询有限公司</w:t>
      </w:r>
      <w:r>
        <w:rPr>
          <w:rFonts w:hint="eastAsia" w:ascii="宋体" w:hAnsi="宋体" w:eastAsia="宋体" w:cs="宋体"/>
          <w:color w:val="000000"/>
          <w:sz w:val="21"/>
          <w:szCs w:val="21"/>
          <w:highlight w:val="none"/>
          <w:lang w:eastAsia="zh-CN"/>
        </w:rPr>
      </w:r>
      <w:r/>
    </w:p>
    <w:p>
      <w:pPr>
        <w:pStyle w:val="110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根据贵方的</w:t>
      </w:r>
      <w:r>
        <w:rPr>
          <w:rFonts w:hint="eastAsia" w:ascii="宋体" w:hAnsi="宋体" w:cs="宋体"/>
          <w:color w:val="000000"/>
          <w:sz w:val="21"/>
          <w:szCs w:val="21"/>
          <w:highlight w:val="none"/>
          <w:u w:val="single"/>
        </w:rPr>
        <w:t xml:space="preserve">               </w:t>
      </w:r>
      <w:r>
        <w:rPr>
          <w:rFonts w:hint="eastAsia" w:ascii="宋体" w:hAnsi="宋体" w:cs="宋体"/>
          <w:color w:val="000000"/>
          <w:sz w:val="21"/>
          <w:szCs w:val="21"/>
          <w:highlight w:val="none"/>
        </w:rPr>
        <w:t xml:space="preserve">号招标文件，正式授权下述签字人______________（姓名）代表我方______________（供应商的名称），全权处理本次项目投标的有关事宜。</w:t>
      </w:r>
      <w:r>
        <w:rPr>
          <w:rFonts w:hint="eastAsia" w:ascii="宋体" w:hAnsi="宋体" w:cs="宋体"/>
          <w:color w:val="000000"/>
          <w:sz w:val="21"/>
          <w:szCs w:val="21"/>
          <w:highlight w:val="none"/>
        </w:rPr>
      </w:r>
      <w:r/>
    </w:p>
    <w:p>
      <w:pPr>
        <w:pStyle w:val="110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据此函，__________签字人兹宣布同意如下：</w:t>
      </w:r>
      <w:r>
        <w:rPr>
          <w:rFonts w:hint="eastAsia" w:ascii="宋体" w:hAnsi="宋体" w:cs="宋体"/>
          <w:color w:val="000000"/>
          <w:sz w:val="21"/>
          <w:szCs w:val="21"/>
          <w:highlight w:val="none"/>
        </w:rPr>
      </w:r>
      <w:r/>
    </w:p>
    <w:p>
      <w:pPr>
        <w:pStyle w:val="110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1.按照招标文件规定的各项要求，向买方提供所需工程施工。</w:t>
      </w:r>
      <w:r>
        <w:rPr>
          <w:rFonts w:hint="eastAsia" w:ascii="宋体" w:hAnsi="宋体" w:cs="宋体"/>
          <w:color w:val="000000"/>
          <w:sz w:val="21"/>
          <w:szCs w:val="21"/>
          <w:highlight w:val="none"/>
        </w:rPr>
      </w:r>
      <w:r/>
    </w:p>
    <w:p>
      <w:pPr>
        <w:pStyle w:val="1103"/>
        <w:ind w:firstLine="420"/>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2.我们已详细审核全部招标文件及其有效补充文件，我们知道必须放弃提出含糊不清或误解问题的权利。</w:t>
      </w:r>
      <w:r>
        <w:rPr>
          <w:rFonts w:hint="eastAsia" w:ascii="宋体" w:hAnsi="宋体" w:cs="宋体"/>
          <w:color w:val="000000"/>
          <w:sz w:val="21"/>
          <w:szCs w:val="21"/>
          <w:highlight w:val="none"/>
        </w:rPr>
      </w:r>
      <w:r/>
    </w:p>
    <w:p>
      <w:pPr>
        <w:pStyle w:val="1103"/>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3</w:t>
      </w:r>
      <w:r>
        <w:rPr>
          <w:rFonts w:hint="eastAsia" w:ascii="宋体" w:hAnsi="宋体" w:cs="宋体"/>
          <w:color w:val="000000"/>
          <w:sz w:val="21"/>
          <w:szCs w:val="21"/>
          <w:highlight w:val="none"/>
        </w:rPr>
        <w:t xml:space="preserve">.我们同意从规定的开标日期起遵循本投标文件，并在规定的投标有效期期满之前均具有约束力。</w:t>
      </w:r>
      <w:r>
        <w:rPr>
          <w:rFonts w:hint="eastAsia" w:ascii="宋体" w:hAnsi="宋体" w:cs="宋体"/>
          <w:color w:val="000000"/>
          <w:sz w:val="21"/>
          <w:szCs w:val="21"/>
          <w:highlight w:val="none"/>
        </w:rPr>
      </w:r>
      <w:r/>
    </w:p>
    <w:p>
      <w:pPr>
        <w:pStyle w:val="1103"/>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4</w:t>
      </w:r>
      <w:r>
        <w:rPr>
          <w:rFonts w:hint="eastAsia" w:ascii="宋体" w:hAnsi="宋体" w:cs="宋体"/>
          <w:color w:val="000000"/>
          <w:sz w:val="21"/>
          <w:szCs w:val="21"/>
          <w:highlight w:val="none"/>
        </w:rPr>
        <w:t xml:space="preserve">.如果在开标后规定的投标有效期内撤回投标或中标后拒绝签订合同，我们可被贵方追责。</w:t>
      </w:r>
      <w:r>
        <w:rPr>
          <w:rFonts w:hint="eastAsia" w:ascii="宋体" w:hAnsi="宋体" w:cs="宋体"/>
          <w:color w:val="000000"/>
          <w:sz w:val="21"/>
          <w:szCs w:val="21"/>
          <w:highlight w:val="none"/>
        </w:rPr>
      </w:r>
      <w:r/>
    </w:p>
    <w:p>
      <w:pPr>
        <w:pStyle w:val="1103"/>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5</w:t>
      </w:r>
      <w:r>
        <w:rPr>
          <w:rFonts w:hint="eastAsia" w:ascii="宋体" w:hAnsi="宋体" w:cs="宋体"/>
          <w:color w:val="000000"/>
          <w:sz w:val="21"/>
          <w:szCs w:val="21"/>
          <w:highlight w:val="none"/>
        </w:rPr>
        <w:t xml:space="preserve">.同意向贵方提供贵方可能另外要求的与投标有关的任何证据或资料，并保证我方已提供和将要提供的文件是真实的、准确的。</w:t>
      </w:r>
      <w:r>
        <w:rPr>
          <w:rFonts w:hint="eastAsia" w:ascii="宋体" w:hAnsi="宋体" w:cs="宋体"/>
          <w:color w:val="000000"/>
          <w:sz w:val="21"/>
          <w:szCs w:val="21"/>
          <w:highlight w:val="none"/>
        </w:rPr>
      </w:r>
      <w:r/>
    </w:p>
    <w:p>
      <w:pPr>
        <w:pStyle w:val="1103"/>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6</w:t>
      </w:r>
      <w:r>
        <w:rPr>
          <w:rFonts w:hint="eastAsia" w:ascii="宋体" w:hAnsi="宋体" w:cs="宋体"/>
          <w:color w:val="000000"/>
          <w:sz w:val="21"/>
          <w:szCs w:val="21"/>
          <w:highlight w:val="none"/>
        </w:rPr>
        <w:t xml:space="preserve">.一旦我方中标，我方将根据招标文件的规定，严格履行合同的责任和义务，并保证在招标文件规定的时间内完成项目，交付买方验收、使用。</w:t>
      </w:r>
      <w:r>
        <w:rPr>
          <w:rFonts w:hint="eastAsia" w:ascii="宋体" w:hAnsi="宋体" w:cs="宋体"/>
          <w:color w:val="000000"/>
          <w:sz w:val="21"/>
          <w:szCs w:val="21"/>
          <w:highlight w:val="none"/>
        </w:rPr>
      </w:r>
      <w:r/>
    </w:p>
    <w:p>
      <w:pPr>
        <w:pStyle w:val="1103"/>
        <w:ind w:left="425" w:firstLine="105"/>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7</w:t>
      </w:r>
      <w:r>
        <w:rPr>
          <w:rFonts w:hint="eastAsia" w:ascii="宋体" w:hAnsi="宋体" w:cs="宋体"/>
          <w:color w:val="000000"/>
          <w:sz w:val="21"/>
          <w:szCs w:val="21"/>
          <w:highlight w:val="none"/>
        </w:rPr>
        <w:t xml:space="preserve">.与本投标有关的正式通讯地址为：</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 址：</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邮 编：</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电 话： </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传 真： </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供应商开户行：</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账 户： </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行 号：</w:t>
      </w:r>
      <w:r>
        <w:rPr>
          <w:rFonts w:hint="eastAsia" w:ascii="宋体" w:hAnsi="宋体" w:cs="宋体"/>
          <w:color w:val="000000"/>
          <w:sz w:val="21"/>
          <w:szCs w:val="21"/>
          <w:highlight w:val="none"/>
        </w:rPr>
      </w:r>
      <w:r/>
    </w:p>
    <w:p>
      <w:pPr>
        <w:pStyle w:val="1103"/>
        <w:ind w:firstLine="478"/>
        <w:spacing w:before="0" w:after="0"/>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日 期：____年____月____日</w:t>
      </w:r>
      <w:r>
        <w:rPr>
          <w:rFonts w:hint="eastAsia" w:ascii="宋体" w:hAnsi="宋体" w:cs="宋体"/>
          <w:color w:val="000000"/>
          <w:sz w:val="21"/>
          <w:szCs w:val="21"/>
          <w:highlight w:val="none"/>
        </w:rPr>
      </w:r>
      <w:r/>
    </w:p>
    <w:p>
      <w:pPr>
        <w:pStyle w:val="901"/>
        <w:spacing w:line="450" w:lineRule="atLeast"/>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spacing w:line="450" w:lineRule="atLeast"/>
        <w:rPr>
          <w:rFonts w:hint="eastAsia" w:ascii="宋体" w:hAnsi="宋体" w:cs="宋体"/>
          <w:b/>
          <w:color w:val="000000"/>
          <w:sz w:val="24"/>
          <w:highlight w:val="none"/>
        </w:rPr>
      </w:pPr>
      <w:r>
        <w:rPr>
          <w:rFonts w:hint="eastAsia" w:ascii="宋体" w:hAnsi="宋体" w:cs="宋体"/>
          <w:b/>
          <w:color w:val="000000"/>
          <w:sz w:val="24"/>
          <w:highlight w:val="none"/>
        </w:rPr>
        <w:t xml:space="preserve">附件7 </w:t>
      </w:r>
      <w:r>
        <w:rPr>
          <w:rFonts w:hint="eastAsia" w:ascii="宋体" w:hAnsi="宋体" w:cs="宋体"/>
          <w:b/>
          <w:color w:val="000000"/>
          <w:sz w:val="24"/>
          <w:highlight w:val="none"/>
        </w:rPr>
      </w:r>
      <w:r/>
    </w:p>
    <w:p>
      <w:pPr>
        <w:pStyle w:val="901"/>
        <w:jc w:val="center"/>
        <w:spacing w:line="450" w:lineRule="atLeast"/>
        <w:rPr>
          <w:rFonts w:hint="eastAsia" w:ascii="宋体" w:hAnsi="宋体" w:cs="宋体"/>
          <w:color w:val="000000"/>
          <w:highlight w:val="none"/>
        </w:rPr>
      </w:pPr>
      <w:r>
        <w:rPr>
          <w:rFonts w:hint="eastAsia" w:ascii="宋体" w:hAnsi="宋体" w:cs="宋体"/>
          <w:b/>
          <w:color w:val="000000"/>
          <w:sz w:val="24"/>
          <w:highlight w:val="none"/>
        </w:rPr>
        <w:t xml:space="preserve">主要标的信息（中标后将公示）</w:t>
      </w:r>
      <w:r>
        <w:rPr>
          <w:rFonts w:hint="eastAsia" w:ascii="宋体" w:hAnsi="宋体" w:cs="宋体"/>
          <w:color w:val="000000"/>
          <w:highlight w:val="none"/>
        </w:rPr>
      </w:r>
      <w:r/>
    </w:p>
    <w:p>
      <w:pPr>
        <w:pStyle w:val="901"/>
        <w:spacing w:after="312"/>
        <w:rPr>
          <w:rFonts w:hint="eastAsia" w:ascii="宋体" w:hAnsi="宋体" w:cs="宋体"/>
          <w:color w:val="000000"/>
          <w:sz w:val="24"/>
          <w:highlight w:val="none"/>
        </w:rPr>
      </w:pPr>
      <w:r>
        <w:rPr>
          <w:rFonts w:hint="eastAsia" w:ascii="宋体" w:hAnsi="宋体" w:cs="宋体"/>
          <w:color w:val="000000"/>
          <w:sz w:val="24"/>
          <w:highlight w:val="none"/>
        </w:rPr>
      </w:r>
      <w:r/>
    </w:p>
    <w:p>
      <w:pPr>
        <w:pStyle w:val="901"/>
        <w:spacing w:after="312"/>
        <w:rPr>
          <w:rFonts w:hint="eastAsia" w:ascii="宋体" w:hAnsi="宋体" w:cs="宋体"/>
          <w:color w:val="000000"/>
          <w:highlight w:val="none"/>
        </w:rPr>
      </w:pPr>
      <w:r>
        <w:rPr>
          <w:rFonts w:hint="eastAsia" w:ascii="宋体" w:hAnsi="宋体" w:cs="宋体"/>
          <w:color w:val="000000"/>
          <w:sz w:val="24"/>
          <w:highlight w:val="none"/>
        </w:rPr>
        <w:t xml:space="preserve">供应商全称：</w:t>
      </w:r>
      <w:r>
        <w:rPr>
          <w:rFonts w:hint="eastAsia" w:ascii="宋体" w:hAnsi="宋体" w:cs="宋体"/>
          <w:color w:val="000000"/>
          <w:highlight w:val="none"/>
        </w:rPr>
      </w:r>
      <w:r/>
    </w:p>
    <w:tbl>
      <w:tblPr>
        <w:tblW w:w="85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0"/>
      </w:tblGrid>
      <w:tr>
        <w:trPr>
          <w:trHeight w:val="422"/>
        </w:trPr>
        <w:tc>
          <w:tcPr>
            <w:tcW w:w="8500" w:type="dxa"/>
            <w:vAlign w:val="top"/>
            <w:textDirection w:val="lrTb"/>
            <w:noWrap w:val="false"/>
          </w:tcPr>
          <w:p>
            <w:pPr>
              <w:pStyle w:val="901"/>
              <w:jc w:val="center"/>
              <w:spacing w:line="360" w:lineRule="auto"/>
              <w:rPr>
                <w:rFonts w:ascii="宋体" w:hAnsi="宋体" w:cs="宋体"/>
                <w:color w:val="000000"/>
                <w:highlight w:val="none"/>
              </w:rPr>
            </w:pPr>
            <w:r>
              <w:rPr>
                <w:rFonts w:hint="eastAsia" w:ascii="宋体" w:hAnsi="宋体" w:cs="宋体"/>
                <w:color w:val="000000"/>
                <w:highlight w:val="none"/>
              </w:rPr>
              <w:t xml:space="preserve">工程类</w:t>
            </w:r>
            <w:r>
              <w:rPr>
                <w:rFonts w:ascii="宋体" w:hAnsi="宋体" w:cs="宋体"/>
                <w:color w:val="000000"/>
                <w:highlight w:val="none"/>
              </w:rPr>
            </w:r>
            <w:r/>
          </w:p>
        </w:tc>
      </w:tr>
      <w:tr>
        <w:trPr>
          <w:trHeight w:val="3870"/>
        </w:trPr>
        <w:tc>
          <w:tcPr>
            <w:tcW w:w="8500" w:type="dxa"/>
            <w:vAlign w:val="top"/>
            <w:textDirection w:val="lrTb"/>
            <w:noWrap w:val="false"/>
          </w:tcPr>
          <w:p>
            <w:pPr>
              <w:pStyle w:val="901"/>
              <w:spacing w:line="360" w:lineRule="auto"/>
              <w:rPr>
                <w:rFonts w:ascii="宋体" w:hAnsi="宋体" w:cs="宋体"/>
                <w:color w:val="000000"/>
                <w:highlight w:val="none"/>
              </w:rPr>
            </w:pPr>
            <w:r>
              <w:rPr>
                <w:rFonts w:hint="eastAsia" w:ascii="宋体" w:hAnsi="宋体" w:cs="宋体"/>
                <w:color w:val="000000"/>
                <w:highlight w:val="none"/>
              </w:rPr>
              <w:t xml:space="preserve">名称：</w:t>
            </w:r>
            <w:r>
              <w:rPr>
                <w:rFonts w:ascii="宋体" w:hAnsi="宋体" w:cs="宋体"/>
                <w:color w:val="000000"/>
                <w:highlight w:val="none"/>
              </w:rPr>
            </w:r>
            <w:r/>
          </w:p>
          <w:p>
            <w:pPr>
              <w:pStyle w:val="901"/>
              <w:spacing w:line="360" w:lineRule="auto"/>
              <w:rPr>
                <w:rFonts w:ascii="宋体" w:hAnsi="宋体" w:cs="宋体"/>
                <w:color w:val="000000"/>
                <w:highlight w:val="none"/>
              </w:rPr>
            </w:pPr>
            <w:r>
              <w:rPr>
                <w:rFonts w:hint="eastAsia" w:ascii="宋体" w:hAnsi="宋体" w:cs="宋体"/>
                <w:color w:val="000000"/>
                <w:highlight w:val="none"/>
              </w:rPr>
              <w:t xml:space="preserve">施工范围：</w:t>
            </w:r>
            <w:r>
              <w:rPr>
                <w:rFonts w:ascii="宋体" w:hAnsi="宋体" w:cs="宋体"/>
                <w:color w:val="000000"/>
                <w:highlight w:val="none"/>
              </w:rPr>
            </w:r>
            <w:r/>
          </w:p>
          <w:p>
            <w:pPr>
              <w:pStyle w:val="901"/>
              <w:spacing w:line="360" w:lineRule="auto"/>
              <w:rPr>
                <w:rFonts w:ascii="宋体" w:hAnsi="宋体" w:cs="宋体"/>
                <w:color w:val="000000"/>
                <w:highlight w:val="none"/>
              </w:rPr>
            </w:pPr>
            <w:r>
              <w:rPr>
                <w:rFonts w:hint="eastAsia" w:ascii="宋体" w:hAnsi="宋体" w:cs="宋体"/>
                <w:color w:val="000000"/>
                <w:highlight w:val="none"/>
              </w:rPr>
              <w:t xml:space="preserve">施工工期：</w:t>
            </w:r>
            <w:r>
              <w:rPr>
                <w:rFonts w:ascii="宋体" w:hAnsi="宋体" w:cs="宋体"/>
                <w:color w:val="000000"/>
                <w:highlight w:val="none"/>
              </w:rPr>
            </w:r>
            <w:r/>
          </w:p>
          <w:p>
            <w:pPr>
              <w:pStyle w:val="901"/>
              <w:spacing w:line="360" w:lineRule="auto"/>
              <w:rPr>
                <w:rFonts w:ascii="宋体" w:hAnsi="宋体" w:cs="宋体"/>
                <w:color w:val="000000"/>
                <w:highlight w:val="none"/>
              </w:rPr>
            </w:pPr>
            <w:r>
              <w:rPr>
                <w:rFonts w:hint="eastAsia" w:ascii="宋体" w:hAnsi="宋体" w:cs="宋体"/>
                <w:color w:val="000000"/>
                <w:highlight w:val="none"/>
              </w:rPr>
              <w:t xml:space="preserve">项目经理：</w:t>
            </w:r>
            <w:r>
              <w:rPr>
                <w:rFonts w:ascii="宋体" w:hAnsi="宋体" w:cs="宋体"/>
                <w:color w:val="000000"/>
                <w:highlight w:val="none"/>
              </w:rPr>
            </w:r>
            <w:r/>
          </w:p>
          <w:p>
            <w:pPr>
              <w:pStyle w:val="901"/>
              <w:spacing w:line="360" w:lineRule="auto"/>
              <w:rPr>
                <w:rFonts w:ascii="宋体" w:hAnsi="宋体" w:cs="宋体"/>
                <w:color w:val="000000"/>
                <w:highlight w:val="none"/>
              </w:rPr>
            </w:pPr>
            <w:r>
              <w:rPr>
                <w:rFonts w:hint="eastAsia" w:ascii="宋体" w:hAnsi="宋体" w:cs="宋体"/>
                <w:color w:val="000000"/>
                <w:highlight w:val="none"/>
              </w:rPr>
              <w:t xml:space="preserve">执业证书信息：</w:t>
            </w:r>
            <w:r>
              <w:rPr>
                <w:rFonts w:ascii="宋体" w:hAnsi="宋体" w:cs="宋体"/>
                <w:color w:val="000000"/>
                <w:highlight w:val="none"/>
              </w:rPr>
            </w:r>
            <w:r/>
          </w:p>
        </w:tc>
      </w:tr>
    </w:tbl>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01"/>
        <w:jc w:val="center"/>
        <w:spacing w:line="360" w:lineRule="auto"/>
        <w:rPr>
          <w:rFonts w:hint="eastAsia" w:ascii="宋体" w:hAnsi="宋体" w:cs="宋体"/>
          <w:b/>
          <w:bCs/>
          <w:color w:val="000000"/>
          <w:szCs w:val="21"/>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Cs w:val="21"/>
          <w:highlight w:val="none"/>
        </w:rPr>
      </w:r>
      <w:r/>
    </w:p>
    <w:p>
      <w:pPr>
        <w:pStyle w:val="901"/>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附件8</w:t>
      </w:r>
      <w:r>
        <w:rPr>
          <w:rFonts w:hint="eastAsia" w:ascii="宋体" w:hAnsi="宋体" w:cs="宋体"/>
          <w:b/>
          <w:color w:val="000000"/>
          <w:sz w:val="22"/>
          <w:szCs w:val="21"/>
          <w:highlight w:val="none"/>
        </w:rPr>
      </w:r>
      <w:r/>
    </w:p>
    <w:p>
      <w:pPr>
        <w:pStyle w:val="901"/>
        <w:ind w:firstLine="1205"/>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具备履行合同所必需的设备和专业技术能力的书面声明</w:t>
      </w:r>
      <w:r>
        <w:rPr>
          <w:rFonts w:hint="eastAsia" w:ascii="宋体" w:hAnsi="宋体" w:cs="宋体"/>
          <w:color w:val="000000"/>
          <w:sz w:val="24"/>
          <w:szCs w:val="24"/>
          <w:highlight w:val="none"/>
        </w:rPr>
      </w:r>
      <w:r/>
    </w:p>
    <w:p>
      <w:pPr>
        <w:pStyle w:val="901"/>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highlight w:val="none"/>
        </w:rPr>
      </w:r>
      <w:r/>
    </w:p>
    <w:p>
      <w:pPr>
        <w:pStyle w:val="901"/>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1"/>
        <w:ind w:firstLine="492"/>
        <w:spacing w:line="460"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901"/>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r>
      <w:r/>
    </w:p>
    <w:p>
      <w:pPr>
        <w:pStyle w:val="90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供应商名称（加盖CA电子公章）：</w:t>
      </w:r>
      <w:r>
        <w:rPr>
          <w:rFonts w:hint="eastAsia" w:ascii="宋体" w:hAnsi="宋体" w:cs="宋体"/>
          <w:bCs/>
          <w:color w:val="000000"/>
          <w:szCs w:val="21"/>
          <w:highlight w:val="none"/>
        </w:rPr>
      </w:r>
      <w:r/>
    </w:p>
    <w:p>
      <w:pPr>
        <w:pStyle w:val="90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901"/>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附件9</w:t>
      </w:r>
      <w:r>
        <w:rPr>
          <w:rFonts w:hint="eastAsia" w:ascii="宋体" w:hAnsi="宋体" w:cs="宋体"/>
          <w:b/>
          <w:color w:val="000000"/>
          <w:sz w:val="22"/>
          <w:szCs w:val="21"/>
          <w:highlight w:val="none"/>
        </w:rPr>
      </w:r>
      <w:r/>
    </w:p>
    <w:p>
      <w:pPr>
        <w:pStyle w:val="901"/>
        <w:jc w:val="center"/>
        <w:rPr>
          <w:rFonts w:hint="eastAsia" w:ascii="宋体" w:hAnsi="宋体" w:cs="宋体"/>
          <w:b/>
          <w:color w:val="000000"/>
          <w:sz w:val="24"/>
          <w:highlight w:val="none"/>
        </w:rPr>
      </w:pPr>
      <w:r>
        <w:rPr>
          <w:rFonts w:hint="eastAsia" w:ascii="宋体" w:hAnsi="宋体" w:cs="宋体"/>
          <w:b/>
          <w:color w:val="000000"/>
          <w:sz w:val="24"/>
          <w:highlight w:val="none"/>
        </w:rPr>
        <w:t xml:space="preserve">参加本次政府采购活动前 3 年内在经营活动中没有重大违法记录的书面声明</w:t>
      </w:r>
      <w:r>
        <w:rPr>
          <w:rFonts w:hint="eastAsia" w:ascii="宋体" w:hAnsi="宋体" w:cs="宋体"/>
          <w:b/>
          <w:color w:val="000000"/>
          <w:sz w:val="24"/>
          <w:highlight w:val="none"/>
        </w:rPr>
      </w:r>
      <w:r/>
    </w:p>
    <w:p>
      <w:pPr>
        <w:pStyle w:val="901"/>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901"/>
        <w:jc w:val="center"/>
        <w:spacing w:line="460" w:lineRule="exact"/>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t xml:space="preserve">声  明</w:t>
      </w:r>
      <w:r>
        <w:rPr>
          <w:rFonts w:hint="eastAsia" w:ascii="宋体" w:hAnsi="宋体" w:cs="宋体"/>
          <w:b/>
          <w:bCs/>
          <w:color w:val="000000"/>
          <w:sz w:val="40"/>
          <w:szCs w:val="40"/>
          <w:highlight w:val="none"/>
        </w:rPr>
      </w:r>
      <w:r/>
    </w:p>
    <w:p>
      <w:pPr>
        <w:pStyle w:val="901"/>
        <w:spacing w:line="360"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    </w:t>
      </w:r>
      <w:r>
        <w:rPr>
          <w:rFonts w:hint="eastAsia" w:ascii="宋体" w:hAnsi="宋体" w:cs="宋体"/>
          <w:bCs/>
          <w:color w:val="000000"/>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highlight w:val="none"/>
        </w:rPr>
      </w:r>
      <w:r/>
    </w:p>
    <w:p>
      <w:pPr>
        <w:pStyle w:val="901"/>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                              </w:t>
      </w:r>
      <w:r>
        <w:rPr>
          <w:rFonts w:hint="eastAsia" w:ascii="宋体" w:hAnsi="宋体" w:cs="宋体"/>
          <w:bCs/>
          <w:color w:val="000000"/>
          <w:szCs w:val="21"/>
          <w:highlight w:val="none"/>
        </w:rPr>
      </w:r>
      <w:r/>
    </w:p>
    <w:p>
      <w:pPr>
        <w:pStyle w:val="901"/>
        <w:ind w:left="0"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供应商名称（加盖CA电子公章）：</w:t>
      </w:r>
      <w:r>
        <w:rPr>
          <w:rFonts w:hint="eastAsia" w:ascii="宋体" w:hAnsi="宋体" w:cs="宋体"/>
          <w:bCs/>
          <w:color w:val="000000"/>
          <w:szCs w:val="21"/>
          <w:highlight w:val="none"/>
        </w:rPr>
      </w:r>
      <w:r/>
    </w:p>
    <w:p>
      <w:pPr>
        <w:pStyle w:val="901"/>
        <w:ind w:left="0" w:firstLine="4838"/>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日期：</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年</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月</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w:t>
      </w:r>
      <w:r>
        <w:rPr>
          <w:rFonts w:hint="eastAsia" w:ascii="宋体" w:hAnsi="宋体" w:cs="宋体"/>
          <w:bCs/>
          <w:color w:val="000000"/>
          <w:szCs w:val="21"/>
          <w:highlight w:val="none"/>
        </w:rPr>
      </w:r>
      <w:r/>
    </w:p>
    <w:p>
      <w:pPr>
        <w:pStyle w:val="901"/>
        <w:ind w:left="0" w:firstLine="5551"/>
        <w:spacing w:line="360" w:lineRule="auto"/>
        <w:rPr>
          <w:rFonts w:hint="eastAsia" w:ascii="宋体" w:hAnsi="宋体" w:cs="宋体"/>
          <w:b/>
          <w:color w:val="000000"/>
          <w:sz w:val="24"/>
          <w:highlight w:val="none"/>
        </w:rPr>
        <w:sectPr>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color w:val="000000"/>
          <w:sz w:val="24"/>
          <w:highlight w:val="none"/>
        </w:rPr>
      </w:r>
      <w:r/>
    </w:p>
    <w:p>
      <w:pPr>
        <w:pStyle w:val="901"/>
        <w:spacing w:line="360" w:lineRule="auto"/>
        <w:rPr>
          <w:rFonts w:ascii="宋体" w:hAnsi="宋体" w:cs="宋体"/>
          <w:b/>
          <w:color w:val="000000"/>
          <w:sz w:val="22"/>
          <w:szCs w:val="21"/>
          <w:highlight w:val="none"/>
        </w:rPr>
      </w:pPr>
      <w:r>
        <w:rPr>
          <w:rFonts w:hint="eastAsia" w:ascii="宋体" w:hAnsi="宋体" w:cs="宋体"/>
          <w:b/>
          <w:color w:val="000000"/>
          <w:sz w:val="22"/>
          <w:szCs w:val="21"/>
          <w:highlight w:val="none"/>
        </w:rPr>
        <w:t xml:space="preserve">附件10</w:t>
      </w:r>
      <w:r>
        <w:rPr>
          <w:rFonts w:ascii="宋体" w:hAnsi="宋体" w:cs="宋体"/>
          <w:b/>
          <w:color w:val="000000"/>
          <w:sz w:val="22"/>
          <w:szCs w:val="21"/>
          <w:highlight w:val="none"/>
        </w:rPr>
      </w:r>
      <w:r/>
    </w:p>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供应商信用承诺书</w:t>
      </w:r>
      <w:r>
        <w:rPr>
          <w:rFonts w:hint="eastAsia" w:ascii="宋体" w:hAnsi="宋体" w:cs="宋体"/>
          <w:b/>
          <w:bCs/>
          <w:color w:val="000000"/>
          <w:szCs w:val="21"/>
          <w:highlight w:val="none"/>
        </w:rPr>
      </w:r>
      <w:r/>
    </w:p>
    <w:p>
      <w:pPr>
        <w:pStyle w:val="901"/>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承诺主体名称：</w:t>
      </w:r>
      <w:r>
        <w:rPr>
          <w:rFonts w:hint="eastAsia" w:ascii="宋体" w:hAnsi="宋体" w:cs="宋体"/>
          <w:color w:val="000000"/>
          <w:sz w:val="20"/>
          <w:szCs w:val="28"/>
          <w:highlight w:val="none"/>
        </w:rPr>
      </w:r>
      <w:r/>
    </w:p>
    <w:p>
      <w:pPr>
        <w:pStyle w:val="901"/>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统一社会信用代码：</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一、对提供给注册登记部门、行业管理部门、司法部门、行业组织以及在采购活动中提交的所有资料的合法性、真实性、准确性和有效性负责；</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四、自觉接受行政管理部门、行业组织、社会公众、新闻舆论的监督；</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六、提出质疑和投诉坚持依法依规、诚实信用原则，在全国范围12个月内没有三次以上查无实据的采购投诉；</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七、严格遵守信用信息公示相关规定，向社会公示信用信息；</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 w:val="20"/>
          <w:szCs w:val="28"/>
          <w:highlight w:val="none"/>
        </w:rPr>
      </w:r>
      <w:r/>
    </w:p>
    <w:p>
      <w:pPr>
        <w:pStyle w:val="901"/>
        <w:ind w:firstLine="400"/>
        <w:spacing w:line="520" w:lineRule="exact"/>
        <w:rPr>
          <w:rFonts w:hint="eastAsia" w:ascii="宋体" w:hAnsi="宋体" w:cs="宋体"/>
          <w:color w:val="000000"/>
          <w:sz w:val="20"/>
          <w:szCs w:val="28"/>
          <w:highlight w:val="none"/>
        </w:rPr>
      </w:pPr>
      <w:r>
        <w:rPr>
          <w:rFonts w:hint="eastAsia" w:ascii="宋体" w:hAnsi="宋体" w:cs="宋体"/>
          <w:color w:val="000000"/>
          <w:sz w:val="20"/>
          <w:szCs w:val="28"/>
          <w:highlight w:val="none"/>
        </w:rPr>
        <w:t xml:space="preserve">十、本承诺书自签订之日起生效。</w:t>
      </w:r>
      <w:r>
        <w:rPr>
          <w:rFonts w:hint="eastAsia" w:ascii="宋体" w:hAnsi="宋体" w:cs="宋体"/>
          <w:color w:val="000000"/>
          <w:sz w:val="20"/>
          <w:szCs w:val="28"/>
          <w:highlight w:val="none"/>
        </w:rPr>
      </w:r>
      <w:r/>
    </w:p>
    <w:p>
      <w:pPr>
        <w:pStyle w:val="901"/>
        <w:ind w:firstLine="420"/>
        <w:jc w:val="center"/>
        <w:spacing w:line="520" w:lineRule="exact"/>
        <w:rPr>
          <w:rFonts w:hint="eastAsia" w:ascii="宋体" w:hAnsi="宋体" w:cs="宋体"/>
          <w:color w:val="000000"/>
          <w:szCs w:val="32"/>
          <w:highlight w:val="none"/>
        </w:rPr>
      </w:pPr>
      <w:r>
        <w:rPr>
          <w:rFonts w:hint="eastAsia" w:ascii="宋体" w:hAnsi="宋体" w:cs="宋体"/>
          <w:color w:val="000000"/>
          <w:szCs w:val="32"/>
          <w:highlight w:val="none"/>
          <w:lang w:val="en-US" w:eastAsia="zh-CN"/>
        </w:rPr>
        <w:t xml:space="preserve">                            </w:t>
      </w:r>
      <w:r>
        <w:rPr>
          <w:rFonts w:hint="eastAsia" w:ascii="宋体" w:hAnsi="宋体" w:cs="宋体"/>
          <w:color w:val="000000"/>
          <w:szCs w:val="32"/>
          <w:highlight w:val="none"/>
        </w:rPr>
        <w:t xml:space="preserve">承诺单位（加盖CA电子公章）：</w:t>
      </w:r>
      <w:r>
        <w:rPr>
          <w:rFonts w:hint="eastAsia" w:ascii="宋体" w:hAnsi="宋体" w:cs="宋体"/>
          <w:color w:val="000000"/>
          <w:szCs w:val="32"/>
          <w:highlight w:val="none"/>
        </w:rPr>
      </w:r>
      <w:r/>
    </w:p>
    <w:p>
      <w:pPr>
        <w:pStyle w:val="901"/>
        <w:jc w:val="center"/>
        <w:spacing w:line="560" w:lineRule="exact"/>
        <w:rPr>
          <w:rFonts w:hint="eastAsia" w:ascii="宋体" w:hAnsi="宋体" w:cs="宋体"/>
          <w:color w:val="000000"/>
          <w:szCs w:val="32"/>
          <w:highlight w:val="none"/>
        </w:rPr>
      </w:pPr>
      <w:r>
        <w:rPr>
          <w:rFonts w:hint="eastAsia" w:ascii="宋体" w:hAnsi="宋体" w:cs="宋体"/>
          <w:color w:val="000000"/>
          <w:szCs w:val="32"/>
          <w:highlight w:val="none"/>
        </w:rPr>
        <w:t xml:space="preserve">　　　　　　　　　     年    月    日</w:t>
      </w:r>
      <w:r>
        <w:rPr>
          <w:rFonts w:hint="eastAsia" w:ascii="宋体" w:hAnsi="宋体" w:cs="宋体"/>
          <w:color w:val="000000"/>
          <w:szCs w:val="32"/>
          <w:highlight w:val="none"/>
        </w:rPr>
      </w:r>
      <w:r/>
    </w:p>
    <w:p>
      <w:pPr>
        <w:pStyle w:val="901"/>
        <w:ind w:left="4498" w:hanging="4498"/>
        <w:jc w:val="center"/>
        <w:spacing w:line="360" w:lineRule="auto"/>
        <w:rPr>
          <w:rFonts w:hint="eastAsia" w:ascii="宋体" w:hAnsi="宋体" w:cs="宋体"/>
          <w:b/>
          <w:bCs/>
          <w:color w:val="000000"/>
          <w:sz w:val="32"/>
          <w:szCs w:val="32"/>
          <w:highlight w:val="none"/>
        </w:rPr>
        <w:sectPr>
          <w:head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000000"/>
          <w:sz w:val="32"/>
          <w:szCs w:val="32"/>
          <w:highlight w:val="none"/>
        </w:rPr>
      </w:r>
      <w:r/>
    </w:p>
    <w:p>
      <w:pPr>
        <w:pStyle w:val="901"/>
        <w:spacing w:line="360" w:lineRule="auto"/>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附件11 </w:t>
      </w:r>
      <w:r>
        <w:rPr>
          <w:rFonts w:hint="eastAsia" w:ascii="宋体" w:hAnsi="宋体" w:cs="宋体"/>
          <w:b/>
          <w:color w:val="000000"/>
          <w:sz w:val="22"/>
          <w:szCs w:val="21"/>
          <w:highlight w:val="none"/>
        </w:rPr>
      </w:r>
      <w:r/>
    </w:p>
    <w:p>
      <w:pPr>
        <w:pStyle w:val="901"/>
        <w:jc w:val="center"/>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中小企业声明函（</w:t>
      </w:r>
      <w:r>
        <w:rPr>
          <w:rFonts w:hint="eastAsia" w:ascii="宋体" w:hAnsi="宋体" w:cs="宋体"/>
          <w:b/>
          <w:bCs/>
          <w:color w:val="000000"/>
          <w:szCs w:val="21"/>
          <w:highlight w:val="none"/>
          <w:lang w:val="en-US" w:eastAsia="zh-CN"/>
        </w:rPr>
        <w:t xml:space="preserve">工程</w:t>
      </w:r>
      <w:r>
        <w:rPr>
          <w:rFonts w:hint="eastAsia" w:ascii="宋体" w:hAnsi="宋体" w:cs="宋体"/>
          <w:b/>
          <w:bCs/>
          <w:color w:val="000000"/>
          <w:szCs w:val="21"/>
          <w:highlight w:val="none"/>
          <w:lang w:val="en-US" w:eastAsia="zh-CN"/>
        </w:rPr>
        <w:t xml:space="preserve">类项目</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rPr>
      </w:r>
      <w:r/>
    </w:p>
    <w:p>
      <w:pPr>
        <w:pStyle w:val="901"/>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本公司（联合体）郑重声明，根据《政府采购促进中小企业发展管理办法》（财库﹝2020﹞46 号）的规定，本公司（联合体）参加</w:t>
      </w:r>
      <w:r>
        <w:rPr>
          <w:rFonts w:hint="eastAsia" w:ascii="Times New Roman" w:hAnsi="Times New Roman" w:eastAsia="宋体"/>
          <w:color w:val="000000"/>
          <w:highlight w:val="none"/>
          <w:u w:val="single"/>
        </w:rPr>
        <w:t xml:space="preserve">（单位名称）</w:t>
      </w:r>
      <w:r>
        <w:rPr>
          <w:rFonts w:hint="eastAsia" w:ascii="Times New Roman" w:hAnsi="Times New Roman" w:eastAsia="宋体"/>
          <w:color w:val="000000"/>
          <w:highlight w:val="none"/>
        </w:rPr>
        <w:t xml:space="preserve">的</w:t>
      </w:r>
      <w:r>
        <w:rPr>
          <w:rFonts w:hint="eastAsia" w:ascii="Times New Roman" w:hAnsi="Times New Roman" w:eastAsia="宋体"/>
          <w:color w:val="000000"/>
          <w:highlight w:val="none"/>
          <w:u w:val="single"/>
        </w:rPr>
        <w:t xml:space="preserve">（项目名称）</w:t>
      </w:r>
      <w:r>
        <w:rPr>
          <w:rFonts w:hint="eastAsia" w:ascii="Times New Roman" w:hAnsi="Times New Roman" w:eastAsia="宋体"/>
          <w:color w:val="00000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Times New Roman" w:hAnsi="Times New Roman" w:eastAsia="宋体"/>
          <w:color w:val="000000"/>
          <w:highlight w:val="none"/>
        </w:rPr>
      </w:r>
      <w:r/>
    </w:p>
    <w:p>
      <w:pPr>
        <w:pStyle w:val="901"/>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1. </w:t>
      </w:r>
      <w:r>
        <w:rPr>
          <w:rFonts w:hint="eastAsia" w:ascii="Times New Roman" w:hAnsi="Times New Roman" w:eastAsia="宋体"/>
          <w:color w:val="000000"/>
          <w:highlight w:val="none"/>
          <w:u w:val="single"/>
        </w:rPr>
        <w:t xml:space="preserve">（标的名称） </w:t>
      </w:r>
      <w:r>
        <w:rPr>
          <w:rFonts w:hint="eastAsia" w:ascii="Times New Roman" w:hAnsi="Times New Roman" w:eastAsia="宋体"/>
          <w:color w:val="000000"/>
          <w:highlight w:val="none"/>
        </w:rPr>
        <w:t xml:space="preserve">，属于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w:t>
      </w:r>
      <w:r>
        <w:rPr>
          <w:rFonts w:ascii="Times New Roman" w:hAnsi="Times New Roman" w:eastAsia="宋体"/>
          <w:color w:val="000000"/>
          <w:highlight w:val="none"/>
          <w:lang w:eastAsia="en-US"/>
        </w:rPr>
        <w:fldChar w:fldCharType="begin"/>
      </w:r>
      <w:r>
        <w:rPr>
          <w:rFonts w:ascii="Times New Roman" w:hAnsi="Times New Roman" w:eastAsia="宋体"/>
          <w:color w:val="000000"/>
          <w:spacing w:val="-1"/>
          <w:highlight w:val="none"/>
          <w:vertAlign w:val="superscript"/>
        </w:rPr>
        <w:instrText xml:space="preserve"> HYPERLINK \l "br1" </w:instrText>
      </w:r>
      <w:r>
        <w:rPr>
          <w:rFonts w:ascii="Times New Roman" w:hAnsi="Times New Roman" w:eastAsia="宋体"/>
          <w:color w:val="000000"/>
          <w:highlight w:val="none"/>
          <w:lang w:eastAsia="en-US"/>
        </w:rPr>
        <w:fldChar w:fldCharType="separate"/>
      </w:r>
      <w:r>
        <w:rPr>
          <w:rFonts w:ascii="Times New Roman" w:hAnsi="Times New Roman" w:eastAsia="宋体"/>
          <w:color w:val="000000"/>
          <w:spacing w:val="-1"/>
          <w:highlight w:val="none"/>
          <w:vertAlign w:val="superscript"/>
        </w:rPr>
        <w:t xml:space="preserve">1</w:t>
      </w:r>
      <w:r>
        <w:rPr>
          <w:rFonts w:ascii="Times New Roman" w:hAnsi="Times New Roman" w:eastAsia="宋体"/>
          <w:color w:val="000000"/>
          <w:highlight w:val="none"/>
          <w:lang w:eastAsia="en-US"/>
        </w:rPr>
        <w:fldChar w:fldCharType="end"/>
      </w:r>
      <w:r>
        <w:rPr>
          <w:rFonts w:hint="eastAsia" w:ascii="Times New Roman" w:hAnsi="Times New Roman" w:eastAsia="宋体"/>
          <w:color w:val="000000"/>
          <w:highlight w:val="none"/>
        </w:rPr>
        <w:t xml:space="preserve">，属于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901"/>
        <w:ind w:firstLine="420"/>
        <w:jc w:val="left"/>
        <w:spacing w:line="360" w:lineRule="auto"/>
        <w:rPr>
          <w:rFonts w:hint="eastAsia" w:ascii="Times New Roman" w:hAnsi="Times New Roman" w:eastAsia="宋体"/>
          <w:color w:val="000000"/>
          <w:highlight w:val="none"/>
          <w:u w:val="single"/>
        </w:rPr>
      </w:pPr>
      <w:r>
        <w:rPr>
          <w:rFonts w:hint="eastAsia" w:ascii="Times New Roman" w:hAnsi="Times New Roman" w:eastAsia="宋体"/>
          <w:color w:val="000000"/>
          <w:highlight w:val="none"/>
        </w:rPr>
        <w:t xml:space="preserve">2. </w:t>
      </w:r>
      <w:r>
        <w:rPr>
          <w:rFonts w:hint="eastAsia" w:ascii="Times New Roman" w:hAnsi="Times New Roman" w:eastAsia="宋体"/>
          <w:color w:val="000000"/>
          <w:highlight w:val="none"/>
          <w:u w:val="single"/>
        </w:rPr>
        <w:t xml:space="preserve">（标的名称）</w:t>
      </w:r>
      <w:r>
        <w:rPr>
          <w:rFonts w:hint="eastAsia" w:ascii="Times New Roman" w:hAnsi="Times New Roman" w:eastAsia="宋体"/>
          <w:color w:val="000000"/>
          <w:highlight w:val="none"/>
        </w:rPr>
        <w:t xml:space="preserve"> ，属于</w:t>
      </w:r>
      <w:r>
        <w:rPr>
          <w:rFonts w:hint="eastAsia" w:ascii="Times New Roman" w:hAnsi="Times New Roman" w:eastAsia="宋体"/>
          <w:b/>
          <w:bCs/>
          <w:color w:val="000000"/>
          <w:highlight w:val="none"/>
          <w:u w:val="single"/>
        </w:rPr>
        <w:t xml:space="preserve">（建筑业）（不得对行业类别修改）</w:t>
      </w:r>
      <w:r>
        <w:rPr>
          <w:rFonts w:hint="eastAsia" w:ascii="Times New Roman" w:hAnsi="Times New Roman" w:eastAsia="宋体"/>
          <w:color w:val="000000"/>
          <w:highlight w:val="none"/>
        </w:rPr>
        <w:t xml:space="preserve">；承建（承接）企业为</w:t>
      </w:r>
      <w:r>
        <w:rPr>
          <w:rFonts w:hint="eastAsia" w:ascii="Times New Roman" w:hAnsi="Times New Roman" w:eastAsia="宋体"/>
          <w:color w:val="000000"/>
          <w:highlight w:val="none"/>
          <w:u w:val="single"/>
        </w:rPr>
        <w:t xml:space="preserve">（企业名称）</w:t>
      </w:r>
      <w:r>
        <w:rPr>
          <w:rFonts w:hint="eastAsia" w:ascii="Times New Roman" w:hAnsi="Times New Roman" w:eastAsia="宋体"/>
          <w:color w:val="000000"/>
          <w:highlight w:val="none"/>
        </w:rPr>
        <w:t xml:space="preserve">，从业人员</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人，营业收入为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万元，资产总额为</w:t>
      </w:r>
      <w:r>
        <w:rPr>
          <w:rFonts w:hint="eastAsia" w:ascii="Times New Roman" w:hAnsi="Times New Roman" w:eastAsia="宋体"/>
          <w:color w:val="000000"/>
          <w:highlight w:val="none"/>
          <w:u w:val="single"/>
        </w:rPr>
        <w:t xml:space="preserve">       </w:t>
      </w:r>
      <w:r>
        <w:rPr>
          <w:rFonts w:hint="eastAsia" w:ascii="Times New Roman" w:hAnsi="Times New Roman" w:eastAsia="宋体"/>
          <w:color w:val="000000"/>
          <w:highlight w:val="none"/>
        </w:rPr>
        <w:t xml:space="preserve">万元，属于</w:t>
      </w:r>
      <w:r>
        <w:rPr>
          <w:rFonts w:hint="eastAsia" w:ascii="Times New Roman" w:hAnsi="Times New Roman" w:eastAsia="宋体"/>
          <w:color w:val="000000"/>
          <w:highlight w:val="none"/>
          <w:u w:val="single"/>
        </w:rPr>
        <w:t xml:space="preserve">（中型企业、小型企业、微型企业）；</w:t>
      </w:r>
      <w:r>
        <w:rPr>
          <w:rFonts w:hint="eastAsia" w:ascii="Times New Roman" w:hAnsi="Times New Roman" w:eastAsia="宋体"/>
          <w:color w:val="000000"/>
          <w:highlight w:val="none"/>
          <w:u w:val="single"/>
        </w:rPr>
      </w:r>
      <w:r/>
    </w:p>
    <w:p>
      <w:pPr>
        <w:pStyle w:val="901"/>
        <w:ind w:firstLine="420"/>
        <w:jc w:val="left"/>
        <w:spacing w:line="360" w:lineRule="auto"/>
        <w:rPr>
          <w:rFonts w:hint="eastAsia" w:ascii="Times New Roman" w:hAnsi="Times New Roman" w:eastAsia="宋体"/>
          <w:color w:val="000000"/>
          <w:highlight w:val="none"/>
        </w:rPr>
      </w:pPr>
      <w:r>
        <w:rPr>
          <w:rFonts w:hint="eastAsia" w:ascii="Times New Roman" w:hAnsi="Times New Roman" w:eastAsia="宋体"/>
          <w:color w:val="000000"/>
          <w:highlight w:val="none"/>
        </w:rPr>
        <w:t xml:space="preserve">……</w:t>
      </w:r>
      <w:r>
        <w:rPr>
          <w:rFonts w:hint="eastAsia" w:ascii="Times New Roman" w:hAnsi="Times New Roman" w:eastAsia="宋体"/>
          <w:color w:val="000000"/>
          <w:highlight w:val="none"/>
        </w:rPr>
      </w:r>
      <w:r/>
    </w:p>
    <w:p>
      <w:pPr>
        <w:pStyle w:val="901"/>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以上企业，不属于大企业的分支机构，不存在控股股东为大企业的情形，也不存在与大企业的负责人为同一人的情形。</w:t>
      </w:r>
      <w:r>
        <w:rPr>
          <w:rFonts w:ascii="Times New Roman" w:hAnsi="Times New Roman" w:eastAsia="宋体"/>
          <w:color w:val="000000"/>
          <w:highlight w:val="none"/>
        </w:rPr>
      </w:r>
      <w:r/>
    </w:p>
    <w:p>
      <w:pPr>
        <w:pStyle w:val="901"/>
        <w:ind w:firstLine="420"/>
        <w:jc w:val="lef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本企业对上述声明内容的真实性负责。如有虚假，将依法承担相应责任。</w:t>
      </w:r>
      <w:r>
        <w:rPr>
          <w:rFonts w:ascii="Times New Roman" w:hAnsi="Times New Roman" w:eastAsia="宋体"/>
          <w:color w:val="000000"/>
          <w:highlight w:val="none"/>
        </w:rPr>
      </w:r>
      <w:r/>
    </w:p>
    <w:p>
      <w:pPr>
        <w:pStyle w:val="901"/>
        <w:jc w:val="left"/>
        <w:spacing w:line="360" w:lineRule="auto"/>
        <w:rPr>
          <w:rFonts w:ascii="Times New Roman" w:hAnsi="Times New Roman" w:eastAsia="宋体"/>
          <w:color w:val="000000"/>
          <w:highlight w:val="none"/>
        </w:rPr>
      </w:pPr>
      <w:r>
        <w:rPr>
          <w:rFonts w:ascii="Times New Roman" w:hAnsi="Times New Roman" w:eastAsia="宋体"/>
          <w:color w:val="000000"/>
          <w:highlight w:val="none"/>
        </w:rPr>
      </w:r>
      <w:r/>
    </w:p>
    <w:p>
      <w:pPr>
        <w:pStyle w:val="901"/>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olor w:val="000000"/>
          <w:highlight w:val="none"/>
        </w:rPr>
        <w:t xml:space="preserve">注：</w:t>
      </w:r>
      <w:r>
        <w:rPr>
          <w:rFonts w:ascii="Times New Roman" w:hAnsi="Times New Roman" w:eastAsia="宋体" w:cs="宋体"/>
          <w:color w:val="000000"/>
          <w:highlight w:val="none"/>
        </w:rPr>
      </w:r>
      <w:r/>
    </w:p>
    <w:p>
      <w:pPr>
        <w:pStyle w:val="901"/>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1、从业人员（不仅指在职职工）、营业收入、资产总额填报上一年度数据，无上一年度数据的新成立企业可不填报。</w:t>
      </w:r>
      <w:r>
        <w:rPr>
          <w:rFonts w:ascii="Times New Roman" w:hAnsi="Times New Roman" w:eastAsia="宋体" w:cs="宋体"/>
          <w:color w:val="000000"/>
          <w:highlight w:val="none"/>
        </w:rPr>
      </w:r>
      <w:r/>
    </w:p>
    <w:p>
      <w:pPr>
        <w:pStyle w:val="901"/>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rPr>
        <w:t xml:space="preserve">2、《中小企业声明函》不符合要求或未提供的，作如下处理：①如本项目专门面向中小企业采购，则投标（响应）文件无效；②如本项目不专门面向中小企业采购，则价格将不做相应扣除。</w:t>
      </w:r>
      <w:r>
        <w:rPr>
          <w:rFonts w:ascii="Times New Roman" w:hAnsi="Times New Roman" w:eastAsia="宋体" w:cs="宋体"/>
          <w:color w:val="000000"/>
          <w:highlight w:val="none"/>
        </w:rPr>
      </w:r>
      <w:r/>
    </w:p>
    <w:p>
      <w:pPr>
        <w:pStyle w:val="901"/>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3</w:t>
      </w:r>
      <w:r>
        <w:rPr>
          <w:rFonts w:hint="eastAsia" w:ascii="Times New Roman" w:hAnsi="Times New Roman" w:eastAsia="宋体" w:cs="宋体"/>
          <w:color w:val="000000"/>
          <w:highlight w:val="none"/>
        </w:rPr>
        <w:t xml:space="preserve">、企业声明函请完整填写，中标</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lang w:val="en-US" w:eastAsia="zh-CN"/>
        </w:rPr>
        <w:t xml:space="preserve">成交</w:t>
      </w:r>
      <w:r>
        <w:rPr>
          <w:rFonts w:hint="eastAsia" w:ascii="Times New Roman" w:hAnsi="Times New Roman" w:eastAsia="宋体" w:cs="宋体"/>
          <w:color w:val="000000"/>
          <w:highlight w:val="none"/>
          <w:lang w:eastAsia="zh-CN"/>
        </w:rPr>
        <w:t xml:space="preserve">）</w:t>
      </w:r>
      <w:r>
        <w:rPr>
          <w:rFonts w:hint="eastAsia" w:ascii="Times New Roman" w:hAnsi="Times New Roman" w:eastAsia="宋体" w:cs="宋体"/>
          <w:color w:val="000000"/>
          <w:highlight w:val="none"/>
        </w:rPr>
        <w:t xml:space="preserve">后将公示。</w:t>
      </w:r>
      <w:r>
        <w:rPr>
          <w:rFonts w:ascii="Times New Roman" w:hAnsi="Times New Roman" w:eastAsia="宋体" w:cs="宋体"/>
          <w:color w:val="000000"/>
          <w:highlight w:val="none"/>
        </w:rPr>
      </w:r>
      <w:r/>
    </w:p>
    <w:p>
      <w:pPr>
        <w:pStyle w:val="901"/>
        <w:ind w:firstLine="420"/>
        <w:jc w:val="left"/>
        <w:spacing w:line="360" w:lineRule="auto"/>
        <w:rPr>
          <w:rFonts w:ascii="Times New Roman" w:hAnsi="Times New Roman" w:eastAsia="宋体" w:cs="宋体"/>
          <w:color w:val="000000"/>
          <w:highlight w:val="none"/>
        </w:rPr>
      </w:pPr>
      <w:r>
        <w:rPr>
          <w:rFonts w:hint="eastAsia" w:ascii="Times New Roman" w:hAnsi="Times New Roman" w:eastAsia="宋体" w:cs="宋体"/>
          <w:color w:val="000000"/>
          <w:highlight w:val="none"/>
          <w:lang w:val="en-US" w:eastAsia="zh-CN"/>
        </w:rPr>
        <w:t xml:space="preserve">4</w:t>
      </w:r>
      <w:r>
        <w:rPr>
          <w:rFonts w:hint="eastAsia" w:ascii="Times New Roman" w:hAnsi="Times New Roman" w:eastAsia="宋体" w:cs="宋体"/>
          <w:color w:val="000000"/>
          <w:highlight w:val="none"/>
        </w:rPr>
        <w:t xml:space="preserve">、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rPr>
          <w:rFonts w:ascii="Times New Roman" w:hAnsi="Times New Roman" w:eastAsia="宋体" w:cs="宋体"/>
          <w:color w:val="000000"/>
          <w:highlight w:val="none"/>
        </w:rPr>
      </w:r>
      <w:r/>
    </w:p>
    <w:p>
      <w:pPr>
        <w:pStyle w:val="901"/>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highlight w:val="none"/>
          <w:lang w:val="en-US" w:eastAsia="zh-CN"/>
        </w:rPr>
        <w:t xml:space="preserve">5</w:t>
      </w:r>
      <w:r>
        <w:rPr>
          <w:rFonts w:hint="eastAsia" w:ascii="Times New Roman" w:hAnsi="Times New Roman" w:eastAsia="宋体" w:cs="宋体"/>
          <w:color w:val="000000"/>
          <w:highlight w:val="none"/>
        </w:rPr>
        <w:t xml:space="preserve">、</w:t>
      </w:r>
      <w:r>
        <w:rPr>
          <w:rFonts w:hint="eastAsia" w:ascii="Times New Roman" w:hAnsi="Times New Roman" w:eastAsia="宋体" w:cs="宋体"/>
          <w:color w:val="000000"/>
          <w:szCs w:val="21"/>
          <w:highlight w:val="none"/>
        </w:rPr>
        <w:t xml:space="preserve">中小企业不得属于大企业的分支机构，不得存在控股股东为大企业的情形，不得存在与大企业的负责人为同一人的情形。</w:t>
      </w:r>
      <w:r>
        <w:rPr>
          <w:rFonts w:ascii="Times New Roman" w:hAnsi="Times New Roman" w:eastAsia="宋体" w:cs="宋体"/>
          <w:color w:val="000000"/>
          <w:szCs w:val="21"/>
          <w:highlight w:val="none"/>
        </w:rPr>
      </w:r>
      <w:r/>
    </w:p>
    <w:p>
      <w:pPr>
        <w:pStyle w:val="901"/>
        <w:ind w:firstLine="420"/>
        <w:jc w:val="left"/>
        <w:spacing w:line="360" w:lineRule="auto"/>
        <w:rPr>
          <w:rFonts w:ascii="Times New Roman" w:hAnsi="Times New Roman" w:eastAsia="宋体" w:cs="宋体"/>
          <w:color w:val="000000"/>
          <w:szCs w:val="21"/>
          <w:highlight w:val="none"/>
        </w:rPr>
      </w:pPr>
      <w:r>
        <w:rPr>
          <w:rFonts w:hint="eastAsia" w:ascii="Times New Roman" w:hAnsi="Times New Roman" w:eastAsia="宋体" w:cs="宋体"/>
          <w:color w:val="000000"/>
          <w:szCs w:val="21"/>
          <w:highlight w:val="none"/>
          <w:lang w:val="en-US" w:eastAsia="zh-CN"/>
        </w:rPr>
        <w:t xml:space="preserve">6</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Times New Roman" w:hAnsi="Times New Roman" w:eastAsia="宋体" w:cs="宋体"/>
          <w:color w:val="000000"/>
          <w:szCs w:val="21"/>
          <w:highlight w:val="none"/>
        </w:rPr>
      </w:r>
      <w:r/>
    </w:p>
    <w:p>
      <w:pPr>
        <w:pStyle w:val="901"/>
        <w:jc w:val="righ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企业名称（加盖CA电子公章）：</w:t>
      </w:r>
      <w:r>
        <w:rPr>
          <w:rFonts w:ascii="Times New Roman" w:hAnsi="Times New Roman" w:eastAsia="宋体"/>
          <w:color w:val="000000"/>
          <w:highlight w:val="none"/>
        </w:rPr>
      </w:r>
      <w:r/>
    </w:p>
    <w:p>
      <w:pPr>
        <w:pStyle w:val="901"/>
        <w:jc w:val="right"/>
        <w:spacing w:line="360" w:lineRule="auto"/>
        <w:rPr>
          <w:rFonts w:ascii="Times New Roman" w:hAnsi="Times New Roman" w:eastAsia="宋体"/>
          <w:color w:val="000000"/>
          <w:highlight w:val="none"/>
        </w:rPr>
      </w:pPr>
      <w:r>
        <w:rPr>
          <w:rFonts w:hint="eastAsia" w:ascii="Times New Roman" w:hAnsi="Times New Roman" w:eastAsia="宋体"/>
          <w:color w:val="000000"/>
          <w:highlight w:val="none"/>
        </w:rPr>
        <w:t xml:space="preserve">                         日期：</w:t>
      </w:r>
      <w:r>
        <w:rPr>
          <w:rFonts w:ascii="Times New Roman" w:hAnsi="Times New Roman" w:eastAsia="宋体"/>
          <w:color w:val="000000"/>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center"/>
        <w:rPr>
          <w:rFonts w:hint="eastAsia" w:ascii="宋体" w:hAnsi="宋体" w:cs="宋体"/>
          <w:b/>
          <w:bCs/>
          <w:color w:val="000000"/>
          <w:highlight w:val="none"/>
        </w:rPr>
      </w:pPr>
      <w:r/>
      <w:bookmarkStart w:id="177" w:name="_Toc150519795"/>
      <w:r>
        <w:rPr>
          <w:rFonts w:hint="eastAsia" w:ascii="宋体" w:hAnsi="宋体" w:cs="宋体"/>
          <w:b/>
          <w:bCs/>
          <w:color w:val="000000"/>
          <w:highlight w:val="none"/>
        </w:rPr>
        <w:t xml:space="preserve">中小微企业划型标准</w:t>
      </w:r>
      <w:bookmarkEnd w:id="177"/>
      <w:r>
        <w:rPr>
          <w:rFonts w:hint="eastAsia" w:ascii="宋体" w:hAnsi="宋体" w:cs="宋体"/>
          <w:b/>
          <w:bCs/>
          <w:color w:val="000000"/>
          <w:highlight w:val="none"/>
        </w:rPr>
      </w:r>
      <w:r/>
    </w:p>
    <w:p>
      <w:pPr>
        <w:pStyle w:val="901"/>
        <w:jc w:val="left"/>
        <w:spacing w:before="300" w:after="452"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中小微企业划型标准如下：</w:t>
      </w:r>
      <w:r>
        <w:rPr>
          <w:rFonts w:hint="eastAsia" w:ascii="宋体" w:hAnsi="宋体" w:cs="宋体"/>
          <w:color w:val="000000"/>
          <w:highlight w:val="none"/>
        </w:rPr>
      </w:r>
      <w:r/>
    </w:p>
    <w:tbl>
      <w:tblPr>
        <w:tblW w:w="917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行业名称</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指标名称</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计量单位</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中型</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小型</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微型</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农、林、牧、渔</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50≤Y&lt;500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工业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2000≤Y&lt;40000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Y&lt;300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建筑业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6000≤Y&lt;80000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300≤Y&lt;6000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Y&lt;300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5000≤Z&lt;80000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300≤Z&lt;5000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Z&lt;300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批发业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20≤X&lt;200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5≤X&lt;20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X&lt;5</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5000≤Y&lt;40000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零售业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10≤X&lt;50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100≤Y&lt;500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交通运输业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200≤Y&lt;3000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Y&lt;200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仓储业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100≤X&lt;200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邮政业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X&lt;20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2000≤Y&lt;30000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住宿业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餐饮业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100≤Y&lt;2000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信息传输业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100≤X&lt;2000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1000≤Y&lt;100000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ind w:firstLine="420"/>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软件和信息技术服务业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房地产开发经营</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1000≤Y&lt;200000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5000≤Z&lt;10000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2000≤Y&lt;5000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Y&lt;2000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物业管理</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300≤X&lt;1000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营业收入（Y）</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1000≤Y&lt;5000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500≤Y&lt;1000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Y&lt;500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租赁和商务服务业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r>
        <w:trPr>
          <w:tblCellSpacing w:w="15" w:type="dxa"/>
          <w:trHeight w:val="225"/>
        </w:trPr>
        <w:tc>
          <w:tcPr>
            <w:tcW w:w="1446" w:type="dxa"/>
            <w:vAlign w:val="center"/>
            <w:vMerge w:val="continue"/>
            <w:textDirection w:val="lrTb"/>
            <w:noWrap w:val="false"/>
          </w:tcPr>
          <w:p>
            <w:pPr>
              <w:pStyle w:val="901"/>
              <w:jc w:val="center"/>
              <w:widowControl/>
              <w:rPr>
                <w:rFonts w:hint="eastAsia" w:ascii="宋体" w:hAnsi="宋体" w:cs="宋体"/>
                <w:color w:val="000000"/>
                <w:highlight w:val="none"/>
              </w:rPr>
            </w:pP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资产总额（Z）</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万元</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8000≤Z&lt;120000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100≤Z&lt;8000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Y&lt;100</w:t>
            </w:r>
            <w:r>
              <w:rPr>
                <w:rFonts w:hint="eastAsia" w:ascii="宋体" w:hAnsi="宋体" w:cs="宋体"/>
                <w:color w:val="000000"/>
                <w:highlight w:val="none"/>
              </w:rPr>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其他未列明行业</w:t>
            </w:r>
            <w:r>
              <w:rPr>
                <w:rFonts w:hint="eastAsia" w:ascii="宋体" w:hAnsi="宋体" w:cs="宋体"/>
                <w:color w:val="000000"/>
                <w:highlight w:val="none"/>
              </w:rPr>
            </w:r>
            <w:r/>
          </w:p>
        </w:tc>
        <w:tc>
          <w:tcPr>
            <w:tcMar>
              <w:left w:w="105" w:type="dxa"/>
              <w:top w:w="0" w:type="dxa"/>
              <w:right w:w="105" w:type="dxa"/>
              <w:bottom w:w="0" w:type="dxa"/>
            </w:tcMar>
            <w:tcW w:w="1718"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从业人员（X）</w:t>
            </w:r>
            <w:r>
              <w:rPr>
                <w:rFonts w:hint="eastAsia" w:ascii="宋体" w:hAnsi="宋体" w:cs="宋体"/>
                <w:color w:val="000000"/>
                <w:highlight w:val="none"/>
              </w:rPr>
            </w:r>
            <w:r/>
          </w:p>
        </w:tc>
        <w:tc>
          <w:tcPr>
            <w:tcMar>
              <w:left w:w="105" w:type="dxa"/>
              <w:top w:w="0" w:type="dxa"/>
              <w:right w:w="105" w:type="dxa"/>
              <w:bottom w:w="0" w:type="dxa"/>
            </w:tcMar>
            <w:tcW w:w="70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人</w:t>
            </w:r>
            <w:r>
              <w:rPr>
                <w:rFonts w:hint="eastAsia" w:ascii="宋体" w:hAnsi="宋体" w:cs="宋体"/>
                <w:color w:val="000000"/>
                <w:highlight w:val="none"/>
              </w:rPr>
            </w:r>
            <w:r/>
          </w:p>
        </w:tc>
        <w:tc>
          <w:tcPr>
            <w:tcMar>
              <w:left w:w="105" w:type="dxa"/>
              <w:top w:w="0" w:type="dxa"/>
              <w:right w:w="105" w:type="dxa"/>
              <w:bottom w:w="0" w:type="dxa"/>
            </w:tcMar>
            <w:tcW w:w="1892" w:type="dxa"/>
            <w:vAlign w:val="center"/>
            <w:textDirection w:val="lrTb"/>
            <w:noWrap w:val="false"/>
          </w:tcPr>
          <w:p>
            <w:pPr>
              <w:pStyle w:val="901"/>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100≤X&lt;300</w:t>
            </w:r>
            <w:r>
              <w:rPr>
                <w:rFonts w:hint="eastAsia" w:ascii="宋体" w:hAnsi="宋体" w:cs="宋体"/>
                <w:color w:val="000000"/>
                <w:highlight w:val="none"/>
              </w:rPr>
            </w:r>
            <w:r/>
          </w:p>
        </w:tc>
        <w:tc>
          <w:tcPr>
            <w:tcMar>
              <w:left w:w="105" w:type="dxa"/>
              <w:top w:w="0" w:type="dxa"/>
              <w:right w:w="105" w:type="dxa"/>
              <w:bottom w:w="0" w:type="dxa"/>
            </w:tcMar>
            <w:tcW w:w="1709" w:type="dxa"/>
            <w:vAlign w:val="center"/>
            <w:textDirection w:val="lrTb"/>
            <w:noWrap w:val="false"/>
          </w:tcPr>
          <w:p>
            <w:pPr>
              <w:pStyle w:val="901"/>
              <w:jc w:val="center"/>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10≤X&lt;100</w:t>
            </w:r>
            <w:r>
              <w:rPr>
                <w:rFonts w:hint="eastAsia" w:ascii="宋体" w:hAnsi="宋体" w:cs="宋体"/>
                <w:color w:val="000000"/>
                <w:highlight w:val="none"/>
              </w:rPr>
            </w:r>
            <w:r/>
          </w:p>
        </w:tc>
        <w:tc>
          <w:tcPr>
            <w:tcMar>
              <w:left w:w="105" w:type="dxa"/>
              <w:top w:w="0" w:type="dxa"/>
              <w:right w:w="105" w:type="dxa"/>
              <w:bottom w:w="0" w:type="dxa"/>
            </w:tcMar>
            <w:tcW w:w="1500" w:type="dxa"/>
            <w:vAlign w:val="center"/>
            <w:textDirection w:val="lrTb"/>
            <w:noWrap w:val="false"/>
          </w:tcPr>
          <w:p>
            <w:pPr>
              <w:pStyle w:val="901"/>
              <w:ind w:firstLine="420"/>
              <w:jc w:val="left"/>
              <w:spacing w:after="150"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X&lt;10</w:t>
            </w:r>
            <w:r>
              <w:rPr>
                <w:rFonts w:hint="eastAsia" w:ascii="宋体" w:hAnsi="宋体" w:cs="宋体"/>
                <w:color w:val="000000"/>
                <w:highlight w:val="none"/>
              </w:rPr>
            </w:r>
            <w:r/>
          </w:p>
        </w:tc>
      </w:tr>
    </w:tbl>
    <w:p>
      <w:pPr>
        <w:pStyle w:val="901"/>
        <w:jc w:val="left"/>
        <w:spacing w:before="300" w:after="452" w:line="360" w:lineRule="auto"/>
        <w:widowControl/>
        <w:rPr>
          <w:rFonts w:hint="eastAsia" w:ascii="宋体" w:hAnsi="宋体" w:cs="宋体"/>
          <w:color w:val="000000"/>
          <w:highlight w:val="none"/>
        </w:rPr>
      </w:pPr>
      <w:r>
        <w:rPr>
          <w:rFonts w:hint="eastAsia" w:ascii="宋体" w:hAnsi="宋体" w:cs="宋体"/>
          <w:b/>
          <w:color w:val="000000"/>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rPr>
          <w:rFonts w:hint="eastAsia" w:ascii="宋体" w:hAnsi="宋体" w:cs="宋体"/>
          <w:color w:val="000000"/>
          <w:highlight w:val="none"/>
        </w:rPr>
      </w:r>
      <w:r/>
    </w:p>
    <w:p>
      <w:pPr>
        <w:pStyle w:val="901"/>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spacing w:line="460" w:lineRule="exact"/>
        <w:rPr>
          <w:rFonts w:hint="eastAsia" w:ascii="宋体" w:hAnsi="宋体" w:cs="宋体"/>
          <w:b/>
          <w:color w:val="000000"/>
          <w:sz w:val="22"/>
          <w:szCs w:val="21"/>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22"/>
          <w:szCs w:val="21"/>
          <w:highlight w:val="none"/>
        </w:rPr>
        <w:t xml:space="preserve">附件12 </w:t>
      </w:r>
      <w:r>
        <w:rPr>
          <w:rFonts w:hint="eastAsia" w:ascii="宋体" w:hAnsi="宋体" w:cs="宋体"/>
          <w:b/>
          <w:color w:val="000000"/>
          <w:sz w:val="22"/>
          <w:szCs w:val="21"/>
          <w:highlight w:val="none"/>
        </w:rPr>
      </w:r>
      <w:r/>
    </w:p>
    <w:p>
      <w:pPr>
        <w:pStyle w:val="901"/>
        <w:jc w:val="center"/>
        <w:spacing w:line="460" w:lineRule="exact"/>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残疾人福利性单位声明函</w:t>
      </w:r>
      <w:r>
        <w:rPr>
          <w:rFonts w:hint="eastAsia" w:ascii="宋体" w:hAnsi="宋体" w:cs="宋体"/>
          <w:b/>
          <w:bCs/>
          <w:color w:val="000000"/>
          <w:szCs w:val="21"/>
          <w:highlight w:val="none"/>
        </w:rPr>
      </w:r>
      <w:r/>
    </w:p>
    <w:p>
      <w:pPr>
        <w:pStyle w:val="901"/>
        <w:ind w:firstLine="480"/>
        <w:spacing w:line="400"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s="宋体"/>
          <w:color w:val="000000"/>
          <w:sz w:val="24"/>
          <w:highlight w:val="none"/>
          <w:lang w:eastAsia="zh-CN"/>
        </w:rPr>
        <w:t xml:space="preserve">招标文件</w:t>
      </w:r>
      <w:r>
        <w:rPr>
          <w:rFonts w:hint="eastAsia" w:ascii="宋体" w:hAnsi="宋体" w:cs="宋体"/>
          <w:color w:val="000000"/>
          <w:sz w:val="24"/>
          <w:highlight w:val="none"/>
        </w:rPr>
        <w:t xml:space="preserve">编号为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项目（采购包号：**）项目采购活动提供本单位制造的产品或服务（由本单位承担工程/提供服务）。或者提供其他残疾人福利性单位制造的产品或服务（不包括使用非残疾人福利性单位注册商标的产品或服务）。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cs="宋体"/>
          <w:color w:val="000000"/>
          <w:highlight w:val="none"/>
        </w:rPr>
      </w:r>
      <w:r/>
    </w:p>
    <w:p>
      <w:pPr>
        <w:pStyle w:val="901"/>
        <w:ind w:firstLine="480"/>
        <w:spacing w:line="40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本单位在本次政府采购活动中提供的残疾人福利单位产品报价合计为人民币（大写）圆整（￥：）。</w:t>
      </w:r>
      <w:r>
        <w:rPr>
          <w:rFonts w:hint="eastAsia" w:ascii="宋体" w:hAnsi="宋体" w:cs="宋体"/>
          <w:color w:val="000000"/>
          <w:sz w:val="24"/>
          <w:highlight w:val="none"/>
        </w:rPr>
      </w:r>
      <w:r/>
    </w:p>
    <w:p>
      <w:pPr>
        <w:pStyle w:val="901"/>
        <w:ind w:firstLine="480"/>
        <w:spacing w:line="400" w:lineRule="atLeast"/>
        <w:rPr>
          <w:rFonts w:hint="eastAsia" w:ascii="宋体" w:hAnsi="宋体" w:cs="宋体"/>
          <w:color w:val="000000"/>
          <w:sz w:val="24"/>
          <w:highlight w:val="none"/>
        </w:rPr>
      </w:pPr>
      <w:r>
        <w:rPr>
          <w:rFonts w:hint="eastAsia" w:ascii="宋体" w:hAnsi="宋体" w:cs="宋体"/>
          <w:color w:val="000000"/>
          <w:sz w:val="24"/>
          <w:highlight w:val="none"/>
        </w:rPr>
        <w:t xml:space="preserve">本单位对上述声明的真实性负责。如有虚假，将依法承担相应责任。</w:t>
      </w:r>
      <w:r>
        <w:rPr>
          <w:rFonts w:hint="eastAsia" w:ascii="宋体" w:hAnsi="宋体" w:cs="宋体"/>
          <w:color w:val="000000"/>
          <w:sz w:val="24"/>
          <w:highlight w:val="none"/>
        </w:rPr>
      </w:r>
      <w:r/>
    </w:p>
    <w:p>
      <w:pPr>
        <w:pStyle w:val="901"/>
        <w:ind w:firstLine="480"/>
        <w:spacing w:line="400" w:lineRule="atLeast"/>
        <w:rPr>
          <w:rFonts w:hint="eastAsia" w:ascii="宋体" w:hAnsi="宋体" w:cs="宋体"/>
          <w:color w:val="000000"/>
          <w:sz w:val="24"/>
          <w:highlight w:val="none"/>
        </w:rPr>
      </w:pPr>
      <w:r>
        <w:rPr>
          <w:rFonts w:hint="eastAsia" w:ascii="宋体" w:hAnsi="宋体" w:cs="宋体"/>
          <w:color w:val="000000"/>
          <w:sz w:val="24"/>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 </w:t>
      </w:r>
      <w:r>
        <w:rPr>
          <w:rFonts w:hint="eastAsia" w:ascii="宋体" w:hAnsi="宋体" w:cs="宋体"/>
          <w:color w:val="000000"/>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备注：</w:t>
      </w:r>
      <w:r>
        <w:rPr>
          <w:rFonts w:hint="eastAsia" w:ascii="宋体" w:hAnsi="宋体" w:cs="宋体"/>
          <w:color w:val="000000"/>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1.专门面向中小企业采购的项目，供应商为残疾人福利性单位并提供本单位制造的货物，或者提供其他残疾人福利性单位制造的货物，必须提供此声明函，否则将不能通过资格审查。</w:t>
      </w:r>
      <w:r>
        <w:rPr>
          <w:rFonts w:hint="eastAsia" w:ascii="宋体" w:hAnsi="宋体" w:cs="宋体"/>
          <w:color w:val="000000"/>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2. 非专门面向中小企业采购的项目，供应商如不提供此声明函，价格将不做相应扣除。</w:t>
      </w:r>
      <w:r>
        <w:rPr>
          <w:rFonts w:hint="eastAsia" w:ascii="宋体" w:hAnsi="宋体" w:cs="宋体"/>
          <w:color w:val="000000"/>
          <w:highlight w:val="none"/>
        </w:rPr>
      </w:r>
      <w:r/>
    </w:p>
    <w:p>
      <w:pPr>
        <w:pStyle w:val="901"/>
        <w:ind w:firstLine="480"/>
        <w:spacing w:line="400" w:lineRule="atLeast"/>
        <w:rPr>
          <w:rFonts w:hint="eastAsia" w:ascii="宋体" w:hAnsi="宋体" w:cs="宋体"/>
          <w:color w:val="000000"/>
          <w:highlight w:val="none"/>
        </w:rPr>
      </w:pPr>
      <w:r>
        <w:rPr>
          <w:rFonts w:hint="eastAsia" w:ascii="宋体" w:hAnsi="宋体" w:cs="宋体"/>
          <w:color w:val="000000"/>
          <w:sz w:val="24"/>
          <w:highlight w:val="none"/>
        </w:rPr>
        <w:t xml:space="preserve">3.中标/成交供应商为残疾人福利性单位的，此声明函将随中标/成交结果同时公告，接受社会监督。</w:t>
      </w:r>
      <w:r>
        <w:rPr>
          <w:rFonts w:hint="eastAsia" w:ascii="宋体" w:hAnsi="宋体" w:cs="宋体"/>
          <w:color w:val="000000"/>
          <w:highlight w:val="none"/>
        </w:rPr>
      </w:r>
      <w:r/>
    </w:p>
    <w:p>
      <w:pPr>
        <w:pStyle w:val="901"/>
        <w:ind w:firstLine="624"/>
        <w:spacing w:line="588" w:lineRule="exact"/>
        <w:rPr>
          <w:rFonts w:hint="eastAsia" w:ascii="宋体" w:hAnsi="宋体" w:cs="宋体"/>
          <w:color w:val="000000"/>
          <w:spacing w:val="6"/>
          <w:sz w:val="30"/>
          <w:szCs w:val="30"/>
          <w:highlight w:val="none"/>
        </w:rPr>
      </w:pPr>
      <w:r>
        <w:rPr>
          <w:rFonts w:hint="eastAsia" w:ascii="宋体" w:hAnsi="宋体" w:cs="宋体"/>
          <w:color w:val="000000"/>
          <w:spacing w:val="6"/>
          <w:sz w:val="30"/>
          <w:szCs w:val="30"/>
          <w:highlight w:val="none"/>
        </w:rPr>
      </w:r>
      <w:r/>
    </w:p>
    <w:p>
      <w:pPr>
        <w:pStyle w:val="901"/>
        <w:ind w:right="1560" w:firstLine="624"/>
        <w:jc w:val="center"/>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pacing w:val="6"/>
          <w:sz w:val="30"/>
          <w:szCs w:val="30"/>
          <w:highlight w:val="none"/>
        </w:rPr>
        <w:t xml:space="preserve">             </w:t>
      </w:r>
      <w:r>
        <w:rPr>
          <w:rFonts w:hint="eastAsia" w:ascii="宋体" w:hAnsi="宋体" w:cs="宋体"/>
          <w:color w:val="000000"/>
          <w:sz w:val="24"/>
          <w:highlight w:val="none"/>
        </w:rPr>
        <w:t xml:space="preserve">  供应商全称（</w:t>
      </w:r>
      <w:r>
        <w:rPr>
          <w:rFonts w:hint="eastAsia" w:ascii="宋体" w:hAnsi="宋体" w:cs="宋体"/>
          <w:color w:val="000000"/>
          <w:sz w:val="24"/>
          <w:highlight w:val="none"/>
          <w:lang w:eastAsia="zh-CN"/>
        </w:rPr>
        <w:t xml:space="preserve">加盖CA电子签章</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01"/>
        <w:ind w:left="0" w:right="1560" w:firstLine="2940"/>
        <w:jc w:val="both"/>
        <w:spacing w:line="588" w:lineRule="exact"/>
        <w:tabs>
          <w:tab w:val="left" w:pos="48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901"/>
        <w:ind w:firstLine="480"/>
        <w:spacing w:line="440" w:lineRule="exact"/>
        <w:rPr>
          <w:rFonts w:hint="eastAsia" w:ascii="宋体" w:hAnsi="宋体" w:cs="宋体"/>
          <w:i/>
          <w:color w:val="000000"/>
          <w:sz w:val="24"/>
          <w:highlight w:val="none"/>
          <w:u w:val="single"/>
        </w:rPr>
        <w:sectPr>
          <w:head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i/>
          <w:color w:val="000000"/>
          <w:sz w:val="24"/>
          <w:highlight w:val="none"/>
          <w:u w:val="single"/>
        </w:rPr>
      </w:r>
      <w:r/>
    </w:p>
    <w:p>
      <w:pPr>
        <w:pStyle w:val="901"/>
        <w:spacing w:line="460" w:lineRule="exact"/>
        <w:rPr>
          <w:rFonts w:hint="eastAsia" w:ascii="宋体" w:hAnsi="宋体" w:cs="宋体"/>
          <w:b/>
          <w:color w:val="000000"/>
          <w:sz w:val="22"/>
          <w:szCs w:val="21"/>
          <w:highlight w:val="none"/>
        </w:rPr>
      </w:pPr>
      <w:r>
        <w:rPr>
          <w:rFonts w:hint="eastAsia" w:ascii="宋体" w:hAnsi="宋体" w:cs="宋体"/>
          <w:b/>
          <w:color w:val="000000"/>
          <w:sz w:val="22"/>
          <w:szCs w:val="21"/>
          <w:highlight w:val="none"/>
        </w:rPr>
        <w:t xml:space="preserve">附件1</w:t>
      </w:r>
      <w:r>
        <w:rPr>
          <w:rFonts w:hint="eastAsia" w:ascii="宋体" w:hAnsi="宋体" w:cs="宋体"/>
          <w:b/>
          <w:color w:val="000000"/>
          <w:sz w:val="22"/>
          <w:szCs w:val="21"/>
          <w:highlight w:val="none"/>
          <w:lang w:val="en-US" w:eastAsia="zh-CN"/>
        </w:rPr>
        <w:t xml:space="preserve">3</w:t>
      </w:r>
      <w:r>
        <w:rPr>
          <w:rFonts w:hint="eastAsia" w:ascii="宋体" w:hAnsi="宋体" w:cs="宋体"/>
          <w:b/>
          <w:color w:val="000000"/>
          <w:sz w:val="22"/>
          <w:szCs w:val="21"/>
          <w:highlight w:val="none"/>
        </w:rPr>
        <w:t xml:space="preserve"> </w:t>
      </w:r>
      <w:r>
        <w:rPr>
          <w:rFonts w:hint="eastAsia" w:ascii="宋体" w:hAnsi="宋体" w:cs="宋体"/>
          <w:b/>
          <w:color w:val="000000"/>
          <w:sz w:val="22"/>
          <w:szCs w:val="21"/>
          <w:highlight w:val="none"/>
        </w:rPr>
      </w:r>
      <w:r/>
    </w:p>
    <w:p>
      <w:pPr>
        <w:pStyle w:val="901"/>
        <w:jc w:val="center"/>
        <w:spacing w:line="460" w:lineRule="exact"/>
        <w:rPr>
          <w:rFonts w:hint="eastAsia" w:ascii="宋体" w:hAnsi="宋体" w:cs="宋体"/>
          <w:b/>
          <w:bCs/>
          <w:color w:val="000000"/>
          <w:szCs w:val="21"/>
          <w:highlight w:val="none"/>
        </w:rPr>
      </w:pPr>
      <w:r>
        <w:rPr>
          <w:rFonts w:hint="eastAsia" w:ascii="宋体" w:hAnsi="宋体" w:cs="宋体"/>
          <w:b/>
          <w:bCs/>
          <w:color w:val="000000"/>
          <w:sz w:val="28"/>
          <w:szCs w:val="28"/>
          <w:highlight w:val="none"/>
        </w:rPr>
        <w:t xml:space="preserve">实质性要求响应及偏离表</w:t>
      </w:r>
      <w:r>
        <w:rPr>
          <w:rFonts w:hint="eastAsia" w:ascii="宋体" w:hAnsi="宋体" w:cs="宋体"/>
          <w:b/>
          <w:bCs/>
          <w:color w:val="000000"/>
          <w:sz w:val="28"/>
          <w:szCs w:val="28"/>
          <w:highlight w:val="none"/>
        </w:rPr>
        <w:br w:type="textWrapping" w:clear="all"/>
      </w:r>
      <w:r>
        <w:rPr>
          <w:rFonts w:hint="eastAsia" w:ascii="宋体" w:hAnsi="宋体" w:cs="宋体"/>
          <w:b/>
          <w:bCs/>
          <w:color w:val="000000"/>
          <w:szCs w:val="21"/>
          <w:highlight w:val="none"/>
        </w:rPr>
      </w:r>
      <w:r/>
    </w:p>
    <w:tbl>
      <w:tblPr>
        <w:tblW w:w="89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4117" w:type="dxa"/>
            <w:vAlign w:val="center"/>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技术要求和商务要求中的实质性要求</w:t>
            </w:r>
            <w:r>
              <w:rPr>
                <w:rFonts w:hint="eastAsia" w:ascii="宋体" w:hAnsi="宋体" w:cs="宋体"/>
                <w:b/>
                <w:bCs/>
                <w:color w:val="000000"/>
                <w:sz w:val="24"/>
                <w:szCs w:val="24"/>
                <w:highlight w:val="none"/>
              </w:rPr>
              <w:t xml:space="preserve">（</w:t>
            </w:r>
            <w:r>
              <w:rPr>
                <w:rFonts w:hint="eastAsia" w:ascii="宋体" w:hAnsi="宋体" w:cs="宋体"/>
                <w:b/>
                <w:bCs/>
                <w:i/>
                <w:color w:val="000000"/>
                <w:sz w:val="24"/>
                <w:szCs w:val="21"/>
                <w:highlight w:val="none"/>
                <w:u w:val="single"/>
              </w:rPr>
              <w:t xml:space="preserve">斜体且有下划线部分</w:t>
            </w:r>
            <w:r>
              <w:rPr>
                <w:rFonts w:hint="eastAsia" w:ascii="宋体" w:hAnsi="宋体" w:cs="宋体"/>
                <w:b/>
                <w:bCs/>
                <w:color w:val="000000"/>
                <w:sz w:val="24"/>
                <w:szCs w:val="21"/>
                <w:highlight w:val="none"/>
              </w:rPr>
              <w:t xml:space="preserve">）</w:t>
            </w:r>
            <w:r>
              <w:rPr>
                <w:rFonts w:hint="eastAsia" w:ascii="宋体" w:hAnsi="宋体" w:cs="宋体"/>
                <w:color w:val="000000"/>
                <w:sz w:val="24"/>
                <w:szCs w:val="24"/>
                <w:highlight w:val="none"/>
              </w:rPr>
            </w:r>
            <w:r/>
          </w:p>
        </w:tc>
        <w:tc>
          <w:tcPr>
            <w:tcW w:w="2809" w:type="dxa"/>
            <w:vAlign w:val="center"/>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526" w:type="dxa"/>
            <w:vAlign w:val="center"/>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4117"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09"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4117"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809"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545"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117"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809"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26" w:type="dxa"/>
            <w:vAlign w:val="top"/>
            <w:textDirection w:val="lrTb"/>
            <w:noWrap w:val="false"/>
          </w:tcPr>
          <w:p>
            <w:pPr>
              <w:pStyle w:val="901"/>
              <w:jc w:val="center"/>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附件：证明材料1，证明材料2，……</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1.供应商必须对技术要求和商务要求中的实质性要求</w:t>
      </w:r>
      <w:r>
        <w:rPr>
          <w:rFonts w:hint="eastAsia" w:ascii="宋体" w:hAnsi="宋体" w:cs="宋体"/>
          <w:b/>
          <w:bCs/>
          <w:color w:val="000000"/>
          <w:sz w:val="24"/>
          <w:szCs w:val="24"/>
          <w:highlight w:val="none"/>
        </w:rPr>
        <w:t xml:space="preserve">（</w:t>
      </w:r>
      <w:r>
        <w:rPr>
          <w:rFonts w:hint="eastAsia" w:ascii="宋体" w:hAnsi="宋体" w:cs="宋体"/>
          <w:b/>
          <w:bCs/>
          <w:i/>
          <w:color w:val="000000"/>
          <w:sz w:val="24"/>
          <w:szCs w:val="21"/>
          <w:highlight w:val="none"/>
          <w:u w:val="single"/>
        </w:rPr>
        <w:t xml:space="preserve">斜体且有下划线部分</w:t>
      </w:r>
      <w:r>
        <w:rPr>
          <w:rFonts w:hint="eastAsia" w:ascii="宋体" w:hAnsi="宋体" w:cs="宋体"/>
          <w:b/>
          <w:bCs/>
          <w:color w:val="000000"/>
          <w:sz w:val="24"/>
          <w:szCs w:val="21"/>
          <w:highlight w:val="none"/>
        </w:rPr>
        <w:t xml:space="preserve">）</w:t>
      </w:r>
      <w:r>
        <w:rPr>
          <w:rFonts w:hint="eastAsia" w:ascii="宋体" w:hAnsi="宋体" w:cs="宋体"/>
          <w:color w:val="000000"/>
          <w:sz w:val="24"/>
          <w:szCs w:val="24"/>
          <w:highlight w:val="none"/>
        </w:rPr>
        <w:t xml:space="preserve">逐条做出明确响应。</w:t>
      </w:r>
      <w:r>
        <w:rPr>
          <w:rFonts w:hint="eastAsia" w:ascii="宋体" w:hAnsi="宋体" w:cs="宋体"/>
          <w:color w:val="000000"/>
          <w:sz w:val="24"/>
          <w:szCs w:val="24"/>
          <w:highlight w:val="none"/>
        </w:rPr>
      </w:r>
      <w:r/>
    </w:p>
    <w:p>
      <w:pPr>
        <w:pStyle w:val="901"/>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2.如果招标文件要求提供证明材料，供应商必须将证明材料列于该表之下。</w:t>
      </w: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3.供应商未对实质性要求逐条作出明确响应的，或未按招标文件要求提供证明材料的，该采购包作无效投标处理。</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01"/>
        <w:jc w:val="left"/>
        <w:spacing w:line="460" w:lineRule="exact"/>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附件14</w:t>
      </w:r>
      <w:r>
        <w:rPr>
          <w:rFonts w:hint="eastAsia" w:ascii="宋体" w:hAnsi="宋体" w:cs="宋体"/>
          <w:b/>
          <w:bCs/>
          <w:color w:val="000000"/>
          <w:sz w:val="24"/>
          <w:szCs w:val="24"/>
          <w:highlight w:val="none"/>
          <w:lang w:val="en-US" w:eastAsia="zh-CN"/>
        </w:rPr>
      </w:r>
      <w:r/>
    </w:p>
    <w:p>
      <w:pPr>
        <w:pStyle w:val="901"/>
        <w:jc w:val="center"/>
        <w:spacing w:line="360" w:lineRule="auto"/>
        <w:rPr>
          <w:rFonts w:hint="eastAsia" w:ascii="宋体" w:hAnsi="宋体" w:cs="宋体"/>
          <w:b/>
          <w:bCs/>
          <w:iCs/>
          <w:color w:val="000000"/>
          <w:sz w:val="32"/>
          <w:szCs w:val="32"/>
          <w:highlight w:val="none"/>
        </w:rPr>
      </w:pPr>
      <w:r>
        <w:rPr>
          <w:rFonts w:hint="eastAsia" w:ascii="宋体" w:hAnsi="宋体" w:cs="宋体"/>
          <w:b/>
          <w:bCs/>
          <w:iCs/>
          <w:color w:val="000000"/>
          <w:sz w:val="32"/>
          <w:szCs w:val="32"/>
          <w:highlight w:val="none"/>
        </w:rPr>
        <w:t xml:space="preserve">符合性检查响应对照表</w:t>
      </w:r>
      <w:r>
        <w:rPr>
          <w:rFonts w:hint="eastAsia" w:ascii="宋体" w:hAnsi="宋体" w:cs="宋体"/>
          <w:b/>
          <w:bCs/>
          <w:iCs/>
          <w:color w:val="000000"/>
          <w:sz w:val="32"/>
          <w:szCs w:val="32"/>
          <w:highlight w:val="none"/>
        </w:rPr>
      </w:r>
      <w:r/>
    </w:p>
    <w:p>
      <w:pPr>
        <w:pStyle w:val="97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项目名称： </w:t>
      </w:r>
      <w:r>
        <w:rPr>
          <w:rFonts w:hint="eastAsia" w:ascii="宋体" w:hAnsi="宋体" w:cs="宋体"/>
          <w:color w:val="000000"/>
          <w:sz w:val="21"/>
          <w:szCs w:val="21"/>
          <w:highlight w:val="none"/>
        </w:rPr>
      </w:r>
      <w:r/>
    </w:p>
    <w:p>
      <w:pPr>
        <w:pStyle w:val="976"/>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项目编号：</w:t>
      </w:r>
      <w:r>
        <w:rPr>
          <w:rFonts w:hint="eastAsia" w:ascii="宋体" w:hAnsi="宋体" w:cs="宋体"/>
          <w:color w:val="000000"/>
          <w:sz w:val="21"/>
          <w:szCs w:val="21"/>
          <w:highlight w:val="none"/>
        </w:rPr>
      </w:r>
      <w:r/>
    </w:p>
    <w:p>
      <w:pPr>
        <w:pStyle w:val="901"/>
        <w:jc w:val="right"/>
        <w:rPr>
          <w:rFonts w:hint="eastAsia" w:ascii="宋体" w:hAnsi="宋体" w:cs="宋体"/>
          <w:color w:val="000000"/>
          <w:szCs w:val="21"/>
          <w:highlight w:val="none"/>
        </w:rPr>
      </w:pPr>
      <w:r>
        <w:rPr>
          <w:rFonts w:hint="eastAsia" w:ascii="宋体" w:hAnsi="宋体" w:cs="宋体"/>
          <w:color w:val="000000"/>
          <w:szCs w:val="21"/>
          <w:highlight w:val="none"/>
        </w:rPr>
      </w:r>
      <w:r/>
    </w:p>
    <w:tbl>
      <w:tblPr>
        <w:tblW w:w="8896" w:type="dxa"/>
        <w:jc w:val="center"/>
        <w:tblInd w:w="-108" w:type="dxa"/>
        <w:tblLayout w:type="autofit"/>
        <w:tblCellMar>
          <w:left w:w="108" w:type="dxa"/>
          <w:top w:w="15" w:type="dxa"/>
          <w:right w:w="108" w:type="dxa"/>
          <w:bottom w:w="0" w:type="dxa"/>
        </w:tblCellMar>
        <w:tblLook w:val="04A0" w:firstRow="1" w:lastRow="0" w:firstColumn="1" w:lastColumn="0" w:noHBand="0" w:noVBand="1"/>
      </w:tblPr>
      <w:tblGrid>
        <w:gridCol w:w="786"/>
        <w:gridCol w:w="1918"/>
        <w:gridCol w:w="4987"/>
        <w:gridCol w:w="1205"/>
      </w:tblGrid>
      <w:tr>
        <w:trPr>
          <w:trHeight w:val="971"/>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序号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审查因素（采购文件及法律法规规定的无效投标响应情形）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审查内容</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center"/>
              <w:spacing w:line="360" w:lineRule="auto"/>
              <w:rPr>
                <w:rFonts w:cs="宋体"/>
                <w:b/>
                <w:color w:val="000000"/>
                <w:szCs w:val="21"/>
                <w:highlight w:val="none"/>
              </w:rPr>
            </w:pPr>
            <w:r>
              <w:rPr>
                <w:rFonts w:hint="eastAsia" w:cs="宋体"/>
                <w:b/>
                <w:color w:val="000000"/>
                <w:szCs w:val="21"/>
                <w:highlight w:val="none"/>
              </w:rPr>
              <w:t xml:space="preserve">是否响应</w:t>
            </w:r>
            <w:r>
              <w:rPr>
                <w:rFonts w:cs="宋体"/>
                <w:b/>
                <w:color w:val="000000"/>
                <w:szCs w:val="21"/>
                <w:highlight w:val="none"/>
              </w:rPr>
            </w:r>
            <w:r/>
          </w:p>
          <w:p>
            <w:pPr>
              <w:pStyle w:val="901"/>
              <w:jc w:val="center"/>
              <w:spacing w:line="360" w:lineRule="auto"/>
              <w:rPr>
                <w:rFonts w:hint="eastAsia" w:ascii="仿宋" w:hAnsi="仿宋" w:eastAsia="仿宋" w:cs="仿宋"/>
                <w:b/>
                <w:color w:val="000000"/>
                <w:sz w:val="28"/>
                <w:szCs w:val="28"/>
                <w:highlight w:val="none"/>
              </w:rPr>
            </w:pPr>
            <w:r>
              <w:rPr>
                <w:rFonts w:hint="eastAsia" w:cs="宋体"/>
                <w:b/>
                <w:color w:val="000000"/>
                <w:szCs w:val="21"/>
                <w:highlight w:val="none"/>
              </w:rPr>
              <w:t xml:space="preserve">（填是或者否）</w:t>
            </w:r>
            <w:r>
              <w:rPr>
                <w:rFonts w:hint="eastAsia" w:ascii="仿宋" w:hAnsi="仿宋" w:eastAsia="仿宋" w:cs="仿宋"/>
                <w:b/>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投标响应报价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投标响应报价未超过采购文件中规定的项目/采购包预算金额或者最高限价；</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报价唯一性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响应文件未出现可选择性或可调整的报价(采购文件另有规定的除外)；</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413"/>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3</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签署、盖章</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按照采购文件要求签署、盖章的;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672"/>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4</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实质性条款响应</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响应文件满足采购文件中实质性条款要求的;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5</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实质性格式</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标记为“实质性格式”的文件均按采购文件要求提供（如投标响应报价表等应为“实质性格式”）;</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6</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报价合理，或供应商的报价明显低于其他通过符合性审查供应商的报价，有可能影响产品质量或者不能诚信履约的，能够应评标委员会要求在规定时间内证明报价合理性；</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7</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公平竞争</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供应商遵循公平竞争的原则，不存在恶意串通，妨碍其他公平竞争人的竞争行为，不存在损害采购人或者其他供应商的合法权益情形的;</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8</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串通投标</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不存在视为投串通投标的情形: （一）不同投标供应商的投标响应文件由同一单位或者个人编制；（二）不同投标供应商委托同一单位或者个人办理投标事宜；（三）不同投标供应商的投标响应文件载明的项目管理成员或者联系人员为同一人；（四）不同投标供应商的投标响应文件异常一致或者投标报价呈规律性差异；（五）不同投标供应商的投标响应文件相互混装；</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9</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附加条件</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投标响应文件未含有采购人不能接受的附加条件的;</w:t>
            </w:r>
            <w:r>
              <w:rPr>
                <w:rFonts w:hint="eastAsia" w:ascii="宋体" w:hAnsi="宋体" w:cs="宋体"/>
                <w:bCs/>
                <w:color w:val="000000"/>
                <w:szCs w:val="21"/>
                <w:highlight w:val="none"/>
              </w:rPr>
              <w:tab/>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786"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10</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918" w:type="dxa"/>
            <w:vAlign w:val="center"/>
            <w:textDirection w:val="lrTb"/>
            <w:noWrap w:val="false"/>
          </w:tcPr>
          <w:p>
            <w:pPr>
              <w:pStyle w:val="901"/>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4987" w:type="dxa"/>
            <w:vAlign w:val="center"/>
            <w:textDirection w:val="lrTb"/>
            <w:noWrap w:val="false"/>
          </w:tcPr>
          <w:p>
            <w:pPr>
              <w:pStyle w:val="901"/>
              <w:jc w:val="left"/>
              <w:rPr>
                <w:rFonts w:hint="eastAsia" w:ascii="宋体" w:hAnsi="宋体" w:cs="宋体"/>
                <w:bCs/>
                <w:color w:val="000000"/>
                <w:szCs w:val="21"/>
                <w:highlight w:val="none"/>
              </w:rPr>
            </w:pPr>
            <w:r>
              <w:rPr>
                <w:rFonts w:hint="eastAsia" w:ascii="宋体" w:hAnsi="宋体" w:cs="宋体"/>
                <w:bCs/>
                <w:color w:val="000000"/>
                <w:szCs w:val="21"/>
                <w:highlight w:val="none"/>
              </w:rPr>
              <w:t xml:space="preserve">供应商、响应文件不存在不符合法律、法规和采购文件规定的其他无效情形。</w:t>
            </w:r>
            <w:r>
              <w:rPr>
                <w:rFonts w:hint="eastAsia" w:ascii="宋体" w:hAnsi="宋体" w:cs="宋体"/>
                <w:bCs/>
                <w:color w:val="000000"/>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15" w:type="dxa"/>
              <w:right w:w="108" w:type="dxa"/>
              <w:bottom w:w="0" w:type="dxa"/>
            </w:tcMar>
            <w:tcW w:w="1205" w:type="dxa"/>
            <w:vAlign w:val="center"/>
            <w:textDirection w:val="lrTb"/>
            <w:noWrap w:val="false"/>
          </w:tcPr>
          <w:p>
            <w:pPr>
              <w:pStyle w:val="901"/>
              <w:jc w:val="lef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901"/>
        <w:jc w:val="right"/>
        <w:spacing w:line="460" w:lineRule="exact"/>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供应商全称（加盖CA电子签章）：</w:t>
      </w:r>
      <w:r>
        <w:rPr>
          <w:rFonts w:ascii="宋体" w:hAnsi="宋体" w:cs="宋体"/>
          <w:color w:val="000000"/>
          <w:sz w:val="24"/>
          <w:szCs w:val="24"/>
          <w:highlight w:val="none"/>
          <w:lang w:val="en-US" w:eastAsia="zh-CN"/>
        </w:rPr>
      </w:r>
      <w:r/>
    </w:p>
    <w:p>
      <w:pPr>
        <w:pStyle w:val="901"/>
        <w:jc w:val="right"/>
        <w:spacing w:line="460" w:lineRule="exact"/>
        <w:rPr>
          <w:rFonts w:ascii="宋体" w:hAnsi="宋体" w:cs="宋体"/>
          <w:color w:val="000000"/>
          <w:sz w:val="24"/>
          <w:szCs w:val="24"/>
          <w:highlight w:val="none"/>
          <w:lang w:val="en-US" w:eastAsia="zh-CN"/>
        </w:rPr>
      </w:pPr>
      <w:r>
        <w:rPr>
          <w:rFonts w:ascii="宋体" w:hAnsi="宋体" w:cs="宋体"/>
          <w:color w:val="000000"/>
          <w:sz w:val="24"/>
          <w:szCs w:val="24"/>
          <w:highlight w:val="none"/>
          <w:lang w:val="en-US" w:eastAsia="zh-CN"/>
        </w:rPr>
        <w:t xml:space="preserve">日  期：</w:t>
      </w:r>
      <w:r>
        <w:rPr>
          <w:rFonts w:ascii="宋体" w:hAnsi="宋体" w:cs="宋体"/>
          <w:color w:val="000000"/>
          <w:sz w:val="24"/>
          <w:szCs w:val="24"/>
          <w:highlight w:val="none"/>
          <w:lang w:val="en-US" w:eastAsia="zh-CN"/>
        </w:rPr>
      </w:r>
      <w:r/>
    </w:p>
    <w:sectPr>
      <w:head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imSun">
    <w:panose1 w:val="02010600030101010101"/>
  </w:font>
  <w:font w:name="Symbol">
    <w:panose1 w:val="05050102010706020507"/>
  </w:font>
  <w:font w:name="Wingdings">
    <w:panose1 w:val="05000000000000000000"/>
  </w:font>
  <w:font w:name="Cambria">
    <w:panose1 w:val="02040503050406030204"/>
  </w:font>
  <w:font w:name="MingLiU">
    <w:panose1 w:val="02020500000000000000"/>
  </w:font>
  <w:font w:name="Noto Sans CJK JP Regular">
    <w:panose1 w:val="020B0503020202020204"/>
  </w:font>
  <w:font w:name="Courier New">
    <w:panose1 w:val="02070309020205020404"/>
  </w:font>
  <w:font w:name="儷宋 Pro">
    <w:panose1 w:val="020B0503020202020204"/>
  </w:font>
  <w:font w:name="仿宋">
    <w:panose1 w:val="02010609060101010101"/>
  </w:font>
  <w:font w:name="等线">
    <w:panose1 w:val="02010600030101010101"/>
  </w:font>
  <w:font w:name="楷体_GB2312">
    <w:panose1 w:val="02010609060101010101"/>
  </w:font>
  <w:font w:name="幼圆">
    <w:panose1 w:val="02010509060101010101"/>
  </w:font>
  <w:font w:name="黑体">
    <w:panose1 w:val="02010609060101010101"/>
  </w:font>
  <w:font w:name="仿宋_GB2312">
    <w:panose1 w:val="02010609060101010101"/>
  </w:font>
  <w:font w:name="Verdan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9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jc w:val="center"/>
      <w:tabs>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9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2</w:t>
                    </w:r>
                    <w:r>
                      <w:fldChar w:fldCharType="end"/>
                    </w:r>
                    <w:r>
                      <w:t xml:space="preserve"> 页</w:t>
                    </w:r>
                    <w:r/>
                  </w:p>
                  <w:p>
                    <w:pPr>
                      <w:pStyle w:val="901"/>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8"/>
      <w:ind w:right="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90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8"/>
                      <w:tabs>
                        <w:tab w:val="clear" w:pos="4153" w:leader="none"/>
                        <w:tab w:val="clear" w:pos="8306" w:leader="none"/>
                      </w:tabs>
                    </w:pPr>
                    <w:r>
                      <w:t xml:space="preserve">第 </w:t>
                    </w:r>
                    <w:r>
                      <w:fldChar w:fldCharType="begin"/>
                    </w:r>
                    <w:r>
                      <w:instrText xml:space="preserve"> PAGE  \* MERGEFORMAT </w:instrText>
                    </w:r>
                    <w:r>
                      <w:fldChar w:fldCharType="separate"/>
                    </w:r>
                    <w:r>
                      <w:t xml:space="preserve">6</w:t>
                    </w:r>
                    <w:r>
                      <w:fldChar w:fldCharType="end"/>
                    </w:r>
                    <w:r>
                      <w:t xml:space="preserve"> 页</w:t>
                    </w:r>
                    <w:r/>
                  </w:p>
                  <w:p>
                    <w:pPr>
                      <w:pStyle w:val="90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40"/>
      <w:jc w:val="both"/>
      <w:tabs>
        <w:tab w:val="center" w:pos="4153" w:leader="none"/>
        <w:tab w:val="right" w:pos="8306" w:leader="none"/>
      </w:tabs>
      <w:rPr>
        <w:rFonts w:hint="eastAsia" w:ascii="宋体" w:hAnsi="宋体" w:eastAsia="宋体" w:cs="宋体"/>
        <w:lang w:eastAsia="zh-CN"/>
      </w:rPr>
    </w:pPr>
    <w:r>
      <w:rPr>
        <w:rFonts w:hint="eastAsia" w:ascii="宋体" w:hAnsi="宋体" w:cs="宋体"/>
        <w:color w:val="000000"/>
        <w:shd w:val="clear" w:color="auto" w:fill="ffffff"/>
        <w:lang w:eastAsia="zh-CN"/>
      </w:rPr>
      <w:t xml:space="preserve">JSZC-320000-JSYR-G2026-0013</w:t>
    </w:r>
    <w:r>
      <w:rPr>
        <w:rFonts w:hint="eastAsia" w:ascii="宋体" w:hAnsi="宋体" w:cs="宋体"/>
        <w:color w:val="000000"/>
      </w:rPr>
      <w:t xml:space="preserve">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ascii="宋体" w:hAnsi="宋体" w:eastAsia="宋体" w:cs="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ind w:firstLine="360"/>
      <w:jc w:val="both"/>
      <w:tabs>
        <w:tab w:val="center" w:pos="4153" w:leader="none"/>
        <w:tab w:val="right" w:pos="8306" w:leader="none"/>
      </w:tabs>
      <w:rPr>
        <w:rFonts w:hint="eastAsia" w:ascii="宋体" w:hAnsi="宋体" w:cs="宋体"/>
        <w:shd w:val="clear" w:color="auto" w:fill="ffffff"/>
      </w:rPr>
    </w:pPr>
    <w:r>
      <w:rPr>
        <w:rFonts w:hint="eastAsia" w:ascii="宋体" w:hAnsi="宋体" w:cs="宋体"/>
        <w:shd w:val="clear" w:color="auto" w:fill="ffffff"/>
      </w:rPr>
    </w:r>
    <w:r/>
  </w:p>
  <w:p>
    <w:pPr>
      <w:pStyle w:val="940"/>
      <w:ind w:firstLine="180"/>
      <w:jc w:val="both"/>
      <w:tabs>
        <w:tab w:val="center" w:pos="4153" w:leader="none"/>
        <w:tab w:val="right" w:pos="8306" w:leader="none"/>
      </w:tabs>
      <w:rPr>
        <w:rFonts w:hint="eastAsia" w:eastAsia="宋体"/>
        <w:lang w:eastAsia="zh-CN"/>
      </w:rPr>
    </w:pPr>
    <w:r>
      <w:rPr>
        <w:rFonts w:hint="eastAsia" w:ascii="宋体" w:hAnsi="宋体" w:cs="宋体"/>
        <w:shd w:val="clear" w:color="auto" w:fill="ffffff"/>
      </w:rPr>
    </w:r>
    <w:r>
      <w:rPr>
        <w:rFonts w:ascii="SimSun" w:hAnsi="SimSun" w:eastAsia="SimSun" w:cs="SimSun"/>
        <w:color w:val="000000"/>
        <w:sz w:val="22"/>
        <w:highlight w:val="white"/>
      </w:rPr>
      <w:t xml:space="preserve">JSZC-320000-JSYR-G2026-0013</w:t>
    </w:r>
    <w:r>
      <w:rPr>
        <w:rFonts w:ascii="SimSun" w:hAnsi="SimSun" w:eastAsia="SimSun" w:cs="SimSun"/>
        <w:color w:val="000000"/>
        <w:sz w:val="21"/>
      </w:rPr>
      <w:t xml:space="preserve"> </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JSZC-320000-JSYR-G2026-0013</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center" w:pos="4153" w:leader="none"/>
        <w:tab w:val="right" w:pos="8306" w:leader="none"/>
      </w:tabs>
      <w:rPr>
        <w:rFonts w:hint="eastAsia" w:eastAsia="宋体"/>
        <w:lang w:eastAsia="zh-CN"/>
      </w:rPr>
    </w:pPr>
    <w:r>
      <w:rPr>
        <w:rFonts w:hint="eastAsia" w:ascii="宋体" w:hAnsi="宋体" w:cs="宋体"/>
        <w:shd w:val="clear" w:color="auto" w:fill="ffffff"/>
        <w:lang w:eastAsia="zh-CN"/>
      </w:rPr>
      <w:t xml:space="preserve">JSZC-320000-JSYR-G2026-0013</w:t>
    </w:r>
    <w:r>
      <w:rPr>
        <w:rFonts w:hint="eastAsia" w:ascii="宋体" w:hAnsi="宋体" w:cs="宋体"/>
      </w:rPr>
      <w:t xml:space="preserve">                                 </w:t>
    </w:r>
    <w:r>
      <w:rPr>
        <w:rFonts w:hint="eastAsia" w:ascii="宋体" w:hAnsi="宋体" w:cs="宋体"/>
        <w:lang w:eastAsia="zh-CN"/>
      </w:rPr>
      <w:t xml:space="preserve">江苏远锐工程管理咨询有限公司</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6"/>
      <w:isLgl w:val="false"/>
      <w:suff w:val="tab"/>
      <w:lvlText w:val="%1"/>
      <w:lvlJc w:val="left"/>
      <w:pPr>
        <w:pStyle w:val="901"/>
        <w:ind w:left="0" w:firstLine="0"/>
      </w:pPr>
      <w:rPr>
        <w:rFonts w:hint="eastAsia"/>
      </w:rPr>
    </w:lvl>
    <w:lvl w:ilvl="1">
      <w:start w:val="1"/>
      <w:numFmt w:val="decimal"/>
      <w:pStyle w:val="1024"/>
      <w:isLgl w:val="false"/>
      <w:suff w:val="tab"/>
      <w:lvlText w:val="_x0002_.%2"/>
      <w:lvlJc w:val="left"/>
      <w:pPr>
        <w:pStyle w:val="901"/>
        <w:ind w:left="0" w:firstLine="284"/>
      </w:pPr>
    </w:lvl>
    <w:lvl w:ilvl="2">
      <w:start w:val="1"/>
      <w:numFmt w:val="decimal"/>
      <w:pStyle w:val="1080"/>
      <w:isLgl w:val="false"/>
      <w:suff w:val="tab"/>
      <w:lvlText w:val="%1.%2.%3"/>
      <w:lvlJc w:val="left"/>
      <w:pPr>
        <w:pStyle w:val="901"/>
        <w:ind w:left="0" w:firstLine="567"/>
      </w:pPr>
      <w:rPr>
        <w:rFonts w:hint="eastAsia"/>
      </w:rPr>
    </w:lvl>
    <w:lvl w:ilvl="3">
      <w:start w:val="1"/>
      <w:numFmt w:val="decimal"/>
      <w:isLgl w:val="false"/>
      <w:suff w:val="tab"/>
      <w:lvlText w:val="%1.%2.%3.%4"/>
      <w:lvlJc w:val="left"/>
      <w:pPr>
        <w:pStyle w:val="901"/>
        <w:ind w:left="1984" w:hanging="708"/>
      </w:pPr>
      <w:rPr>
        <w:rFonts w:hint="eastAsia"/>
      </w:rPr>
    </w:lvl>
    <w:lvl w:ilvl="4">
      <w:start w:val="1"/>
      <w:numFmt w:val="decimal"/>
      <w:isLgl w:val="false"/>
      <w:suff w:val="tab"/>
      <w:lvlText w:val="%1.%2.%3.%4.%5"/>
      <w:lvlJc w:val="left"/>
      <w:pPr>
        <w:pStyle w:val="901"/>
        <w:ind w:left="2551" w:hanging="850"/>
      </w:pPr>
      <w:rPr>
        <w:rFonts w:hint="eastAsia"/>
      </w:rPr>
    </w:lvl>
    <w:lvl w:ilvl="5">
      <w:start w:val="1"/>
      <w:numFmt w:val="decimal"/>
      <w:isLgl w:val="false"/>
      <w:suff w:val="tab"/>
      <w:lvlText w:val="%1.%2.%3.%4.%5.%6"/>
      <w:lvlJc w:val="left"/>
      <w:pPr>
        <w:pStyle w:val="901"/>
        <w:ind w:left="3260" w:hanging="1134"/>
      </w:pPr>
      <w:rPr>
        <w:rFonts w:hint="eastAsia"/>
      </w:rPr>
    </w:lvl>
    <w:lvl w:ilvl="6">
      <w:start w:val="1"/>
      <w:numFmt w:val="decimal"/>
      <w:isLgl w:val="false"/>
      <w:suff w:val="tab"/>
      <w:lvlText w:val="%1.%2.%3.%4.%5.%6.%7"/>
      <w:lvlJc w:val="left"/>
      <w:pPr>
        <w:pStyle w:val="901"/>
        <w:ind w:left="3827" w:hanging="1276"/>
      </w:pPr>
      <w:rPr>
        <w:rFonts w:hint="eastAsia"/>
      </w:rPr>
    </w:lvl>
    <w:lvl w:ilvl="7">
      <w:start w:val="1"/>
      <w:numFmt w:val="decimal"/>
      <w:isLgl w:val="false"/>
      <w:suff w:val="tab"/>
      <w:lvlText w:val="%1.%2.%3.%4.%5.%6.%7.%8"/>
      <w:lvlJc w:val="left"/>
      <w:pPr>
        <w:pStyle w:val="901"/>
        <w:ind w:left="4394" w:hanging="1418"/>
      </w:pPr>
      <w:rPr>
        <w:rFonts w:hint="eastAsia"/>
      </w:rPr>
    </w:lvl>
    <w:lvl w:ilvl="8">
      <w:start w:val="1"/>
      <w:numFmt w:val="decimal"/>
      <w:isLgl w:val="false"/>
      <w:suff w:val="tab"/>
      <w:lvlText w:val="%1.%2.%3.%4.%5.%6.%7.%8.%9"/>
      <w:lvlJc w:val="left"/>
      <w:pPr>
        <w:pStyle w:val="901"/>
        <w:ind w:left="5102" w:hanging="1700"/>
      </w:pPr>
      <w:rPr>
        <w:rFonts w:hint="eastAsia"/>
      </w:rPr>
    </w:lvl>
  </w:abstractNum>
  <w:abstractNum w:abstractNumId="2">
    <w:multiLevelType w:val="hybridMultilevel"/>
    <w:lvl w:ilvl="0">
      <w:start w:val="1"/>
      <w:numFmt w:val="decimal"/>
      <w:isLgl w:val="false"/>
      <w:suff w:val="tab"/>
      <w:lvlText w:val="%1."/>
      <w:lvlJc w:val="left"/>
      <w:pPr>
        <w:pStyle w:val="90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nothing"/>
      <w:lvlText w:val="%1、"/>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913"/>
      <w:isLgl w:val="false"/>
      <w:suff w:val="tab"/>
      <w:lvlText w:val=""/>
      <w:lvlJc w:val="left"/>
      <w:pPr>
        <w:pStyle w:val="901"/>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
      <w:numFmt w:val="decimal"/>
      <w:isLgl w:val="false"/>
      <w:suff w:val="tab"/>
      <w:lvlText w:val="%1."/>
      <w:lvlJc w:val="left"/>
      <w:pPr>
        <w:pStyle w:val="9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1"/>
      </w:pPr>
      <w:rPr>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pStyle w:val="90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8"/>
  </w:num>
  <w:num w:numId="4">
    <w:abstractNumId w:val="6"/>
  </w:num>
  <w:num w:numId="5">
    <w:abstractNumId w:val="2"/>
  </w:num>
  <w:num w:numId="6">
    <w:abstractNumId w:val="7"/>
  </w:num>
  <w:num w:numId="7">
    <w:abstractNumId w:val="4"/>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5">
    <w:name w:val="Heading 1"/>
    <w:basedOn w:val="901"/>
    <w:next w:val="901"/>
    <w:link w:val="1058"/>
    <w:uiPriority w:val="9"/>
    <w:qFormat/>
    <w:pPr>
      <w:keepLines/>
      <w:keepNext/>
      <w:spacing w:before="480" w:after="200"/>
      <w:outlineLvl w:val="0"/>
    </w:pPr>
    <w:rPr>
      <w:rFonts w:ascii="Arial" w:hAnsi="Arial" w:eastAsia="Arial" w:cs="Arial"/>
      <w:sz w:val="40"/>
      <w:szCs w:val="40"/>
    </w:rPr>
  </w:style>
  <w:style w:type="paragraph" w:styleId="836">
    <w:name w:val="Heading 2"/>
    <w:basedOn w:val="901"/>
    <w:next w:val="901"/>
    <w:link w:val="1039"/>
    <w:uiPriority w:val="9"/>
    <w:unhideWhenUsed/>
    <w:qFormat/>
    <w:pPr>
      <w:keepLines/>
      <w:keepNext/>
      <w:spacing w:before="360" w:after="200"/>
      <w:outlineLvl w:val="1"/>
    </w:pPr>
    <w:rPr>
      <w:rFonts w:ascii="Arial" w:hAnsi="Arial" w:eastAsia="Arial" w:cs="Arial"/>
      <w:sz w:val="34"/>
    </w:rPr>
  </w:style>
  <w:style w:type="paragraph" w:styleId="837">
    <w:name w:val="Heading 3"/>
    <w:basedOn w:val="901"/>
    <w:next w:val="901"/>
    <w:link w:val="1023"/>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901"/>
    <w:next w:val="901"/>
    <w:link w:val="839"/>
    <w:uiPriority w:val="9"/>
    <w:unhideWhenUsed/>
    <w:qFormat/>
    <w:pPr>
      <w:keepLines/>
      <w:keepNext/>
      <w:spacing w:before="320" w:after="200"/>
      <w:outlineLvl w:val="3"/>
    </w:pPr>
    <w:rPr>
      <w:rFonts w:ascii="Arial" w:hAnsi="Arial" w:eastAsia="Arial" w:cs="Arial"/>
      <w:b/>
      <w:bCs/>
      <w:sz w:val="26"/>
      <w:szCs w:val="26"/>
    </w:rPr>
  </w:style>
  <w:style w:type="character" w:styleId="839">
    <w:name w:val="Heading 4 Char"/>
    <w:link w:val="838"/>
    <w:uiPriority w:val="9"/>
    <w:rPr>
      <w:rFonts w:ascii="Arial" w:hAnsi="Arial" w:eastAsia="Arial" w:cs="Arial"/>
      <w:b/>
      <w:bCs/>
      <w:sz w:val="26"/>
      <w:szCs w:val="26"/>
    </w:rPr>
  </w:style>
  <w:style w:type="paragraph" w:styleId="840">
    <w:name w:val="Heading 5"/>
    <w:basedOn w:val="901"/>
    <w:next w:val="901"/>
    <w:link w:val="841"/>
    <w:uiPriority w:val="9"/>
    <w:unhideWhenUsed/>
    <w:qFormat/>
    <w:pPr>
      <w:keepLines/>
      <w:keepNext/>
      <w:spacing w:before="320" w:after="200"/>
      <w:outlineLvl w:val="4"/>
    </w:pPr>
    <w:rPr>
      <w:rFonts w:ascii="Arial" w:hAnsi="Arial" w:eastAsia="Arial" w:cs="Arial"/>
      <w:b/>
      <w:bCs/>
      <w:sz w:val="24"/>
      <w:szCs w:val="24"/>
    </w:rPr>
  </w:style>
  <w:style w:type="character" w:styleId="841">
    <w:name w:val="Heading 5 Char"/>
    <w:link w:val="840"/>
    <w:uiPriority w:val="9"/>
    <w:rPr>
      <w:rFonts w:ascii="Arial" w:hAnsi="Arial" w:eastAsia="Arial" w:cs="Arial"/>
      <w:b/>
      <w:bCs/>
      <w:sz w:val="24"/>
      <w:szCs w:val="24"/>
    </w:rPr>
  </w:style>
  <w:style w:type="paragraph" w:styleId="842">
    <w:name w:val="Heading 6"/>
    <w:basedOn w:val="901"/>
    <w:next w:val="901"/>
    <w:link w:val="843"/>
    <w:uiPriority w:val="9"/>
    <w:unhideWhenUsed/>
    <w:qFormat/>
    <w:pPr>
      <w:keepLines/>
      <w:keepNext/>
      <w:spacing w:before="320" w:after="200"/>
      <w:outlineLvl w:val="5"/>
    </w:pPr>
    <w:rPr>
      <w:rFonts w:ascii="Arial" w:hAnsi="Arial" w:eastAsia="Arial" w:cs="Arial"/>
      <w:b/>
      <w:bCs/>
      <w:sz w:val="22"/>
      <w:szCs w:val="22"/>
    </w:rPr>
  </w:style>
  <w:style w:type="character" w:styleId="843">
    <w:name w:val="Heading 6 Char"/>
    <w:link w:val="842"/>
    <w:uiPriority w:val="9"/>
    <w:rPr>
      <w:rFonts w:ascii="Arial" w:hAnsi="Arial" w:eastAsia="Arial" w:cs="Arial"/>
      <w:b/>
      <w:bCs/>
      <w:sz w:val="22"/>
      <w:szCs w:val="22"/>
    </w:rPr>
  </w:style>
  <w:style w:type="paragraph" w:styleId="844">
    <w:name w:val="Heading 7"/>
    <w:basedOn w:val="901"/>
    <w:next w:val="901"/>
    <w:link w:val="845"/>
    <w:uiPriority w:val="9"/>
    <w:unhideWhenUsed/>
    <w:qFormat/>
    <w:pPr>
      <w:keepLines/>
      <w:keepNext/>
      <w:spacing w:before="320" w:after="200"/>
      <w:outlineLvl w:val="6"/>
    </w:pPr>
    <w:rPr>
      <w:rFonts w:ascii="Arial" w:hAnsi="Arial" w:eastAsia="Arial" w:cs="Arial"/>
      <w:b/>
      <w:bCs/>
      <w:i/>
      <w:iCs/>
      <w:sz w:val="22"/>
      <w:szCs w:val="22"/>
    </w:rPr>
  </w:style>
  <w:style w:type="character" w:styleId="845">
    <w:name w:val="Heading 7 Char"/>
    <w:link w:val="844"/>
    <w:uiPriority w:val="9"/>
    <w:rPr>
      <w:rFonts w:ascii="Arial" w:hAnsi="Arial" w:eastAsia="Arial" w:cs="Arial"/>
      <w:b/>
      <w:bCs/>
      <w:i/>
      <w:iCs/>
      <w:sz w:val="22"/>
      <w:szCs w:val="22"/>
    </w:rPr>
  </w:style>
  <w:style w:type="paragraph" w:styleId="846">
    <w:name w:val="Heading 8"/>
    <w:basedOn w:val="901"/>
    <w:next w:val="901"/>
    <w:link w:val="847"/>
    <w:uiPriority w:val="9"/>
    <w:unhideWhenUsed/>
    <w:qFormat/>
    <w:pPr>
      <w:keepLines/>
      <w:keepNext/>
      <w:spacing w:before="320" w:after="200"/>
      <w:outlineLvl w:val="7"/>
    </w:pPr>
    <w:rPr>
      <w:rFonts w:ascii="Arial" w:hAnsi="Arial" w:eastAsia="Arial" w:cs="Arial"/>
      <w:i/>
      <w:iCs/>
      <w:sz w:val="22"/>
      <w:szCs w:val="22"/>
    </w:rPr>
  </w:style>
  <w:style w:type="character" w:styleId="847">
    <w:name w:val="Heading 8 Char"/>
    <w:link w:val="846"/>
    <w:uiPriority w:val="9"/>
    <w:rPr>
      <w:rFonts w:ascii="Arial" w:hAnsi="Arial" w:eastAsia="Arial" w:cs="Arial"/>
      <w:i/>
      <w:iCs/>
      <w:sz w:val="22"/>
      <w:szCs w:val="22"/>
    </w:rPr>
  </w:style>
  <w:style w:type="paragraph" w:styleId="848">
    <w:name w:val="Heading 9"/>
    <w:basedOn w:val="901"/>
    <w:next w:val="901"/>
    <w:link w:val="849"/>
    <w:uiPriority w:val="9"/>
    <w:unhideWhenUsed/>
    <w:qFormat/>
    <w:pPr>
      <w:keepLines/>
      <w:keepNext/>
      <w:spacing w:before="320" w:after="200"/>
      <w:outlineLvl w:val="8"/>
    </w:pPr>
    <w:rPr>
      <w:rFonts w:ascii="Arial" w:hAnsi="Arial" w:eastAsia="Arial" w:cs="Arial"/>
      <w:i/>
      <w:iCs/>
      <w:sz w:val="21"/>
      <w:szCs w:val="21"/>
    </w:rPr>
  </w:style>
  <w:style w:type="character" w:styleId="849">
    <w:name w:val="Heading 9 Char"/>
    <w:link w:val="848"/>
    <w:uiPriority w:val="9"/>
    <w:rPr>
      <w:rFonts w:ascii="Arial" w:hAnsi="Arial" w:eastAsia="Arial" w:cs="Arial"/>
      <w:i/>
      <w:iCs/>
      <w:sz w:val="21"/>
      <w:szCs w:val="21"/>
    </w:rPr>
  </w:style>
  <w:style w:type="paragraph" w:styleId="850">
    <w:name w:val="List Paragraph"/>
    <w:basedOn w:val="901"/>
    <w:uiPriority w:val="34"/>
    <w:qFormat/>
    <w:pPr>
      <w:contextualSpacing/>
      <w:ind w:left="720"/>
    </w:pPr>
  </w:style>
  <w:style w:type="paragraph" w:styleId="851">
    <w:name w:val="No Spacing"/>
    <w:uiPriority w:val="1"/>
    <w:qFormat/>
    <w:pPr>
      <w:spacing w:before="0" w:after="0" w:line="240" w:lineRule="auto"/>
    </w:pPr>
  </w:style>
  <w:style w:type="paragraph" w:styleId="852">
    <w:name w:val="Title"/>
    <w:basedOn w:val="901"/>
    <w:next w:val="901"/>
    <w:link w:val="853"/>
    <w:uiPriority w:val="10"/>
    <w:qFormat/>
    <w:pPr>
      <w:contextualSpacing/>
      <w:spacing w:before="300" w:after="200"/>
    </w:pPr>
    <w:rPr>
      <w:sz w:val="48"/>
      <w:szCs w:val="48"/>
    </w:rPr>
  </w:style>
  <w:style w:type="character" w:styleId="853">
    <w:name w:val="Title Char"/>
    <w:link w:val="852"/>
    <w:uiPriority w:val="10"/>
    <w:rPr>
      <w:sz w:val="48"/>
      <w:szCs w:val="48"/>
    </w:rPr>
  </w:style>
  <w:style w:type="paragraph" w:styleId="854">
    <w:name w:val="Subtitle"/>
    <w:basedOn w:val="901"/>
    <w:next w:val="901"/>
    <w:link w:val="855"/>
    <w:uiPriority w:val="11"/>
    <w:qFormat/>
    <w:pPr>
      <w:spacing w:before="200" w:after="200"/>
    </w:pPr>
    <w:rPr>
      <w:sz w:val="24"/>
      <w:szCs w:val="24"/>
    </w:rPr>
  </w:style>
  <w:style w:type="character" w:styleId="855">
    <w:name w:val="Subtitle Char"/>
    <w:link w:val="854"/>
    <w:uiPriority w:val="11"/>
    <w:rPr>
      <w:sz w:val="24"/>
      <w:szCs w:val="24"/>
    </w:rPr>
  </w:style>
  <w:style w:type="paragraph" w:styleId="856">
    <w:name w:val="Quote"/>
    <w:basedOn w:val="901"/>
    <w:next w:val="901"/>
    <w:link w:val="857"/>
    <w:uiPriority w:val="29"/>
    <w:qFormat/>
    <w:pPr>
      <w:ind w:left="720" w:right="720"/>
    </w:pPr>
    <w:rPr>
      <w:i/>
    </w:rPr>
  </w:style>
  <w:style w:type="character" w:styleId="857">
    <w:name w:val="Quote Char"/>
    <w:link w:val="856"/>
    <w:uiPriority w:val="29"/>
    <w:rPr>
      <w:i/>
    </w:rPr>
  </w:style>
  <w:style w:type="paragraph" w:styleId="858">
    <w:name w:val="Intense Quote"/>
    <w:basedOn w:val="901"/>
    <w:next w:val="901"/>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name w:val="Intense Quote Char"/>
    <w:link w:val="858"/>
    <w:uiPriority w:val="30"/>
    <w:rPr>
      <w:i/>
    </w:rPr>
  </w:style>
  <w:style w:type="paragraph" w:styleId="860">
    <w:name w:val="Header"/>
    <w:basedOn w:val="901"/>
    <w:link w:val="1043"/>
    <w:uiPriority w:val="99"/>
    <w:unhideWhenUsed/>
    <w:pPr>
      <w:spacing w:after="0" w:line="240" w:lineRule="auto"/>
      <w:tabs>
        <w:tab w:val="center" w:pos="7143" w:leader="none"/>
        <w:tab w:val="right" w:pos="14287" w:leader="none"/>
      </w:tabs>
    </w:pPr>
  </w:style>
  <w:style w:type="paragraph" w:styleId="861">
    <w:name w:val="Footer"/>
    <w:basedOn w:val="901"/>
    <w:link w:val="1119"/>
    <w:uiPriority w:val="99"/>
    <w:unhideWhenUsed/>
    <w:pPr>
      <w:spacing w:after="0" w:line="240" w:lineRule="auto"/>
      <w:tabs>
        <w:tab w:val="center" w:pos="7143" w:leader="none"/>
        <w:tab w:val="right" w:pos="14287" w:leader="none"/>
      </w:tabs>
    </w:pPr>
  </w:style>
  <w:style w:type="paragraph" w:styleId="862">
    <w:name w:val="Caption"/>
    <w:basedOn w:val="901"/>
    <w:next w:val="901"/>
    <w:uiPriority w:val="35"/>
    <w:semiHidden/>
    <w:unhideWhenUsed/>
    <w:qFormat/>
    <w:pPr>
      <w:spacing w:line="276" w:lineRule="auto"/>
    </w:pPr>
    <w:rPr>
      <w:b/>
      <w:bCs/>
      <w:color w:val="4f81bd" w:themeColor="accent1"/>
      <w:sz w:val="18"/>
      <w:szCs w:val="18"/>
    </w:rPr>
  </w:style>
  <w:style w:type="table" w:styleId="8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83">
    <w:name w:val="Hyperlink"/>
    <w:uiPriority w:val="99"/>
    <w:unhideWhenUsed/>
    <w:rPr>
      <w:color w:val="0000ff" w:themeColor="hyperlink"/>
      <w:u w:val="single"/>
    </w:rPr>
  </w:style>
  <w:style w:type="paragraph" w:styleId="884">
    <w:name w:val="footnote text"/>
    <w:basedOn w:val="901"/>
    <w:link w:val="885"/>
    <w:uiPriority w:val="99"/>
    <w:semiHidden/>
    <w:unhideWhenUsed/>
    <w:pPr>
      <w:spacing w:after="40" w:line="240" w:lineRule="auto"/>
    </w:pPr>
    <w:rPr>
      <w:sz w:val="18"/>
    </w:rPr>
  </w:style>
  <w:style w:type="character" w:styleId="885">
    <w:name w:val="Footnote Text Char"/>
    <w:link w:val="884"/>
    <w:uiPriority w:val="99"/>
    <w:rPr>
      <w:sz w:val="18"/>
    </w:rPr>
  </w:style>
  <w:style w:type="character" w:styleId="886">
    <w:name w:val="footnote reference"/>
    <w:uiPriority w:val="99"/>
    <w:unhideWhenUsed/>
    <w:rPr>
      <w:vertAlign w:val="superscript"/>
    </w:rPr>
  </w:style>
  <w:style w:type="paragraph" w:styleId="887">
    <w:name w:val="endnote text"/>
    <w:basedOn w:val="901"/>
    <w:link w:val="888"/>
    <w:uiPriority w:val="99"/>
    <w:semiHidden/>
    <w:unhideWhenUsed/>
    <w:pPr>
      <w:spacing w:after="0" w:line="240" w:lineRule="auto"/>
    </w:pPr>
    <w:rPr>
      <w:sz w:val="20"/>
    </w:rPr>
  </w:style>
  <w:style w:type="character" w:styleId="888">
    <w:name w:val="Endnote Text Char"/>
    <w:link w:val="887"/>
    <w:uiPriority w:val="99"/>
    <w:rPr>
      <w:sz w:val="20"/>
    </w:rPr>
  </w:style>
  <w:style w:type="character" w:styleId="889">
    <w:name w:val="endnote reference"/>
    <w:uiPriority w:val="99"/>
    <w:semiHidden/>
    <w:unhideWhenUsed/>
    <w:rPr>
      <w:vertAlign w:val="superscript"/>
    </w:rPr>
  </w:style>
  <w:style w:type="paragraph" w:styleId="890">
    <w:name w:val="toc 1"/>
    <w:basedOn w:val="901"/>
    <w:next w:val="901"/>
    <w:uiPriority w:val="39"/>
    <w:unhideWhenUsed/>
    <w:pPr>
      <w:ind w:left="0" w:right="0" w:firstLine="0"/>
      <w:spacing w:after="57"/>
    </w:pPr>
  </w:style>
  <w:style w:type="paragraph" w:styleId="891">
    <w:name w:val="toc 2"/>
    <w:basedOn w:val="901"/>
    <w:next w:val="901"/>
    <w:uiPriority w:val="39"/>
    <w:unhideWhenUsed/>
    <w:pPr>
      <w:ind w:left="283" w:right="0" w:firstLine="0"/>
      <w:spacing w:after="57"/>
    </w:pPr>
  </w:style>
  <w:style w:type="paragraph" w:styleId="892">
    <w:name w:val="toc 3"/>
    <w:basedOn w:val="901"/>
    <w:next w:val="901"/>
    <w:uiPriority w:val="39"/>
    <w:unhideWhenUsed/>
    <w:pPr>
      <w:ind w:left="567" w:right="0" w:firstLine="0"/>
      <w:spacing w:after="57"/>
    </w:pPr>
  </w:style>
  <w:style w:type="paragraph" w:styleId="893">
    <w:name w:val="toc 4"/>
    <w:basedOn w:val="901"/>
    <w:next w:val="901"/>
    <w:uiPriority w:val="39"/>
    <w:unhideWhenUsed/>
    <w:pPr>
      <w:ind w:left="850" w:right="0" w:firstLine="0"/>
      <w:spacing w:after="57"/>
    </w:pPr>
  </w:style>
  <w:style w:type="paragraph" w:styleId="894">
    <w:name w:val="toc 5"/>
    <w:basedOn w:val="901"/>
    <w:next w:val="901"/>
    <w:uiPriority w:val="39"/>
    <w:unhideWhenUsed/>
    <w:pPr>
      <w:ind w:left="1134" w:right="0" w:firstLine="0"/>
      <w:spacing w:after="57"/>
    </w:pPr>
  </w:style>
  <w:style w:type="paragraph" w:styleId="895">
    <w:name w:val="toc 6"/>
    <w:basedOn w:val="901"/>
    <w:next w:val="901"/>
    <w:uiPriority w:val="39"/>
    <w:unhideWhenUsed/>
    <w:pPr>
      <w:ind w:left="1417" w:right="0" w:firstLine="0"/>
      <w:spacing w:after="57"/>
    </w:pPr>
  </w:style>
  <w:style w:type="paragraph" w:styleId="896">
    <w:name w:val="toc 7"/>
    <w:basedOn w:val="901"/>
    <w:next w:val="901"/>
    <w:uiPriority w:val="39"/>
    <w:unhideWhenUsed/>
    <w:pPr>
      <w:ind w:left="1701" w:right="0" w:firstLine="0"/>
      <w:spacing w:after="57"/>
    </w:pPr>
  </w:style>
  <w:style w:type="paragraph" w:styleId="897">
    <w:name w:val="toc 8"/>
    <w:basedOn w:val="901"/>
    <w:next w:val="901"/>
    <w:uiPriority w:val="39"/>
    <w:unhideWhenUsed/>
    <w:pPr>
      <w:ind w:left="1984" w:right="0" w:firstLine="0"/>
      <w:spacing w:after="57"/>
    </w:pPr>
  </w:style>
  <w:style w:type="paragraph" w:styleId="898">
    <w:name w:val="toc 9"/>
    <w:basedOn w:val="901"/>
    <w:next w:val="901"/>
    <w:uiPriority w:val="39"/>
    <w:unhideWhenUsed/>
    <w:pPr>
      <w:ind w:left="2268" w:right="0" w:firstLine="0"/>
      <w:spacing w:after="57"/>
    </w:pPr>
  </w:style>
  <w:style w:type="paragraph" w:styleId="899">
    <w:name w:val="TOC Heading"/>
    <w:uiPriority w:val="39"/>
    <w:unhideWhenUsed/>
  </w:style>
  <w:style w:type="paragraph" w:styleId="900">
    <w:name w:val="table of figures"/>
    <w:basedOn w:val="901"/>
    <w:next w:val="901"/>
    <w:uiPriority w:val="99"/>
    <w:unhideWhenUsed/>
    <w:pPr>
      <w:spacing w:after="0" w:afterAutospacing="0"/>
    </w:pPr>
  </w:style>
  <w:style w:type="paragraph" w:styleId="901" w:default="1">
    <w:name w:val="Normal"/>
    <w:next w:val="913"/>
    <w:link w:val="901"/>
    <w:qFormat/>
    <w:pPr>
      <w:jc w:val="both"/>
      <w:widowControl w:val="off"/>
    </w:pPr>
    <w:rPr>
      <w:rFonts w:ascii="Calibri" w:hAnsi="Calibri"/>
      <w:sz w:val="21"/>
      <w:szCs w:val="22"/>
      <w:lang w:val="en-US" w:eastAsia="zh-CN" w:bidi="ar-SA"/>
    </w:rPr>
  </w:style>
  <w:style w:type="paragraph" w:styleId="902">
    <w:name w:val="标题 1"/>
    <w:basedOn w:val="901"/>
    <w:next w:val="901"/>
    <w:link w:val="901"/>
    <w:uiPriority w:val="9"/>
    <w:qFormat/>
    <w:pPr>
      <w:keepLines/>
      <w:keepNext/>
      <w:spacing w:before="340" w:after="330" w:line="578" w:lineRule="auto"/>
      <w:outlineLvl w:val="0"/>
    </w:pPr>
    <w:rPr>
      <w:b/>
      <w:bCs/>
      <w:sz w:val="44"/>
      <w:szCs w:val="44"/>
    </w:rPr>
  </w:style>
  <w:style w:type="paragraph" w:styleId="903">
    <w:name w:val="标题 2"/>
    <w:basedOn w:val="901"/>
    <w:next w:val="901"/>
    <w:link w:val="901"/>
    <w:qFormat/>
    <w:pPr>
      <w:jc w:val="center"/>
      <w:keepLines/>
      <w:keepNext/>
      <w:spacing w:before="260" w:after="260" w:line="416" w:lineRule="auto"/>
      <w:outlineLvl w:val="1"/>
    </w:pPr>
    <w:rPr>
      <w:rFonts w:ascii="Arial" w:hAnsi="Arial" w:eastAsia="幼圆" w:cs="Arial"/>
      <w:b/>
      <w:bCs/>
      <w:sz w:val="44"/>
      <w:szCs w:val="44"/>
    </w:rPr>
  </w:style>
  <w:style w:type="paragraph" w:styleId="904">
    <w:name w:val="标题 3"/>
    <w:basedOn w:val="901"/>
    <w:next w:val="901"/>
    <w:link w:val="901"/>
    <w:qFormat/>
    <w:pPr>
      <w:keepLines/>
      <w:keepNext/>
      <w:spacing w:before="260" w:after="260" w:line="416" w:lineRule="auto"/>
      <w:outlineLvl w:val="2"/>
    </w:pPr>
    <w:rPr>
      <w:b/>
      <w:bCs/>
      <w:sz w:val="32"/>
      <w:szCs w:val="32"/>
    </w:rPr>
  </w:style>
  <w:style w:type="paragraph" w:styleId="905">
    <w:name w:val="标题 4"/>
    <w:basedOn w:val="901"/>
    <w:next w:val="901"/>
    <w:link w:val="914"/>
    <w:uiPriority w:val="9"/>
    <w:qFormat/>
    <w:pPr>
      <w:keepLines/>
      <w:keepNext/>
      <w:spacing w:before="320" w:after="200"/>
      <w:outlineLvl w:val="3"/>
    </w:pPr>
    <w:rPr>
      <w:rFonts w:ascii="Arial" w:hAnsi="Arial" w:eastAsia="Arial" w:cs="Arial"/>
      <w:b/>
      <w:bCs/>
      <w:sz w:val="26"/>
      <w:szCs w:val="26"/>
    </w:rPr>
  </w:style>
  <w:style w:type="paragraph" w:styleId="906">
    <w:name w:val="标题 5"/>
    <w:basedOn w:val="901"/>
    <w:next w:val="901"/>
    <w:link w:val="915"/>
    <w:uiPriority w:val="9"/>
    <w:qFormat/>
    <w:pPr>
      <w:keepLines/>
      <w:keepNext/>
      <w:spacing w:before="320" w:after="200"/>
      <w:outlineLvl w:val="4"/>
    </w:pPr>
    <w:rPr>
      <w:rFonts w:ascii="Arial" w:hAnsi="Arial" w:eastAsia="Arial" w:cs="Arial"/>
      <w:b/>
      <w:bCs/>
      <w:sz w:val="24"/>
      <w:szCs w:val="24"/>
    </w:rPr>
  </w:style>
  <w:style w:type="paragraph" w:styleId="907">
    <w:name w:val="标题 6"/>
    <w:basedOn w:val="901"/>
    <w:next w:val="901"/>
    <w:link w:val="916"/>
    <w:uiPriority w:val="9"/>
    <w:qFormat/>
    <w:pPr>
      <w:keepLines/>
      <w:keepNext/>
      <w:spacing w:before="320" w:after="200"/>
      <w:outlineLvl w:val="5"/>
    </w:pPr>
    <w:rPr>
      <w:rFonts w:ascii="Arial" w:hAnsi="Arial" w:eastAsia="Arial" w:cs="Arial"/>
      <w:b/>
      <w:bCs/>
      <w:sz w:val="22"/>
    </w:rPr>
  </w:style>
  <w:style w:type="paragraph" w:styleId="908">
    <w:name w:val="标题 7"/>
    <w:basedOn w:val="901"/>
    <w:next w:val="901"/>
    <w:link w:val="917"/>
    <w:uiPriority w:val="9"/>
    <w:qFormat/>
    <w:pPr>
      <w:keepLines/>
      <w:keepNext/>
      <w:spacing w:before="320" w:after="200"/>
      <w:outlineLvl w:val="6"/>
    </w:pPr>
    <w:rPr>
      <w:rFonts w:ascii="Arial" w:hAnsi="Arial" w:eastAsia="Arial" w:cs="Arial"/>
      <w:b/>
      <w:bCs/>
      <w:i/>
      <w:iCs/>
      <w:sz w:val="22"/>
    </w:rPr>
  </w:style>
  <w:style w:type="paragraph" w:styleId="909">
    <w:name w:val="标题 8"/>
    <w:basedOn w:val="901"/>
    <w:next w:val="901"/>
    <w:link w:val="918"/>
    <w:uiPriority w:val="9"/>
    <w:qFormat/>
    <w:pPr>
      <w:keepLines/>
      <w:keepNext/>
      <w:spacing w:before="320" w:after="200"/>
      <w:outlineLvl w:val="7"/>
    </w:pPr>
    <w:rPr>
      <w:rFonts w:ascii="Arial" w:hAnsi="Arial" w:eastAsia="Arial" w:cs="Arial"/>
      <w:i/>
      <w:iCs/>
      <w:sz w:val="22"/>
    </w:rPr>
  </w:style>
  <w:style w:type="paragraph" w:styleId="910">
    <w:name w:val="标题 9"/>
    <w:basedOn w:val="901"/>
    <w:next w:val="901"/>
    <w:link w:val="919"/>
    <w:uiPriority w:val="9"/>
    <w:qFormat/>
    <w:pPr>
      <w:keepLines/>
      <w:keepNext/>
      <w:spacing w:before="320" w:after="200"/>
      <w:outlineLvl w:val="8"/>
    </w:pPr>
    <w:rPr>
      <w:rFonts w:ascii="Arial" w:hAnsi="Arial" w:eastAsia="Arial" w:cs="Arial"/>
      <w:i/>
      <w:iCs/>
      <w:szCs w:val="21"/>
    </w:rPr>
  </w:style>
  <w:style w:type="character" w:styleId="911">
    <w:name w:val="默认段落字体"/>
    <w:next w:val="911"/>
    <w:link w:val="901"/>
    <w:uiPriority w:val="1"/>
    <w:unhideWhenUsed/>
    <w:qFormat/>
  </w:style>
  <w:style w:type="table" w:styleId="912">
    <w:name w:val="普通表格"/>
    <w:next w:val="912"/>
    <w:link w:val="901"/>
    <w:uiPriority w:val="99"/>
    <w:unhideWhenUsed/>
    <w:qFormat/>
    <w:tblPr/>
  </w:style>
  <w:style w:type="paragraph" w:styleId="913">
    <w:name w:val="列表项目符号 2"/>
    <w:basedOn w:val="901"/>
    <w:next w:val="913"/>
    <w:link w:val="901"/>
    <w:uiPriority w:val="99"/>
    <w:unhideWhenUsed/>
    <w:pPr>
      <w:numPr>
        <w:ilvl w:val="0"/>
        <w:numId w:val="1"/>
      </w:numPr>
      <w:tabs>
        <w:tab w:val="left" w:pos="780" w:leader="none"/>
      </w:tabs>
    </w:pPr>
  </w:style>
  <w:style w:type="character" w:styleId="914">
    <w:name w:val="标题 4 字符"/>
    <w:next w:val="914"/>
    <w:link w:val="905"/>
    <w:uiPriority w:val="9"/>
    <w:qFormat/>
    <w:rPr>
      <w:rFonts w:ascii="Arial" w:hAnsi="Arial" w:eastAsia="Arial" w:cs="Arial"/>
      <w:b/>
      <w:bCs/>
      <w:sz w:val="26"/>
      <w:szCs w:val="26"/>
    </w:rPr>
  </w:style>
  <w:style w:type="character" w:styleId="915">
    <w:name w:val="标题 5 字符"/>
    <w:next w:val="915"/>
    <w:link w:val="906"/>
    <w:uiPriority w:val="9"/>
    <w:qFormat/>
    <w:rPr>
      <w:rFonts w:ascii="Arial" w:hAnsi="Arial" w:eastAsia="Arial" w:cs="Arial"/>
      <w:b/>
      <w:bCs/>
      <w:sz w:val="24"/>
      <w:szCs w:val="24"/>
    </w:rPr>
  </w:style>
  <w:style w:type="character" w:styleId="916">
    <w:name w:val="标题 6 字符"/>
    <w:next w:val="916"/>
    <w:link w:val="907"/>
    <w:uiPriority w:val="9"/>
    <w:qFormat/>
    <w:rPr>
      <w:rFonts w:ascii="Arial" w:hAnsi="Arial" w:eastAsia="Arial" w:cs="Arial"/>
      <w:b/>
      <w:bCs/>
      <w:sz w:val="22"/>
      <w:szCs w:val="22"/>
    </w:rPr>
  </w:style>
  <w:style w:type="character" w:styleId="917">
    <w:name w:val="标题 7 字符"/>
    <w:next w:val="917"/>
    <w:link w:val="908"/>
    <w:uiPriority w:val="9"/>
    <w:qFormat/>
    <w:rPr>
      <w:rFonts w:ascii="Arial" w:hAnsi="Arial" w:eastAsia="Arial" w:cs="Arial"/>
      <w:b/>
      <w:bCs/>
      <w:i/>
      <w:iCs/>
      <w:sz w:val="22"/>
      <w:szCs w:val="22"/>
    </w:rPr>
  </w:style>
  <w:style w:type="character" w:styleId="918">
    <w:name w:val="标题 8 字符"/>
    <w:next w:val="918"/>
    <w:link w:val="909"/>
    <w:uiPriority w:val="9"/>
    <w:qFormat/>
    <w:rPr>
      <w:rFonts w:ascii="Arial" w:hAnsi="Arial" w:eastAsia="Arial" w:cs="Arial"/>
      <w:i/>
      <w:iCs/>
      <w:sz w:val="22"/>
      <w:szCs w:val="22"/>
    </w:rPr>
  </w:style>
  <w:style w:type="character" w:styleId="919">
    <w:name w:val="标题 9 字符"/>
    <w:next w:val="919"/>
    <w:link w:val="910"/>
    <w:uiPriority w:val="9"/>
    <w:qFormat/>
    <w:rPr>
      <w:rFonts w:ascii="Arial" w:hAnsi="Arial" w:eastAsia="Arial" w:cs="Arial"/>
      <w:i/>
      <w:iCs/>
      <w:sz w:val="21"/>
      <w:szCs w:val="21"/>
    </w:rPr>
  </w:style>
  <w:style w:type="paragraph" w:styleId="920">
    <w:name w:val="目录 7"/>
    <w:basedOn w:val="901"/>
    <w:next w:val="901"/>
    <w:link w:val="901"/>
    <w:uiPriority w:val="39"/>
    <w:unhideWhenUsed/>
    <w:qFormat/>
    <w:pPr>
      <w:ind w:left="1701"/>
      <w:spacing w:after="57"/>
    </w:pPr>
  </w:style>
  <w:style w:type="paragraph" w:styleId="921">
    <w:name w:val="引文目录"/>
    <w:basedOn w:val="901"/>
    <w:next w:val="901"/>
    <w:link w:val="901"/>
    <w:qFormat/>
    <w:pPr>
      <w:ind w:left="420" w:firstLine="200"/>
      <w:spacing w:line="360" w:lineRule="auto"/>
    </w:pPr>
    <w:rPr>
      <w:rFonts w:ascii="Times New Roman" w:hAnsi="Times New Roman"/>
      <w:sz w:val="24"/>
      <w:szCs w:val="24"/>
    </w:rPr>
  </w:style>
  <w:style w:type="paragraph" w:styleId="922">
    <w:name w:val="正文缩进"/>
    <w:basedOn w:val="901"/>
    <w:next w:val="922"/>
    <w:link w:val="901"/>
    <w:unhideWhenUsed/>
    <w:qFormat/>
    <w:pPr>
      <w:ind w:firstLine="420"/>
    </w:pPr>
  </w:style>
  <w:style w:type="paragraph" w:styleId="923">
    <w:name w:val="题注"/>
    <w:basedOn w:val="901"/>
    <w:next w:val="901"/>
    <w:link w:val="901"/>
    <w:uiPriority w:val="35"/>
    <w:qFormat/>
    <w:pPr>
      <w:spacing w:line="276" w:lineRule="auto"/>
    </w:pPr>
    <w:rPr>
      <w:b/>
      <w:bCs/>
      <w:color w:val="5b9bd5"/>
      <w:sz w:val="18"/>
      <w:szCs w:val="18"/>
    </w:rPr>
  </w:style>
  <w:style w:type="paragraph" w:styleId="924">
    <w:name w:val="批注文字"/>
    <w:basedOn w:val="901"/>
    <w:next w:val="924"/>
    <w:link w:val="925"/>
    <w:qFormat/>
    <w:pPr>
      <w:jc w:val="left"/>
    </w:pPr>
  </w:style>
  <w:style w:type="character" w:styleId="925">
    <w:name w:val="批注文字 字符"/>
    <w:next w:val="925"/>
    <w:link w:val="924"/>
    <w:qFormat/>
    <w:rPr>
      <w:rFonts w:ascii="Calibri" w:hAnsi="Calibri"/>
      <w:sz w:val="21"/>
      <w:szCs w:val="22"/>
    </w:rPr>
  </w:style>
  <w:style w:type="paragraph" w:styleId="926">
    <w:name w:val="正文文本"/>
    <w:basedOn w:val="901"/>
    <w:next w:val="926"/>
    <w:link w:val="901"/>
    <w:qFormat/>
    <w:rPr>
      <w:rFonts w:ascii="楷体_GB2312" w:hAnsi="Arial" w:eastAsia="楷体_GB2312"/>
      <w:sz w:val="28"/>
      <w:szCs w:val="28"/>
    </w:rPr>
  </w:style>
  <w:style w:type="paragraph" w:styleId="927">
    <w:name w:val="正文文本缩进"/>
    <w:basedOn w:val="901"/>
    <w:next w:val="901"/>
    <w:link w:val="901"/>
    <w:qFormat/>
    <w:pPr>
      <w:ind w:left="420"/>
      <w:spacing w:after="120"/>
    </w:pPr>
    <w:rPr>
      <w:rFonts w:ascii="等线" w:hAnsi="等线" w:eastAsia="等线"/>
    </w:rPr>
  </w:style>
  <w:style w:type="paragraph" w:styleId="928">
    <w:name w:val="索引 4"/>
    <w:basedOn w:val="901"/>
    <w:next w:val="901"/>
    <w:link w:val="901"/>
    <w:uiPriority w:val="99"/>
    <w:qFormat/>
    <w:pPr>
      <w:ind w:left="600"/>
    </w:pPr>
    <w:rPr>
      <w:rFonts w:ascii="Verdana" w:hAnsi="Verdana"/>
      <w:szCs w:val="20"/>
    </w:rPr>
  </w:style>
  <w:style w:type="paragraph" w:styleId="929">
    <w:name w:val="目录 5"/>
    <w:basedOn w:val="901"/>
    <w:next w:val="901"/>
    <w:link w:val="901"/>
    <w:uiPriority w:val="39"/>
    <w:unhideWhenUsed/>
    <w:qFormat/>
    <w:pPr>
      <w:ind w:left="1134"/>
      <w:spacing w:after="57"/>
    </w:pPr>
  </w:style>
  <w:style w:type="paragraph" w:styleId="930">
    <w:name w:val="目录 3"/>
    <w:basedOn w:val="901"/>
    <w:next w:val="901"/>
    <w:link w:val="901"/>
    <w:uiPriority w:val="39"/>
    <w:unhideWhenUsed/>
    <w:qFormat/>
    <w:pPr>
      <w:ind w:left="567"/>
      <w:spacing w:after="57"/>
    </w:pPr>
  </w:style>
  <w:style w:type="paragraph" w:styleId="931">
    <w:name w:val="纯文本"/>
    <w:basedOn w:val="901"/>
    <w:next w:val="931"/>
    <w:link w:val="901"/>
    <w:uiPriority w:val="99"/>
    <w:qFormat/>
    <w:rPr>
      <w:rFonts w:ascii="宋体" w:hAnsi="Courier New"/>
      <w:sz w:val="20"/>
      <w:szCs w:val="21"/>
    </w:rPr>
  </w:style>
  <w:style w:type="paragraph" w:styleId="932">
    <w:name w:val="目录 8"/>
    <w:basedOn w:val="901"/>
    <w:next w:val="901"/>
    <w:link w:val="901"/>
    <w:uiPriority w:val="39"/>
    <w:unhideWhenUsed/>
    <w:qFormat/>
    <w:pPr>
      <w:ind w:left="1984"/>
      <w:spacing w:after="57"/>
    </w:pPr>
  </w:style>
  <w:style w:type="paragraph" w:styleId="933">
    <w:name w:val="正文文本缩进 2"/>
    <w:basedOn w:val="901"/>
    <w:next w:val="933"/>
    <w:link w:val="901"/>
    <w:uiPriority w:val="99"/>
    <w:unhideWhenUsed/>
    <w:qFormat/>
    <w:pPr>
      <w:ind w:firstLine="510"/>
      <w:spacing w:line="520" w:lineRule="exact"/>
    </w:pPr>
    <w:rPr>
      <w:rFonts w:ascii="儷宋 Pro" w:eastAsia="儷宋 Pro"/>
      <w:sz w:val="28"/>
      <w:szCs w:val="20"/>
    </w:rPr>
  </w:style>
  <w:style w:type="paragraph" w:styleId="934">
    <w:name w:val="尾注文本"/>
    <w:basedOn w:val="901"/>
    <w:next w:val="934"/>
    <w:link w:val="935"/>
    <w:uiPriority w:val="99"/>
    <w:unhideWhenUsed/>
    <w:qFormat/>
    <w:rPr>
      <w:sz w:val="20"/>
    </w:rPr>
  </w:style>
  <w:style w:type="character" w:styleId="935">
    <w:name w:val="尾注文本 字符"/>
    <w:next w:val="935"/>
    <w:link w:val="934"/>
    <w:uiPriority w:val="99"/>
    <w:qFormat/>
    <w:rPr>
      <w:sz w:val="20"/>
    </w:rPr>
  </w:style>
  <w:style w:type="paragraph" w:styleId="936">
    <w:name w:val="批注框文本"/>
    <w:basedOn w:val="901"/>
    <w:next w:val="936"/>
    <w:link w:val="937"/>
    <w:qFormat/>
    <w:rPr>
      <w:sz w:val="18"/>
      <w:szCs w:val="18"/>
    </w:rPr>
  </w:style>
  <w:style w:type="character" w:styleId="937">
    <w:name w:val="批注框文本 字符"/>
    <w:next w:val="937"/>
    <w:link w:val="936"/>
    <w:qFormat/>
    <w:rPr>
      <w:sz w:val="18"/>
      <w:szCs w:val="18"/>
    </w:rPr>
  </w:style>
  <w:style w:type="paragraph" w:styleId="938">
    <w:name w:val="页脚"/>
    <w:basedOn w:val="901"/>
    <w:next w:val="938"/>
    <w:link w:val="901"/>
    <w:uiPriority w:val="99"/>
    <w:unhideWhenUsed/>
    <w:qFormat/>
    <w:pPr>
      <w:jc w:val="left"/>
      <w:tabs>
        <w:tab w:val="center" w:pos="4153" w:leader="none"/>
        <w:tab w:val="right" w:pos="8306" w:leader="none"/>
      </w:tabs>
    </w:pPr>
    <w:rPr>
      <w:sz w:val="18"/>
      <w:szCs w:val="18"/>
    </w:rPr>
  </w:style>
  <w:style w:type="paragraph" w:styleId="939">
    <w:name w:val="寄信人地址"/>
    <w:basedOn w:val="901"/>
    <w:next w:val="939"/>
    <w:link w:val="901"/>
    <w:uiPriority w:val="99"/>
    <w:unhideWhenUsed/>
    <w:qFormat/>
    <w:rPr>
      <w:rFonts w:ascii="Arial" w:hAnsi="Arial"/>
    </w:rPr>
  </w:style>
  <w:style w:type="paragraph" w:styleId="940">
    <w:name w:val="页眉"/>
    <w:basedOn w:val="901"/>
    <w:next w:val="940"/>
    <w:link w:val="901"/>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41">
    <w:name w:val="目录 1"/>
    <w:basedOn w:val="901"/>
    <w:next w:val="901"/>
    <w:link w:val="901"/>
    <w:uiPriority w:val="39"/>
    <w:unhideWhenUsed/>
    <w:qFormat/>
  </w:style>
  <w:style w:type="paragraph" w:styleId="942">
    <w:name w:val="目录 4"/>
    <w:basedOn w:val="901"/>
    <w:next w:val="901"/>
    <w:link w:val="901"/>
    <w:uiPriority w:val="39"/>
    <w:unhideWhenUsed/>
    <w:qFormat/>
    <w:pPr>
      <w:ind w:left="850"/>
      <w:spacing w:after="57"/>
    </w:pPr>
  </w:style>
  <w:style w:type="paragraph" w:styleId="943">
    <w:name w:val="副标题"/>
    <w:basedOn w:val="901"/>
    <w:next w:val="901"/>
    <w:link w:val="944"/>
    <w:uiPriority w:val="11"/>
    <w:qFormat/>
    <w:pPr>
      <w:spacing w:before="200" w:after="200"/>
    </w:pPr>
    <w:rPr>
      <w:sz w:val="24"/>
      <w:szCs w:val="24"/>
    </w:rPr>
  </w:style>
  <w:style w:type="character" w:styleId="944">
    <w:name w:val="副标题 字符"/>
    <w:next w:val="944"/>
    <w:link w:val="943"/>
    <w:uiPriority w:val="11"/>
    <w:qFormat/>
    <w:rPr>
      <w:sz w:val="24"/>
      <w:szCs w:val="24"/>
    </w:rPr>
  </w:style>
  <w:style w:type="paragraph" w:styleId="945">
    <w:name w:val="脚注文本"/>
    <w:basedOn w:val="901"/>
    <w:next w:val="945"/>
    <w:link w:val="946"/>
    <w:uiPriority w:val="99"/>
    <w:unhideWhenUsed/>
    <w:qFormat/>
    <w:pPr>
      <w:spacing w:after="40"/>
    </w:pPr>
    <w:rPr>
      <w:sz w:val="18"/>
    </w:rPr>
  </w:style>
  <w:style w:type="character" w:styleId="946">
    <w:name w:val="脚注文本 字符"/>
    <w:next w:val="946"/>
    <w:link w:val="945"/>
    <w:uiPriority w:val="99"/>
    <w:qFormat/>
    <w:rPr>
      <w:sz w:val="18"/>
    </w:rPr>
  </w:style>
  <w:style w:type="paragraph" w:styleId="947">
    <w:name w:val="目录 6"/>
    <w:basedOn w:val="901"/>
    <w:next w:val="901"/>
    <w:link w:val="901"/>
    <w:uiPriority w:val="39"/>
    <w:unhideWhenUsed/>
    <w:qFormat/>
    <w:pPr>
      <w:ind w:left="1417"/>
      <w:spacing w:after="57"/>
    </w:pPr>
  </w:style>
  <w:style w:type="paragraph" w:styleId="948">
    <w:name w:val="图表目录"/>
    <w:basedOn w:val="901"/>
    <w:next w:val="901"/>
    <w:link w:val="901"/>
    <w:uiPriority w:val="99"/>
    <w:unhideWhenUsed/>
    <w:qFormat/>
  </w:style>
  <w:style w:type="paragraph" w:styleId="949">
    <w:name w:val="目录 2"/>
    <w:basedOn w:val="901"/>
    <w:next w:val="901"/>
    <w:link w:val="901"/>
    <w:uiPriority w:val="39"/>
    <w:unhideWhenUsed/>
    <w:qFormat/>
    <w:pPr>
      <w:ind w:left="283"/>
      <w:spacing w:after="57"/>
    </w:pPr>
  </w:style>
  <w:style w:type="paragraph" w:styleId="950">
    <w:name w:val="目录 9"/>
    <w:basedOn w:val="901"/>
    <w:next w:val="901"/>
    <w:link w:val="901"/>
    <w:uiPriority w:val="39"/>
    <w:unhideWhenUsed/>
    <w:qFormat/>
    <w:pPr>
      <w:ind w:left="2268"/>
      <w:spacing w:after="57"/>
    </w:pPr>
  </w:style>
  <w:style w:type="paragraph" w:styleId="951">
    <w:name w:val="正文文本 2"/>
    <w:basedOn w:val="901"/>
    <w:next w:val="951"/>
    <w:link w:val="901"/>
    <w:qFormat/>
    <w:pPr>
      <w:spacing w:after="120" w:line="480" w:lineRule="auto"/>
    </w:pPr>
  </w:style>
  <w:style w:type="paragraph" w:styleId="952">
    <w:name w:val="信息标题"/>
    <w:basedOn w:val="901"/>
    <w:next w:val="952"/>
    <w:link w:val="90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53">
    <w:name w:val="普通(网站)"/>
    <w:basedOn w:val="901"/>
    <w:next w:val="953"/>
    <w:link w:val="901"/>
    <w:qFormat/>
    <w:rPr>
      <w:rFonts w:ascii="Times New Roman" w:hAnsi="Times New Roman"/>
      <w:sz w:val="24"/>
    </w:rPr>
  </w:style>
  <w:style w:type="paragraph" w:styleId="954">
    <w:name w:val="标题"/>
    <w:basedOn w:val="901"/>
    <w:next w:val="901"/>
    <w:link w:val="955"/>
    <w:uiPriority w:val="10"/>
    <w:qFormat/>
    <w:pPr>
      <w:contextualSpacing/>
      <w:spacing w:before="300" w:after="200"/>
    </w:pPr>
    <w:rPr>
      <w:sz w:val="48"/>
      <w:szCs w:val="48"/>
    </w:rPr>
  </w:style>
  <w:style w:type="character" w:styleId="955">
    <w:name w:val="标题 字符"/>
    <w:next w:val="955"/>
    <w:link w:val="954"/>
    <w:uiPriority w:val="10"/>
    <w:qFormat/>
    <w:rPr>
      <w:sz w:val="48"/>
      <w:szCs w:val="48"/>
    </w:rPr>
  </w:style>
  <w:style w:type="paragraph" w:styleId="956">
    <w:name w:val="批注主题"/>
    <w:basedOn w:val="924"/>
    <w:next w:val="924"/>
    <w:link w:val="957"/>
    <w:qFormat/>
    <w:rPr>
      <w:b/>
      <w:bCs/>
    </w:rPr>
  </w:style>
  <w:style w:type="character" w:styleId="957">
    <w:name w:val="批注主题 字符"/>
    <w:next w:val="957"/>
    <w:link w:val="956"/>
    <w:qFormat/>
    <w:rPr>
      <w:rFonts w:ascii="Calibri" w:hAnsi="Calibri"/>
      <w:b/>
      <w:bCs/>
      <w:sz w:val="21"/>
      <w:szCs w:val="22"/>
    </w:rPr>
  </w:style>
  <w:style w:type="paragraph" w:styleId="958">
    <w:name w:val="正文首行缩进"/>
    <w:basedOn w:val="926"/>
    <w:next w:val="958"/>
    <w:link w:val="901"/>
    <w:qFormat/>
    <w:pPr>
      <w:ind w:firstLine="420"/>
      <w:spacing w:after="120"/>
    </w:pPr>
    <w:rPr>
      <w:rFonts w:ascii="Times New Roman" w:eastAsia="宋体"/>
      <w:sz w:val="21"/>
    </w:rPr>
  </w:style>
  <w:style w:type="paragraph" w:styleId="959">
    <w:name w:val="正文首行缩进 2"/>
    <w:basedOn w:val="901"/>
    <w:next w:val="959"/>
    <w:link w:val="901"/>
    <w:qFormat/>
    <w:pPr>
      <w:ind w:firstLine="420"/>
      <w:spacing w:before="100" w:beforeAutospacing="1"/>
    </w:pPr>
    <w:rPr>
      <w:rFonts w:ascii="Times New Roman" w:hAnsi="Times New Roman" w:eastAsia="宋体"/>
      <w:sz w:val="20"/>
      <w:szCs w:val="21"/>
    </w:rPr>
  </w:style>
  <w:style w:type="table" w:styleId="960">
    <w:name w:val="网格型"/>
    <w:basedOn w:val="912"/>
    <w:next w:val="960"/>
    <w:link w:val="901"/>
    <w:qFormat/>
    <w:pPr>
      <w:jc w:val="both"/>
      <w:widowControl w:val="off"/>
    </w:pPr>
    <w:tblPr/>
  </w:style>
  <w:style w:type="character" w:styleId="961">
    <w:name w:val="要点"/>
    <w:next w:val="961"/>
    <w:link w:val="901"/>
    <w:qFormat/>
    <w:rPr>
      <w:b/>
    </w:rPr>
  </w:style>
  <w:style w:type="character" w:styleId="962">
    <w:name w:val="尾注引用"/>
    <w:next w:val="962"/>
    <w:link w:val="901"/>
    <w:uiPriority w:val="99"/>
    <w:unhideWhenUsed/>
    <w:qFormat/>
    <w:rPr>
      <w:vertAlign w:val="superscript"/>
    </w:rPr>
  </w:style>
  <w:style w:type="character" w:styleId="963">
    <w:name w:val="页码"/>
    <w:basedOn w:val="911"/>
    <w:next w:val="963"/>
    <w:link w:val="901"/>
    <w:qFormat/>
  </w:style>
  <w:style w:type="character" w:styleId="964">
    <w:name w:val="超链接"/>
    <w:next w:val="964"/>
    <w:link w:val="901"/>
    <w:qFormat/>
    <w:rPr>
      <w:color w:val="0000ff"/>
      <w:u w:val="single"/>
    </w:rPr>
  </w:style>
  <w:style w:type="character" w:styleId="965">
    <w:name w:val="批注引用"/>
    <w:next w:val="965"/>
    <w:link w:val="901"/>
    <w:qFormat/>
    <w:rPr>
      <w:sz w:val="21"/>
      <w:szCs w:val="21"/>
    </w:rPr>
  </w:style>
  <w:style w:type="character" w:styleId="966">
    <w:name w:val="脚注引用"/>
    <w:next w:val="966"/>
    <w:link w:val="901"/>
    <w:uiPriority w:val="99"/>
    <w:unhideWhenUsed/>
    <w:qFormat/>
    <w:rPr>
      <w:vertAlign w:val="superscript"/>
    </w:rPr>
  </w:style>
  <w:style w:type="paragraph" w:styleId="967">
    <w:name w:val="Default"/>
    <w:next w:val="901"/>
    <w:link w:val="901"/>
    <w:qFormat/>
    <w:pPr>
      <w:widowControl w:val="off"/>
    </w:pPr>
    <w:rPr>
      <w:rFonts w:ascii="宋体" w:cs="宋体"/>
      <w:color w:val="000000"/>
      <w:sz w:val="24"/>
      <w:szCs w:val="24"/>
      <w:lang w:val="en-US" w:eastAsia="zh-CN" w:bidi="ar-SA"/>
    </w:rPr>
  </w:style>
  <w:style w:type="paragraph" w:styleId="968">
    <w:name w:val="正文（缩进）"/>
    <w:basedOn w:val="901"/>
    <w:next w:val="969"/>
    <w:link w:val="901"/>
    <w:qFormat/>
    <w:pPr>
      <w:ind w:firstLine="480"/>
    </w:pPr>
  </w:style>
  <w:style w:type="paragraph" w:styleId="969">
    <w:name w:val="Char Char Char Char Char Char Char Char Char"/>
    <w:basedOn w:val="901"/>
    <w:next w:val="970"/>
    <w:link w:val="901"/>
    <w:qFormat/>
    <w:pPr>
      <w:ind w:left="360" w:firstLine="5784"/>
      <w:jc w:val="both"/>
      <w:spacing w:before="0" w:after="0" w:line="240" w:lineRule="auto"/>
      <w:widowControl w:val="off"/>
    </w:pPr>
  </w:style>
  <w:style w:type="paragraph" w:styleId="970">
    <w:name w:val="正文文本 21"/>
    <w:basedOn w:val="901"/>
    <w:next w:val="971"/>
    <w:link w:val="901"/>
    <w:qFormat/>
    <w:pPr>
      <w:ind w:left="720" w:firstLine="5680"/>
      <w:jc w:val="both"/>
      <w:spacing w:before="0" w:after="0" w:line="240" w:lineRule="auto"/>
      <w:widowControl/>
    </w:pPr>
  </w:style>
  <w:style w:type="paragraph" w:styleId="971">
    <w:name w:val="默认段落字体 Para Char Char Char Char Char Char Char"/>
    <w:basedOn w:val="901"/>
    <w:next w:val="972"/>
    <w:link w:val="901"/>
    <w:uiPriority w:val="1723"/>
    <w:qFormat/>
    <w:pPr>
      <w:ind w:firstLine="200"/>
    </w:pPr>
    <w:rPr>
      <w:rFonts w:cs="Arial"/>
    </w:rPr>
  </w:style>
  <w:style w:type="paragraph" w:styleId="972">
    <w:name w:val="样式 首行缩进:  2 字符"/>
    <w:basedOn w:val="901"/>
    <w:next w:val="973"/>
    <w:link w:val="901"/>
    <w:qFormat/>
    <w:pPr>
      <w:ind w:left="480" w:firstLine="5856"/>
      <w:jc w:val="both"/>
      <w:spacing w:before="0" w:after="0" w:line="360" w:lineRule="auto"/>
      <w:widowControl w:val="off"/>
    </w:pPr>
  </w:style>
  <w:style w:type="paragraph" w:styleId="973">
    <w:name w:val="样式 段后: 0.25 行"/>
    <w:basedOn w:val="901"/>
    <w:next w:val="974"/>
    <w:link w:val="901"/>
    <w:qFormat/>
    <w:pPr>
      <w:ind w:left="420" w:firstLine="5796"/>
      <w:spacing w:before="0" w:after="0" w:line="300" w:lineRule="auto"/>
      <w:widowControl/>
    </w:pPr>
  </w:style>
  <w:style w:type="paragraph" w:styleId="974">
    <w:name w:val="正文 New New New New New New New New New New New New New New"/>
    <w:next w:val="950"/>
    <w:link w:val="901"/>
    <w:qFormat/>
    <w:pPr>
      <w:ind w:firstLine="2048"/>
      <w:jc w:val="both"/>
      <w:widowControl w:val="off"/>
    </w:pPr>
    <w:rPr>
      <w:rFonts w:ascii="Calibri" w:hAnsi="Calibri"/>
      <w:lang w:val="en-US" w:eastAsia="zh-CN" w:bidi="ar-SA"/>
    </w:rPr>
  </w:style>
  <w:style w:type="paragraph" w:styleId="975">
    <w:name w:val="目录 91"/>
    <w:basedOn w:val="901"/>
    <w:next w:val="901"/>
    <w:link w:val="901"/>
    <w:uiPriority w:val="39"/>
    <w:unhideWhenUsed/>
    <w:qFormat/>
    <w:pPr>
      <w:ind w:left="2268" w:right="0" w:firstLine="0"/>
      <w:spacing w:after="57"/>
    </w:pPr>
  </w:style>
  <w:style w:type="paragraph" w:styleId="976">
    <w:name w:val="正文1"/>
    <w:basedOn w:val="901"/>
    <w:next w:val="977"/>
    <w:link w:val="901"/>
    <w:qFormat/>
    <w:pPr>
      <w:jc w:val="left"/>
      <w:spacing w:line="360" w:lineRule="atLeast"/>
    </w:pPr>
    <w:rPr>
      <w:rFonts w:ascii="宋体" w:hAnsi="Calibri" w:eastAsia="宋体" w:cs="Times New Roman"/>
      <w:sz w:val="24"/>
      <w:szCs w:val="20"/>
    </w:rPr>
  </w:style>
  <w:style w:type="paragraph" w:styleId="977">
    <w:name w:val="正文文本1"/>
    <w:basedOn w:val="976"/>
    <w:next w:val="978"/>
    <w:link w:val="901"/>
    <w:qFormat/>
    <w:pPr>
      <w:spacing w:after="120"/>
    </w:pPr>
    <w:rPr>
      <w:lang w:eastAsia="en-US"/>
    </w:rPr>
  </w:style>
  <w:style w:type="paragraph" w:styleId="978">
    <w:name w:val="目录 21"/>
    <w:basedOn w:val="901"/>
    <w:next w:val="901"/>
    <w:link w:val="901"/>
    <w:uiPriority w:val="39"/>
    <w:qFormat/>
    <w:pPr>
      <w:ind w:left="210"/>
      <w:jc w:val="left"/>
    </w:pPr>
    <w:rPr>
      <w:smallCaps/>
      <w:szCs w:val="24"/>
    </w:rPr>
  </w:style>
  <w:style w:type="paragraph" w:styleId="979">
    <w:name w:val="列表段落"/>
    <w:basedOn w:val="901"/>
    <w:next w:val="979"/>
    <w:link w:val="901"/>
    <w:qFormat/>
    <w:pPr>
      <w:ind w:firstLine="420"/>
    </w:pPr>
  </w:style>
  <w:style w:type="table" w:styleId="980">
    <w:name w:val="Bordered - Accent 2"/>
    <w:basedOn w:val="912"/>
    <w:next w:val="980"/>
    <w:link w:val="901"/>
    <w:uiPriority w:val="99"/>
    <w:qFormat/>
    <w:tblPr/>
  </w:style>
  <w:style w:type="table" w:styleId="981">
    <w:name w:val="Grid Table 1 Light - Accent 3"/>
    <w:basedOn w:val="912"/>
    <w:next w:val="981"/>
    <w:link w:val="901"/>
    <w:uiPriority w:val="99"/>
    <w:qFormat/>
    <w:tblPr/>
  </w:style>
  <w:style w:type="paragraph" w:styleId="982">
    <w:name w:val="修订1"/>
    <w:next w:val="982"/>
    <w:link w:val="901"/>
    <w:uiPriority w:val="99"/>
    <w:semiHidden/>
    <w:qFormat/>
    <w:rPr>
      <w:rFonts w:ascii="Calibri" w:hAnsi="Calibri"/>
      <w:sz w:val="21"/>
      <w:szCs w:val="22"/>
      <w:lang w:val="en-US" w:eastAsia="zh-CN" w:bidi="ar-SA"/>
    </w:rPr>
  </w:style>
  <w:style w:type="table" w:styleId="983">
    <w:name w:val="Bordered - Accent 1"/>
    <w:basedOn w:val="912"/>
    <w:next w:val="983"/>
    <w:link w:val="901"/>
    <w:uiPriority w:val="99"/>
    <w:qFormat/>
    <w:tblPr/>
  </w:style>
  <w:style w:type="paragraph" w:styleId="984">
    <w:name w:val="Table Paragraph"/>
    <w:basedOn w:val="901"/>
    <w:next w:val="984"/>
    <w:link w:val="901"/>
    <w:uiPriority w:val="1"/>
    <w:qFormat/>
    <w:rPr>
      <w:rFonts w:ascii="Noto Sans CJK JP Regular" w:hAnsi="Noto Sans CJK JP Regular" w:eastAsia="Noto Sans CJK JP Regular" w:cs="Noto Sans CJK JP Regular"/>
    </w:rPr>
  </w:style>
  <w:style w:type="paragraph" w:styleId="985">
    <w:name w:val="章标题"/>
    <w:next w:val="901"/>
    <w:link w:val="901"/>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86">
    <w:name w:val="引用"/>
    <w:basedOn w:val="901"/>
    <w:next w:val="901"/>
    <w:link w:val="987"/>
    <w:uiPriority w:val="29"/>
    <w:qFormat/>
    <w:pPr>
      <w:ind w:left="720" w:right="720"/>
    </w:pPr>
    <w:rPr>
      <w:i/>
    </w:rPr>
  </w:style>
  <w:style w:type="character" w:styleId="987">
    <w:name w:val="引用 字符"/>
    <w:next w:val="987"/>
    <w:link w:val="986"/>
    <w:uiPriority w:val="29"/>
    <w:qFormat/>
    <w:rPr>
      <w:i/>
    </w:rPr>
  </w:style>
  <w:style w:type="table" w:styleId="988">
    <w:name w:val="Bordered &amp; Lined - Accent"/>
    <w:basedOn w:val="912"/>
    <w:next w:val="988"/>
    <w:link w:val="901"/>
    <w:uiPriority w:val="99"/>
    <w:qFormat/>
    <w:rPr>
      <w:color w:val="404040"/>
    </w:rPr>
    <w:tblPr/>
  </w:style>
  <w:style w:type="table" w:styleId="989">
    <w:name w:val="无格式表格 51"/>
    <w:basedOn w:val="912"/>
    <w:next w:val="989"/>
    <w:link w:val="901"/>
    <w:uiPriority w:val="99"/>
    <w:qFormat/>
    <w:tblPr/>
  </w:style>
  <w:style w:type="table" w:styleId="990">
    <w:name w:val="Table Grid Light"/>
    <w:basedOn w:val="912"/>
    <w:next w:val="990"/>
    <w:link w:val="901"/>
    <w:uiPriority w:val="59"/>
    <w:qFormat/>
    <w:tblPr/>
  </w:style>
  <w:style w:type="table" w:styleId="991">
    <w:name w:val="Bordered &amp; Lined - Accent 3"/>
    <w:basedOn w:val="912"/>
    <w:next w:val="991"/>
    <w:link w:val="901"/>
    <w:uiPriority w:val="99"/>
    <w:qFormat/>
    <w:rPr>
      <w:color w:val="404040"/>
    </w:rPr>
    <w:tblPr/>
  </w:style>
  <w:style w:type="table" w:styleId="992">
    <w:name w:val="Grid Table 5 Dark- Accent 4"/>
    <w:basedOn w:val="912"/>
    <w:next w:val="992"/>
    <w:link w:val="901"/>
    <w:uiPriority w:val="99"/>
    <w:qFormat/>
    <w:tblPr/>
  </w:style>
  <w:style w:type="table" w:styleId="993">
    <w:name w:val="Grid Table 6 Colorful - Accent 4"/>
    <w:basedOn w:val="912"/>
    <w:next w:val="993"/>
    <w:link w:val="901"/>
    <w:uiPriority w:val="99"/>
    <w:qFormat/>
    <w:tblPr/>
  </w:style>
  <w:style w:type="table" w:styleId="994">
    <w:name w:val="Grid Table 6 Colorful - Accent 6"/>
    <w:basedOn w:val="912"/>
    <w:next w:val="994"/>
    <w:link w:val="901"/>
    <w:uiPriority w:val="99"/>
    <w:qFormat/>
    <w:tblPr/>
  </w:style>
  <w:style w:type="table" w:styleId="995">
    <w:name w:val="Grid Table 1 Light - Accent 6"/>
    <w:basedOn w:val="912"/>
    <w:next w:val="995"/>
    <w:link w:val="901"/>
    <w:uiPriority w:val="99"/>
    <w:qFormat/>
    <w:tblPr/>
  </w:style>
  <w:style w:type="table" w:styleId="996">
    <w:name w:val="Grid Table 7 Colorful - Accent 3"/>
    <w:basedOn w:val="912"/>
    <w:next w:val="996"/>
    <w:link w:val="901"/>
    <w:uiPriority w:val="99"/>
    <w:qFormat/>
    <w:tblPr/>
  </w:style>
  <w:style w:type="table" w:styleId="997">
    <w:name w:val="清单表 31"/>
    <w:basedOn w:val="912"/>
    <w:next w:val="997"/>
    <w:link w:val="901"/>
    <w:uiPriority w:val="99"/>
    <w:qFormat/>
    <w:tblPr/>
  </w:style>
  <w:style w:type="paragraph" w:styleId="998">
    <w:name w:val="一级条标题"/>
    <w:basedOn w:val="985"/>
    <w:next w:val="999"/>
    <w:link w:val="901"/>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9">
    <w:name w:val="段"/>
    <w:basedOn w:val="976"/>
    <w:next w:val="901"/>
    <w:link w:val="901"/>
    <w:qFormat/>
    <w:pPr>
      <w:ind w:firstLine="200"/>
      <w:widowControl/>
    </w:pPr>
    <w:rPr>
      <w:sz w:val="20"/>
    </w:rPr>
  </w:style>
  <w:style w:type="table" w:styleId="1000">
    <w:name w:val="Grid Table 7 Colorful - Accent 2"/>
    <w:basedOn w:val="912"/>
    <w:next w:val="1000"/>
    <w:link w:val="901"/>
    <w:uiPriority w:val="99"/>
    <w:qFormat/>
    <w:tblPr/>
  </w:style>
  <w:style w:type="table" w:styleId="1001">
    <w:name w:val="Grid Table 4 - Accent 1"/>
    <w:basedOn w:val="912"/>
    <w:next w:val="1001"/>
    <w:link w:val="901"/>
    <w:uiPriority w:val="59"/>
    <w:qFormat/>
    <w:tblPr/>
  </w:style>
  <w:style w:type="table" w:styleId="1002">
    <w:name w:val="List Table 4 - Accent 4"/>
    <w:basedOn w:val="912"/>
    <w:next w:val="1002"/>
    <w:link w:val="901"/>
    <w:uiPriority w:val="99"/>
    <w:qFormat/>
    <w:tblPr/>
  </w:style>
  <w:style w:type="table" w:styleId="1003">
    <w:name w:val="Lined - Accent 3"/>
    <w:basedOn w:val="912"/>
    <w:next w:val="1003"/>
    <w:link w:val="901"/>
    <w:uiPriority w:val="99"/>
    <w:qFormat/>
    <w:rPr>
      <w:color w:val="404040"/>
    </w:rPr>
    <w:tblPr/>
  </w:style>
  <w:style w:type="table" w:styleId="1004">
    <w:name w:val="List Table 5 Dark - Accent 4"/>
    <w:basedOn w:val="912"/>
    <w:next w:val="1004"/>
    <w:link w:val="901"/>
    <w:uiPriority w:val="99"/>
    <w:qFormat/>
    <w:tblPr/>
  </w:style>
  <w:style w:type="table" w:styleId="1005">
    <w:name w:val="网格表 6 彩色1"/>
    <w:basedOn w:val="912"/>
    <w:next w:val="1005"/>
    <w:link w:val="901"/>
    <w:uiPriority w:val="99"/>
    <w:qFormat/>
    <w:tblPr/>
  </w:style>
  <w:style w:type="table" w:styleId="1006">
    <w:name w:val="Lined - Accent 5"/>
    <w:basedOn w:val="912"/>
    <w:next w:val="1006"/>
    <w:link w:val="901"/>
    <w:uiPriority w:val="99"/>
    <w:qFormat/>
    <w:rPr>
      <w:color w:val="404040"/>
    </w:rPr>
    <w:tblPr/>
  </w:style>
  <w:style w:type="table" w:styleId="1007">
    <w:name w:val="List Table 2 - Accent 1"/>
    <w:basedOn w:val="912"/>
    <w:next w:val="1007"/>
    <w:link w:val="901"/>
    <w:uiPriority w:val="99"/>
    <w:qFormat/>
    <w:tblPr/>
  </w:style>
  <w:style w:type="table" w:styleId="1008">
    <w:name w:val="List Table 2 - Accent 3"/>
    <w:basedOn w:val="912"/>
    <w:next w:val="1008"/>
    <w:link w:val="901"/>
    <w:uiPriority w:val="99"/>
    <w:qFormat/>
    <w:tblPr/>
  </w:style>
  <w:style w:type="table" w:styleId="1009">
    <w:name w:val="List Table 6 Colorful - Accent 4"/>
    <w:basedOn w:val="912"/>
    <w:next w:val="1009"/>
    <w:link w:val="901"/>
    <w:uiPriority w:val="99"/>
    <w:qFormat/>
    <w:tblPr/>
  </w:style>
  <w:style w:type="paragraph" w:styleId="1010">
    <w:name w:val="无间隔"/>
    <w:next w:val="1010"/>
    <w:link w:val="901"/>
    <w:uiPriority w:val="1"/>
    <w:qFormat/>
    <w:rPr>
      <w:sz w:val="21"/>
      <w:szCs w:val="22"/>
      <w:lang w:val="en-US" w:eastAsia="zh-CN" w:bidi="ar-SA"/>
    </w:rPr>
  </w:style>
  <w:style w:type="character" w:styleId="1011">
    <w:name w:val="明显引用 字符"/>
    <w:next w:val="1011"/>
    <w:link w:val="1012"/>
    <w:uiPriority w:val="30"/>
    <w:qFormat/>
    <w:rPr>
      <w:i/>
    </w:rPr>
  </w:style>
  <w:style w:type="paragraph" w:styleId="1012">
    <w:name w:val="明显引用"/>
    <w:basedOn w:val="901"/>
    <w:next w:val="901"/>
    <w:link w:val="101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1013">
    <w:name w:val="Grid Table 7 Colorful - Accent 4"/>
    <w:basedOn w:val="912"/>
    <w:next w:val="1013"/>
    <w:link w:val="901"/>
    <w:uiPriority w:val="99"/>
    <w:qFormat/>
    <w:tblPr/>
  </w:style>
  <w:style w:type="table" w:styleId="1014">
    <w:name w:val="List Table 3 - Accent 4"/>
    <w:basedOn w:val="912"/>
    <w:next w:val="1014"/>
    <w:link w:val="901"/>
    <w:uiPriority w:val="99"/>
    <w:qFormat/>
    <w:tblPr/>
  </w:style>
  <w:style w:type="table" w:styleId="1015">
    <w:name w:val="List Table 6 Colorful - Accent 3"/>
    <w:basedOn w:val="912"/>
    <w:next w:val="1015"/>
    <w:link w:val="901"/>
    <w:uiPriority w:val="99"/>
    <w:qFormat/>
    <w:tblPr/>
  </w:style>
  <w:style w:type="table" w:styleId="1016">
    <w:name w:val="List Table 2 - Accent 5"/>
    <w:basedOn w:val="912"/>
    <w:next w:val="1016"/>
    <w:link w:val="901"/>
    <w:uiPriority w:val="99"/>
    <w:qFormat/>
    <w:tblPr/>
  </w:style>
  <w:style w:type="table" w:styleId="1017">
    <w:name w:val="List Table 1 Light - Accent 3"/>
    <w:basedOn w:val="912"/>
    <w:next w:val="1017"/>
    <w:link w:val="901"/>
    <w:uiPriority w:val="99"/>
    <w:qFormat/>
    <w:tblPr/>
  </w:style>
  <w:style w:type="table" w:styleId="1018">
    <w:name w:val="Bordered"/>
    <w:basedOn w:val="912"/>
    <w:next w:val="1018"/>
    <w:link w:val="901"/>
    <w:uiPriority w:val="99"/>
    <w:qFormat/>
    <w:tblPr/>
  </w:style>
  <w:style w:type="table" w:styleId="1019">
    <w:name w:val="List Table 1 Light - Accent 2"/>
    <w:basedOn w:val="912"/>
    <w:next w:val="1019"/>
    <w:link w:val="901"/>
    <w:uiPriority w:val="99"/>
    <w:qFormat/>
    <w:tblPr/>
  </w:style>
  <w:style w:type="table" w:styleId="1020">
    <w:name w:val="Bordered - Accent 4"/>
    <w:basedOn w:val="912"/>
    <w:next w:val="1020"/>
    <w:link w:val="901"/>
    <w:uiPriority w:val="99"/>
    <w:qFormat/>
    <w:tblPr/>
  </w:style>
  <w:style w:type="table" w:styleId="1021">
    <w:name w:val="网格表 21"/>
    <w:basedOn w:val="912"/>
    <w:next w:val="1021"/>
    <w:link w:val="901"/>
    <w:uiPriority w:val="99"/>
    <w:qFormat/>
    <w:tblPr/>
  </w:style>
  <w:style w:type="table" w:styleId="1022">
    <w:name w:val="Bordered &amp; Lined - Accent 5"/>
    <w:basedOn w:val="912"/>
    <w:next w:val="1022"/>
    <w:link w:val="901"/>
    <w:uiPriority w:val="99"/>
    <w:qFormat/>
    <w:rPr>
      <w:color w:val="404040"/>
    </w:rPr>
    <w:tblPr/>
  </w:style>
  <w:style w:type="character" w:styleId="1023">
    <w:name w:val="Heading 3 Char"/>
    <w:next w:val="1023"/>
    <w:link w:val="901"/>
    <w:uiPriority w:val="9"/>
    <w:qFormat/>
    <w:rPr>
      <w:rFonts w:ascii="Arial" w:hAnsi="Arial" w:eastAsia="Arial" w:cs="Arial"/>
      <w:sz w:val="30"/>
      <w:szCs w:val="30"/>
    </w:rPr>
  </w:style>
  <w:style w:type="paragraph" w:styleId="1024">
    <w:name w:val="02"/>
    <w:next w:val="1024"/>
    <w:link w:val="901"/>
    <w:qFormat/>
    <w:pPr>
      <w:numPr>
        <w:ilvl w:val="1"/>
        <w:numId w:val="2"/>
      </w:numPr>
      <w:spacing w:line="360" w:lineRule="auto"/>
      <w:outlineLvl w:val="1"/>
    </w:pPr>
    <w:rPr>
      <w:rFonts w:ascii="Calibri" w:hAnsi="Calibri"/>
      <w:b/>
      <w:sz w:val="28"/>
      <w:szCs w:val="22"/>
      <w:lang w:val="en-US" w:eastAsia="zh-CN" w:bidi="ar-SA"/>
    </w:rPr>
  </w:style>
  <w:style w:type="table" w:styleId="1025">
    <w:name w:val="List Table 5 Dark - Accent 5"/>
    <w:basedOn w:val="912"/>
    <w:next w:val="1025"/>
    <w:link w:val="901"/>
    <w:uiPriority w:val="99"/>
    <w:qFormat/>
    <w:tblPr/>
  </w:style>
  <w:style w:type="table" w:styleId="1026">
    <w:name w:val="Grid Table 6 Colorful - Accent 1"/>
    <w:basedOn w:val="912"/>
    <w:next w:val="1026"/>
    <w:link w:val="901"/>
    <w:uiPriority w:val="99"/>
    <w:qFormat/>
    <w:tblPr/>
  </w:style>
  <w:style w:type="table" w:styleId="1027">
    <w:name w:val="List Table 5 Dark - Accent 6"/>
    <w:basedOn w:val="912"/>
    <w:next w:val="1027"/>
    <w:link w:val="901"/>
    <w:uiPriority w:val="99"/>
    <w:qFormat/>
    <w:tblPr/>
  </w:style>
  <w:style w:type="table" w:styleId="1028">
    <w:name w:val="Grid Table 3 - Accent 1"/>
    <w:basedOn w:val="912"/>
    <w:next w:val="1028"/>
    <w:link w:val="901"/>
    <w:uiPriority w:val="99"/>
    <w:qFormat/>
    <w:tblPr/>
  </w:style>
  <w:style w:type="table" w:styleId="1029">
    <w:name w:val="Grid Table 3 - Accent 6"/>
    <w:basedOn w:val="912"/>
    <w:next w:val="1029"/>
    <w:link w:val="901"/>
    <w:uiPriority w:val="99"/>
    <w:qFormat/>
    <w:tblPr/>
  </w:style>
  <w:style w:type="table" w:styleId="1030">
    <w:name w:val="Grid Table 3 - Accent 4"/>
    <w:basedOn w:val="912"/>
    <w:next w:val="1030"/>
    <w:link w:val="901"/>
    <w:uiPriority w:val="99"/>
    <w:qFormat/>
    <w:tblPr/>
  </w:style>
  <w:style w:type="table" w:styleId="1031">
    <w:name w:val="List Table 3 - Accent 2"/>
    <w:basedOn w:val="912"/>
    <w:next w:val="1031"/>
    <w:link w:val="901"/>
    <w:uiPriority w:val="99"/>
    <w:qFormat/>
    <w:tblPr/>
  </w:style>
  <w:style w:type="table" w:styleId="1032">
    <w:name w:val="Grid Table 3 - Accent 5"/>
    <w:basedOn w:val="912"/>
    <w:next w:val="1032"/>
    <w:link w:val="901"/>
    <w:uiPriority w:val="99"/>
    <w:qFormat/>
    <w:tblPr/>
  </w:style>
  <w:style w:type="table" w:styleId="1033">
    <w:name w:val="List Table 1 Light - Accent 1"/>
    <w:basedOn w:val="912"/>
    <w:next w:val="1033"/>
    <w:link w:val="901"/>
    <w:uiPriority w:val="99"/>
    <w:qFormat/>
    <w:tblPr/>
  </w:style>
  <w:style w:type="table" w:styleId="1034">
    <w:name w:val="Grid Table 5 Dark- Accent 1"/>
    <w:basedOn w:val="912"/>
    <w:next w:val="1034"/>
    <w:link w:val="901"/>
    <w:uiPriority w:val="99"/>
    <w:qFormat/>
    <w:tblPr/>
  </w:style>
  <w:style w:type="table" w:styleId="1035">
    <w:name w:val="List Table 2 - Accent 2"/>
    <w:basedOn w:val="912"/>
    <w:next w:val="1035"/>
    <w:link w:val="901"/>
    <w:uiPriority w:val="99"/>
    <w:qFormat/>
    <w:tblPr/>
  </w:style>
  <w:style w:type="paragraph" w:styleId="1036">
    <w:name w:val="Revision"/>
    <w:next w:val="1036"/>
    <w:link w:val="901"/>
    <w:uiPriority w:val="99"/>
    <w:unhideWhenUsed/>
    <w:qFormat/>
    <w:rPr>
      <w:rFonts w:ascii="Calibri" w:hAnsi="Calibri"/>
      <w:sz w:val="21"/>
      <w:szCs w:val="22"/>
      <w:lang w:val="en-US" w:eastAsia="zh-CN" w:bidi="ar-SA"/>
    </w:rPr>
  </w:style>
  <w:style w:type="table" w:styleId="1037">
    <w:name w:val="清单表 6 彩色1"/>
    <w:basedOn w:val="912"/>
    <w:next w:val="1037"/>
    <w:link w:val="901"/>
    <w:uiPriority w:val="99"/>
    <w:qFormat/>
    <w:tblPr/>
  </w:style>
  <w:style w:type="table" w:styleId="1038">
    <w:name w:val="List Table 3 - Accent 5"/>
    <w:basedOn w:val="912"/>
    <w:next w:val="1038"/>
    <w:link w:val="901"/>
    <w:uiPriority w:val="99"/>
    <w:qFormat/>
    <w:tblPr/>
  </w:style>
  <w:style w:type="character" w:styleId="1039">
    <w:name w:val="Heading 2 Char"/>
    <w:next w:val="1039"/>
    <w:link w:val="901"/>
    <w:uiPriority w:val="9"/>
    <w:qFormat/>
    <w:rPr>
      <w:rFonts w:ascii="Arial" w:hAnsi="Arial" w:eastAsia="Arial" w:cs="Arial"/>
      <w:sz w:val="34"/>
    </w:rPr>
  </w:style>
  <w:style w:type="table" w:styleId="1040">
    <w:name w:val="List Table 4 - Accent 1"/>
    <w:basedOn w:val="912"/>
    <w:next w:val="1040"/>
    <w:link w:val="901"/>
    <w:uiPriority w:val="99"/>
    <w:qFormat/>
    <w:tblPr/>
  </w:style>
  <w:style w:type="table" w:styleId="1041">
    <w:name w:val="List Table 4 - Accent 6"/>
    <w:basedOn w:val="912"/>
    <w:next w:val="1041"/>
    <w:link w:val="901"/>
    <w:uiPriority w:val="99"/>
    <w:qFormat/>
    <w:tblPr/>
  </w:style>
  <w:style w:type="table" w:styleId="1042">
    <w:name w:val="Grid Table 6 Colorful - Accent 2"/>
    <w:basedOn w:val="912"/>
    <w:next w:val="1042"/>
    <w:link w:val="901"/>
    <w:uiPriority w:val="99"/>
    <w:qFormat/>
    <w:tblPr/>
  </w:style>
  <w:style w:type="character" w:styleId="1043">
    <w:name w:val="Header Char"/>
    <w:next w:val="1043"/>
    <w:link w:val="901"/>
    <w:uiPriority w:val="99"/>
    <w:qFormat/>
  </w:style>
  <w:style w:type="table" w:styleId="1044">
    <w:name w:val="List Table 6 Colorful - Accent 1"/>
    <w:basedOn w:val="912"/>
    <w:next w:val="1044"/>
    <w:link w:val="901"/>
    <w:uiPriority w:val="99"/>
    <w:qFormat/>
    <w:tblPr/>
  </w:style>
  <w:style w:type="table" w:styleId="1045">
    <w:name w:val="Grid Table 6 Colorful - Accent 3"/>
    <w:basedOn w:val="912"/>
    <w:next w:val="1045"/>
    <w:link w:val="901"/>
    <w:uiPriority w:val="99"/>
    <w:qFormat/>
    <w:tblPr/>
  </w:style>
  <w:style w:type="table" w:styleId="1046">
    <w:name w:val="List Table 3 - Accent 6"/>
    <w:basedOn w:val="912"/>
    <w:next w:val="1046"/>
    <w:link w:val="901"/>
    <w:uiPriority w:val="99"/>
    <w:qFormat/>
    <w:tblPr/>
  </w:style>
  <w:style w:type="character" w:styleId="1047">
    <w:name w:val="Footer Char"/>
    <w:next w:val="1047"/>
    <w:link w:val="901"/>
    <w:uiPriority w:val="99"/>
    <w:qFormat/>
  </w:style>
  <w:style w:type="table" w:styleId="1048">
    <w:name w:val="List Table 2 - Accent 4"/>
    <w:basedOn w:val="912"/>
    <w:next w:val="1048"/>
    <w:link w:val="901"/>
    <w:uiPriority w:val="99"/>
    <w:qFormat/>
    <w:tblPr/>
  </w:style>
  <w:style w:type="table" w:styleId="1049">
    <w:name w:val="List Table 4 - Accent 3"/>
    <w:basedOn w:val="912"/>
    <w:next w:val="1049"/>
    <w:link w:val="901"/>
    <w:uiPriority w:val="99"/>
    <w:qFormat/>
    <w:tblPr/>
  </w:style>
  <w:style w:type="table" w:styleId="1050">
    <w:name w:val="Grid Table 2 - Accent 1"/>
    <w:basedOn w:val="912"/>
    <w:next w:val="1050"/>
    <w:link w:val="901"/>
    <w:uiPriority w:val="99"/>
    <w:qFormat/>
    <w:tblPr/>
  </w:style>
  <w:style w:type="paragraph" w:styleId="1051">
    <w:name w:val="Char"/>
    <w:basedOn w:val="901"/>
    <w:next w:val="1051"/>
    <w:link w:val="901"/>
    <w:qFormat/>
    <w:pPr>
      <w:ind w:firstLine="200"/>
      <w:tabs>
        <w:tab w:val="left" w:pos="360" w:leader="none"/>
      </w:tabs>
    </w:pPr>
    <w:rPr>
      <w:rFonts w:ascii="Times New Roman" w:hAnsi="Times New Roman"/>
      <w:sz w:val="28"/>
      <w:szCs w:val="30"/>
    </w:rPr>
  </w:style>
  <w:style w:type="paragraph" w:styleId="1052">
    <w:name w:val="GP正文(首行缩进)"/>
    <w:basedOn w:val="901"/>
    <w:next w:val="1052"/>
    <w:link w:val="901"/>
    <w:qFormat/>
    <w:pPr>
      <w:ind w:firstLine="480"/>
      <w:jc w:val="left"/>
    </w:pPr>
    <w:rPr>
      <w:rFonts w:ascii="Times New Roman" w:hAnsi="宋体"/>
      <w:sz w:val="24"/>
      <w:szCs w:val="24"/>
    </w:rPr>
  </w:style>
  <w:style w:type="table" w:styleId="1053">
    <w:name w:val="List Table 7 Colorful - Accent 5"/>
    <w:basedOn w:val="912"/>
    <w:next w:val="1053"/>
    <w:link w:val="901"/>
    <w:uiPriority w:val="99"/>
    <w:qFormat/>
    <w:tblPr/>
  </w:style>
  <w:style w:type="table" w:styleId="1054">
    <w:name w:val="Bordered &amp; Lined - Accent 2"/>
    <w:basedOn w:val="912"/>
    <w:next w:val="1054"/>
    <w:link w:val="901"/>
    <w:uiPriority w:val="99"/>
    <w:qFormat/>
    <w:rPr>
      <w:color w:val="404040"/>
    </w:rPr>
    <w:tblPr/>
  </w:style>
  <w:style w:type="table" w:styleId="1055">
    <w:name w:val="清单表 41"/>
    <w:basedOn w:val="912"/>
    <w:next w:val="1055"/>
    <w:link w:val="901"/>
    <w:uiPriority w:val="99"/>
    <w:qFormat/>
    <w:tblPr/>
  </w:style>
  <w:style w:type="table" w:styleId="1056">
    <w:name w:val="Grid Table 2 - Accent 4"/>
    <w:basedOn w:val="912"/>
    <w:next w:val="1056"/>
    <w:link w:val="901"/>
    <w:uiPriority w:val="99"/>
    <w:qFormat/>
    <w:tblPr/>
  </w:style>
  <w:style w:type="table" w:styleId="1057">
    <w:name w:val="List Table 7 Colorful - Accent 2"/>
    <w:basedOn w:val="912"/>
    <w:next w:val="1057"/>
    <w:link w:val="901"/>
    <w:uiPriority w:val="99"/>
    <w:qFormat/>
    <w:tblPr/>
  </w:style>
  <w:style w:type="character" w:styleId="1058">
    <w:name w:val="Heading 1 Char"/>
    <w:next w:val="1058"/>
    <w:link w:val="901"/>
    <w:uiPriority w:val="9"/>
    <w:qFormat/>
    <w:rPr>
      <w:rFonts w:ascii="Arial" w:hAnsi="Arial" w:eastAsia="Arial" w:cs="Arial"/>
      <w:sz w:val="40"/>
      <w:szCs w:val="40"/>
    </w:rPr>
  </w:style>
  <w:style w:type="table" w:styleId="1059">
    <w:name w:val="Grid Table 1 Light - Accent 5"/>
    <w:basedOn w:val="912"/>
    <w:next w:val="1059"/>
    <w:link w:val="901"/>
    <w:uiPriority w:val="99"/>
    <w:qFormat/>
    <w:tblPr/>
  </w:style>
  <w:style w:type="table" w:styleId="1060">
    <w:name w:val="List Table 6 Colorful - Accent 5"/>
    <w:basedOn w:val="912"/>
    <w:next w:val="1060"/>
    <w:link w:val="901"/>
    <w:uiPriority w:val="99"/>
    <w:qFormat/>
    <w:tblPr/>
  </w:style>
  <w:style w:type="table" w:styleId="1061">
    <w:name w:val="Lined - Accent 4"/>
    <w:basedOn w:val="912"/>
    <w:next w:val="1061"/>
    <w:link w:val="901"/>
    <w:uiPriority w:val="99"/>
    <w:qFormat/>
    <w:rPr>
      <w:color w:val="404040"/>
    </w:rPr>
    <w:tblPr/>
  </w:style>
  <w:style w:type="character" w:styleId="1062">
    <w:name w:val="font71"/>
    <w:next w:val="1062"/>
    <w:link w:val="901"/>
    <w:qFormat/>
    <w:rPr>
      <w:rFonts w:hint="eastAsia" w:ascii="宋体" w:hAnsi="宋体" w:eastAsia="宋体" w:cs="宋体"/>
      <w:color w:val="ff0000"/>
      <w:sz w:val="21"/>
      <w:szCs w:val="21"/>
      <w:u w:val="none"/>
    </w:rPr>
  </w:style>
  <w:style w:type="table" w:styleId="1063">
    <w:name w:val="List Table 4 - Accent 5"/>
    <w:basedOn w:val="912"/>
    <w:next w:val="1063"/>
    <w:link w:val="901"/>
    <w:uiPriority w:val="99"/>
    <w:qFormat/>
    <w:tblPr/>
  </w:style>
  <w:style w:type="table" w:styleId="1064">
    <w:name w:val="Grid Table 5 Dark - Accent 5"/>
    <w:basedOn w:val="912"/>
    <w:next w:val="1064"/>
    <w:link w:val="901"/>
    <w:uiPriority w:val="99"/>
    <w:qFormat/>
    <w:tblPr/>
  </w:style>
  <w:style w:type="table" w:styleId="1065">
    <w:name w:val="Grid Table 3 - Accent 2"/>
    <w:basedOn w:val="912"/>
    <w:next w:val="1065"/>
    <w:link w:val="901"/>
    <w:uiPriority w:val="99"/>
    <w:qFormat/>
    <w:tblPr/>
  </w:style>
  <w:style w:type="table" w:styleId="1066">
    <w:name w:val="清单表 21"/>
    <w:basedOn w:val="912"/>
    <w:next w:val="1066"/>
    <w:link w:val="901"/>
    <w:uiPriority w:val="99"/>
    <w:qFormat/>
    <w:tblPr/>
  </w:style>
  <w:style w:type="table" w:styleId="1067">
    <w:name w:val="Bordered - Accent 5"/>
    <w:basedOn w:val="912"/>
    <w:next w:val="1067"/>
    <w:link w:val="901"/>
    <w:uiPriority w:val="99"/>
    <w:qFormat/>
    <w:tblPr/>
  </w:style>
  <w:style w:type="table" w:styleId="1068">
    <w:name w:val="List Table 2 - Accent 6"/>
    <w:basedOn w:val="912"/>
    <w:next w:val="1068"/>
    <w:link w:val="901"/>
    <w:uiPriority w:val="99"/>
    <w:qFormat/>
    <w:tblPr/>
  </w:style>
  <w:style w:type="table" w:styleId="1069">
    <w:name w:val="清单表 5 深色1"/>
    <w:basedOn w:val="912"/>
    <w:next w:val="1069"/>
    <w:link w:val="901"/>
    <w:uiPriority w:val="99"/>
    <w:qFormat/>
    <w:tblPr/>
  </w:style>
  <w:style w:type="paragraph" w:styleId="1070">
    <w:name w:val="列出段落2"/>
    <w:basedOn w:val="901"/>
    <w:next w:val="1070"/>
    <w:link w:val="901"/>
    <w:uiPriority w:val="34"/>
    <w:qFormat/>
    <w:pPr>
      <w:ind w:firstLine="420"/>
    </w:pPr>
    <w:rPr>
      <w:rFonts w:ascii="宋体"/>
      <w:color w:val="404040"/>
    </w:rPr>
  </w:style>
  <w:style w:type="table" w:styleId="1071">
    <w:name w:val="Grid Table 1 Light - Accent 2"/>
    <w:basedOn w:val="912"/>
    <w:next w:val="1071"/>
    <w:link w:val="901"/>
    <w:uiPriority w:val="99"/>
    <w:qFormat/>
    <w:tblPr/>
  </w:style>
  <w:style w:type="table" w:styleId="1072">
    <w:name w:val="Grid Table 6 Colorful - Accent 5"/>
    <w:basedOn w:val="912"/>
    <w:next w:val="1072"/>
    <w:link w:val="901"/>
    <w:uiPriority w:val="99"/>
    <w:qFormat/>
    <w:tblPr/>
  </w:style>
  <w:style w:type="table" w:styleId="1073">
    <w:name w:val="List Table 6 Colorful - Accent 6"/>
    <w:basedOn w:val="912"/>
    <w:next w:val="1073"/>
    <w:link w:val="901"/>
    <w:uiPriority w:val="99"/>
    <w:qFormat/>
    <w:tblPr/>
  </w:style>
  <w:style w:type="table" w:styleId="1074">
    <w:name w:val="网格表 1 浅色1"/>
    <w:basedOn w:val="912"/>
    <w:next w:val="1074"/>
    <w:link w:val="901"/>
    <w:uiPriority w:val="99"/>
    <w:qFormat/>
    <w:tblPr/>
  </w:style>
  <w:style w:type="table" w:styleId="1075">
    <w:name w:val="无格式表格 11"/>
    <w:basedOn w:val="912"/>
    <w:next w:val="1075"/>
    <w:link w:val="901"/>
    <w:uiPriority w:val="59"/>
    <w:qFormat/>
    <w:tblPr/>
  </w:style>
  <w:style w:type="paragraph" w:styleId="1076">
    <w:name w:val="01"/>
    <w:basedOn w:val="901"/>
    <w:next w:val="1076"/>
    <w:link w:val="901"/>
    <w:qFormat/>
    <w:pPr>
      <w:numPr>
        <w:ilvl w:val="0"/>
        <w:numId w:val="2"/>
      </w:numPr>
      <w:jc w:val="left"/>
      <w:spacing w:line="360" w:lineRule="auto"/>
      <w:outlineLvl w:val="0"/>
    </w:pPr>
    <w:rPr>
      <w:rFonts w:ascii="宋体" w:hAnsi="宋体"/>
      <w:b/>
      <w:sz w:val="32"/>
      <w:szCs w:val="28"/>
    </w:rPr>
  </w:style>
  <w:style w:type="table" w:styleId="1077">
    <w:name w:val="Grid Table 7 Colorful - Accent 6"/>
    <w:basedOn w:val="912"/>
    <w:next w:val="1077"/>
    <w:link w:val="901"/>
    <w:uiPriority w:val="99"/>
    <w:qFormat/>
    <w:tblPr/>
  </w:style>
  <w:style w:type="table" w:styleId="1078">
    <w:name w:val="List Table 7 Colorful - Accent 3"/>
    <w:basedOn w:val="912"/>
    <w:next w:val="1078"/>
    <w:link w:val="901"/>
    <w:uiPriority w:val="99"/>
    <w:qFormat/>
    <w:tblPr/>
  </w:style>
  <w:style w:type="table" w:styleId="1079">
    <w:name w:val="List Table 3 - Accent 1"/>
    <w:basedOn w:val="912"/>
    <w:next w:val="1079"/>
    <w:link w:val="901"/>
    <w:uiPriority w:val="99"/>
    <w:qFormat/>
    <w:tblPr/>
  </w:style>
  <w:style w:type="paragraph" w:styleId="1080">
    <w:name w:val="03"/>
    <w:next w:val="1080"/>
    <w:link w:val="901"/>
    <w:qFormat/>
    <w:pPr>
      <w:numPr>
        <w:ilvl w:val="2"/>
        <w:numId w:val="2"/>
      </w:numPr>
      <w:spacing w:line="360" w:lineRule="auto"/>
      <w:outlineLvl w:val="2"/>
    </w:pPr>
    <w:rPr>
      <w:rFonts w:ascii="Calibri" w:hAnsi="Calibri"/>
      <w:b/>
      <w:sz w:val="28"/>
      <w:szCs w:val="22"/>
      <w:lang w:val="en-US" w:eastAsia="zh-CN" w:bidi="ar-SA"/>
    </w:rPr>
  </w:style>
  <w:style w:type="table" w:styleId="1081">
    <w:name w:val="List Table 3 - Accent 3"/>
    <w:basedOn w:val="912"/>
    <w:next w:val="1081"/>
    <w:link w:val="901"/>
    <w:uiPriority w:val="99"/>
    <w:qFormat/>
    <w:tblPr/>
  </w:style>
  <w:style w:type="table" w:styleId="1082">
    <w:name w:val="Grid Table 1 Light - Accent 4"/>
    <w:basedOn w:val="912"/>
    <w:next w:val="1082"/>
    <w:link w:val="901"/>
    <w:uiPriority w:val="99"/>
    <w:qFormat/>
    <w:tblPr/>
  </w:style>
  <w:style w:type="table" w:styleId="1083">
    <w:name w:val="Grid Table 5 Dark - Accent 6"/>
    <w:basedOn w:val="912"/>
    <w:next w:val="1083"/>
    <w:link w:val="901"/>
    <w:uiPriority w:val="99"/>
    <w:qFormat/>
    <w:tblPr/>
  </w:style>
  <w:style w:type="table" w:styleId="1084">
    <w:name w:val="List Table 5 Dark - Accent 1"/>
    <w:basedOn w:val="912"/>
    <w:next w:val="1084"/>
    <w:link w:val="901"/>
    <w:uiPriority w:val="99"/>
    <w:qFormat/>
    <w:tblPr/>
  </w:style>
  <w:style w:type="table" w:styleId="1085">
    <w:name w:val="清单表 1 浅色1"/>
    <w:basedOn w:val="912"/>
    <w:next w:val="1085"/>
    <w:link w:val="901"/>
    <w:uiPriority w:val="99"/>
    <w:qFormat/>
    <w:tblPr/>
  </w:style>
  <w:style w:type="character" w:styleId="1086">
    <w:name w:val="font41"/>
    <w:next w:val="1086"/>
    <w:link w:val="901"/>
    <w:qFormat/>
    <w:rPr>
      <w:rFonts w:hint="eastAsia" w:ascii="宋体" w:hAnsi="宋体" w:eastAsia="宋体" w:cs="宋体"/>
      <w:color w:val="000000"/>
      <w:sz w:val="21"/>
      <w:szCs w:val="21"/>
      <w:u w:val="none"/>
    </w:rPr>
  </w:style>
  <w:style w:type="table" w:styleId="1087">
    <w:name w:val="Grid Table 1 Light - Accent 1"/>
    <w:basedOn w:val="912"/>
    <w:next w:val="1087"/>
    <w:link w:val="901"/>
    <w:uiPriority w:val="99"/>
    <w:qFormat/>
    <w:tblPr/>
  </w:style>
  <w:style w:type="table" w:styleId="1088">
    <w:name w:val="List Table 6 Colorful - Accent 2"/>
    <w:basedOn w:val="912"/>
    <w:next w:val="1088"/>
    <w:link w:val="901"/>
    <w:uiPriority w:val="99"/>
    <w:qFormat/>
    <w:tblPr/>
  </w:style>
  <w:style w:type="table" w:styleId="1089">
    <w:name w:val="Grid Table 7 Colorful - Accent 5"/>
    <w:basedOn w:val="912"/>
    <w:next w:val="1089"/>
    <w:link w:val="901"/>
    <w:uiPriority w:val="99"/>
    <w:qFormat/>
    <w:tblPr/>
  </w:style>
  <w:style w:type="table" w:styleId="1090">
    <w:name w:val="Grid Table 4 - Accent 6"/>
    <w:basedOn w:val="912"/>
    <w:next w:val="1090"/>
    <w:link w:val="901"/>
    <w:uiPriority w:val="59"/>
    <w:qFormat/>
    <w:tblPr/>
  </w:style>
  <w:style w:type="table" w:styleId="1091">
    <w:name w:val="Lined - Accent 1"/>
    <w:basedOn w:val="912"/>
    <w:next w:val="1091"/>
    <w:link w:val="901"/>
    <w:uiPriority w:val="99"/>
    <w:qFormat/>
    <w:rPr>
      <w:color w:val="404040"/>
    </w:rPr>
    <w:tblPr/>
  </w:style>
  <w:style w:type="table" w:styleId="1092">
    <w:name w:val="List Table 7 Colorful - Accent 4"/>
    <w:basedOn w:val="912"/>
    <w:next w:val="1092"/>
    <w:link w:val="901"/>
    <w:uiPriority w:val="99"/>
    <w:qFormat/>
    <w:tblPr/>
  </w:style>
  <w:style w:type="table" w:styleId="1093">
    <w:name w:val="List Table 5 Dark - Accent 3"/>
    <w:basedOn w:val="912"/>
    <w:next w:val="1093"/>
    <w:link w:val="901"/>
    <w:uiPriority w:val="99"/>
    <w:qFormat/>
    <w:tblPr/>
  </w:style>
  <w:style w:type="paragraph" w:styleId="1094">
    <w:name w:val="朱-正文"/>
    <w:basedOn w:val="901"/>
    <w:next w:val="1094"/>
    <w:link w:val="901"/>
    <w:qFormat/>
    <w:pPr>
      <w:ind w:firstLine="200"/>
    </w:pPr>
    <w:rPr>
      <w:rFonts w:ascii="Times New Roman"/>
      <w:color w:val="000000"/>
      <w:szCs w:val="24"/>
      <w:lang w:val="en-GB"/>
    </w:rPr>
  </w:style>
  <w:style w:type="table" w:styleId="1095">
    <w:name w:val="Grid Table 7 Colorful - Accent 1"/>
    <w:basedOn w:val="912"/>
    <w:next w:val="1095"/>
    <w:link w:val="901"/>
    <w:uiPriority w:val="99"/>
    <w:qFormat/>
    <w:tblPr/>
  </w:style>
  <w:style w:type="table" w:styleId="1096">
    <w:name w:val="Grid Table 2 - Accent 5"/>
    <w:basedOn w:val="912"/>
    <w:next w:val="1096"/>
    <w:link w:val="901"/>
    <w:uiPriority w:val="99"/>
    <w:qFormat/>
    <w:tblPr/>
  </w:style>
  <w:style w:type="table" w:styleId="1097">
    <w:name w:val="List Table 1 Light - Accent 6"/>
    <w:basedOn w:val="912"/>
    <w:next w:val="1097"/>
    <w:link w:val="901"/>
    <w:uiPriority w:val="99"/>
    <w:qFormat/>
    <w:tblPr/>
  </w:style>
  <w:style w:type="table" w:styleId="1098">
    <w:name w:val="Bordered &amp; Lined - Accent 4"/>
    <w:basedOn w:val="912"/>
    <w:next w:val="1098"/>
    <w:link w:val="901"/>
    <w:uiPriority w:val="99"/>
    <w:qFormat/>
    <w:rPr>
      <w:color w:val="404040"/>
    </w:rPr>
    <w:tblPr/>
  </w:style>
  <w:style w:type="table" w:styleId="1099">
    <w:name w:val="List Table 1 Light - Accent 5"/>
    <w:basedOn w:val="912"/>
    <w:next w:val="1099"/>
    <w:link w:val="901"/>
    <w:uiPriority w:val="99"/>
    <w:qFormat/>
    <w:tblPr/>
  </w:style>
  <w:style w:type="table" w:styleId="1100">
    <w:name w:val="Grid Table 4 - Accent 3"/>
    <w:basedOn w:val="912"/>
    <w:next w:val="1100"/>
    <w:link w:val="901"/>
    <w:uiPriority w:val="59"/>
    <w:qFormat/>
    <w:tblPr/>
  </w:style>
  <w:style w:type="table" w:styleId="1101">
    <w:name w:val="Grid Table 4 - Accent 4"/>
    <w:basedOn w:val="912"/>
    <w:next w:val="1101"/>
    <w:link w:val="901"/>
    <w:uiPriority w:val="59"/>
    <w:qFormat/>
    <w:tblPr/>
  </w:style>
  <w:style w:type="table" w:styleId="1102">
    <w:name w:val="Grid Table 5 Dark - Accent 3"/>
    <w:basedOn w:val="912"/>
    <w:next w:val="1102"/>
    <w:link w:val="901"/>
    <w:uiPriority w:val="99"/>
    <w:qFormat/>
    <w:tblPr/>
  </w:style>
  <w:style w:type="paragraph" w:styleId="1103">
    <w:name w:val="普通正文"/>
    <w:basedOn w:val="901"/>
    <w:next w:val="1103"/>
    <w:link w:val="901"/>
    <w:qFormat/>
    <w:pPr>
      <w:ind w:firstLine="480"/>
      <w:jc w:val="left"/>
      <w:spacing w:before="120" w:after="120" w:line="360" w:lineRule="auto"/>
    </w:pPr>
    <w:rPr>
      <w:rFonts w:ascii="Arial" w:hAnsi="Arial"/>
      <w:sz w:val="24"/>
      <w:szCs w:val="24"/>
    </w:rPr>
  </w:style>
  <w:style w:type="table" w:styleId="1104">
    <w:name w:val="Grid Table 5 Dark - Accent 2"/>
    <w:basedOn w:val="912"/>
    <w:next w:val="1104"/>
    <w:link w:val="901"/>
    <w:uiPriority w:val="99"/>
    <w:qFormat/>
    <w:tblPr/>
  </w:style>
  <w:style w:type="table" w:styleId="1105">
    <w:name w:val="Grid Table 2 - Accent 6"/>
    <w:basedOn w:val="912"/>
    <w:next w:val="1105"/>
    <w:link w:val="901"/>
    <w:uiPriority w:val="99"/>
    <w:qFormat/>
    <w:tblPr/>
  </w:style>
  <w:style w:type="table" w:styleId="1106">
    <w:name w:val="无格式表格 41"/>
    <w:basedOn w:val="912"/>
    <w:next w:val="1106"/>
    <w:link w:val="901"/>
    <w:uiPriority w:val="99"/>
    <w:qFormat/>
    <w:tblPr/>
  </w:style>
  <w:style w:type="table" w:styleId="1107">
    <w:name w:val="Lined - Accent"/>
    <w:basedOn w:val="912"/>
    <w:next w:val="1107"/>
    <w:link w:val="901"/>
    <w:uiPriority w:val="99"/>
    <w:qFormat/>
    <w:rPr>
      <w:color w:val="404040"/>
    </w:rPr>
    <w:tblPr/>
  </w:style>
  <w:style w:type="table" w:styleId="1108">
    <w:name w:val="Bordered &amp; Lined - Accent 1"/>
    <w:basedOn w:val="912"/>
    <w:next w:val="1108"/>
    <w:link w:val="901"/>
    <w:uiPriority w:val="99"/>
    <w:qFormat/>
    <w:rPr>
      <w:color w:val="404040"/>
    </w:rPr>
    <w:tblPr/>
  </w:style>
  <w:style w:type="table" w:styleId="1109">
    <w:name w:val="Grid Table 2 - Accent 2"/>
    <w:basedOn w:val="912"/>
    <w:next w:val="1109"/>
    <w:link w:val="901"/>
    <w:uiPriority w:val="99"/>
    <w:qFormat/>
    <w:tblPr/>
  </w:style>
  <w:style w:type="table" w:styleId="1110">
    <w:name w:val="Bordered - Accent 3"/>
    <w:basedOn w:val="912"/>
    <w:next w:val="1110"/>
    <w:link w:val="901"/>
    <w:uiPriority w:val="99"/>
    <w:qFormat/>
    <w:tblPr/>
  </w:style>
  <w:style w:type="table" w:styleId="1111">
    <w:name w:val="Lined - Accent 2"/>
    <w:basedOn w:val="912"/>
    <w:next w:val="1111"/>
    <w:link w:val="901"/>
    <w:uiPriority w:val="99"/>
    <w:qFormat/>
    <w:rPr>
      <w:color w:val="404040"/>
    </w:rPr>
    <w:tblPr/>
  </w:style>
  <w:style w:type="table" w:styleId="1112">
    <w:name w:val="无格式表格 21"/>
    <w:basedOn w:val="912"/>
    <w:next w:val="1112"/>
    <w:link w:val="901"/>
    <w:uiPriority w:val="59"/>
    <w:qFormat/>
    <w:tblPr/>
  </w:style>
  <w:style w:type="table" w:styleId="1113">
    <w:name w:val="网格表 5 深色1"/>
    <w:basedOn w:val="912"/>
    <w:next w:val="1113"/>
    <w:link w:val="901"/>
    <w:uiPriority w:val="99"/>
    <w:qFormat/>
    <w:tblPr/>
  </w:style>
  <w:style w:type="table" w:styleId="1114">
    <w:name w:val="Grid Table 4 - Accent 2"/>
    <w:basedOn w:val="912"/>
    <w:next w:val="1114"/>
    <w:link w:val="901"/>
    <w:uiPriority w:val="59"/>
    <w:qFormat/>
    <w:tblPr/>
  </w:style>
  <w:style w:type="table" w:styleId="1115">
    <w:name w:val="Bordered &amp; Lined - Accent 6"/>
    <w:basedOn w:val="912"/>
    <w:next w:val="1115"/>
    <w:link w:val="901"/>
    <w:uiPriority w:val="99"/>
    <w:qFormat/>
    <w:rPr>
      <w:color w:val="404040"/>
    </w:rPr>
    <w:tblPr/>
  </w:style>
  <w:style w:type="table" w:styleId="1116">
    <w:name w:val="List Table 7 Colorful - Accent 1"/>
    <w:basedOn w:val="912"/>
    <w:next w:val="1116"/>
    <w:link w:val="901"/>
    <w:uiPriority w:val="99"/>
    <w:qFormat/>
    <w:tblPr/>
  </w:style>
  <w:style w:type="table" w:styleId="1117">
    <w:name w:val="List Table 1 Light - Accent 4"/>
    <w:basedOn w:val="912"/>
    <w:next w:val="1117"/>
    <w:link w:val="901"/>
    <w:uiPriority w:val="99"/>
    <w:qFormat/>
    <w:tblPr/>
  </w:style>
  <w:style w:type="table" w:styleId="1118">
    <w:name w:val="网格表 31"/>
    <w:basedOn w:val="912"/>
    <w:next w:val="1118"/>
    <w:link w:val="901"/>
    <w:uiPriority w:val="99"/>
    <w:qFormat/>
    <w:tblPr/>
  </w:style>
  <w:style w:type="character" w:styleId="1119">
    <w:name w:val="Caption Char"/>
    <w:next w:val="1119"/>
    <w:link w:val="901"/>
    <w:uiPriority w:val="99"/>
    <w:qFormat/>
  </w:style>
  <w:style w:type="table" w:styleId="1120">
    <w:name w:val="网格表 7 彩色1"/>
    <w:basedOn w:val="912"/>
    <w:next w:val="1120"/>
    <w:link w:val="901"/>
    <w:uiPriority w:val="99"/>
    <w:qFormat/>
    <w:tblPr/>
  </w:style>
  <w:style w:type="table" w:styleId="1121">
    <w:name w:val="Grid Table 4 - Accent 5"/>
    <w:basedOn w:val="912"/>
    <w:next w:val="1121"/>
    <w:link w:val="901"/>
    <w:uiPriority w:val="59"/>
    <w:qFormat/>
    <w:tblPr/>
  </w:style>
  <w:style w:type="table" w:styleId="1122">
    <w:name w:val="List Table 7 Colorful - Accent 6"/>
    <w:basedOn w:val="912"/>
    <w:next w:val="1122"/>
    <w:link w:val="901"/>
    <w:uiPriority w:val="99"/>
    <w:qFormat/>
    <w:tblPr/>
  </w:style>
  <w:style w:type="table" w:styleId="1123">
    <w:name w:val="Grid Table 3 - Accent 3"/>
    <w:basedOn w:val="912"/>
    <w:next w:val="1123"/>
    <w:link w:val="901"/>
    <w:uiPriority w:val="99"/>
    <w:qFormat/>
    <w:tblPr/>
  </w:style>
  <w:style w:type="table" w:styleId="1124">
    <w:name w:val="List Table 4 - Accent 2"/>
    <w:basedOn w:val="912"/>
    <w:next w:val="1124"/>
    <w:link w:val="901"/>
    <w:uiPriority w:val="99"/>
    <w:qFormat/>
    <w:tblPr/>
  </w:style>
  <w:style w:type="table" w:styleId="1125">
    <w:name w:val="清单表 7 彩色1"/>
    <w:basedOn w:val="912"/>
    <w:next w:val="1125"/>
    <w:link w:val="901"/>
    <w:uiPriority w:val="99"/>
    <w:qFormat/>
    <w:tblPr/>
  </w:style>
  <w:style w:type="table" w:styleId="1126">
    <w:name w:val="List Table 5 Dark - Accent 2"/>
    <w:basedOn w:val="912"/>
    <w:next w:val="1126"/>
    <w:link w:val="901"/>
    <w:uiPriority w:val="99"/>
    <w:qFormat/>
    <w:tblPr/>
  </w:style>
  <w:style w:type="table" w:styleId="1127">
    <w:name w:val="Grid Table 2 - Accent 3"/>
    <w:basedOn w:val="912"/>
    <w:next w:val="1127"/>
    <w:link w:val="901"/>
    <w:uiPriority w:val="99"/>
    <w:qFormat/>
    <w:tblPr/>
  </w:style>
  <w:style w:type="table" w:styleId="1128">
    <w:name w:val="Bordered - Accent 6"/>
    <w:basedOn w:val="912"/>
    <w:next w:val="1128"/>
    <w:link w:val="901"/>
    <w:uiPriority w:val="99"/>
    <w:qFormat/>
    <w:tblPr/>
  </w:style>
  <w:style w:type="paragraph" w:styleId="1129">
    <w:name w:val="正文（1）"/>
    <w:basedOn w:val="901"/>
    <w:next w:val="1129"/>
    <w:link w:val="901"/>
    <w:qFormat/>
    <w:pPr>
      <w:ind w:firstLine="200"/>
    </w:pPr>
    <w:rPr>
      <w:szCs w:val="24"/>
    </w:rPr>
  </w:style>
  <w:style w:type="paragraph" w:styleId="1130">
    <w:name w:val="TOC 标题1"/>
    <w:next w:val="1130"/>
    <w:link w:val="901"/>
    <w:uiPriority w:val="39"/>
    <w:unhideWhenUsed/>
    <w:qFormat/>
    <w:rPr>
      <w:sz w:val="21"/>
      <w:szCs w:val="22"/>
      <w:lang w:val="en-US" w:eastAsia="zh-CN" w:bidi="ar-SA"/>
    </w:rPr>
  </w:style>
  <w:style w:type="table" w:styleId="1131">
    <w:name w:val="Lined - Accent 6"/>
    <w:basedOn w:val="912"/>
    <w:next w:val="1131"/>
    <w:link w:val="901"/>
    <w:uiPriority w:val="99"/>
    <w:qFormat/>
    <w:rPr>
      <w:color w:val="404040"/>
    </w:rPr>
    <w:tblPr/>
  </w:style>
  <w:style w:type="table" w:styleId="1132">
    <w:name w:val="无格式表格 31"/>
    <w:basedOn w:val="912"/>
    <w:next w:val="1132"/>
    <w:link w:val="901"/>
    <w:uiPriority w:val="99"/>
    <w:qFormat/>
    <w:tblPr/>
  </w:style>
  <w:style w:type="table" w:styleId="1133">
    <w:name w:val="网格表 41"/>
    <w:basedOn w:val="912"/>
    <w:next w:val="1133"/>
    <w:link w:val="901"/>
    <w:uiPriority w:val="59"/>
    <w:qFormat/>
    <w:tblPr/>
  </w:style>
  <w:style w:type="paragraph" w:styleId="1134">
    <w:name w:val="正文文本 (2)"/>
    <w:basedOn w:val="901"/>
    <w:next w:val="1134"/>
    <w:link w:val="901"/>
    <w:qFormat/>
    <w:pPr>
      <w:ind w:firstLine="37"/>
      <w:jc w:val="both"/>
      <w:spacing w:before="60" w:line="317" w:lineRule="exact"/>
      <w:shd w:val="clear" w:color="auto" w:fill="ffffff"/>
    </w:pPr>
    <w:rPr>
      <w:rFonts w:ascii="MingLiU" w:hAnsi="MingLiU" w:eastAsia="MingLiU" w:cs="MingLiU"/>
      <w:sz w:val="18"/>
      <w:szCs w:val="18"/>
    </w:rPr>
  </w:style>
  <w:style w:type="paragraph" w:styleId="1135">
    <w:name w:val="信息标题1"/>
    <w:basedOn w:val="901"/>
    <w:next w:val="1135"/>
    <w:link w:val="901"/>
    <w:uiPriority w:val="99"/>
    <w:qFormat/>
    <w:pPr>
      <w:ind w:left="1080" w:hanging="1080"/>
      <w:spacing w:before="100" w:beforeAutospacing="1" w:after="100" w:afterAutospacing="1"/>
      <w:shd w:val="clear" w:color="auto" w:fill="7f7f7f"/>
      <w:pBdr>
        <w:top w:val="single" w:color="000000" w:sz="6" w:space="1"/>
        <w:left w:val="single" w:color="000000" w:sz="6" w:space="1"/>
        <w:bottom w:val="single" w:color="000000" w:sz="6" w:space="1"/>
        <w:right w:val="single" w:color="000000" w:sz="6" w:space="1"/>
      </w:pBdr>
    </w:pPr>
    <w:rPr>
      <w:rFonts w:ascii="Cambria" w:hAnsi="Cambria"/>
      <w:sz w:val="24"/>
      <w:szCs w:val="24"/>
    </w:rPr>
  </w:style>
  <w:style w:type="paragraph" w:styleId="1136">
    <w:name w:val="纯文本1"/>
    <w:basedOn w:val="901"/>
    <w:next w:val="1136"/>
    <w:link w:val="901"/>
    <w:uiPriority w:val="99"/>
    <w:qFormat/>
    <w:rPr>
      <w:rFonts w:ascii="宋体" w:hAnsi="Courier New"/>
      <w:sz w:val="20"/>
      <w:szCs w:val="21"/>
    </w:rPr>
  </w:style>
  <w:style w:type="paragraph" w:styleId="1137">
    <w:name w:val="纯文本11"/>
    <w:basedOn w:val="901"/>
    <w:next w:val="1137"/>
    <w:link w:val="901"/>
    <w:qFormat/>
    <w:rPr>
      <w:rFonts w:ascii="宋体" w:hAnsi="Courier New"/>
      <w:sz w:val="20"/>
      <w:szCs w:val="21"/>
    </w:rPr>
  </w:style>
  <w:style w:type="paragraph" w:styleId="1138">
    <w:name w:val="Table Text"/>
    <w:basedOn w:val="901"/>
    <w:next w:val="1138"/>
    <w:link w:val="901"/>
    <w:semiHidden/>
    <w:qFormat/>
    <w:pPr>
      <w:ind w:right="137"/>
      <w:jc w:val="center"/>
      <w:spacing w:before="65" w:line="360" w:lineRule="auto"/>
      <w:widowControl/>
    </w:pPr>
    <w:rPr>
      <w:rFonts w:ascii="宋体" w:hAnsi="宋体" w:cs="宋体"/>
      <w:bCs/>
      <w:color w:val="000000"/>
      <w:spacing w:val="6"/>
      <w:sz w:val="20"/>
      <w:szCs w:val="20"/>
      <w:lang w:eastAsia="en-US"/>
    </w:rPr>
  </w:style>
  <w:style w:type="paragraph" w:styleId="1139">
    <w:name w:val="标题 31"/>
    <w:basedOn w:val="901"/>
    <w:next w:val="976"/>
    <w:link w:val="901"/>
    <w:uiPriority w:val="9"/>
    <w:qFormat/>
    <w:pPr>
      <w:keepLines/>
      <w:keepNext/>
      <w:spacing w:before="260" w:after="260" w:line="416" w:lineRule="auto"/>
      <w:outlineLvl w:val="2"/>
    </w:pPr>
    <w:rPr>
      <w:rFonts w:ascii="Calibri" w:hAnsi="Calibri"/>
      <w:b/>
      <w:bCs/>
      <w:sz w:val="32"/>
      <w:szCs w:val="32"/>
    </w:rPr>
  </w:style>
  <w:style w:type="paragraph" w:styleId="1140">
    <w:name w:val="正文_0_0"/>
    <w:next w:val="1140"/>
    <w:link w:val="901"/>
    <w:qFormat/>
    <w:pPr>
      <w:jc w:val="both"/>
      <w:widowControl w:val="off"/>
    </w:pPr>
    <w:rPr>
      <w:rFonts w:ascii="Times New Roman" w:hAnsi="Times New Roman" w:eastAsia="宋体" w:cs="Times New Roman"/>
      <w:sz w:val="21"/>
      <w:szCs w:val="22"/>
      <w:lang w:val="en-US" w:eastAsia="zh-CN" w:bidi="ar-SA"/>
    </w:r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韩信</cp:lastModifiedBy>
  <cp:revision>12</cp:revision>
  <dcterms:created xsi:type="dcterms:W3CDTF">2024-11-29T16:30:00Z</dcterms:created>
  <dcterms:modified xsi:type="dcterms:W3CDTF">2026-07-29T03:34:25Z</dcterms:modified>
</cp:coreProperties>
</file>