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ind w:firstLine="0"/>
        <w:jc w:val="center"/>
        <w:spacing w:line="480" w:lineRule="exact"/>
        <w:rPr>
          <w:sz w:val="28"/>
          <w:highlight w:val="none"/>
        </w:rPr>
      </w:pPr>
      <w:r>
        <w:rPr>
          <w:sz w:val="28"/>
          <w:highlight w:val="none"/>
        </w:rPr>
      </w:r>
      <w:r/>
    </w:p>
    <w:p>
      <w:pPr>
        <w:pStyle w:val="690"/>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690"/>
        <w:ind w:firstLine="0"/>
        <w:jc w:val="center"/>
        <w:spacing w:line="480" w:lineRule="exact"/>
        <w:rPr>
          <w:sz w:val="28"/>
          <w:highlight w:val="none"/>
        </w:rPr>
      </w:pPr>
      <w:r>
        <w:rPr>
          <w:sz w:val="28"/>
          <w:highlight w:val="none"/>
        </w:rPr>
      </w:r>
      <w:r/>
    </w:p>
    <w:p>
      <w:pPr>
        <w:pStyle w:val="690"/>
        <w:ind w:firstLine="0"/>
        <w:jc w:val="center"/>
        <w:spacing w:line="480" w:lineRule="exact"/>
        <w:rPr>
          <w:rFonts w:hint="eastAsia"/>
          <w:sz w:val="28"/>
          <w:highlight w:val="none"/>
        </w:rPr>
      </w:pPr>
      <w:r>
        <w:rPr>
          <w:rFonts w:hint="eastAsia"/>
          <w:sz w:val="28"/>
          <w:highlight w:val="none"/>
        </w:rPr>
      </w:r>
      <w:r/>
    </w:p>
    <w:p>
      <w:pPr>
        <w:jc w:val="center"/>
        <w:spacing w:line="360" w:lineRule="auto"/>
        <w:rPr>
          <w:rFonts w:ascii="Segoe UI" w:hAnsi="Segoe UI" w:eastAsia="Segoe UI" w:cs="Segoe UI"/>
          <w:i w:val="0"/>
          <w:iCs w:val="0"/>
          <w:caps w:val="0"/>
          <w:spacing w:val="0"/>
          <w:sz w:val="21"/>
          <w:szCs w:val="21"/>
          <w:shd w:val="clear" w:color="auto" w:fill="ffffff"/>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lang w:val="en-US" w:eastAsia="zh-CN"/>
        </w:rPr>
        <w:t xml:space="preserve">田家炳初级中学新建食堂风雨操场综合楼音乐、舞蹈房等配套设施设备安装与采购项目</w:t>
      </w:r>
      <w:r/>
    </w:p>
    <w:p>
      <w:pPr>
        <w:jc w:val="center"/>
        <w:spacing w:line="360" w:lineRule="auto"/>
        <w:rPr>
          <w:rFonts w:hint="default" w:ascii="Times New Roman" w:hAnsi="Times New Roman" w:eastAsia="宋体" w:cs="Times New Roman"/>
          <w:b w:val="0"/>
          <w:bCs w:val="0"/>
          <w:color w:val="000000" w:themeColor="text1"/>
          <w:sz w:val="32"/>
          <w:szCs w:val="32"/>
          <w:highlight w:val="none"/>
          <w:lang w:val="en-US"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99</w:t>
      </w:r>
      <w:r/>
    </w:p>
    <w:p>
      <w:pPr>
        <w:pStyle w:val="690"/>
        <w:ind w:firstLine="0"/>
        <w:jc w:val="center"/>
        <w:spacing w:line="480" w:lineRule="exact"/>
        <w:rPr>
          <w:rFonts w:hint="eastAsia"/>
          <w:color w:val="000000"/>
          <w:sz w:val="32"/>
          <w:highlight w:val="none"/>
        </w:rPr>
      </w:pPr>
      <w:r>
        <w:rPr>
          <w:rFonts w:hint="eastAsia"/>
          <w:color w:val="000000"/>
          <w:sz w:val="32"/>
          <w:highlight w:val="none"/>
        </w:rPr>
      </w:r>
      <w:r/>
    </w:p>
    <w:p>
      <w:pPr>
        <w:pStyle w:val="690"/>
        <w:ind w:firstLine="0"/>
        <w:jc w:val="center"/>
        <w:spacing w:line="480" w:lineRule="exact"/>
        <w:rPr>
          <w:rFonts w:hint="eastAsia"/>
          <w:color w:val="000000"/>
          <w:sz w:val="32"/>
          <w:highlight w:val="none"/>
        </w:rPr>
      </w:pPr>
      <w:r>
        <w:rPr>
          <w:rFonts w:hint="eastAsia"/>
          <w:color w:val="000000"/>
          <w:sz w:val="32"/>
          <w:highlight w:val="none"/>
        </w:rPr>
      </w:r>
      <w:r/>
    </w:p>
    <w:p>
      <w:pPr>
        <w:pStyle w:val="690"/>
        <w:ind w:firstLine="0"/>
        <w:jc w:val="center"/>
        <w:spacing w:line="480" w:lineRule="exact"/>
        <w:rPr>
          <w:rFonts w:hint="eastAsia"/>
          <w:color w:val="000000"/>
          <w:sz w:val="32"/>
          <w:highlight w:val="none"/>
        </w:rPr>
      </w:pPr>
      <w:r>
        <w:rPr>
          <w:rFonts w:hint="eastAsia"/>
          <w:color w:val="000000"/>
          <w:sz w:val="32"/>
          <w:highlight w:val="none"/>
        </w:rPr>
      </w:r>
      <w:r/>
    </w:p>
    <w:p>
      <w:pPr>
        <w:pStyle w:val="690"/>
        <w:ind w:firstLine="0"/>
        <w:jc w:val="center"/>
        <w:spacing w:line="480" w:lineRule="exact"/>
        <w:rPr>
          <w:rFonts w:hint="eastAsia"/>
          <w:color w:val="000000"/>
          <w:sz w:val="32"/>
          <w:highlight w:val="none"/>
        </w:rPr>
      </w:pPr>
      <w:r>
        <w:rPr>
          <w:rFonts w:hint="eastAsia"/>
          <w:color w:val="000000"/>
          <w:sz w:val="32"/>
          <w:highlight w:val="none"/>
        </w:rPr>
      </w:r>
      <w:r/>
    </w:p>
    <w:p>
      <w:pPr>
        <w:pStyle w:val="690"/>
        <w:ind w:firstLine="0"/>
        <w:jc w:val="center"/>
        <w:spacing w:line="480" w:lineRule="exact"/>
        <w:rPr>
          <w:rFonts w:hint="eastAsia"/>
          <w:color w:val="000000"/>
          <w:sz w:val="32"/>
          <w:highlight w:val="none"/>
        </w:rPr>
      </w:pPr>
      <w:r>
        <w:rPr>
          <w:rFonts w:hint="eastAsia"/>
          <w:color w:val="000000"/>
          <w:sz w:val="32"/>
          <w:highlight w:val="none"/>
        </w:rPr>
      </w:r>
      <w:r/>
    </w:p>
    <w:p>
      <w:pPr>
        <w:pStyle w:val="690"/>
        <w:ind w:firstLine="0"/>
        <w:jc w:val="center"/>
        <w:spacing w:line="480" w:lineRule="exact"/>
        <w:rPr>
          <w:rFonts w:hint="eastAsia"/>
          <w:color w:val="000000"/>
          <w:sz w:val="32"/>
          <w:highlight w:val="none"/>
        </w:rPr>
      </w:pPr>
      <w:r>
        <w:rPr>
          <w:rFonts w:hint="eastAsia"/>
          <w:color w:val="000000"/>
          <w:sz w:val="32"/>
          <w:highlight w:val="none"/>
        </w:rPr>
      </w:r>
      <w:r/>
    </w:p>
    <w:p>
      <w:pPr>
        <w:pStyle w:val="690"/>
        <w:ind w:firstLine="0"/>
        <w:jc w:val="center"/>
        <w:spacing w:line="480" w:lineRule="exact"/>
        <w:rPr>
          <w:rFonts w:hint="eastAsia"/>
          <w:color w:val="000000"/>
          <w:sz w:val="32"/>
          <w:highlight w:val="none"/>
        </w:rPr>
      </w:pPr>
      <w:r>
        <w:rPr>
          <w:rFonts w:hint="eastAsia"/>
          <w:color w:val="000000"/>
          <w:sz w:val="32"/>
          <w:highlight w:val="none"/>
        </w:rPr>
      </w:r>
      <w:r/>
    </w:p>
    <w:p>
      <w:pPr>
        <w:pStyle w:val="690"/>
        <w:ind w:firstLine="0"/>
        <w:jc w:val="center"/>
        <w:spacing w:line="480" w:lineRule="exact"/>
        <w:rPr>
          <w:rFonts w:hint="eastAsia"/>
          <w:color w:val="000000"/>
          <w:sz w:val="32"/>
          <w:highlight w:val="none"/>
        </w:rPr>
      </w:pPr>
      <w:r>
        <w:rPr>
          <w:rFonts w:hint="eastAsia"/>
          <w:color w:val="000000"/>
          <w:sz w:val="32"/>
          <w:highlight w:val="none"/>
        </w:rPr>
      </w:r>
      <w:r/>
    </w:p>
    <w:p>
      <w:pPr>
        <w:pStyle w:val="690"/>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690"/>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8</w:t>
      </w:r>
      <w:r>
        <w:rPr>
          <w:rFonts w:hint="eastAsia" w:ascii="宋体" w:hAnsi="宋体"/>
          <w:color w:val="000000"/>
          <w:sz w:val="32"/>
          <w:highlight w:val="none"/>
        </w:rPr>
        <w:t xml:space="preserve">月</w:t>
      </w:r>
      <w:r/>
    </w:p>
    <w:p>
      <w:pPr>
        <w:pStyle w:val="690"/>
        <w:ind w:firstLine="0"/>
        <w:jc w:val="center"/>
        <w:spacing w:line="480" w:lineRule="exact"/>
        <w:rPr>
          <w:sz w:val="28"/>
          <w:highlight w:val="none"/>
        </w:rPr>
      </w:pPr>
      <w:r>
        <w:rPr>
          <w:highlight w:val="none"/>
          <w:lang w:eastAsia="zh-CN"/>
        </w:rPr>
        <w:br w:type="page" w:clear="all"/>
      </w:r>
      <w:r/>
    </w:p>
    <w:p>
      <w:pPr>
        <w:pStyle w:val="690"/>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660"/>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lang w:eastAsia="zh-CN"/>
            </w:rPr>
            <w:fldChar w:fldCharType="end"/>
          </w:r>
          <w:r/>
        </w:p>
        <w:p>
          <w:pPr>
            <w:pStyle w:val="660"/>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lang w:eastAsia="zh-CN"/>
            </w:rPr>
            <w:fldChar w:fldCharType="end"/>
          </w:r>
          <w:r/>
        </w:p>
        <w:p>
          <w:pPr>
            <w:pStyle w:val="660"/>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lang w:eastAsia="zh-CN"/>
            </w:rPr>
            <w:fldChar w:fldCharType="end"/>
          </w:r>
          <w:r/>
        </w:p>
        <w:p>
          <w:pPr>
            <w:pStyle w:val="660"/>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lang w:eastAsia="zh-CN"/>
            </w:rPr>
            <w:fldChar w:fldCharType="end"/>
          </w:r>
          <w:r/>
        </w:p>
        <w:p>
          <w:pPr>
            <w:pStyle w:val="660"/>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lang w:eastAsia="zh-CN"/>
            </w:rPr>
            <w:fldChar w:fldCharType="end"/>
          </w:r>
          <w:r/>
        </w:p>
        <w:p>
          <w:pPr>
            <w:pStyle w:val="690"/>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690"/>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spacing w:line="480" w:lineRule="exact"/>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spacing w:line="480" w:lineRule="exact"/>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lang w:eastAsia="zh-CN"/>
        </w:rPr>
        <w:t xml:space="preserve">田家炳初级中学新建食堂风雨操场综合楼音乐、舞蹈房等配套设施设备安装与采购项目</w:t>
      </w:r>
      <w:r>
        <w:rPr>
          <w:rFonts w:hint="eastAsia" w:ascii="仿宋" w:hAnsi="仿宋" w:eastAsia="仿宋" w:cs="仿宋"/>
          <w:sz w:val="28"/>
          <w:szCs w:val="28"/>
          <w:highlight w:val="none"/>
        </w:rPr>
        <w:t xml:space="preserve">的潜在供应商应在江苏政府采购网获取采购文件，并于2026年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月24</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点00分（北京时间）前提交响应文件。</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690"/>
        <w:ind w:firstLine="560"/>
        <w:spacing w:line="480" w:lineRule="exact"/>
        <w:rPr>
          <w:rFonts w:hint="default" w:ascii="仿宋" w:hAnsi="仿宋" w:eastAsia="仿宋" w:cs="仿宋"/>
          <w:sz w:val="28"/>
          <w:highlight w:val="none"/>
          <w:lang w:val="en-US" w:eastAsia="zh-CN"/>
        </w:rPr>
      </w:pPr>
      <w:r>
        <w:rPr>
          <w:rFonts w:hint="eastAsia" w:ascii="仿宋" w:hAnsi="仿宋" w:eastAsia="仿宋" w:cs="仿宋"/>
          <w:sz w:val="28"/>
          <w:highlight w:val="none"/>
          <w:lang w:eastAsia="zh-CN"/>
        </w:rPr>
        <w:t xml:space="preserve">1.项目编号：JSZC-320600-JZCG-X2026-00</w:t>
      </w:r>
      <w:r>
        <w:rPr>
          <w:rFonts w:hint="eastAsia" w:ascii="仿宋" w:hAnsi="仿宋" w:eastAsia="仿宋" w:cs="仿宋"/>
          <w:sz w:val="28"/>
          <w:highlight w:val="none"/>
          <w:lang w:val="en-US" w:eastAsia="zh-CN"/>
        </w:rPr>
        <w:t xml:space="preserve">99</w:t>
      </w:r>
      <w:r/>
    </w:p>
    <w:p>
      <w:pPr>
        <w:pStyle w:val="690"/>
        <w:ind w:firstLine="560"/>
        <w:spacing w:line="480" w:lineRule="exact"/>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2.项目名称：田家炳初级中学新建食堂风雨操场综合楼音乐、舞蹈房等配套设施设备安装与采购项目</w:t>
      </w:r>
      <w:r/>
    </w:p>
    <w:p>
      <w:pPr>
        <w:pStyle w:val="690"/>
        <w:ind w:firstLine="560"/>
        <w:spacing w:line="480" w:lineRule="exact"/>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34.51</w:t>
      </w:r>
      <w:r>
        <w:rPr>
          <w:rFonts w:hint="eastAsia" w:ascii="仿宋" w:hAnsi="仿宋" w:eastAsia="仿宋" w:cs="仿宋"/>
          <w:sz w:val="28"/>
          <w:highlight w:val="none"/>
          <w:lang w:eastAsia="zh-CN"/>
        </w:rPr>
        <w:t xml:space="preserve">万元。</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val="en-US" w:eastAsia="zh-CN"/>
        </w:rPr>
        <w:t xml:space="preserve">34.51</w:t>
      </w:r>
      <w:r>
        <w:rPr>
          <w:rFonts w:hint="eastAsia" w:ascii="仿宋" w:hAnsi="仿宋" w:eastAsia="仿宋" w:cs="仿宋"/>
          <w:color w:val="000000"/>
          <w:sz w:val="28"/>
          <w:szCs w:val="28"/>
          <w:highlight w:val="none"/>
        </w:rPr>
        <w:t xml:space="preserve">万元。</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本项目满足综合楼的音乐教室、舞蹈放、体育馆等功能教室教育教学需求。采购设施设备包括音乐、舞蹈房有教学用琴、音乐凳、舞蹈压腿凳、舞蹈室多格鞋柜、舞蹈室更衣柜、舞蹈室更衣凳；配套体育设备设施有墙面折叠篮球架、篮球场划线、立式记分牌、羽毛球地胶、羽毛球柱、羽毛球网、仰卧起坐测试仪；其它配套设备有主席台会议桌、主席台会议椅、教师办公桌椅等。采购范围包括采购设施设备的制作、运输、安装、摆放就位、检测、售后服务等，性能、材料、结构、外观、安全等技术参数详见清单。</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6.合同履行期限：合同签订后</w:t>
      </w:r>
      <w:r>
        <w:rPr>
          <w:rFonts w:hint="eastAsia" w:ascii="仿宋" w:hAnsi="仿宋" w:eastAsia="仿宋" w:cs="仿宋"/>
          <w:sz w:val="28"/>
          <w:szCs w:val="28"/>
          <w:highlight w:val="none"/>
          <w:lang w:val="en-US" w:eastAsia="zh-CN"/>
        </w:rPr>
        <w:t xml:space="preserve">25</w:t>
      </w:r>
      <w:r>
        <w:rPr>
          <w:rFonts w:hint="eastAsia" w:ascii="仿宋" w:hAnsi="仿宋" w:eastAsia="仿宋" w:cs="仿宋"/>
          <w:sz w:val="28"/>
          <w:szCs w:val="28"/>
          <w:highlight w:val="none"/>
        </w:rPr>
        <w:t xml:space="preserve">天内安装调试完毕并交付使用。</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865"/>
        <w:ind w:firstLine="560"/>
        <w:spacing w:after="0" w:line="480" w:lineRule="exact"/>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865"/>
        <w:ind w:firstLine="560"/>
        <w:spacing w:after="0" w:line="480" w:lineRule="exact"/>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月18日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月24日</w:t>
      </w:r>
      <w:r>
        <w:rPr>
          <w:rFonts w:hint="eastAsia" w:ascii="仿宋" w:hAnsi="仿宋" w:eastAsia="仿宋" w:cs="宋体"/>
          <w:color w:val="000000" w:themeColor="text1"/>
          <w:sz w:val="28"/>
          <w:szCs w:val="28"/>
          <w:highlight w:val="none"/>
          <w14:textFill>
            <w14:solidFill>
              <w14:schemeClr w14:val="tx1"/>
            </w14:solidFill>
          </w14:textFill>
        </w:rPr>
        <w:t xml:space="preserve">14:00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spacing w:line="480" w:lineRule="exact"/>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月24日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点00分（北京时间）</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spacing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65"/>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865"/>
        <w:ind w:firstLine="56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spacing w:line="480" w:lineRule="exact"/>
        <w:tabs>
          <w:tab w:val="left" w:pos="900" w:leader="none"/>
        </w:tabs>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参与政府采购项目，需要更换CA数字证书和电子签章。具体办理指南和操作手册见链接：http://www.ccgp-jiangsu.gov.cn/jiangsu/zlxz/ee/ee3a4bc5a3454aa2b0d9312230633ce9.html。</w:t>
      </w:r>
      <w:r/>
    </w:p>
    <w:p>
      <w:pPr>
        <w:pStyle w:val="865"/>
        <w:ind w:firstLine="560"/>
        <w:spacing w:after="0" w:line="480" w:lineRule="exact"/>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spacing w:line="48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名    称：</w:t>
      </w:r>
      <w:r>
        <w:rPr>
          <w:rFonts w:hint="eastAsia" w:ascii="仿宋" w:hAnsi="仿宋" w:eastAsia="仿宋" w:cs="仿宋"/>
          <w:sz w:val="28"/>
          <w:szCs w:val="28"/>
          <w:highlight w:val="none"/>
          <w:lang w:val="en-US" w:eastAsia="zh-CN"/>
        </w:rPr>
        <w:t xml:space="preserve">南通市田家炳初级中学</w:t>
      </w:r>
      <w:r/>
    </w:p>
    <w:p>
      <w:pPr>
        <w:spacing w:line="48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地    址：江苏省南通市</w:t>
      </w:r>
      <w:r>
        <w:rPr>
          <w:rFonts w:hint="eastAsia" w:ascii="仿宋" w:hAnsi="仿宋" w:eastAsia="仿宋" w:cs="仿宋"/>
          <w:sz w:val="28"/>
          <w:szCs w:val="28"/>
          <w:highlight w:val="none"/>
          <w:lang w:val="en-US" w:eastAsia="zh-CN"/>
        </w:rPr>
        <w:t xml:space="preserve">崇川区南园路21号</w:t>
      </w:r>
      <w:r/>
    </w:p>
    <w:p>
      <w:pPr>
        <w:spacing w:line="480" w:lineRule="exact"/>
        <w:rPr>
          <w:rFonts w:hint="default" w:ascii="仿宋" w:hAnsi="仿宋" w:eastAsia="仿宋" w:cs="仿宋"/>
          <w:sz w:val="28"/>
          <w:szCs w:val="28"/>
          <w:highlight w:val="none"/>
          <w:u w:val="none"/>
        </w:rPr>
      </w:pPr>
      <w:r>
        <w:rPr>
          <w:rFonts w:hint="eastAsia" w:ascii="仿宋" w:hAnsi="仿宋" w:eastAsia="仿宋" w:cs="仿宋"/>
          <w:sz w:val="28"/>
          <w:szCs w:val="28"/>
          <w:highlight w:val="none"/>
        </w:rPr>
        <w:t xml:space="preserve">联 </w:t>
      </w:r>
      <w:r>
        <w:rPr>
          <w:rFonts w:hint="eastAsia" w:ascii="仿宋" w:hAnsi="仿宋" w:eastAsia="仿宋" w:cs="仿宋"/>
          <w:sz w:val="28"/>
          <w:szCs w:val="28"/>
          <w:highlight w:val="none"/>
          <w:u w:val="none"/>
        </w:rPr>
        <w:t xml:space="preserve">系 人：</w:t>
      </w:r>
      <w:r>
        <w:rPr>
          <w:rFonts w:hint="eastAsia" w:ascii="仿宋" w:hAnsi="仿宋" w:eastAsia="仿宋" w:cs="仿宋"/>
          <w:sz w:val="28"/>
          <w:szCs w:val="28"/>
          <w:highlight w:val="none"/>
          <w:lang w:val="en-US" w:eastAsia="zh-CN"/>
        </w:rPr>
        <w:t xml:space="preserve">王老师</w:t>
      </w:r>
      <w:r/>
    </w:p>
    <w:p>
      <w:pPr>
        <w:spacing w:line="480" w:lineRule="exac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u w:val="none"/>
        </w:rPr>
        <w:t xml:space="preserve">联系方式：</w:t>
      </w:r>
      <w:r>
        <w:rPr>
          <w:rFonts w:hint="eastAsia" w:ascii="仿宋" w:hAnsi="仿宋" w:eastAsia="仿宋" w:cs="仿宋"/>
          <w:sz w:val="28"/>
          <w:szCs w:val="28"/>
          <w:highlight w:val="none"/>
          <w:lang w:val="en-US" w:eastAsia="zh-CN"/>
        </w:rPr>
        <w:t xml:space="preserve">15951313300</w:t>
      </w:r>
      <w:r/>
    </w:p>
    <w:p>
      <w:pPr>
        <w:pStyle w:val="865"/>
        <w:ind w:left="0" w:firstLine="0"/>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865"/>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65"/>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865"/>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865"/>
        <w:ind w:left="0" w:firstLine="0"/>
        <w:spacing w:after="0" w:line="480" w:lineRule="exact"/>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865"/>
        <w:ind w:left="0" w:firstLine="0"/>
        <w:jc w:val="left"/>
        <w:spacing w:after="0" w:line="480" w:lineRule="exact"/>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690"/>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val="en-US" w:eastAsia="zh-CN"/>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690"/>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690"/>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865"/>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690"/>
        <w:ind w:firstLine="0"/>
        <w:jc w:val="center"/>
        <w:rPr>
          <w:color w:val="000000"/>
          <w:sz w:val="28"/>
          <w:szCs w:val="28"/>
          <w:highlight w:val="none"/>
        </w:rPr>
      </w:pPr>
      <w:r>
        <w:rPr>
          <w:color w:val="000000"/>
          <w:sz w:val="28"/>
          <w:szCs w:val="28"/>
          <w:highlight w:val="none"/>
        </w:rPr>
      </w:r>
      <w:r/>
    </w:p>
    <w:p>
      <w:pPr>
        <w:pStyle w:val="690"/>
        <w:ind w:firstLine="0"/>
        <w:jc w:val="center"/>
        <w:rPr>
          <w:color w:val="000000"/>
          <w:sz w:val="28"/>
          <w:szCs w:val="28"/>
          <w:highlight w:val="none"/>
        </w:rPr>
      </w:pPr>
      <w:r>
        <w:rPr>
          <w:color w:val="000000"/>
          <w:sz w:val="28"/>
          <w:szCs w:val="28"/>
          <w:highlight w:val="none"/>
        </w:rPr>
      </w:r>
      <w:r/>
    </w:p>
    <w:p>
      <w:pPr>
        <w:pStyle w:val="690"/>
        <w:ind w:firstLine="0"/>
        <w:jc w:val="center"/>
        <w:rPr>
          <w:color w:val="000000"/>
          <w:sz w:val="28"/>
          <w:szCs w:val="28"/>
          <w:highlight w:val="none"/>
        </w:rPr>
      </w:pPr>
      <w:r>
        <w:rPr>
          <w:color w:val="000000"/>
          <w:sz w:val="28"/>
          <w:szCs w:val="28"/>
          <w:highlight w:val="none"/>
        </w:rPr>
      </w:r>
      <w:r/>
    </w:p>
    <w:p>
      <w:pPr>
        <w:pStyle w:val="690"/>
        <w:ind w:firstLine="0"/>
        <w:jc w:val="center"/>
        <w:rPr>
          <w:rFonts w:hint="eastAsia"/>
          <w:highlight w:val="none"/>
        </w:rPr>
      </w:pPr>
      <w:r>
        <w:rPr>
          <w:rFonts w:hint="eastAsia"/>
          <w:highlight w:val="none"/>
        </w:rPr>
      </w:r>
      <w:r/>
    </w:p>
    <w:p>
      <w:pPr>
        <w:pStyle w:val="849"/>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49"/>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690"/>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50"/>
        <w:ind w:left="0" w:firstLine="420"/>
        <w:spacing w:after="0" w:line="400" w:lineRule="exact"/>
        <w:rPr>
          <w:rFonts w:ascii="宋体" w:hAnsi="宋体"/>
          <w:szCs w:val="21"/>
          <w:highlight w:val="none"/>
        </w:rPr>
      </w:pPr>
      <w:r>
        <w:rPr>
          <w:rFonts w:ascii="宋体" w:hAnsi="宋体"/>
          <w:szCs w:val="21"/>
          <w:highlight w:val="none"/>
        </w:rPr>
      </w:r>
      <w:r/>
    </w:p>
    <w:p>
      <w:pPr>
        <w:pStyle w:val="850"/>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50"/>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50"/>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50"/>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884"/>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8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88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88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884"/>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884"/>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884"/>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884"/>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884"/>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84"/>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884"/>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884"/>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884"/>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884"/>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885"/>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88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884"/>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884"/>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5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884"/>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5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5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88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884"/>
        <w:rPr>
          <w:rFonts w:ascii="宋体" w:hAnsi="宋体" w:eastAsia="宋体" w:cs="宋体"/>
          <w:color w:val="000000"/>
          <w:sz w:val="21"/>
          <w:highlight w:val="none"/>
        </w:rPr>
      </w:pPr>
      <w:r>
        <w:rPr>
          <w:highlight w:val="none"/>
        </w:rPr>
        <w:br w:type="page" w:clear="all"/>
      </w:r>
      <w:r/>
    </w:p>
    <w:p>
      <w:pPr>
        <w:pStyle w:val="88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59"/>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277"/>
        <w:gridCol w:w="1178"/>
        <w:gridCol w:w="301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50"/>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84"/>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884"/>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90"/>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49"/>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49"/>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5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84"/>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54"/>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4"/>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84"/>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4"/>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84"/>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884"/>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5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88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88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8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50"/>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88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884"/>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884"/>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884"/>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50"/>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5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884"/>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highlight w:val="none"/>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690"/>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690"/>
        <w:ind w:firstLine="0"/>
        <w:spacing w:line="480" w:lineRule="exact"/>
        <w:rPr>
          <w:rFonts w:hint="eastAsia"/>
          <w:b/>
          <w:sz w:val="28"/>
          <w:highlight w:val="none"/>
        </w:rPr>
        <w:outlineLvl w:val="1"/>
      </w:pPr>
      <w:r>
        <w:rPr>
          <w:rFonts w:hint="eastAsia"/>
          <w:b/>
          <w:sz w:val="28"/>
          <w:highlight w:val="none"/>
          <w:lang w:eastAsia="zh-CN"/>
        </w:rPr>
        <w:t xml:space="preserve">项目属性：货物类</w:t>
      </w:r>
      <w:r/>
    </w:p>
    <w:p>
      <w:pPr>
        <w:numPr>
          <w:ilvl w:val="0"/>
          <w:numId w:val="0"/>
        </w:numPr>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一、</w:t>
      </w:r>
      <w:r>
        <w:rPr>
          <w:rFonts w:ascii="Times New Roman" w:hAnsi="Times New Roman" w:eastAsia="仿宋" w:cs="Times New Roman"/>
          <w:b/>
          <w:sz w:val="28"/>
          <w:szCs w:val="28"/>
          <w:highlight w:val="none"/>
        </w:rPr>
        <w:t xml:space="preserve">采购标的清单</w:t>
      </w:r>
      <w:r>
        <w:rPr>
          <w:rFonts w:hint="eastAsia" w:ascii="Times New Roman" w:hAnsi="Times New Roman" w:eastAsia="仿宋" w:cs="Times New Roman"/>
          <w:b/>
          <w:sz w:val="28"/>
          <w:szCs w:val="28"/>
          <w:highlight w:val="none"/>
          <w:lang w:val="en-US" w:eastAsia="zh-CN"/>
        </w:rPr>
        <w:t xml:space="preserve">   </w:t>
      </w:r>
      <w:r/>
    </w:p>
    <w:tbl>
      <w:tblPr>
        <w:tblStyle w:val="659"/>
        <w:tblW w:w="830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5"/>
        <w:gridCol w:w="2950"/>
        <w:gridCol w:w="917"/>
        <w:gridCol w:w="1516"/>
        <w:gridCol w:w="2200"/>
      </w:tblGrid>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对应中小企业划分标准所属行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智慧电子黑板</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智能笔</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舞蹈室功率放大器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舞蹈室音箱</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教学用琴</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舞蹈压腿凳</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个</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舞蹈室多格鞋柜</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舞蹈室更衣柜</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舞蹈室更衣凳</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室内移动式篮球架</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副</w:t>
            </w:r>
            <w:r>
              <w:rPr>
                <w:rFonts w:hint="eastAsia" w:ascii="仿宋" w:hAnsi="仿宋" w:eastAsia="仿宋" w:cs="仿宋"/>
                <w:color w:val="auto"/>
                <w:sz w:val="24"/>
                <w:szCs w:val="24"/>
                <w:highlight w:val="none"/>
                <w:lang w:val="en-US" w:eastAsia="zh-CN"/>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立式记分牌</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羽毛球地胶</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羽毛球柱</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羽毛球网</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仰卧起坐测试仪</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主席台会议桌</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主席台会议椅</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办公桌椅</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2200" w:type="dxa"/>
            <w:vAlign w:val="center"/>
            <w:textDirection w:val="lrTb"/>
            <w:noWrap/>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工业</w:t>
            </w:r>
            <w:r/>
          </w:p>
        </w:tc>
      </w:tr>
    </w:tbl>
    <w:p>
      <w:pPr>
        <w:keepLines w:val="0"/>
        <w:keepNext w:val="0"/>
        <w:pageBreakBefore w:val="0"/>
        <w:spacing w:after="62" w:line="440" w:lineRule="exact"/>
        <w:widowControl w:val="off"/>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 xml:space="preserve">本项目核心产品：</w:t>
      </w:r>
      <w:r>
        <w:rPr>
          <w:rFonts w:hint="eastAsia" w:ascii="仿宋" w:hAnsi="仿宋" w:eastAsia="仿宋" w:cs="仿宋"/>
          <w:b/>
          <w:sz w:val="24"/>
          <w:szCs w:val="24"/>
          <w:highlight w:val="none"/>
          <w:lang w:val="en-US" w:eastAsia="zh-CN"/>
        </w:rPr>
        <w:t xml:space="preserve">智慧黑板</w:t>
      </w:r>
      <w:r/>
    </w:p>
    <w:p>
      <w:pPr>
        <w:pStyle w:val="690"/>
        <w:ind w:firstLine="0"/>
        <w:spacing w:line="480" w:lineRule="exact"/>
        <w:rPr>
          <w:rFonts w:hint="eastAsia" w:ascii="宋体" w:hAnsi="宋体" w:eastAsia="宋体" w:cs="宋体"/>
          <w:b/>
          <w:bCs/>
          <w:sz w:val="28"/>
          <w:szCs w:val="28"/>
          <w:highlight w:val="none"/>
        </w:rPr>
        <w:outlineLvl w:val="1"/>
      </w:pPr>
      <w:r>
        <w:rPr>
          <w:rFonts w:hint="eastAsia"/>
          <w:b/>
          <w:sz w:val="28"/>
          <w:highlight w:val="none"/>
          <w:lang w:val="en-US" w:eastAsia="zh-CN"/>
        </w:rPr>
        <w:t xml:space="preserve">二</w:t>
      </w:r>
      <w:r>
        <w:rPr>
          <w:b/>
          <w:sz w:val="28"/>
          <w:highlight w:val="none"/>
          <w:lang w:eastAsia="zh-CN"/>
        </w:rPr>
        <w:t xml:space="preserve">、技术要求</w:t>
      </w:r>
      <w:r>
        <w:rPr>
          <w:rFonts w:hint="eastAsia"/>
          <w:b/>
          <w:sz w:val="28"/>
          <w:highlight w:val="none"/>
          <w:lang w:eastAsia="zh-CN"/>
        </w:rPr>
        <w:t xml:space="preserve">（</w:t>
      </w:r>
      <w:r>
        <w:rPr>
          <w:rFonts w:hint="eastAsia" w:ascii="宋体" w:hAnsi="宋体" w:eastAsia="宋体" w:cs="宋体"/>
          <w:b/>
          <w:bCs/>
          <w:sz w:val="28"/>
          <w:szCs w:val="28"/>
          <w:highlight w:val="none"/>
        </w:rPr>
        <w:t xml:space="preserve">对采购标的功能和质量要求，包括性能、材料、结构、外观、安全，或者服务内容和标准等</w:t>
      </w:r>
      <w:r>
        <w:rPr>
          <w:rFonts w:hint="eastAsia" w:ascii="宋体" w:hAnsi="宋体" w:eastAsia="宋体" w:cs="宋体"/>
          <w:b/>
          <w:bCs/>
          <w:sz w:val="28"/>
          <w:szCs w:val="28"/>
          <w:highlight w:val="none"/>
          <w:lang w:eastAsia="zh-CN"/>
        </w:rPr>
        <w:t xml:space="preserve">）</w:t>
      </w:r>
      <w:r/>
    </w:p>
    <w:p>
      <w:pPr>
        <w:spacing w:line="480" w:lineRule="exact"/>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pStyle w:val="850"/>
        <w:ind w:left="0" w:firstLine="480"/>
        <w:keepLines w:val="0"/>
        <w:keepNext w:val="0"/>
        <w:pageBreakBefore w:val="0"/>
        <w:spacing w:after="0" w:line="4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南通市田家炳初级中学新建食堂风雨操场综合楼音乐、舞蹈房等配套设施设备安装与采购项目，满足综合楼的音乐教室、舞蹈放、体育馆等功能教室教</w:t>
      </w:r>
      <w:r>
        <w:rPr>
          <w:rFonts w:hint="eastAsia" w:ascii="仿宋" w:hAnsi="仿宋" w:eastAsia="仿宋" w:cs="仿宋"/>
          <w:sz w:val="24"/>
          <w:szCs w:val="24"/>
          <w:highlight w:val="none"/>
          <w:lang w:val="en-US" w:eastAsia="zh-CN"/>
        </w:rPr>
        <w:t xml:space="preserve">育教学需求。采购范围包括音乐、舞蹈房等配套设施设备的制作、运输、安装、摆放就位、检测、售后服务等，性能、材料、结构、外观、安全等技术参数详见清单。本项目为“交钥匙工程”，项目所需设施设备的制造、包装、运输（运到采购人指定地点），设施设备安装过程中可能涉及原有供电、供气等线路调整，以及设施设备安装调试、试运行、验收、提供备品备件、技术培训、成品保护、售后服务、质保、维护保养等，直至最后交付使用的完整性项目。以上所涉及并产生的费用均包含在响应总价中，成交人不得再要求追加任何费用。（具体安装教室位置服从学校安排）</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ascii="Times New Roman" w:hAnsi="Times New Roman" w:eastAsia="仿宋" w:cs="Times New Roman"/>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ind w:firstLine="561"/>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ind w:firstLine="561"/>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spacing w:line="520" w:lineRule="exact"/>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numPr>
          <w:ilvl w:val="0"/>
          <w:numId w:val="0"/>
        </w:numPr>
        <w:ind w:left="600"/>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numPr>
          <w:ilvl w:val="0"/>
          <w:numId w:val="0"/>
        </w:numPr>
        <w:ind w:left="600"/>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numPr>
          <w:ilvl w:val="0"/>
          <w:numId w:val="0"/>
        </w:numPr>
        <w:ind w:left="600"/>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lang w:val="en-US" w:eastAsia="zh-CN" w:bidi="ar-SA"/>
        </w:rPr>
      </w:pPr>
      <w:r>
        <w:rPr>
          <w:rFonts w:hint="eastAsia" w:ascii="仿宋" w:hAnsi="仿宋" w:eastAsia="仿宋" w:cs="仿宋"/>
          <w:b/>
          <w:bCs/>
          <w:caps/>
          <w:color w:val="auto"/>
          <w:sz w:val="28"/>
          <w:szCs w:val="28"/>
          <w:highlight w:val="none"/>
          <w:lang w:val="en-US" w:eastAsia="zh-CN" w:bidi="ar-SA"/>
        </w:rPr>
      </w:r>
      <w:r/>
    </w:p>
    <w:p>
      <w:pPr>
        <w:numPr>
          <w:ilvl w:val="0"/>
          <w:numId w:val="0"/>
        </w:numPr>
        <w:keepLines w:val="0"/>
        <w:keepNext w:val="0"/>
        <w:pageBreakBefore w:val="0"/>
        <w:spacing w:line="360" w:lineRule="auto"/>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1.产品技术参数 </w:t>
      </w:r>
      <w:r/>
    </w:p>
    <w:tbl>
      <w:tblPr>
        <w:tblStyle w:val="659"/>
        <w:tblW w:w="843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2"/>
        <w:gridCol w:w="809"/>
        <w:gridCol w:w="6150"/>
        <w:gridCol w:w="416"/>
        <w:gridCol w:w="517"/>
      </w:tblGrid>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数量</w:t>
            </w:r>
            <w:r/>
          </w:p>
        </w:tc>
      </w:tr>
      <w:tr>
        <w:trPr>
          <w:trHeight w:val="7839"/>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智慧电子黑板</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numPr>
                <w:ilvl w:val="0"/>
                <w:numId w:val="1"/>
              </w:num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整体设计</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1.整机整体外观尺寸：宽≥4200mm，高≥1200mm，厚≤120mm。整机采用全金属外壳，三拼接平面一体化设计。</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2.屏幕采用≥86英寸液晶显示器，采⽤LED液晶A规屏，显示⽐例16:9。显示分辨率3840*2160。</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3.侧置输入接口具备≥2路HDMI、1路RS232、1路USB接口，1路音频输出、1路触控USB输出；前置输入接口≥3路USB接口（包含≥1路Type-C、≥2路USB）。</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4.整机采用电容触控技术，Windows系统和Android系统均能多点触控流畅。</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5.整机嵌入式系统版本≥Android 14及以上，内存≥2GB，存储空间≥32GB。</w:t>
            </w:r>
            <w:r/>
          </w:p>
          <w:p>
            <w:pPr>
              <w:numPr>
                <w:ilvl w:val="0"/>
                <w:numId w:val="0"/>
              </w:numPr>
              <w:ind w:right="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★6.整机设备内置不低于2.2声道扬声器，最大功率≥60W。（验收时提供第三方权威机构出具的检测报告复印件并加盖供应商公章）</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7.整机内置非独立外扩展的4阵列麦克风，可用于对教室环境音频进行采集，麦克风拾音距离≥10米。</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8.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9.整机上边框内置非独立摄像头，采用一体化集成设计，支持拍摄≥1300 万像素的照片和视频，支持输出 4k 分辨率的视频。</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10.在Android和Windows系统下，可实现Wi-Fi无线上网连接、AP无线热点发射等。</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11.整机Windows通道支持文件传输应用，支持通过扫码、wifi直连，实现文件传输功能。</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12.支持微课制作工具，支持对全屏/区域的屏幕内容、整机声音、麦克风声音、摄像头内容进行录制，支持切换录制分辨率，支持录制过程中进行画笔标注与擦除；支持中途暂停录制和继续录制。（验收时提供第三方权威机构出具的检测报告复印件并加盖供应商公章）</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★13.整机内置智能语音转文字工具，将整机内置麦克风拾取的语音进行文字转译，以悬浮字幕形式将转译文字显示在屏幕上。（验收时提供第三方权威机构出具的检测报告复印件并加盖供应商公章）</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14.整机配套教学应用APP可通过wifi直连技术，近场发现附近教学大屏设备，无需扫码、账号密码输入步骤，即可直接连接并登录教学大屏设备，基于统一身份认证机制可实现其他教学软件免登录操作。（验收时提供第三方权威机构出具的检测报告复印件并加盖供应商公章）</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二、插拔式电脑模块：</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1.具有标准PC防盗锁孔，确保电脑模块安全防盗。</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2.电脑模块CPU要求：主频≥2.0GHz，不低于8核心十二线程；配置要求：不低于 DDR4 16GB内存，256GB SSD硬盘。</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三、集控软件</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1.设计架构：系统采用模块化的架构设计B/S架构，通过浏览器打开并用微信扫码登录、账号密码登录和微信授权登录完成鉴权，即可使用数字校园产品的各项功能模块。</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2.登录认证：基于Web浏览器，提供用户统一登录认证功能，包括：手机号码注册、登录、忘记密码、扫码登录、账号管理等功能。</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3.支持管理者开启掌上看班服务，拥有掌上看班权限的老师可在移动端或PC客户端实时巡班，并进行基础远程管控。</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支持AI自动监测设备画面色情、游戏等风险内容或元素；支持不良画面自动提醒；支持将每天监测到的风险结果自动推送至公众号提醒管理；（验收时提供第三方权威机构出具的检测报告复印件并加盖供应商公章）</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5.支持同时查看不少于20个教室的实时摄像头画面、设备屏幕画面；支持在一个显示界面同时查看单个教室内所有屏幕、所有摄像头的实时画面，以及所有麦克风的声音，其中摄像头画面可直接使用设备自带摄像头，支持远程发送文本消息、语音消息，支持记录备注、听课评价；支持巡视日志功能，可以回溯管理员的巡视历史。</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center"/>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r>
      <w:tr>
        <w:trPr>
          <w:trHeight w:val="143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视频展台</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1.摄像头像素≥800万</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2.摄像头支持自动对焦，A4大小拍摄幅面，1080P动态视频预览达到30帧/秒。</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3.整机采用圆弧式设计，无锐角；托板可承重≥3kg，同时托板采用磁吸吸附式机构。</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4.展示托板正上方具备LED补光灯，补光灯开关采用触摸按键设计，同时可通过视频展台软件直接控制开关；</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5.摄像头部分进行外壳防护等级试验，防护等级达到IP4X级别。</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6.支持对展台画面进行实时批注、放大、缩小、旋转、自适应、冻结画面等操作。</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7.具备图像增强功能，可自动裁剪背景并增强文字显示，使文档画面更清晰。</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8.具备图像、文本或动态等多种情景模式，适应不同展示内容。</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9.二维码扫码：支持二维码识别功能，将书本上的二维码放入扫描框内即可自动扫描，可获取电子教学资源。</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10.支持故障自动检测，在软件无法出现展台拍摄画面时，自动出现检测链接，检测“无画面”的原因，并给出引导性解决方案。可判断硬件连接、显卡驱动、摄像头占用、软件版本等问题。</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智能笔</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(1)外观：笔身造型采用圆润一体化笔型设计。</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(2)笔头：采用锥型笔尖设计，同时支持电容，红外触控设备书写，</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(3)翻页按键：短按上下翻页按键，可实现白板软件/ppt/pdf等文档上下翻页；长按上下翻页按键3s，可实现ppt播放/退出；</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r>
      <w:tr>
        <w:trPr>
          <w:trHeight w:val="63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numPr>
                <w:ilvl w:val="0"/>
                <w:numId w:val="2"/>
              </w:numPr>
              <w:ind w:left="0" w:right="0" w:firstLine="0"/>
              <w:jc w:val="left"/>
              <w:keepLines w:val="0"/>
              <w:keepNext w:val="0"/>
              <w:pageBreakBefore w:val="0"/>
              <w:spacing w:line="240" w:lineRule="auto"/>
              <w:widowControl w:val="off"/>
              <w:tabs>
                <w:tab w:val="left" w:pos="2020" w:leader="none"/>
              </w:tabs>
            </w:pPr>
            <w:r>
              <w:rPr>
                <w:rFonts w:hint="eastAsia" w:ascii="仿宋" w:hAnsi="仿宋" w:eastAsia="仿宋" w:cs="仿宋"/>
                <w:color w:val="auto"/>
                <w:sz w:val="24"/>
                <w:szCs w:val="24"/>
                <w:highlight w:val="none"/>
                <w:lang w:val="en-US" w:eastAsia="zh-CN"/>
              </w:rPr>
              <w:t xml:space="preserve">采用功放与有源音箱一体化设计，内置麦克风无线接收模块，帮助教师实现多媒体扩音以及本地扩声功能。</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2、输出额定功率≥ 2x15W。</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3、全频喇叭单元尺寸≥5英寸；</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4、距离音箱10米处声压级≥75dB。</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5、具备≥1路电源开关、≥1路Line in、≥1路USB 接口（USB接口可外接U盘设备对音箱固件进行升级）</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6、支持无线麦克风扩音接收，采用Wi-Fi射频2.4GHz与 5GHz双频段传输，有效避免环境中运营商U段（700MHz）的信号干扰。</w:t>
            </w:r>
            <w:r/>
          </w:p>
          <w:p>
            <w:pPr>
              <w:numPr>
                <w:ilvl w:val="0"/>
                <w:numId w:val="0"/>
              </w:numPr>
              <w:ind w:right="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7、配置独立音频数字信号处理芯片，支持啸叫抑制功能。</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8、支持蓝牙无线接收，可分享移动设备上的音频。支持密码模式，防止学生连接。</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9、支持教室多媒体设备通过蓝牙无线连接音箱，实现控制有源音箱的音量的功能。</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麦克风 </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1.无线麦克风集音频发射处理器、天线、电池、拾音麦克风于一体，配合一体化有源音箱，无需任何外接辅助设备即可实现本地扩声功能。</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2.采样率≥48KHz，16bit；扩音增益≥15dB；声频响150Hz-16kHz，声信噪比≥60dB；配合一体化有源音箱，扩音延时≤35ms。</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3.用Wi-Fi射频频段传输，有效避免环境中运营商U段（700MHz）信号干扰。</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4.支持2.4GHz与5GHz双频段工作。                                                            </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r>
      <w:tr>
        <w:trPr>
          <w:trHeight w:val="426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舞蹈室功率放大器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1、带LCD液晶显示屏，四路音源切换按键</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2、有线话筒输入、无线话筒输入、立体声线路输入；</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3、带立体声线路输出、线路平衡输出；</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4、带RS232控制接口，</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5、话筒和线路音量、高/低音独立可调，带功放L输出通道信号大小调节功能；</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6、额定功率(RMS)：不小于2×200W 8Ω,2×300W 4Ω；</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7、总谐波失真：≤1%；</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8、线路频率响应：不小于20Hz～20KHz ±3dB，话筒频率响应：80Hz～16KHz ±3dB；</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9、输入灵敏度：线路输入灵敏度：300mV（允许误差 ±30mV）；有线话筒输入灵敏度：60mV（允许误差 ±6mV）；无线话筒输入灵敏度：200mV（允许误差 ±20mV）；</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10、信噪比：≥82dB；</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11、线路高音提衰量（10KHz）：14dB±2dB，线路低音提衰量（100Hz）：14dB±2dB，话筒高音提衰量（10KHz）：14dB±2dB，话筒低音提衰量（100Hz）14dB±2dB；</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12、整机高度：优先采用1U紧凑机架式设计，便于机柜安装。</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13、最大功率消耗：不小于950W；</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14、额定电源电压：～220V/50Hz，电压适应范围：～180V-242V。</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r>
      <w:tr>
        <w:trPr>
          <w:trHeight w:val="338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舞蹈室音箱</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技术参数不小于</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1、额定/峰值功率：80W /320 W  </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2、额定阻抗：8Ω</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3、特性灵敏度：91dB/W/m</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4、输出声压级：110dB/W/m(Continues)；116 dB/W/m(Peak)</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5、额定频率范围:65 ~ 20000Hz</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6、覆盖角度H×V：120º×120º</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7、扬声器单元：LF:6.5 英寸     HF: 1英寸丝膜高音</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8、箱体材料：12mm中密度纤维板  </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9、输入接口：压缩式接插座  </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10、箱体尺寸(mm)：不小于396(H)×230 (W)×200(D)</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r>
      <w:tr>
        <w:trPr>
          <w:trHeight w:val="5909"/>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教学用琴</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声学品质：全音域音准误差≤±3音分；相邻两键音准误差之差≤3音分；</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演奏性能：白键下沉偏差≤1.0mm；相邻两白键高度偏差≤0.5mm；全键盘白键表面高度误差≤2.0mm</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键盘：88键逐级配重重锤钢琴键盘</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触键力度：3种标准钢琴力度曲线，轻、重、标准，触感灵敏</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音色：不低于270种音色</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音色效果：6种混响效果，6种合唱效果</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录音功能：单曲最大6000音符</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音色控制：三角大钢琴音色，双音色，双键盘(可调分离点)</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双音色：双钢琴音色，用户编辑多重组合音色</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键盘分离：双钢琴、弦乐重奏、管乐合奏、钢琴+弦乐、吉他</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移调：25档，(0,±12)</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踏板功能：弱音踏板，延音踏板，制音踏板，仿传统大三角钢琴踏板功能</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音响系统：立体声双喇叭音响系统，功率：18*2W </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电源：DC16V/2600mA</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尺寸：1381*444*838mm（尺寸误差±3%之内）</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30CM*35CM*41CM （尺寸误差±3%之内）带木龙骨（颜色随机）</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白色PVC边条，软性包角，外箱材料采用密度板12mm</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192</w:t>
            </w:r>
            <w:r/>
          </w:p>
        </w:tc>
      </w:tr>
      <w:tr>
        <w:trPr>
          <w:trHeight w:val="273"/>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舞蹈压腿凳</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练功凳，长2米*宽24厘米*高30厘米±5mm，中间海绵一层，表面采用皮革包裹。</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个</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r>
      <w:tr>
        <w:trPr>
          <w:trHeight w:val="252"/>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舞蹈室多格鞋柜</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材质：木、优质皮革，防水耐用易清洁，优质软包内部厚实海绵填充，回弹好。</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尺寸：120*40*40cm（尺寸误差±3%之内）格数：8格</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舞蹈室更衣柜</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1、单侧板厚度≥22mm，双侧拼接侧板厚度≥43mm，后插板厚度≥14mm，顶板厚度≥30mm，底板厚度≥30mm，底座高度≥80mm；门板整体结构厚实坚固，抗冲击不易变形，所有厚度实测可存在合理加工公差。</w:t>
            </w:r>
            <w:r/>
          </w:p>
          <w:p>
            <w:pPr>
              <w:numPr>
                <w:ilvl w:val="0"/>
                <w:numId w:val="0"/>
              </w:numPr>
              <w:ind w:right="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2、更衣柜采用ABS工程塑料注塑成型。</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3、更衣柜门板颜色为彩色（注塑时即为彩色，非贴皮）。</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舞蹈室更衣凳</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1、规格：长1200*宽420*高430mm（±10mm 误差）</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2、凳脚设计及材质 + 堵头</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A级ABS（聚苯乙烯树脂）全新工程塑料制成，强度高、韧性好、耐冲击，不易腐蚀，无毒无味，防腐、防锈、防潮、环保耐用。</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4、凳面均为硬质PVC塑料材质，永不生锈，可承重约800KG；</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5、凳面内部带加强结构设计，凳面表面设置防滑纹路，防滑效果好，防止打滑；</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6、凳面内部切面结构：四小格+2条支柱；</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7、A级ABS（聚苯乙烯树脂）全新工程塑料+304不锈钢螺母合制而成。</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r>
      <w:tr>
        <w:trPr>
          <w:trHeight w:val="247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室内移动式篮球架</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1、箱体尺寸：不小于2000mm*1200mm，箱体</w:t>
            </w:r>
            <w:r>
              <w:rPr>
                <w:rFonts w:hint="default" w:ascii="仿宋" w:hAnsi="仿宋" w:eastAsia="仿宋" w:cs="仿宋"/>
                <w:color w:val="auto"/>
                <w:sz w:val="24"/>
                <w:szCs w:val="24"/>
                <w:highlight w:val="none"/>
                <w:lang w:val="en-US" w:eastAsia="zh-CN"/>
              </w:rPr>
              <w:t xml:space="preserve">采用</w:t>
            </w:r>
            <w:r>
              <w:rPr>
                <w:rFonts w:hint="eastAsia" w:ascii="仿宋" w:hAnsi="仿宋" w:eastAsia="仿宋" w:cs="仿宋"/>
                <w:color w:val="auto"/>
                <w:sz w:val="24"/>
                <w:szCs w:val="24"/>
                <w:highlight w:val="none"/>
                <w:lang w:val="en-US" w:eastAsia="zh-CN"/>
              </w:rPr>
              <w:t xml:space="preserve">不小于2.5mm厚度钢板折弯成型，立柱采用200*100*2.5方管与120*60*2.5mm方管拼焊而成。横梁采用120*120*2.5mm方管与120*60*2.5mm方管拼焊而成。                                                 2、地面至篮圈上平面3050mm，伸臂长度1850                                                         </w:t>
            </w:r>
            <w:r/>
          </w:p>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3、篮板：规格1800*1050*12mm，高强度钢化玻璃，加厚保护条；           </w:t>
            </w:r>
            <w:r/>
          </w:p>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4、篮球圈：为20mm直径的圆条钢，表面橙色，抗弯性能≤5mm，下沿有12个均匀分布的挂钩；</w:t>
            </w:r>
            <w:r/>
          </w:p>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5、篮球网：长度为400～450mm，12扣型高强度涤纶材质；</w:t>
            </w:r>
            <w:r/>
          </w:p>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6.外加防护软套。</w:t>
            </w:r>
            <w:r/>
          </w:p>
          <w:p>
            <w:pPr>
              <w:ind w:left="0" w:right="0" w:firstLine="0"/>
              <w:jc w:val="left"/>
              <w:keepLines w:val="0"/>
              <w:keepNext w:val="0"/>
              <w:pageBreakBefore w:val="0"/>
              <w:spacing w:line="240" w:lineRule="auto"/>
              <w:widowControl w:val="off"/>
              <w:tabs>
                <w:tab w:val="left" w:pos="2020" w:leader="none"/>
              </w:tabs>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7.篮球架加有移动滑轮。</w:t>
            </w:r>
            <w:r/>
          </w:p>
          <w:p>
            <w:pPr>
              <w:rPr>
                <w:rFonts w:hint="eastAsia"/>
                <w:lang w:val="en-US" w:eastAsia="zh-CN"/>
              </w:rPr>
            </w:pPr>
            <w:r>
              <w:rPr>
                <w:rFonts w:hint="eastAsia" w:ascii="仿宋" w:hAnsi="仿宋" w:eastAsia="仿宋" w:cs="仿宋"/>
                <w:color w:val="auto"/>
                <w:sz w:val="24"/>
                <w:szCs w:val="24"/>
                <w:highlight w:val="none"/>
                <w:lang w:val="en-US" w:eastAsia="zh-CN"/>
              </w:rPr>
            </w:r>
            <w:r>
              <w:rPr>
                <w:rFonts w:ascii="FangSong" w:hAnsi="FangSong" w:eastAsia="FangSong" w:cs="FangSong"/>
                <w:color w:val="000000"/>
                <w:sz w:val="24"/>
              </w:rPr>
              <w:t xml:space="preserve">★</w:t>
            </w:r>
            <w:r>
              <w:rPr>
                <w:rFonts w:ascii="FangSong" w:hAnsi="FangSong" w:eastAsia="FangSong" w:cs="FangSong"/>
                <w:color w:val="000000"/>
                <w:sz w:val="24"/>
              </w:rPr>
              <w:t xml:space="preserve">验收时提供该产品符合《篮球架GB/T23176-2008 》或《中小学体育器材和场地第3部分:篮球架GB/T19851.3-2005》的检测报告复印件并加盖公章。</w:t>
            </w:r>
            <w:r>
              <w:rPr>
                <w:rFonts w:ascii="FangSong" w:hAnsi="FangSong" w:eastAsia="FangSong" w:cs="FangSong"/>
                <w:color w:val="000000"/>
                <w:sz w:val="24"/>
              </w:rPr>
            </w:r>
            <w:r>
              <w:rPr>
                <w:rFonts w:hint="eastAsia" w:ascii="仿宋" w:hAnsi="仿宋" w:eastAsia="仿宋"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副</w:t>
            </w:r>
            <w:r>
              <w:rPr>
                <w:rFonts w:hint="eastAsia" w:ascii="仿宋" w:hAnsi="仿宋" w:eastAsia="仿宋" w:cs="仿宋"/>
                <w:color w:val="auto"/>
                <w:sz w:val="24"/>
                <w:szCs w:val="24"/>
                <w:highlight w:val="none"/>
                <w:lang w:val="en-US" w:eastAsia="zh-CN"/>
              </w:rPr>
              <w:t xml:space="preserve">（2只）</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立式记分牌</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1.多功能记分牌为立式记分牌（六位）：主要由支架、手拨记分盒和队名标注区组成，外形尺寸参考尺寸：长×宽×高=1180×500×1560（mm）。</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2.记分器下支架主要由40*40*1.5方管拼焊而成，队名标注区由1.2mm铁板折边成型，支架可拆装。</w:t>
            </w:r>
            <w:r/>
          </w:p>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3．记分牌为手拨式记分盒，采用PVC板制作。</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r>
      <w:tr>
        <w:trPr>
          <w:trHeight w:val="177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羽毛球地胶</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此地胶标准场地尺寸为长15m，宽7.2m，面积为108平米。                               </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产品纹路:水晶沙</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产品规格:长 15 米×1.8 米</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产品厚度:4.5</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产品颜色:绿色</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产品夹带:玻纤网格布</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底板结构:吸附式防移底纹</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适用场地:羽毛球场                                                                                    </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产品特性</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序号 项目 单位 标准 参数</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 邵氏硬度（邵 A） 度 55-90 66</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 球反弹率 % ≥90 95</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 拉伸强度 MPa ≥1.0 3.8</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 拉断伸长率 % ≥120 148</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5 阻燃性 级不小于 I I</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6 摩擦系数 —— 1.0-1.5 1.3</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r>
      <w:tr>
        <w:trPr>
          <w:trHeight w:val="3848"/>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羽毛球柱</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numPr>
                <w:ilvl w:val="0"/>
                <w:numId w:val="3"/>
              </w:num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移动式羽毛球柱由铸铁底座、立柱（喷塑）、锁紧设备组成。</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2、底座外形参考尺寸约600*240*140mm；立柱直径不小于42mm，总高度1550mm，重量不低于80kg。</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3、底座材质为铸铁，立柱为钢管，外表面采用静电粉末喷塑工艺；</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支架顶部加一滑动滚轮，缓冲拉绳与支架间的摩擦，同时更好的操控球网的长度和高度。配有电镀铸铁轮，金属紧线器，带卡轮，金属摇把，轻轻摇动即可拉紧绳网，不会松动。内侧对称配有相应高度的球网挂钩，用来固定羽毛球网。</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羽毛球网</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1、羽毛球网长度≥6100mm，宽度500mm±25mm  </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2、3cm白色缝边，涤纶材质，孔径18mm</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3、满足学校日常训练及比赛使用。</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r>
      <w:tr>
        <w:trPr>
          <w:trHeight w:val="845"/>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仰卧起坐测试仪</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663"/>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单机:</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1.测试感应探头采用无线双探头设计，内置高精度抗干扰传感器，具有抗阳光干扰设计，提高测试灵敏度。</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2.标配有≥96*32分辨率的无线 LED点阵大显示屏（内置不低于10000mAh锂电池），阳光下清晰可见，可与双感应探头无线连接显示，无任何冗长线束干扰磕绊，配有红外遥控器，操作距离可达≥3米。</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3.具备信号通讯多频道设置模式。</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主机:</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1.系统与屏幕配置​</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主机搭载原生 Android 11 及以上系统，支持 APK 程序安装，可灵活拓展功能并实现产品升级。配备≥10.1 英寸 高清触摸电容屏，触控精准，显示清晰，为操作与数据查看提供优质交互体验。​</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2.硬件性能与存储能力​</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主机性能强劲，配备≥4GB 运行内存与≥64GB FLASH 存储空间，保障多任务流畅运行。支持最大 128G Micro-SD 卡扩展存储，且可直插 U 盘播放测试视频录像，满足大容量数据存储与便捷访问需求。​​</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3、续航与连接方式​</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内置高容量锂电池，连续工作时不小于 10 小时以上，</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4.主要技术参数</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测量范围：0～9999次   </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分度值：1次    </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计数误差</w:t>
            </w:r>
            <w:r>
              <w:rPr>
                <w:rFonts w:hint="eastAsia"/>
              </w:rPr>
              <w:t xml:space="preserve">≦</w:t>
            </w:r>
            <w:r>
              <w:rPr>
                <w:rFonts w:hint="eastAsia"/>
                <w:lang w:val="en-US" w:eastAsia="zh-CN"/>
              </w:rPr>
              <w:t xml:space="preserve">1次</w:t>
            </w:r>
            <w:r/>
          </w:p>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rPr>
                <w:rFonts w:ascii="FangSong" w:hAnsi="FangSong" w:eastAsia="FangSong" w:cs="FangSong"/>
                <w:color w:val="000000"/>
                <w:sz w:val="24"/>
              </w:rPr>
              <w:t xml:space="preserve">★验收时提供该产品符合GB/T 19851.12-2005《中小学体育器材和场地学生体质健康测试器材》标准的检测报告的复印件并加盖公章。</w:t>
            </w:r>
            <w:r>
              <w:rPr>
                <w:rFonts w:hint="eastAsia" w:ascii="仿宋" w:hAnsi="仿宋" w:eastAsia="仿宋"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p>
        </w:tc>
      </w:tr>
      <w:tr>
        <w:trPr>
          <w:trHeight w:val="6126"/>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坐位体前屈测试仪</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numPr>
                <w:ilvl w:val="0"/>
                <w:numId w:val="4"/>
              </w:numPr>
              <w:ind w:right="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单机采用≥3.5寸320*480分辨率TFT真彩屏，内置电容式触摸按键。</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2、单机采用双向光电开关，自动识别手推板前推和回退，手推板可自动回弹归位，具有防作弊成绩自动锁定功能。</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3、单机采用锂电池供电，内置2000mAh锂电池，可持续工作15个小时以上；采用Type-C接口充电。</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4、单机主控显示模块与测试杆支持可拆卸分离，便于充电、保管及维护。</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5、带辅助测试床体板，含海绵座垫及硬质蹬脚板。</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6、主要技术参数</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测量范围：-20cm～40.9cm</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分度值：0.1cm</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测量误差≤±0.2cm</w:t>
            </w:r>
            <w:r/>
          </w:p>
          <w:p>
            <w:pPr>
              <w:numPr>
                <w:ilvl w:val="0"/>
                <w:numId w:val="0"/>
              </w:numPr>
              <w:ind w:right="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rPr>
                <w:rFonts w:ascii="FangSong" w:hAnsi="FangSong" w:eastAsia="FangSong" w:cs="FangSong"/>
                <w:color w:val="000000"/>
                <w:sz w:val="24"/>
              </w:rPr>
              <w:t xml:space="preserve">★验收时提供该产品符合 GB/T 19851.12-2005《中小学体育器材和场地 学生体质健康测试器材》标准检测报告的复印件并加盖公章。</w:t>
            </w:r>
            <w:r>
              <w:rPr>
                <w:rFonts w:hint="eastAsia" w:ascii="仿宋" w:hAnsi="仿宋" w:eastAsia="仿宋"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主席台会议桌</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pStyle w:val="663"/>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尺寸</w:t>
            </w:r>
            <w:r>
              <w:rPr>
                <w:rFonts w:hint="eastAsia" w:ascii="仿宋" w:hAnsi="仿宋" w:eastAsia="仿宋" w:cs="仿宋"/>
                <w:color w:val="auto"/>
                <w:sz w:val="24"/>
                <w:szCs w:val="24"/>
                <w:highlight w:val="none"/>
                <w:lang w:val="en-US" w:eastAsia="zh-CN" w:bidi="ar-SA"/>
              </w:rPr>
              <w:t xml:space="preserve">：1600MM*600MM*760MM（尺</w:t>
            </w:r>
            <w:r>
              <w:rPr>
                <w:rFonts w:hint="eastAsia" w:ascii="仿宋" w:hAnsi="仿宋" w:eastAsia="仿宋" w:cs="仿宋"/>
                <w:color w:val="auto"/>
                <w:sz w:val="24"/>
                <w:szCs w:val="24"/>
                <w:highlight w:val="none"/>
                <w:lang w:val="en-US" w:eastAsia="zh-CN"/>
              </w:rPr>
              <w:t xml:space="preserve">寸误差±3%之内），面材：优质0.3mm级胡桃木皮饰面；基材：采用优质绿色环保（E1级）中密度纤维板，经过防虫、防腐等处理，各项技术指标均达到国内标准。木材经防虫、防潮、防腐，油漆采用优质环保油漆，五金配件：优质防锈五金配件，连接牢固、经久耐用。</w:t>
            </w:r>
            <w:r/>
          </w:p>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张</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主席台会议椅</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橡胶木椅架，,宽55CM，坐高43CM，座深50CM，高89CM（尺寸误差±3%之内）</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张</w:t>
            </w:r>
            <w:r/>
          </w:p>
        </w:tc>
      </w:tr>
      <w:tr>
        <w:trPr>
          <w:trHeight w:val="2307"/>
        </w:trPr>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办公桌椅</w:t>
            </w:r>
            <w:r/>
          </w:p>
        </w:tc>
        <w:tc>
          <w:tcPr>
            <w:shd w:val="clear" w:color="auto" w:fill="auto"/>
            <w:tcBorders>
              <w:top w:val="single" w:color="000000" w:sz="4" w:space="0"/>
              <w:left w:val="single" w:color="000000" w:sz="4" w:space="0"/>
              <w:bottom w:val="single" w:color="000000" w:sz="4" w:space="0"/>
              <w:right w:val="single" w:color="000000" w:sz="4" w:space="0"/>
            </w:tcBorders>
            <w:tcW w:w="61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参考示意图：</w:t>
            </w:r>
            <w:r>
              <mc:AlternateContent>
                <mc:Choice Requires="wpg">
                  <w:drawing>
                    <wp:inline xmlns:wp="http://schemas.openxmlformats.org/drawingml/2006/wordprocessingDrawing" distT="0" distB="0" distL="0" distR="0">
                      <wp:extent cx="1571625" cy="1162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30436" name=""/>
                              <pic:cNvPicPr>
                                <a:picLocks noChangeAspect="1"/>
                              </pic:cNvPicPr>
                              <pic:nvPr/>
                            </pic:nvPicPr>
                            <pic:blipFill>
                              <a:blip r:embed="rId10"/>
                              <a:stretch/>
                            </pic:blipFill>
                            <pic:spPr bwMode="auto">
                              <a:xfrm>
                                <a:off x="0" y="0"/>
                                <a:ext cx="1571625" cy="1162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8pt;height:91.5pt;mso-wrap-distance-left:0.0pt;mso-wrap-distance-top:0.0pt;mso-wrap-distance-right:0.0pt;mso-wrap-distance-bottom:0.0pt;" stroked="false">
                      <v:path textboxrect="0,0,0,0"/>
                      <v:imagedata r:id="rId10" o:title=""/>
                    </v:shape>
                  </w:pict>
                </mc:Fallback>
              </mc:AlternateContent>
            </w:r>
            <w:r>
              <w:rPr>
                <w:rFonts w:ascii="FangSong" w:hAnsi="FangSong" w:eastAsia="FangSong" w:cs="FangSong"/>
                <w:color w:val="000000"/>
                <w:sz w:val="24"/>
              </w:rPr>
            </w:r>
            <w:r/>
          </w:p>
          <w:p>
            <w:pPr>
              <w:pStyle w:val="663"/>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尺寸(长*宽*高)为1400mm*600mm*750mm（尺寸误差±3%之内）。</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2、材料：主体钢制结构，侧框采用25mm*50mm*1.0mm</w:t>
            </w:r>
            <w:r>
              <w:rPr>
                <w:rFonts w:ascii="FangSong" w:hAnsi="FangSong" w:eastAsia="FangSong" w:cs="FangSong"/>
                <w:color w:val="000000"/>
                <w:sz w:val="24"/>
              </w:rPr>
              <w:t xml:space="preserve">（尺寸误差±3%之内）</w:t>
            </w:r>
            <w:r>
              <w:rPr>
                <w:rFonts w:hint="eastAsia" w:ascii="仿宋" w:hAnsi="仿宋" w:eastAsia="仿宋" w:cs="仿宋"/>
                <w:color w:val="auto"/>
                <w:sz w:val="24"/>
                <w:szCs w:val="24"/>
                <w:highlight w:val="none"/>
                <w:lang w:val="en-US" w:eastAsia="zh-CN"/>
              </w:rPr>
              <w:t xml:space="preserve">厚方钢，中间镶嵌走线槽，走线槽为冷轧钢板制作，预留有八六插座位置。横杆为30mm*30mm*1.0厚方钢，后背板为优质冷轧钢板。表面经脱脂除锈，酸洗、磷化、静电喷涂，表面无焊点。</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桌面面板为25mm厚度的三聚氰胺刨花板，硬度高，不易磨花。（验收时提供具有第三方权威部门出具的检测报告标识的“刨花板”检测报告扫描件，检测项目包含：甲醛释放量≤0.05mg/m³，苯、甲苯、二甲苯、TVOC未检出，可溶性重金属未检出。）</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4、走线要求：电脑桌桌面留有一个50进线孔，键盘放置桌面，无需键盘托，减少故障率。整体结构稳定牢固，承重力强，简约大气、美观、大方。</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5、桌面下方配有木质活动柜及木质主机托，方便储物。</w:t>
            </w:r>
            <w:r>
              <w:rPr>
                <w:rFonts w:hint="eastAsia" w:ascii="仿宋" w:hAnsi="仿宋" w:eastAsia="仿宋" w:cs="仿宋"/>
                <w:color w:val="auto"/>
                <w:sz w:val="24"/>
                <w:szCs w:val="24"/>
                <w:highlight w:val="none"/>
                <w:lang w:val="en-US" w:eastAsia="zh-CN"/>
              </w:rPr>
              <w:br/>
            </w:r>
            <w:bookmarkStart w:id="14" w:name="_GoBack"/>
            <w:r/>
            <w:bookmarkEnd w:id="14"/>
            <w:r>
              <w:rPr>
                <w:rFonts w:hint="eastAsia" w:ascii="仿宋" w:hAnsi="仿宋" w:eastAsia="仿宋" w:cs="仿宋"/>
                <w:color w:val="auto"/>
                <w:sz w:val="24"/>
                <w:szCs w:val="24"/>
                <w:highlight w:val="none"/>
                <w:lang w:val="en-US" w:eastAsia="zh-CN"/>
              </w:rPr>
              <w:t xml:space="preserve">椅子：</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1、规格：常规。</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2、采用橡胶木材质，经干燥、防虫、防腐处理，木材含水率≤12%，应无贯通裂缝、无虫蛀现象，板材外表应光滑，倒棱、圆角、圆线应均匀一致，在人体接 触或储物部位不应有毛刺、刃口或菱角。</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3、采用优质环保专用油漆。</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4、椅腰采用圆弧设计，可衬托背部单独支撑，带有可推拉圆角弧度。</w:t>
            </w:r>
            <w:r/>
          </w:p>
        </w:tc>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套 </w:t>
            </w:r>
            <w:r/>
          </w:p>
        </w:tc>
      </w:tr>
    </w:tbl>
    <w:p>
      <w:pPr>
        <w:numPr>
          <w:ilvl w:val="0"/>
          <w:numId w:val="0"/>
        </w:numPr>
        <w:ind w:left="600"/>
        <w:keepLines w:val="0"/>
        <w:keepNext w:val="0"/>
        <w:pageBreakBefore w:val="0"/>
        <w:spacing w:line="480" w:lineRule="exact"/>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2.技术响应要求</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（1）技术响应文件的内容，不得有缺陷或漏项。否则有可能被视为未实质性响应询价文件要求而作无效投标处理。</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（2）技术响应文件应能明确载明：产品品牌、产品功能简介、安装完成的时间、免费维保期、维保期内容、维护保修响应时间等。</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项目所含设备、材料等运输及安装，调试及相关施工集成所有必需辅材，如清单中未列出，而属于项目所必须的，请自行增加，如有遗漏，视作赠送；项目要求进行设备的安装，在清单中未曾反映的工程量，请自行考虑在报价内，成交后不再作任何更改及费用的增加，但必须保证系统的正常高效运行，由此产生的额外费用视作赠送。</w:t>
      </w:r>
      <w:r/>
    </w:p>
    <w:p>
      <w:pPr>
        <w:ind w:firstLine="562"/>
        <w:keepLines w:val="0"/>
        <w:keepNext w:val="0"/>
        <w:pageBreakBefore w:val="0"/>
        <w:spacing w:line="480" w:lineRule="exact"/>
        <w:widowControl w:val="off"/>
        <w:rPr>
          <w:rFonts w:hint="eastAsia" w:ascii="仿宋" w:hAnsi="仿宋" w:eastAsia="仿宋" w:cs="仿宋"/>
          <w:b/>
          <w:bCs/>
          <w:caps/>
          <w:color w:val="auto"/>
          <w:sz w:val="28"/>
          <w:szCs w:val="28"/>
          <w:highlight w:val="none"/>
        </w:rPr>
      </w:pPr>
      <w:r>
        <w:rPr>
          <w:rFonts w:hint="eastAsia" w:ascii="仿宋" w:hAnsi="仿宋" w:eastAsia="仿宋" w:cs="仿宋"/>
          <w:b/>
          <w:bCs/>
          <w:caps/>
          <w:color w:val="auto"/>
          <w:sz w:val="28"/>
          <w:szCs w:val="28"/>
          <w:highlight w:val="none"/>
          <w:lang w:val="en-US" w:eastAsia="zh-CN" w:bidi="ar-SA"/>
        </w:rPr>
        <w:t xml:space="preserve">3.质量要求</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（1）成交供应商应保证货物是全新、未使用过的原装合格正品，并完全符合询价文件及本项目合同规定的质量、规格和性能的要求。</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（2）产品的包装，国家或行业主管部门有规定的，按规定执行。 </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（3）成交供应商应保证提供的产品不得侵犯第三方专利权、商标权和工业设计权、版权等。否则，成交供应商应负全部责任，并承担由此引起的一切后果。</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（4）成交供应商应保证其货物在正确安装、正常使用和保养条件下，在其使用寿命期内应具有满意的性能。</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（5）成交供应商应采取必要的安全措施保证货物的运输及安装的安全，并承担货物的运输及安装过程中产生的一切风险及全部责任。</w:t>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hint="eastAsia" w:ascii="Times New Roman" w:hAnsi="Times New Roman" w:eastAsia="仿宋" w:cs="Times New Roman"/>
          <w:b/>
          <w:bCs/>
          <w:sz w:val="28"/>
          <w:szCs w:val="28"/>
          <w:highlight w:val="none"/>
          <w:lang w:val="en-US" w:eastAsia="zh-CN"/>
        </w:rPr>
        <w:t xml:space="preserve">四</w:t>
      </w:r>
      <w:r>
        <w:rPr>
          <w:rFonts w:ascii="Times New Roman" w:hAnsi="Times New Roman" w:eastAsia="仿宋" w:cs="Times New Roman"/>
          <w:b/>
          <w:bCs/>
          <w:sz w:val="28"/>
          <w:szCs w:val="28"/>
          <w:highlight w:val="none"/>
        </w:rPr>
        <w:t xml:space="preserve">）采购标的需满足的服务标准、期限、效率等要求</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1.供应商</w:t>
      </w:r>
      <w:r>
        <w:rPr>
          <w:rFonts w:ascii="Times New Roman" w:hAnsi="Times New Roman" w:eastAsia="仿宋" w:cs="Times New Roman"/>
          <w:sz w:val="24"/>
          <w:szCs w:val="24"/>
          <w:highlight w:val="none"/>
        </w:rPr>
        <w:t xml:space="preserve">应保证货物是全新、未使用过的原厂合格产品，并完全符合投标文件的质量、规格和参数的要求。</w:t>
      </w:r>
      <w:r/>
    </w:p>
    <w:p>
      <w:pPr>
        <w:spacing w:after="62" w:line="460" w:lineRule="exact"/>
        <w:rPr>
          <w:rFonts w:hint="eastAsia"/>
        </w:rPr>
      </w:pPr>
      <w:r>
        <w:rPr>
          <w:rFonts w:hint="eastAsia" w:ascii="Times New Roman" w:hAnsi="Times New Roman" w:eastAsia="仿宋" w:cs="Times New Roman"/>
          <w:sz w:val="24"/>
          <w:szCs w:val="24"/>
          <w:highlight w:val="none"/>
          <w:lang w:eastAsia="zh-CN"/>
        </w:rPr>
        <w:t xml:space="preserve">2.供应商</w:t>
      </w:r>
      <w:r>
        <w:rPr>
          <w:rFonts w:ascii="Times New Roman" w:hAnsi="Times New Roman" w:eastAsia="仿宋" w:cs="Times New Roman"/>
          <w:sz w:val="24"/>
          <w:szCs w:val="24"/>
          <w:highlight w:val="none"/>
        </w:rPr>
        <w:t xml:space="preserve">应保证其货物在正确安装、正常使用下，在其使用寿命期内应具有满意的性能。</w:t>
      </w:r>
      <w:r/>
    </w:p>
    <w:p>
      <w:pPr>
        <w:numPr>
          <w:ilvl w:val="0"/>
          <w:numId w:val="6"/>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商务要求（取得采购标的的时间、地点、财务和服务要求，包括交付的时间和地点，付款条件，包装和运输，售后服务，保险等。）</w:t>
      </w:r>
      <w:r/>
    </w:p>
    <w:p>
      <w:pPr>
        <w:spacing w:after="62" w:line="460" w:lineRule="exact"/>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1.采购项目交付时间：合同签订后</w:t>
      </w:r>
      <w:r>
        <w:rPr>
          <w:rFonts w:hint="eastAsia" w:ascii="仿宋" w:hAnsi="仿宋" w:eastAsia="仿宋" w:cs="仿宋"/>
          <w:b/>
          <w:bCs/>
          <w:caps/>
          <w:color w:val="auto"/>
          <w:sz w:val="24"/>
          <w:szCs w:val="24"/>
          <w:highlight w:val="none"/>
          <w:lang w:val="en-US" w:eastAsia="zh-CN" w:bidi="ar-SA"/>
        </w:rPr>
        <w:t xml:space="preserve">25日历天</w:t>
      </w:r>
      <w:r>
        <w:rPr>
          <w:rFonts w:hint="eastAsia" w:ascii="仿宋" w:hAnsi="仿宋" w:eastAsia="仿宋" w:cs="仿宋"/>
          <w:caps/>
          <w:color w:val="auto"/>
          <w:sz w:val="24"/>
          <w:szCs w:val="24"/>
          <w:highlight w:val="none"/>
          <w:lang w:val="en-US" w:eastAsia="zh-CN" w:bidi="ar-SA"/>
        </w:rPr>
        <w:t xml:space="preserve">内送到指定地点并完成安装调试工作，具体以采购人通知为准。</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2.采购项目交付地点：根据采购人要求，产品送至采购人指定的地点进行安装 。</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jc w:val="both"/>
        <w:keepLines w:val="0"/>
        <w:keepNext w:val="0"/>
        <w:pageBreakBefore w:val="0"/>
        <w:spacing w:after="0" w:line="480" w:lineRule="exact"/>
        <w:widowControl w:val="off"/>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（1）产品质保期</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①本项目免费质保期为：验收合格之日起计至少</w:t>
      </w:r>
      <w:r>
        <w:rPr>
          <w:rFonts w:hint="eastAsia" w:ascii="仿宋" w:hAnsi="仿宋" w:eastAsia="仿宋" w:cs="仿宋"/>
          <w:b/>
          <w:bCs/>
          <w:caps/>
          <w:color w:val="auto"/>
          <w:sz w:val="24"/>
          <w:szCs w:val="24"/>
          <w:highlight w:val="none"/>
          <w:lang w:val="en-US" w:eastAsia="zh-CN" w:bidi="ar-SA"/>
        </w:rPr>
        <w:t xml:space="preserve">3年（即至少36个月）</w:t>
      </w:r>
      <w:r>
        <w:rPr>
          <w:rFonts w:hint="eastAsia" w:ascii="仿宋" w:hAnsi="仿宋" w:eastAsia="仿宋" w:cs="仿宋"/>
          <w:caps/>
          <w:color w:val="auto"/>
          <w:sz w:val="24"/>
          <w:szCs w:val="24"/>
          <w:highlight w:val="none"/>
          <w:lang w:val="en-US" w:eastAsia="zh-CN" w:bidi="ar-SA"/>
        </w:rPr>
        <w:t xml:space="preserve">所有产品终身保修，包括非人为因素发生的设备修理、更换的费用。</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②在质保期内，整机需提供从验收合格之日起成交供应商或原厂商至少三年免费质保（含免费上门服务）。成交供应商在成交后签订合同前须提供成交供应商或原厂商免费质保及上门服务的承诺函原件，否则采购人有权取消其成交资格。</w:t>
      </w:r>
      <w:r/>
    </w:p>
    <w:p>
      <w:pPr>
        <w:jc w:val="both"/>
        <w:keepLines w:val="0"/>
        <w:keepNext w:val="0"/>
        <w:pageBreakBefore w:val="0"/>
        <w:spacing w:after="0" w:line="480" w:lineRule="exact"/>
        <w:widowControl w:val="off"/>
        <w:rPr>
          <w:rFonts w:hint="eastAsia" w:ascii="仿宋" w:hAnsi="仿宋" w:eastAsia="仿宋" w:cs="仿宋"/>
          <w:b/>
          <w:bCs/>
          <w:sz w:val="28"/>
          <w:szCs w:val="28"/>
          <w:highlight w:val="none"/>
          <w:lang w:val="en-US" w:eastAsia="zh-CN" w:bidi="ar-SA"/>
        </w:rPr>
      </w:pPr>
      <w:r>
        <w:rPr>
          <w:rFonts w:hint="eastAsia" w:ascii="仿宋" w:hAnsi="仿宋" w:eastAsia="仿宋" w:cs="仿宋"/>
          <w:b/>
          <w:sz w:val="28"/>
          <w:szCs w:val="20"/>
          <w:highlight w:val="none"/>
          <w:lang w:val="en-US" w:eastAsia="zh-CN" w:bidi="ar-SA"/>
        </w:rPr>
        <w:t xml:space="preserve">（2）售后服务</w:t>
      </w:r>
      <w:r>
        <w:rPr>
          <w:rFonts w:hint="eastAsia" w:ascii="仿宋" w:hAnsi="仿宋" w:eastAsia="仿宋" w:cs="仿宋"/>
          <w:b/>
          <w:sz w:val="28"/>
          <w:szCs w:val="20"/>
          <w:highlight w:val="none"/>
        </w:rPr>
      </w:r>
      <w:r/>
    </w:p>
    <w:p>
      <w:pPr>
        <w:jc w:val="both"/>
        <w:keepLines w:val="0"/>
        <w:keepNext w:val="0"/>
        <w:pageBreakBefore w:val="0"/>
        <w:spacing w:after="0" w:line="480" w:lineRule="exact"/>
        <w:widowControl w:val="off"/>
        <w:rPr>
          <w:rFonts w:hint="eastAsia" w:ascii="仿宋" w:hAnsi="仿宋" w:eastAsia="仿宋" w:cs="仿宋"/>
          <w:b/>
          <w:bCs/>
          <w:sz w:val="28"/>
          <w:szCs w:val="28"/>
          <w:highlight w:val="none"/>
        </w:rPr>
      </w:pPr>
      <w:r>
        <w:rPr>
          <w:rFonts w:hint="eastAsia" w:ascii="仿宋" w:hAnsi="仿宋" w:eastAsia="仿宋" w:cs="仿宋"/>
          <w:b/>
          <w:sz w:val="28"/>
          <w:szCs w:val="20"/>
          <w:highlight w:val="none"/>
          <w:lang w:val="en-US" w:eastAsia="zh-CN" w:bidi="ar-SA"/>
        </w:rPr>
        <w:t xml:space="preserve">   </w:t>
      </w:r>
      <w:r>
        <w:rPr>
          <w:rFonts w:ascii="FangSong" w:hAnsi="FangSong" w:eastAsia="FangSong" w:cs="FangSong"/>
          <w:color w:val="000000"/>
          <w:sz w:val="24"/>
        </w:rPr>
        <w:t xml:space="preserve">①</w:t>
      </w:r>
      <w:r>
        <w:rPr>
          <w:rFonts w:hint="eastAsia" w:ascii="仿宋" w:hAnsi="仿宋" w:eastAsia="仿宋" w:cs="仿宋"/>
          <w:caps/>
          <w:color w:val="auto"/>
          <w:sz w:val="24"/>
          <w:szCs w:val="24"/>
          <w:highlight w:val="none"/>
          <w:lang w:val="en-US" w:eastAsia="zh-CN" w:bidi="ar-SA"/>
        </w:rPr>
        <w:t xml:space="preserve">成交供应商负责安装、调试、配合采购人进行验收，并承担因此发生的一切费用。</w:t>
      </w:r>
      <w:r>
        <w:rPr>
          <w:rFonts w:hint="eastAsia" w:ascii="仿宋" w:hAnsi="仿宋" w:eastAsia="仿宋" w:cs="仿宋"/>
          <w:b/>
          <w:sz w:val="28"/>
          <w:szCs w:val="20"/>
          <w:highlight w:val="none"/>
        </w:rPr>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r>
      <w:r>
        <w:rPr>
          <w:rFonts w:ascii="FangSong" w:hAnsi="FangSong" w:eastAsia="FangSong" w:cs="FangSong"/>
          <w:color w:val="000000"/>
          <w:sz w:val="24"/>
        </w:rPr>
        <w:t xml:space="preserve">②</w:t>
      </w:r>
      <w:r>
        <w:rPr>
          <w:rFonts w:hint="eastAsia" w:ascii="仿宋" w:hAnsi="仿宋" w:eastAsia="仿宋" w:cs="仿宋"/>
          <w:caps/>
          <w:color w:val="auto"/>
          <w:sz w:val="24"/>
          <w:szCs w:val="24"/>
          <w:highlight w:val="none"/>
          <w:lang w:val="en-US" w:eastAsia="zh-CN" w:bidi="ar-SA"/>
        </w:rPr>
        <w:t xml:space="preserve">质保期内免费提供设备的维修维护，包括非人为因素发生的设备修理、更换的费用。过质保期后应提供上门维修，维修费用只收取零部件成本费。</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r>
      <w:r>
        <w:rPr>
          <w:rFonts w:ascii="FangSong" w:hAnsi="FangSong" w:eastAsia="FangSong" w:cs="FangSong"/>
          <w:color w:val="000000"/>
          <w:sz w:val="24"/>
        </w:rPr>
        <w:t xml:space="preserve">③</w:t>
      </w:r>
      <w:r>
        <w:rPr>
          <w:rFonts w:hint="eastAsia" w:ascii="仿宋" w:hAnsi="仿宋" w:eastAsia="仿宋" w:cs="仿宋"/>
          <w:caps/>
          <w:color w:val="auto"/>
          <w:sz w:val="24"/>
          <w:szCs w:val="24"/>
          <w:highlight w:val="none"/>
          <w:lang w:val="en-US" w:eastAsia="zh-CN" w:bidi="ar-SA"/>
        </w:rPr>
        <w:t xml:space="preserve">成交供应商须提供产品出现故障后的维修服务：供应商能够做到完成安装和调试后，确保7*24小时的故障响应模式，可以做到15分钟响应，1小时内到达故障现场，一般故障2个小时到场解决，重大故障4个小时到场解决。</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紧急情况下需随叫随到，若48小时不能修复的，供应商需免费提供备用机，以免影响正常教学。</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r>
      <w:r>
        <w:rPr>
          <w:rFonts w:ascii="FangSong" w:hAnsi="FangSong" w:eastAsia="FangSong" w:cs="FangSong"/>
          <w:color w:val="000000"/>
          <w:sz w:val="24"/>
        </w:rPr>
        <w:t xml:space="preserve">④</w:t>
      </w:r>
      <w:r>
        <w:rPr>
          <w:rFonts w:hint="eastAsia" w:ascii="仿宋" w:hAnsi="仿宋" w:eastAsia="仿宋" w:cs="仿宋"/>
          <w:caps/>
          <w:color w:val="auto"/>
          <w:sz w:val="24"/>
          <w:szCs w:val="24"/>
          <w:highlight w:val="none"/>
          <w:lang w:val="en-US" w:eastAsia="zh-CN" w:bidi="ar-SA"/>
        </w:rPr>
        <w:t xml:space="preserve">安装调试完毕后，成交供应商应对学校任课教师进行集中使用培训。</w:t>
      </w:r>
      <w:r/>
    </w:p>
    <w:p>
      <w:pPr>
        <w:jc w:val="both"/>
        <w:keepLines w:val="0"/>
        <w:keepNext w:val="0"/>
        <w:pageBreakBefore w:val="0"/>
        <w:spacing w:after="0" w:line="480" w:lineRule="exact"/>
        <w:widowControl w:val="off"/>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3.验收标准</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供货初步验收：品牌、型号、数量及标注★技术参数逐条演示。整体安装调试完毕，在接到供应商以书面形式提出验收申请后，5个工作日内及时组织相关专业技术人员，按国家制造和安装的标准要求进行验收，包括检查技术参数要求中的相关佐证材料原件，不符合询价文件要求，甲方有权单方解除合同。</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2.所供产品交付使用时，供应商必须向需方提供产品说明书、质量保证书、保修卡、合格证等必须具备的相关资料和必备的附件。</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3.成交供应商必须负责所采购产品的运输，并派有经验的技术人员到现场进行卸货、安装，经调试、检测合格后交付使用，其费用由成交供应商承担，包含在报价中。 </w:t>
      </w:r>
      <w:r/>
    </w:p>
    <w:p>
      <w:pPr>
        <w:ind w:firstLine="480"/>
        <w:keepLines w:val="0"/>
        <w:keepNext w:val="0"/>
        <w:pageBreakBefore w:val="0"/>
        <w:spacing w:line="480" w:lineRule="exact"/>
        <w:widowControl w:val="off"/>
        <w:rPr>
          <w:rFonts w:hint="default"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因产品质量或运输、安装不当等原因导致验收不合格，应及时处理直至验收合格，期间产生的一切费用由成交供应商承担；若二次验收不合格，采购人有权退货。采购人在此期间保留对成交供应商的索赔权利。影响到正常教育教学的，一切责任后果，由成交供应商承担。</w:t>
      </w:r>
      <w:r/>
    </w:p>
    <w:p>
      <w:pPr>
        <w:jc w:val="both"/>
        <w:keepLines w:val="0"/>
        <w:keepNext w:val="0"/>
        <w:pageBreakBefore w:val="0"/>
        <w:spacing w:after="0" w:line="480" w:lineRule="exact"/>
        <w:widowControl w:val="off"/>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4.付款方式</w:t>
      </w:r>
      <w:r/>
    </w:p>
    <w:p>
      <w:pPr>
        <w:ind w:firstLine="480"/>
        <w:spacing w:after="62" w:line="460" w:lineRule="exact"/>
        <w:rPr>
          <w:rFonts w:hint="eastAsia" w:ascii="仿宋_GB2312" w:eastAsia="仿宋_GB2312"/>
          <w:color w:val="000000" w:themeColor="text1"/>
          <w:sz w:val="24"/>
          <w:szCs w:val="24"/>
          <w14:textFill>
            <w14:solidFill>
              <w14:schemeClr w14:val="tx1"/>
            </w14:solidFill>
          </w14:textFill>
        </w:rPr>
      </w:pPr>
      <w:r>
        <w:rPr>
          <w:rFonts w:hint="eastAsia" w:ascii="仿宋" w:hAnsi="仿宋" w:eastAsia="仿宋" w:cs="仿宋"/>
          <w:caps/>
          <w:color w:val="auto"/>
          <w:sz w:val="24"/>
          <w:szCs w:val="24"/>
          <w:highlight w:val="none"/>
          <w:lang w:val="en-US" w:eastAsia="zh-CN" w:bidi="ar-SA"/>
        </w:rPr>
        <w:t xml:space="preserve">合同签订，成交供应商完成供货及安装调试结束，待验收合格后由成交供应商开具发票，采购人收到发票后10个工作日内一次性支付至合同价的100%。</w:t>
      </w:r>
      <w:r/>
    </w:p>
    <w:p>
      <w:pPr>
        <w:jc w:val="both"/>
        <w:keepLines w:val="0"/>
        <w:keepNext w:val="0"/>
        <w:pageBreakBefore w:val="0"/>
        <w:spacing w:after="0" w:line="480" w:lineRule="exact"/>
        <w:widowControl w:val="off"/>
        <w:rPr>
          <w:rFonts w:hint="eastAsia" w:ascii="仿宋" w:hAnsi="仿宋" w:eastAsia="仿宋" w:cs="仿宋"/>
          <w:b/>
          <w:sz w:val="28"/>
          <w:szCs w:val="20"/>
          <w:highlight w:val="none"/>
          <w:lang w:val="en-US" w:eastAsia="zh-CN" w:bidi="ar-SA"/>
        </w:rPr>
      </w:pPr>
      <w:r>
        <w:rPr>
          <w:rFonts w:hint="eastAsia" w:ascii="仿宋" w:hAnsi="仿宋" w:eastAsia="仿宋" w:cs="仿宋"/>
          <w:b/>
          <w:sz w:val="28"/>
          <w:szCs w:val="20"/>
          <w:highlight w:val="none"/>
          <w:lang w:val="en-US" w:eastAsia="zh-CN" w:bidi="ar-SA"/>
        </w:rPr>
        <w:t xml:space="preserve">5.履约保证金</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1.履约保证金是否收取：是 。</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2.履约保证金的数额:本项目成交后的履约保证金为项目中标价的10%。  </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3.缴纳履约保证金时间:成交供应商在成交通知书发出之日起 30日内。</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4.缴纳履约保证金形式：支票、汇票、本票或者金融机构、担保机构出具的保函、履约保证金保险等非现金形式。</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5.退还履约保证金时间:成交供应商在按要求保质保量地完成该项目合同并经验收合格后。</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6.退还履约保证金方式：根据成交供应商缴纳的履约保证金对应具体退还形式一次性退还该合同项目的履约保证金。  </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7.退还履约保证金条件:成交供应商在按要求保质保量地完成该项目合同并通过验收后，采购人凭成交供应商提交的申请，一次性退还该合同项目的履约保证金。</w:t>
      </w:r>
      <w:r/>
    </w:p>
    <w:p>
      <w:pPr>
        <w:ind w:firstLine="480"/>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8.不予退还履约保证金的情形：a.由于成交供应商原因，在签订合同后出现不按合同履行的情况，采购人有权将履约保证金作为违约金，全额不予退还，同时采购人亦有权终止合同，成交供应商还须承担相应的法律赔偿责任。b.成交供应商在履约过程中发生违约行为，给采购人造成损失的，采购人有权在成交供应商缴纳的履约保证金中予以扣款，以弥补采购人经济损失，不足的部分成交供应商另外补齐。</w:t>
      </w:r>
      <w:r/>
    </w:p>
    <w:p>
      <w:pPr>
        <w:ind w:firstLine="480"/>
        <w:jc w:val="both"/>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9.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中标（成交）供应商可在南通市公共资源交易金融服务平台（</w:t>
      </w:r>
      <w:r>
        <w:rPr>
          <w:rFonts w:hint="eastAsia" w:ascii="仿宋" w:hAnsi="仿宋" w:eastAsia="仿宋" w:cs="仿宋"/>
          <w:caps/>
          <w:color w:val="auto"/>
          <w:sz w:val="24"/>
          <w:szCs w:val="24"/>
          <w:highlight w:val="none"/>
          <w:lang w:val="en-US" w:eastAsia="zh-CN" w:bidi="ar-SA"/>
        </w:rPr>
        <w:fldChar w:fldCharType="begin"/>
      </w:r>
      <w:r>
        <w:rPr>
          <w:rFonts w:hint="eastAsia" w:ascii="仿宋" w:hAnsi="仿宋" w:eastAsia="仿宋" w:cs="仿宋"/>
          <w:caps/>
          <w:color w:val="auto"/>
          <w:sz w:val="24"/>
          <w:szCs w:val="24"/>
          <w:highlight w:val="none"/>
          <w:lang w:val="en-US" w:eastAsia="zh-CN" w:bidi="ar-SA"/>
        </w:rPr>
        <w:instrText xml:space="preserve"> HYPERLINK "http://ggzyjy.nantong.gov.cn/NTdzbhweb/supermarket/"</w:instrText>
      </w:r>
      <w:r>
        <w:rPr>
          <w:rFonts w:hint="eastAsia" w:ascii="仿宋" w:hAnsi="仿宋" w:eastAsia="仿宋" w:cs="仿宋"/>
          <w:caps/>
          <w:color w:val="auto"/>
          <w:sz w:val="24"/>
          <w:szCs w:val="24"/>
          <w:highlight w:val="none"/>
          <w:lang w:val="en-US" w:eastAsia="zh-CN" w:bidi="ar-SA"/>
        </w:rPr>
        <w:fldChar w:fldCharType="separate"/>
      </w:r>
      <w:r>
        <w:rPr>
          <w:rFonts w:hint="eastAsia" w:ascii="仿宋" w:hAnsi="仿宋" w:eastAsia="仿宋" w:cs="仿宋"/>
          <w:caps/>
          <w:color w:val="auto"/>
          <w:sz w:val="24"/>
          <w:szCs w:val="24"/>
          <w:highlight w:val="none"/>
          <w:lang w:val="en-US" w:eastAsia="zh-CN" w:bidi="ar-SA"/>
        </w:rPr>
        <w:t xml:space="preserve">http://ggzyjy.nantong.gov.cn/NTdzbhweb/supermarket/</w:t>
      </w:r>
      <w:r>
        <w:rPr>
          <w:rFonts w:hint="eastAsia" w:ascii="仿宋" w:hAnsi="仿宋" w:eastAsia="仿宋" w:cs="仿宋"/>
          <w:caps/>
          <w:color w:val="auto"/>
          <w:sz w:val="24"/>
          <w:szCs w:val="24"/>
          <w:highlight w:val="none"/>
          <w:lang w:val="en-US" w:eastAsia="zh-CN" w:bidi="ar-SA"/>
        </w:rPr>
        <w:fldChar w:fldCharType="end"/>
      </w:r>
      <w:r>
        <w:rPr>
          <w:rFonts w:hint="eastAsia" w:ascii="仿宋" w:hAnsi="仿宋" w:eastAsia="仿宋" w:cs="仿宋"/>
          <w:caps/>
          <w:color w:val="auto"/>
          <w:sz w:val="24"/>
          <w:szCs w:val="24"/>
          <w:highlight w:val="none"/>
          <w:lang w:val="en-US" w:eastAsia="zh-CN" w:bidi="ar-SA"/>
        </w:rPr>
        <w:t xml:space="preserve">）“履约保证保险”模块在线申请履约保证保险投保。</w:t>
      </w:r>
      <w:r/>
    </w:p>
    <w:p>
      <w:pPr>
        <w:ind w:firstLine="370"/>
        <w:jc w:val="left"/>
        <w:spacing w:line="48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r>
      <w:r/>
    </w:p>
    <w:p>
      <w:pPr>
        <w:numPr>
          <w:ilvl w:val="0"/>
          <w:numId w:val="6"/>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采购需求中必须满足的实质性要求</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1.报价实质性要求</w:t>
      </w:r>
      <w:r/>
    </w:p>
    <w:p>
      <w:pPr>
        <w:keepLines w:val="0"/>
        <w:keepNext w:val="0"/>
        <w:pageBreakBefore w:val="0"/>
        <w:spacing w:line="480" w:lineRule="exact"/>
        <w:widowControl w:val="off"/>
        <w:rPr>
          <w:rFonts w:hint="eastAsia" w:ascii="仿宋" w:hAnsi="仿宋" w:eastAsia="仿宋" w:cs="仿宋"/>
          <w:b w:val="0"/>
          <w:bCs w:val="0"/>
          <w:i w:val="0"/>
          <w:iCs/>
          <w:color w:val="auto"/>
          <w:sz w:val="24"/>
          <w:szCs w:val="24"/>
          <w:highlight w:val="none"/>
          <w:u w:val="single"/>
          <w:lang w:val="en-US" w:eastAsia="zh-CN" w:bidi="ar-SA"/>
        </w:rPr>
      </w:pPr>
      <w:r>
        <w:rPr>
          <w:rFonts w:hint="eastAsia" w:ascii="仿宋" w:hAnsi="仿宋" w:eastAsia="仿宋" w:cs="仿宋"/>
          <w:b w:val="0"/>
          <w:bCs w:val="0"/>
          <w:i w:val="0"/>
          <w:iCs/>
          <w:color w:val="auto"/>
          <w:sz w:val="24"/>
          <w:szCs w:val="24"/>
          <w:highlight w:val="none"/>
          <w:u w:val="single"/>
          <w:lang w:val="en-US" w:eastAsia="zh-CN" w:bidi="ar-SA"/>
        </w:rPr>
        <w:t xml:space="preserve">1.1供应商应对所投项目的全部内容进行报价，只选择其中部分内容报价者，视为无效报价。</w:t>
      </w:r>
      <w:r/>
    </w:p>
    <w:p>
      <w:pPr>
        <w:keepLines w:val="0"/>
        <w:keepNext w:val="0"/>
        <w:pageBreakBefore w:val="0"/>
        <w:spacing w:line="480" w:lineRule="exact"/>
        <w:widowControl w:val="off"/>
        <w:rPr>
          <w:rFonts w:hint="eastAsia" w:ascii="仿宋" w:hAnsi="仿宋" w:eastAsia="仿宋" w:cs="仿宋"/>
          <w:b w:val="0"/>
          <w:bCs w:val="0"/>
          <w:i w:val="0"/>
          <w:iCs/>
          <w:color w:val="auto"/>
          <w:sz w:val="24"/>
          <w:szCs w:val="24"/>
          <w:highlight w:val="none"/>
          <w:u w:val="single"/>
          <w:lang w:val="en-US" w:eastAsia="zh-CN" w:bidi="ar-SA"/>
        </w:rPr>
      </w:pPr>
      <w:r>
        <w:rPr>
          <w:rFonts w:hint="eastAsia" w:ascii="仿宋" w:hAnsi="仿宋" w:eastAsia="仿宋" w:cs="仿宋"/>
          <w:b w:val="0"/>
          <w:bCs w:val="0"/>
          <w:i w:val="0"/>
          <w:iCs/>
          <w:color w:val="auto"/>
          <w:sz w:val="24"/>
          <w:szCs w:val="24"/>
          <w:highlight w:val="none"/>
          <w:u w:val="single"/>
          <w:lang w:val="en-US" w:eastAsia="zh-CN" w:bidi="ar-SA"/>
        </w:rPr>
        <w:t xml:space="preserve">1.2 供应商所投产品的总报价不得高于总限价，若发现超出限价的，视为无效报价。</w:t>
      </w:r>
      <w:r/>
    </w:p>
    <w:p>
      <w:pPr>
        <w:pStyle w:val="687"/>
        <w:numPr>
          <w:ilvl w:val="0"/>
          <w:numId w:val="0"/>
        </w:numPr>
        <w:rPr>
          <w:rFonts w:hint="eastAsia"/>
          <w:lang w:val="en-US" w:eastAsia="zh-CN"/>
        </w:rPr>
      </w:pPr>
      <w:r>
        <w:rPr>
          <w:rFonts w:hint="eastAsia"/>
          <w:lang w:val="en-US" w:eastAsia="zh-CN"/>
        </w:rPr>
      </w:r>
      <w:r/>
    </w:p>
    <w:p>
      <w:pPr>
        <w:pStyle w:val="687"/>
        <w:numPr>
          <w:ilvl w:val="0"/>
          <w:numId w:val="7"/>
        </w:numPr>
        <w:ind w:left="0" w:firstLine="0"/>
        <w:keepLines w:val="0"/>
        <w:keepNext w:val="0"/>
        <w:pageBreakBefore w:val="0"/>
        <w:spacing w:line="440" w:lineRule="exact"/>
        <w:widowControl w:val="off"/>
        <w:rPr>
          <w:rFonts w:hint="eastAsia" w:ascii="仿宋" w:hAnsi="仿宋" w:eastAsia="仿宋" w:cs="仿宋"/>
          <w:b w:val="0"/>
          <w:bCs w:val="0"/>
          <w:i w:val="0"/>
          <w:iCs/>
          <w:color w:val="auto"/>
          <w:sz w:val="24"/>
          <w:szCs w:val="24"/>
          <w:highlight w:val="none"/>
          <w:u w:val="single"/>
          <w:lang w:val="en-US" w:eastAsia="zh-CN"/>
        </w:rPr>
      </w:pPr>
      <w:r>
        <w:rPr>
          <w:rFonts w:hint="eastAsia" w:ascii="宋体" w:hAnsi="宋体"/>
          <w:b/>
          <w:bCs/>
          <w:i w:val="0"/>
          <w:iCs/>
          <w:color w:val="auto"/>
          <w:sz w:val="24"/>
          <w:szCs w:val="24"/>
          <w:highlight w:val="none"/>
          <w:u w:val="single"/>
        </w:rPr>
        <w:t xml:space="preserve">技术部分实质性要求</w:t>
      </w:r>
      <w:r>
        <w:rPr>
          <w:rFonts w:hint="eastAsia" w:ascii="宋体" w:hAnsi="宋体"/>
          <w:b/>
          <w:bCs/>
          <w:i w:val="0"/>
          <w:iCs/>
          <w:color w:val="auto"/>
          <w:sz w:val="24"/>
          <w:szCs w:val="24"/>
          <w:highlight w:val="none"/>
          <w:u w:val="single"/>
          <w:lang w:eastAsia="zh-CN"/>
        </w:rPr>
        <w:t xml:space="preserve">（</w:t>
      </w:r>
      <w:r>
        <w:rPr>
          <w:rFonts w:hint="eastAsia" w:ascii="宋体" w:hAnsi="宋体"/>
          <w:b/>
          <w:bCs/>
          <w:i w:val="0"/>
          <w:iCs/>
          <w:color w:val="auto"/>
          <w:sz w:val="24"/>
          <w:szCs w:val="24"/>
          <w:highlight w:val="none"/>
          <w:u w:val="single"/>
          <w:lang w:val="en-US" w:eastAsia="zh-CN"/>
        </w:rPr>
        <w:t xml:space="preserve">佐证材料须在《技术要求响应及偏离表》下方列明</w:t>
      </w:r>
      <w:r>
        <w:rPr>
          <w:rFonts w:hint="eastAsia" w:ascii="宋体" w:hAnsi="宋体"/>
          <w:b/>
          <w:bCs/>
          <w:i w:val="0"/>
          <w:iCs/>
          <w:color w:val="auto"/>
          <w:sz w:val="24"/>
          <w:szCs w:val="24"/>
          <w:highlight w:val="none"/>
          <w:u w:val="single"/>
          <w:lang w:eastAsia="zh-CN"/>
        </w:rPr>
        <w:t xml:space="preserve">）</w:t>
      </w:r>
      <w:r>
        <w:rPr>
          <w:rFonts w:hint="eastAsia" w:ascii="仿宋" w:hAnsi="仿宋" w:eastAsia="仿宋" w:cs="仿宋"/>
          <w:i w:val="0"/>
          <w:iCs w:val="0"/>
          <w:color w:val="000000"/>
          <w:sz w:val="24"/>
          <w:szCs w:val="24"/>
          <w:u w:val="single"/>
          <w:lang w:val="en-US" w:eastAsia="zh-CN" w:bidi="ar"/>
        </w:rPr>
        <w:t xml:space="preserve">2.1</w:t>
      </w:r>
      <w:r>
        <w:rPr>
          <w:rFonts w:hint="eastAsia" w:ascii="仿宋" w:hAnsi="仿宋" w:eastAsia="仿宋" w:cs="仿宋"/>
          <w:b w:val="0"/>
          <w:bCs w:val="0"/>
          <w:i w:val="0"/>
          <w:iCs/>
          <w:color w:val="auto"/>
          <w:sz w:val="24"/>
          <w:szCs w:val="24"/>
          <w:highlight w:val="none"/>
          <w:u w:val="single"/>
          <w:lang w:val="en-US" w:eastAsia="zh-CN"/>
        </w:rPr>
        <w:t xml:space="preserve">所投</w:t>
      </w:r>
      <w:r>
        <w:rPr>
          <w:rFonts w:hint="eastAsia" w:ascii="仿宋" w:hAnsi="仿宋" w:eastAsia="仿宋" w:cs="仿宋"/>
          <w:i w:val="0"/>
          <w:iCs w:val="0"/>
          <w:color w:val="000000"/>
          <w:sz w:val="24"/>
          <w:szCs w:val="24"/>
          <w:u w:val="single"/>
          <w:lang w:val="en-US" w:eastAsia="zh-CN" w:bidi="ar"/>
        </w:rPr>
        <w:t xml:space="preserve">智慧黑板（电容触控）</w:t>
      </w:r>
      <w:r>
        <w:rPr>
          <w:rFonts w:hint="eastAsia" w:ascii="仿宋" w:hAnsi="仿宋" w:eastAsia="仿宋" w:cs="仿宋"/>
          <w:b w:val="0"/>
          <w:bCs w:val="0"/>
          <w:i w:val="0"/>
          <w:iCs/>
          <w:color w:val="auto"/>
          <w:sz w:val="24"/>
          <w:szCs w:val="24"/>
          <w:highlight w:val="none"/>
          <w:u w:val="single"/>
          <w:lang w:val="en-US" w:eastAsia="zh-CN"/>
        </w:rPr>
        <w:t xml:space="preserve">产品必须通过3C认证（中国强制性产品认证），供应商须提供所投智慧黑板3C认证证书。</w:t>
      </w:r>
      <w:r/>
    </w:p>
    <w:p>
      <w:pPr>
        <w:pStyle w:val="687"/>
        <w:numPr>
          <w:ilvl w:val="0"/>
          <w:numId w:val="0"/>
        </w:numPr>
        <w:keepLines w:val="0"/>
        <w:keepNext w:val="0"/>
        <w:pageBreakBefore w:val="0"/>
        <w:spacing w:line="440" w:lineRule="exact"/>
        <w:widowControl w:val="off"/>
        <w:rPr>
          <w:rFonts w:hint="eastAsia" w:ascii="仿宋" w:hAnsi="仿宋" w:eastAsia="仿宋" w:cs="仿宋"/>
          <w:b w:val="0"/>
          <w:bCs w:val="0"/>
          <w:i w:val="0"/>
          <w:iCs/>
          <w:color w:val="auto"/>
          <w:sz w:val="24"/>
          <w:szCs w:val="24"/>
          <w:highlight w:val="none"/>
          <w:u w:val="single"/>
          <w:lang w:val="en-US" w:eastAsia="zh-CN"/>
        </w:rPr>
      </w:pPr>
      <w:r>
        <w:rPr>
          <w:rFonts w:hint="eastAsia" w:ascii="仿宋" w:hAnsi="仿宋" w:eastAsia="仿宋" w:cs="仿宋"/>
          <w:b w:val="0"/>
          <w:bCs w:val="0"/>
          <w:i w:val="0"/>
          <w:iCs/>
          <w:color w:val="auto"/>
          <w:sz w:val="24"/>
          <w:szCs w:val="24"/>
          <w:highlight w:val="none"/>
          <w:u w:val="single"/>
          <w:lang w:val="en-US" w:eastAsia="zh-CN"/>
        </w:rPr>
        <w:t xml:space="preserve">2.2供应商须承诺在验收时提供标注★技术参数要求中的相关佐证材料及承诺函</w:t>
      </w:r>
      <w:r>
        <w:rPr>
          <w:rFonts w:hint="eastAsia" w:ascii="仿宋" w:hAnsi="仿宋" w:eastAsia="仿宋" w:cs="仿宋"/>
          <w:b w:val="0"/>
          <w:bCs w:val="0"/>
          <w:i w:val="0"/>
          <w:iCs/>
          <w:color w:val="auto"/>
          <w:sz w:val="24"/>
          <w:szCs w:val="24"/>
          <w:highlight w:val="none"/>
          <w:u w:val="single"/>
          <w:lang w:val="en-US" w:eastAsia="zh-CN"/>
        </w:rPr>
        <w:t xml:space="preserve">（承诺函格式自拟）</w:t>
      </w:r>
      <w:r>
        <w:rPr>
          <w:rFonts w:hint="eastAsia" w:ascii="仿宋" w:hAnsi="仿宋" w:eastAsia="仿宋" w:cs="仿宋"/>
          <w:b w:val="0"/>
          <w:bCs w:val="0"/>
          <w:i w:val="0"/>
          <w:iCs/>
          <w:color w:val="auto"/>
          <w:sz w:val="24"/>
          <w:szCs w:val="24"/>
          <w:highlight w:val="none"/>
          <w:u w:val="single"/>
          <w:lang w:val="en-US" w:eastAsia="zh-CN"/>
        </w:rPr>
        <w:t xml:space="preserve">。如成交供应商不能提供或不满足上述要求则视为虚假应标，采购人有权解除签订的合同。提供虚假材料的一经发现，采购人将上报同级财政部门按照政府采购法律法规严肃处理。</w:t>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val="0"/>
          <w:bCs w:val="0"/>
          <w:i w:val="0"/>
          <w:iCs/>
          <w:color w:val="auto"/>
          <w:sz w:val="24"/>
          <w:szCs w:val="24"/>
          <w:highlight w:val="none"/>
          <w:u w:val="single"/>
          <w:lang w:val="en-US" w:eastAsia="zh-CN"/>
        </w:rPr>
        <w:outlineLvl w:val="1"/>
      </w:pPr>
      <w:r>
        <w:rPr>
          <w:rFonts w:hint="eastAsia" w:ascii="宋体" w:hAnsi="宋体" w:eastAsia="宋体" w:cs="Times New Roman"/>
          <w:b w:val="0"/>
          <w:bCs w:val="0"/>
          <w:i w:val="0"/>
          <w:iCs/>
          <w:color w:val="auto"/>
          <w:sz w:val="24"/>
          <w:szCs w:val="24"/>
          <w:highlight w:val="none"/>
          <w:u w:val="single"/>
          <w:lang w:val="en-US" w:eastAsia="zh-CN"/>
        </w:rPr>
      </w:r>
      <w:r/>
    </w:p>
    <w:p>
      <w:pPr>
        <w:numPr>
          <w:ilvl w:val="0"/>
          <w:numId w:val="0"/>
        </w:numPr>
        <w:jc w:val="both"/>
        <w:keepLines w:val="0"/>
        <w:keepNext w:val="0"/>
        <w:pageBreakBefore w:val="0"/>
        <w:spacing w:after="0" w:line="480" w:lineRule="exact"/>
        <w:widowControl w:val="off"/>
        <w:rPr>
          <w:rFonts w:hint="eastAsia" w:ascii="宋体" w:hAnsi="宋体" w:eastAsia="仿宋_GB2312" w:cs="Times New Roman"/>
          <w:b/>
          <w:bCs/>
          <w:i w:val="0"/>
          <w:iCs/>
          <w:color w:val="auto"/>
          <w:sz w:val="24"/>
          <w:szCs w:val="24"/>
          <w:highlight w:val="none"/>
          <w:u w:val="single"/>
          <w:lang w:val="en-US" w:eastAsia="zh-CN" w:bidi="ar-SA"/>
        </w:rPr>
        <w:outlineLvl w:val="1"/>
      </w:pPr>
      <w:r>
        <w:rPr>
          <w:rFonts w:hint="eastAsia" w:ascii="宋体" w:hAnsi="宋体" w:eastAsia="仿宋_GB2312" w:cs="Times New Roman"/>
          <w:b/>
          <w:bCs/>
          <w:i w:val="0"/>
          <w:iCs/>
          <w:color w:val="auto"/>
          <w:sz w:val="24"/>
          <w:szCs w:val="24"/>
          <w:highlight w:val="none"/>
          <w:u w:val="single"/>
          <w:lang w:val="en-US" w:eastAsia="zh-CN" w:bidi="ar-SA"/>
        </w:rPr>
        <w:t xml:space="preserve">3.商务部分实质性要求（佐证材料须在《商务要求响应及偏离表》下方列明）</w:t>
      </w:r>
      <w:r/>
    </w:p>
    <w:p>
      <w:pPr>
        <w:pStyle w:val="687"/>
        <w:numPr>
          <w:ilvl w:val="0"/>
          <w:numId w:val="0"/>
        </w:numPr>
        <w:keepLines w:val="0"/>
        <w:keepNext w:val="0"/>
        <w:pageBreakBefore w:val="0"/>
        <w:spacing w:line="440" w:lineRule="exact"/>
        <w:widowControl w:val="off"/>
        <w:rPr>
          <w:rFonts w:hint="eastAsia" w:ascii="仿宋" w:hAnsi="仿宋" w:eastAsia="仿宋" w:cs="仿宋"/>
          <w:b w:val="0"/>
          <w:bCs w:val="0"/>
          <w:i w:val="0"/>
          <w:iCs/>
          <w:color w:val="auto"/>
          <w:sz w:val="24"/>
          <w:szCs w:val="24"/>
          <w:highlight w:val="none"/>
          <w:u w:val="single"/>
          <w:lang w:val="en-US" w:eastAsia="zh-CN"/>
        </w:rPr>
      </w:pPr>
      <w:r>
        <w:rPr>
          <w:rFonts w:hint="eastAsia" w:ascii="仿宋" w:hAnsi="仿宋" w:eastAsia="仿宋" w:cs="仿宋"/>
          <w:b w:val="0"/>
          <w:bCs w:val="0"/>
          <w:i w:val="0"/>
          <w:iCs/>
          <w:color w:val="auto"/>
          <w:sz w:val="24"/>
          <w:szCs w:val="24"/>
          <w:highlight w:val="none"/>
          <w:u w:val="single"/>
          <w:lang w:val="en-US" w:eastAsia="zh-CN"/>
        </w:rPr>
        <w:t xml:space="preserve">3.1工期承诺（请做出书面承诺，格式自拟）：为保证该项目如期完成，供应商需承诺供货及安装完工日期满足询价文件要求（即：合同签订后25日历天内送到指定地点并完成安装调试工作，具体以采购人通知为准）。</w:t>
      </w:r>
      <w:r/>
    </w:p>
    <w:p>
      <w:pPr>
        <w:pStyle w:val="687"/>
        <w:ind w:left="0" w:firstLine="0"/>
        <w:keepLines w:val="0"/>
        <w:keepNext w:val="0"/>
        <w:pageBreakBefore w:val="0"/>
        <w:spacing w:line="440" w:lineRule="exact"/>
        <w:widowControl w:val="off"/>
        <w:rPr>
          <w:rFonts w:hint="eastAsia" w:ascii="宋体" w:hAnsi="宋体" w:eastAsia="仿宋_GB2312" w:cs="Times New Roman"/>
          <w:b w:val="0"/>
          <w:bCs w:val="0"/>
          <w:i/>
          <w:iCs w:val="0"/>
          <w:color w:val="auto"/>
          <w:sz w:val="24"/>
          <w:szCs w:val="24"/>
          <w:highlight w:val="none"/>
          <w:u w:val="single"/>
          <w:lang w:val="en-US" w:eastAsia="zh-CN" w:bidi="ar-SA"/>
        </w:rPr>
      </w:pPr>
      <w:r>
        <w:rPr>
          <w:rFonts w:hint="eastAsia" w:ascii="宋体" w:hAnsi="宋体" w:eastAsia="仿宋_GB2312" w:cs="Times New Roman"/>
          <w:b w:val="0"/>
          <w:bCs w:val="0"/>
          <w:i/>
          <w:iCs w:val="0"/>
          <w:color w:val="auto"/>
          <w:sz w:val="24"/>
          <w:szCs w:val="24"/>
          <w:highlight w:val="none"/>
          <w:u w:val="single"/>
          <w:lang w:val="en-US" w:eastAsia="zh-CN" w:bidi="ar-SA"/>
        </w:rPr>
      </w:r>
      <w:r/>
    </w:p>
    <w:p>
      <w:pPr>
        <w:ind w:firstLine="480"/>
        <w:keepLines w:val="0"/>
        <w:keepNext w:val="0"/>
        <w:pageBreakBefore w:val="0"/>
        <w:spacing w:line="44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r>
      <w:r/>
    </w:p>
    <w:p>
      <w:pPr>
        <w:numPr>
          <w:ilvl w:val="0"/>
          <w:numId w:val="0"/>
        </w:numPr>
        <w:keepLines w:val="0"/>
        <w:keepNext w:val="0"/>
        <w:pageBreakBefore w:val="0"/>
        <w:spacing w:line="440" w:lineRule="exact"/>
        <w:widowControl w:val="off"/>
        <w:rPr>
          <w:rFonts w:hint="default" w:ascii="宋体" w:hAnsi="宋体" w:eastAsia="宋体" w:cs="宋体"/>
          <w:b/>
          <w:bCs/>
          <w:color w:val="auto"/>
          <w:sz w:val="28"/>
          <w:szCs w:val="28"/>
          <w:highlight w:val="none"/>
        </w:rPr>
      </w:pPr>
      <w:r>
        <w:rPr>
          <w:rFonts w:hint="default" w:ascii="宋体" w:hAnsi="宋体" w:eastAsia="宋体" w:cs="宋体"/>
          <w:b/>
          <w:bCs/>
          <w:color w:val="auto"/>
          <w:sz w:val="28"/>
          <w:szCs w:val="28"/>
          <w:highlight w:val="none"/>
        </w:rPr>
      </w:r>
      <w:r/>
    </w:p>
    <w:p>
      <w:pPr>
        <w:pStyle w:val="851"/>
        <w:keepLines w:val="0"/>
        <w:keepNext w:val="0"/>
        <w:pageBreakBefore w:val="0"/>
        <w:spacing w:line="440" w:lineRule="exact"/>
        <w:widowControl w:val="off"/>
        <w:rPr>
          <w:rFonts w:hint="default"/>
          <w:highlight w:val="none"/>
        </w:rPr>
      </w:pPr>
      <w:r>
        <w:rPr>
          <w:rFonts w:hint="default"/>
          <w:highlight w:val="none"/>
        </w:rPr>
      </w:r>
      <w:r/>
    </w:p>
    <w:p>
      <w:pPr>
        <w:pStyle w:val="851"/>
        <w:keepLines w:val="0"/>
        <w:keepNext w:val="0"/>
        <w:pageBreakBefore w:val="0"/>
        <w:spacing w:line="440" w:lineRule="exact"/>
        <w:widowControl w:val="off"/>
        <w:rPr>
          <w:rFonts w:hint="eastAsia"/>
          <w:highlight w:val="none"/>
        </w:rPr>
      </w:pPr>
      <w:r>
        <w:rPr>
          <w:rFonts w:hint="eastAsia"/>
          <w:highlight w:val="none"/>
        </w:rPr>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690"/>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682"/>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690"/>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90"/>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90"/>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50"/>
        <w:ind w:left="0"/>
        <w:jc w:val="center"/>
        <w:spacing w:after="0" w:line="400" w:lineRule="exact"/>
        <w:rPr>
          <w:rFonts w:ascii="宋体" w:hAnsi="宋体"/>
          <w:szCs w:val="21"/>
          <w:highlight w:val="none"/>
        </w:rPr>
      </w:pPr>
      <w:r>
        <w:rPr>
          <w:rFonts w:ascii="宋体" w:hAnsi="宋体"/>
          <w:szCs w:val="21"/>
          <w:highlight w:val="none"/>
        </w:rPr>
      </w:r>
      <w:r/>
    </w:p>
    <w:p>
      <w:pPr>
        <w:pStyle w:val="850"/>
        <w:ind w:left="0"/>
        <w:jc w:val="center"/>
        <w:spacing w:after="0" w:line="400" w:lineRule="exact"/>
        <w:rPr>
          <w:rFonts w:ascii="宋体" w:hAnsi="宋体"/>
          <w:szCs w:val="21"/>
          <w:highlight w:val="none"/>
        </w:rPr>
      </w:pPr>
      <w:r>
        <w:rPr>
          <w:rFonts w:ascii="宋体" w:hAnsi="宋体"/>
          <w:szCs w:val="21"/>
          <w:highlight w:val="none"/>
        </w:rPr>
      </w:r>
      <w:r/>
    </w:p>
    <w:p>
      <w:pPr>
        <w:pStyle w:val="851"/>
        <w:rPr>
          <w:highlight w:val="none"/>
        </w:rPr>
      </w:pPr>
      <w:r>
        <w:rPr>
          <w:highlight w:val="none"/>
        </w:rPr>
      </w:r>
      <w:r/>
    </w:p>
    <w:p>
      <w:pPr>
        <w:pStyle w:val="850"/>
        <w:ind w:left="0"/>
        <w:jc w:val="center"/>
        <w:spacing w:after="0" w:line="400" w:lineRule="exact"/>
        <w:rPr>
          <w:rFonts w:ascii="宋体" w:hAnsi="宋体"/>
          <w:szCs w:val="21"/>
          <w:highlight w:val="none"/>
        </w:rPr>
      </w:pPr>
      <w:r>
        <w:rPr>
          <w:rFonts w:ascii="宋体" w:hAnsi="宋体"/>
          <w:szCs w:val="21"/>
          <w:highlight w:val="none"/>
        </w:rPr>
      </w:r>
      <w:r/>
    </w:p>
    <w:p>
      <w:pPr>
        <w:pStyle w:val="850"/>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50"/>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690"/>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5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50"/>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50"/>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1"/>
        <w:gridCol w:w="2447"/>
        <w:gridCol w:w="2126"/>
        <w:gridCol w:w="1754"/>
      </w:tblGrid>
      <w:tr>
        <w:trPr>
          <w:jc w:val="center"/>
          <w:trHeight w:val="850"/>
        </w:trPr>
        <w:tc>
          <w:tcPr>
            <w:tcW w:w="2231" w:type="dxa"/>
            <w:vAlign w:val="center"/>
            <w:textDirection w:val="lrTb"/>
            <w:noWrap w:val="false"/>
          </w:tcPr>
          <w:p>
            <w:pPr>
              <w:pStyle w:val="850"/>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50"/>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50"/>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50"/>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50"/>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50"/>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50"/>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50"/>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50"/>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50"/>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50"/>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50"/>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50"/>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50"/>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5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68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68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8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687"/>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50"/>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5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hint="eastAsia" w:ascii="宋体" w:hAnsi="宋体"/>
          <w:bCs/>
          <w:color w:val="000000"/>
          <w:sz w:val="24"/>
          <w:szCs w:val="28"/>
          <w:highlight w:val="none"/>
          <w:u w:val="single"/>
          <w:lang w:val="en-US" w:eastAsia="zh-CN"/>
        </w:rPr>
        <w:t xml:space="preserve">    </w:t>
      </w:r>
      <w:r>
        <w:rPr>
          <w:rFonts w:hint="eastAsia" w:ascii="宋体" w:hAnsi="宋体"/>
          <w:bCs/>
          <w:color w:val="000000"/>
          <w:sz w:val="24"/>
          <w:szCs w:val="28"/>
          <w:highlight w:val="none"/>
          <w:u w:val="single"/>
        </w:rPr>
        <w:t xml:space="preserve">            </w:t>
      </w:r>
      <w:r>
        <w:rPr>
          <w:rFonts w:hint="eastAsia" w:ascii="宋体" w:hAnsi="宋体" w:cs="仿宋"/>
          <w:sz w:val="24"/>
          <w:szCs w:val="28"/>
          <w:highlight w:val="none"/>
        </w:rPr>
        <w:t xml:space="preserve">号询价文件，正式授权______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w:t>
      </w:r>
      <w:r>
        <w:rPr>
          <w:rFonts w:hint="eastAsia" w:ascii="宋体" w:hAnsi="宋体" w:cs="仿宋"/>
          <w:sz w:val="24"/>
          <w:szCs w:val="28"/>
          <w:highlight w:val="none"/>
          <w:lang w:eastAsia="zh-CN"/>
        </w:rPr>
        <w:t xml:space="preserve">（被授权人</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50"/>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5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59"/>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50"/>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67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67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68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68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8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68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8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68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68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8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68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8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8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68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8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8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68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7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68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68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68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8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68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68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8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68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68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67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67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67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67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67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62"/>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汉仪书宋二S">
    <w:panose1 w:val="020B0503020202020204"/>
  </w:font>
  <w:font w:name="仿宋">
    <w:panose1 w:val="02010609060101010101"/>
  </w:font>
  <w:font w:name="Segoe UI">
    <w:panose1 w:val="020B0502040204020203"/>
  </w:font>
  <w:font w:name="Wingdings">
    <w:panose1 w:val="05000000000000000000"/>
  </w:font>
  <w:font w:name="华文楷体">
    <w:panose1 w:val="02010600040101010101"/>
  </w:font>
  <w:font w:name="Calibri">
    <w:panose1 w:val="020F0502020204030204"/>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5"/>
  </w:num>
  <w:num w:numId="4">
    <w:abstractNumId w:val="3"/>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next w:val="660"/>
    <w:link w:val="883"/>
    <w:uiPriority w:val="0"/>
    <w:qFormat/>
    <w:pPr>
      <w:jc w:val="both"/>
      <w:widowControl w:val="off"/>
    </w:pPr>
    <w:rPr>
      <w:rFonts w:hint="default" w:ascii="Times New Roman" w:hAnsi="Times New Roman" w:eastAsia="宋体" w:cs="Times New Roman"/>
      <w:sz w:val="21"/>
      <w:lang w:val="en-US" w:eastAsia="zh-CN" w:bidi="ar-SA"/>
    </w:rPr>
  </w:style>
  <w:style w:type="paragraph" w:styleId="649">
    <w:name w:val="Heading 1"/>
    <w:basedOn w:val="648"/>
    <w:next w:val="648"/>
    <w:link w:val="692"/>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link w:val="693"/>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link w:val="694"/>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link w:val="695"/>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696"/>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7"/>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99"/>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700"/>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toc 1"/>
    <w:basedOn w:val="648"/>
    <w:next w:val="648"/>
    <w:uiPriority w:val="39"/>
    <w:unhideWhenUsed/>
    <w:qFormat/>
    <w:pPr>
      <w:ind w:left="0" w:right="0" w:firstLine="0"/>
      <w:spacing w:after="57"/>
    </w:pPr>
  </w:style>
  <w:style w:type="paragraph" w:styleId="661">
    <w:name w:val="toc 7"/>
    <w:basedOn w:val="648"/>
    <w:next w:val="648"/>
    <w:uiPriority w:val="39"/>
    <w:unhideWhenUsed/>
    <w:qFormat/>
    <w:pPr>
      <w:ind w:left="1701" w:right="0" w:firstLine="0"/>
      <w:spacing w:after="57"/>
    </w:pPr>
  </w:style>
  <w:style w:type="paragraph" w:styleId="662">
    <w:name w:val="Caption"/>
    <w:basedOn w:val="648"/>
    <w:next w:val="6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annotation text"/>
    <w:basedOn w:val="648"/>
    <w:uiPriority w:val="99"/>
    <w:semiHidden/>
    <w:unhideWhenUsed/>
    <w:qFormat/>
    <w:pPr>
      <w:jc w:val="left"/>
    </w:pPr>
  </w:style>
  <w:style w:type="paragraph" w:styleId="664">
    <w:name w:val="Body Text"/>
    <w:basedOn w:val="648"/>
    <w:uiPriority w:val="99"/>
    <w:qFormat/>
    <w:rPr>
      <w:rFonts w:ascii="楷体_GB2312" w:hAnsi="Arial" w:eastAsia="楷体_GB2312"/>
      <w:sz w:val="28"/>
      <w:szCs w:val="28"/>
    </w:rPr>
  </w:style>
  <w:style w:type="paragraph" w:styleId="665">
    <w:name w:val="Body Text Indent"/>
    <w:basedOn w:val="648"/>
    <w:next w:val="648"/>
    <w:uiPriority w:val="0"/>
    <w:qFormat/>
    <w:pPr>
      <w:ind w:firstLine="403"/>
      <w:spacing w:line="440" w:lineRule="exact"/>
    </w:pPr>
    <w:rPr>
      <w:rFonts w:ascii="宋体" w:hAnsi="宋体"/>
      <w:sz w:val="20"/>
      <w:szCs w:val="21"/>
    </w:rPr>
  </w:style>
  <w:style w:type="paragraph" w:styleId="666">
    <w:name w:val="toc 5"/>
    <w:basedOn w:val="648"/>
    <w:next w:val="648"/>
    <w:uiPriority w:val="39"/>
    <w:unhideWhenUsed/>
    <w:qFormat/>
    <w:pPr>
      <w:ind w:left="1134" w:right="0" w:firstLine="0"/>
      <w:spacing w:after="57"/>
    </w:pPr>
  </w:style>
  <w:style w:type="paragraph" w:styleId="667">
    <w:name w:val="toc 3"/>
    <w:basedOn w:val="648"/>
    <w:next w:val="648"/>
    <w:uiPriority w:val="39"/>
    <w:unhideWhenUsed/>
    <w:qFormat/>
    <w:pPr>
      <w:ind w:left="567" w:right="0" w:firstLine="0"/>
      <w:spacing w:after="57"/>
    </w:pPr>
  </w:style>
  <w:style w:type="paragraph" w:styleId="668">
    <w:name w:val="toc 8"/>
    <w:basedOn w:val="648"/>
    <w:next w:val="648"/>
    <w:uiPriority w:val="39"/>
    <w:unhideWhenUsed/>
    <w:qFormat/>
    <w:pPr>
      <w:ind w:left="1984" w:right="0" w:firstLine="0"/>
      <w:spacing w:after="57"/>
    </w:pPr>
  </w:style>
  <w:style w:type="paragraph" w:styleId="669">
    <w:name w:val="endnote text"/>
    <w:basedOn w:val="648"/>
    <w:link w:val="838"/>
    <w:uiPriority w:val="99"/>
    <w:semiHidden/>
    <w:unhideWhenUsed/>
    <w:qFormat/>
    <w:pPr>
      <w:spacing w:after="0" w:line="240" w:lineRule="auto"/>
    </w:pPr>
    <w:rPr>
      <w:sz w:val="20"/>
    </w:rPr>
  </w:style>
  <w:style w:type="paragraph" w:styleId="670">
    <w:name w:val="Footer"/>
    <w:basedOn w:val="648"/>
    <w:link w:val="711"/>
    <w:uiPriority w:val="99"/>
    <w:unhideWhenUsed/>
    <w:qFormat/>
    <w:pPr>
      <w:spacing w:after="0" w:line="240" w:lineRule="auto"/>
      <w:tabs>
        <w:tab w:val="center" w:pos="7143" w:leader="none"/>
        <w:tab w:val="right" w:pos="14287" w:leader="none"/>
      </w:tabs>
    </w:pPr>
  </w:style>
  <w:style w:type="paragraph" w:styleId="671">
    <w:name w:val="Header"/>
    <w:basedOn w:val="648"/>
    <w:link w:val="709"/>
    <w:uiPriority w:val="99"/>
    <w:unhideWhenUsed/>
    <w:qFormat/>
    <w:pPr>
      <w:spacing w:after="0" w:line="240" w:lineRule="auto"/>
      <w:tabs>
        <w:tab w:val="center" w:pos="7143" w:leader="none"/>
        <w:tab w:val="right" w:pos="14287" w:leader="none"/>
      </w:tabs>
    </w:pPr>
  </w:style>
  <w:style w:type="paragraph" w:styleId="672">
    <w:name w:val="toc 4"/>
    <w:basedOn w:val="648"/>
    <w:next w:val="648"/>
    <w:uiPriority w:val="39"/>
    <w:unhideWhenUsed/>
    <w:qFormat/>
    <w:pPr>
      <w:ind w:left="850" w:right="0" w:firstLine="0"/>
      <w:spacing w:after="57"/>
    </w:pPr>
  </w:style>
  <w:style w:type="paragraph" w:styleId="673">
    <w:name w:val="Subtitle"/>
    <w:basedOn w:val="648"/>
    <w:next w:val="648"/>
    <w:link w:val="704"/>
    <w:uiPriority w:val="11"/>
    <w:qFormat/>
    <w:pPr>
      <w:spacing w:before="200" w:after="200"/>
    </w:pPr>
    <w:rPr>
      <w:sz w:val="24"/>
      <w:szCs w:val="24"/>
    </w:rPr>
  </w:style>
  <w:style w:type="paragraph" w:styleId="674">
    <w:name w:val="footnote text"/>
    <w:basedOn w:val="648"/>
    <w:link w:val="837"/>
    <w:uiPriority w:val="99"/>
    <w:semiHidden/>
    <w:unhideWhenUsed/>
    <w:qFormat/>
    <w:pPr>
      <w:spacing w:after="40" w:line="240" w:lineRule="auto"/>
    </w:pPr>
    <w:rPr>
      <w:sz w:val="18"/>
    </w:rPr>
  </w:style>
  <w:style w:type="paragraph" w:styleId="675">
    <w:name w:val="toc 6"/>
    <w:basedOn w:val="648"/>
    <w:next w:val="648"/>
    <w:uiPriority w:val="39"/>
    <w:unhideWhenUsed/>
    <w:qFormat/>
    <w:pPr>
      <w:ind w:left="1417" w:right="0" w:firstLine="0"/>
      <w:spacing w:after="57"/>
    </w:pPr>
  </w:style>
  <w:style w:type="paragraph" w:styleId="676">
    <w:name w:val="table of figures"/>
    <w:basedOn w:val="648"/>
    <w:next w:val="648"/>
    <w:uiPriority w:val="99"/>
    <w:unhideWhenUsed/>
    <w:qFormat/>
    <w:pPr>
      <w:spacing w:after="0" w:afterAutospacing="0"/>
    </w:pPr>
  </w:style>
  <w:style w:type="paragraph" w:styleId="677">
    <w:name w:val="toc 2"/>
    <w:basedOn w:val="648"/>
    <w:next w:val="648"/>
    <w:uiPriority w:val="39"/>
    <w:unhideWhenUsed/>
    <w:qFormat/>
    <w:pPr>
      <w:ind w:left="283" w:right="0" w:firstLine="0"/>
      <w:spacing w:after="57"/>
    </w:pPr>
  </w:style>
  <w:style w:type="paragraph" w:styleId="678">
    <w:name w:val="toc 9"/>
    <w:basedOn w:val="648"/>
    <w:next w:val="648"/>
    <w:uiPriority w:val="39"/>
    <w:unhideWhenUsed/>
    <w:qFormat/>
    <w:pPr>
      <w:ind w:left="2268" w:right="0" w:firstLine="0"/>
      <w:spacing w:after="57"/>
    </w:pPr>
  </w:style>
  <w:style w:type="paragraph" w:styleId="679">
    <w:name w:val="Normal (Web)"/>
    <w:basedOn w:val="648"/>
    <w:uiPriority w:val="0"/>
    <w:qFormat/>
    <w:pPr>
      <w:jc w:val="left"/>
      <w:spacing w:beforeAutospacing="1" w:afterAutospacing="1"/>
    </w:pPr>
    <w:rPr>
      <w:sz w:val="24"/>
    </w:rPr>
  </w:style>
  <w:style w:type="paragraph" w:styleId="680">
    <w:name w:val="Title"/>
    <w:basedOn w:val="648"/>
    <w:next w:val="648"/>
    <w:link w:val="703"/>
    <w:uiPriority w:val="10"/>
    <w:qFormat/>
    <w:pPr>
      <w:contextualSpacing/>
      <w:spacing w:before="300" w:after="200"/>
    </w:pPr>
    <w:rPr>
      <w:sz w:val="48"/>
      <w:szCs w:val="48"/>
    </w:rPr>
  </w:style>
  <w:style w:type="table" w:styleId="6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2">
    <w:name w:val="Strong"/>
    <w:basedOn w:val="658"/>
    <w:uiPriority w:val="22"/>
    <w:qFormat/>
    <w:rPr>
      <w:b/>
    </w:rPr>
  </w:style>
  <w:style w:type="character" w:styleId="683">
    <w:name w:val="endnote reference"/>
    <w:uiPriority w:val="99"/>
    <w:semiHidden/>
    <w:unhideWhenUsed/>
    <w:qFormat/>
    <w:rPr>
      <w:vertAlign w:val="superscript"/>
    </w:rPr>
  </w:style>
  <w:style w:type="character" w:styleId="684">
    <w:name w:val="Emphasis"/>
    <w:uiPriority w:val="0"/>
    <w:qFormat/>
    <w:rPr>
      <w:i/>
    </w:rPr>
  </w:style>
  <w:style w:type="character" w:styleId="685">
    <w:name w:val="Hyperlink"/>
    <w:uiPriority w:val="99"/>
    <w:unhideWhenUsed/>
    <w:qFormat/>
    <w:rPr>
      <w:color w:val="0000ff" w:themeColor="hyperlink"/>
      <w:u w:val="single"/>
      <w14:textFill>
        <w14:solidFill>
          <w14:schemeClr w14:val="hlink"/>
        </w14:solidFill>
      </w14:textFill>
    </w:rPr>
  </w:style>
  <w:style w:type="character" w:styleId="686">
    <w:name w:val="footnote reference"/>
    <w:uiPriority w:val="99"/>
    <w:unhideWhenUsed/>
    <w:qFormat/>
    <w:rPr>
      <w:vertAlign w:val="superscript"/>
    </w:rPr>
  </w:style>
  <w:style w:type="paragraph" w:styleId="687" w:customStyle="1">
    <w:name w:val="正文首行缩进11"/>
    <w:basedOn w:val="688"/>
    <w:uiPriority w:val="0"/>
    <w:qFormat/>
    <w:pPr>
      <w:ind w:firstLine="200"/>
      <w:spacing w:line="360" w:lineRule="auto"/>
    </w:pPr>
    <w:rPr>
      <w:rFonts w:ascii="仿宋_GB2312" w:hAnsi="Times New Roman" w:eastAsia="仿宋_GB2312"/>
      <w:sz w:val="30"/>
      <w:szCs w:val="30"/>
    </w:rPr>
  </w:style>
  <w:style w:type="paragraph" w:styleId="688" w:customStyle="1">
    <w:name w:val="正文文本1"/>
    <w:basedOn w:val="648"/>
    <w:next w:val="648"/>
    <w:uiPriority w:val="0"/>
    <w:qFormat/>
    <w:rPr>
      <w:sz w:val="20"/>
    </w:rPr>
  </w:style>
  <w:style w:type="paragraph" w:styleId="689" w:customStyle="1">
    <w:name w:val="Default"/>
    <w:next w:val="648"/>
    <w:uiPriority w:val="0"/>
    <w:qFormat/>
    <w:pPr>
      <w:widowControl w:val="off"/>
    </w:pPr>
    <w:rPr>
      <w:rFonts w:hint="default" w:ascii="宋体" w:hAnsi="宋体" w:eastAsia="宋体" w:cs="宋体"/>
      <w:color w:val="000000"/>
      <w:sz w:val="24"/>
      <w:szCs w:val="24"/>
      <w:lang w:val="en-US" w:eastAsia="zh-CN" w:bidi="ar-SA"/>
    </w:rPr>
  </w:style>
  <w:style w:type="paragraph" w:styleId="690" w:customStyle="1">
    <w:name w:val="正文首行缩进 21"/>
    <w:basedOn w:val="691"/>
    <w:uiPriority w:val="0"/>
    <w:qFormat/>
    <w:pPr>
      <w:ind w:left="0" w:firstLine="420"/>
      <w:spacing w:after="0" w:line="360" w:lineRule="auto"/>
    </w:pPr>
    <w:rPr>
      <w:rFonts w:ascii="宋体" w:hAnsi="宋体"/>
      <w:sz w:val="20"/>
      <w:szCs w:val="20"/>
      <w:lang w:val="en-US" w:eastAsia="en-US"/>
    </w:rPr>
  </w:style>
  <w:style w:type="paragraph" w:styleId="691" w:customStyle="1">
    <w:name w:val="正文文本缩进1"/>
    <w:basedOn w:val="648"/>
    <w:next w:val="690"/>
    <w:uiPriority w:val="0"/>
    <w:unhideWhenUsed/>
    <w:qFormat/>
    <w:pPr>
      <w:ind w:left="420"/>
      <w:spacing w:after="120"/>
    </w:pPr>
  </w:style>
  <w:style w:type="character" w:styleId="692" w:customStyle="1">
    <w:name w:val="Heading 1 Char"/>
    <w:link w:val="649"/>
    <w:uiPriority w:val="9"/>
    <w:qFormat/>
    <w:rPr>
      <w:rFonts w:ascii="Arial" w:hAnsi="Arial" w:eastAsia="Arial" w:cs="Arial"/>
      <w:sz w:val="40"/>
      <w:szCs w:val="40"/>
    </w:rPr>
  </w:style>
  <w:style w:type="character" w:styleId="693" w:customStyle="1">
    <w:name w:val="Heading 2 Char"/>
    <w:link w:val="650"/>
    <w:uiPriority w:val="9"/>
    <w:qFormat/>
    <w:rPr>
      <w:rFonts w:ascii="Arial" w:hAnsi="Arial" w:eastAsia="Arial" w:cs="Arial"/>
      <w:sz w:val="34"/>
    </w:rPr>
  </w:style>
  <w:style w:type="character" w:styleId="694" w:customStyle="1">
    <w:name w:val="Heading 3 Char"/>
    <w:link w:val="651"/>
    <w:uiPriority w:val="9"/>
    <w:qFormat/>
    <w:rPr>
      <w:rFonts w:ascii="Arial" w:hAnsi="Arial" w:eastAsia="Arial" w:cs="Arial"/>
      <w:sz w:val="30"/>
      <w:szCs w:val="30"/>
    </w:rPr>
  </w:style>
  <w:style w:type="character" w:styleId="695" w:customStyle="1">
    <w:name w:val="Heading 4 Char"/>
    <w:link w:val="652"/>
    <w:uiPriority w:val="9"/>
    <w:qFormat/>
    <w:rPr>
      <w:rFonts w:ascii="Arial" w:hAnsi="Arial" w:eastAsia="Arial" w:cs="Arial"/>
      <w:b/>
      <w:bCs/>
      <w:sz w:val="26"/>
      <w:szCs w:val="26"/>
    </w:rPr>
  </w:style>
  <w:style w:type="character" w:styleId="696" w:customStyle="1">
    <w:name w:val="Heading 5 Char"/>
    <w:link w:val="653"/>
    <w:uiPriority w:val="9"/>
    <w:qFormat/>
    <w:rPr>
      <w:rFonts w:ascii="Arial" w:hAnsi="Arial" w:eastAsia="Arial" w:cs="Arial"/>
      <w:b/>
      <w:bCs/>
      <w:sz w:val="24"/>
      <w:szCs w:val="24"/>
    </w:rPr>
  </w:style>
  <w:style w:type="character" w:styleId="697" w:customStyle="1">
    <w:name w:val="Heading 6 Char"/>
    <w:link w:val="654"/>
    <w:uiPriority w:val="9"/>
    <w:qFormat/>
    <w:rPr>
      <w:rFonts w:ascii="Arial" w:hAnsi="Arial" w:eastAsia="Arial" w:cs="Arial"/>
      <w:b/>
      <w:bCs/>
      <w:sz w:val="22"/>
      <w:szCs w:val="22"/>
    </w:rPr>
  </w:style>
  <w:style w:type="character" w:styleId="698" w:customStyle="1">
    <w:name w:val="Heading 7 Char"/>
    <w:link w:val="655"/>
    <w:uiPriority w:val="9"/>
    <w:qFormat/>
    <w:rPr>
      <w:rFonts w:ascii="Arial" w:hAnsi="Arial" w:eastAsia="Arial" w:cs="Arial"/>
      <w:b/>
      <w:bCs/>
      <w:i/>
      <w:iCs/>
      <w:sz w:val="22"/>
      <w:szCs w:val="22"/>
    </w:rPr>
  </w:style>
  <w:style w:type="character" w:styleId="699" w:customStyle="1">
    <w:name w:val="Heading 8 Char"/>
    <w:link w:val="656"/>
    <w:uiPriority w:val="9"/>
    <w:qFormat/>
    <w:rPr>
      <w:rFonts w:ascii="Arial" w:hAnsi="Arial" w:eastAsia="Arial" w:cs="Arial"/>
      <w:i/>
      <w:iCs/>
      <w:sz w:val="22"/>
      <w:szCs w:val="22"/>
    </w:rPr>
  </w:style>
  <w:style w:type="character" w:styleId="700" w:customStyle="1">
    <w:name w:val="Heading 9 Char"/>
    <w:link w:val="657"/>
    <w:uiPriority w:val="9"/>
    <w:qFormat/>
    <w:rPr>
      <w:rFonts w:ascii="Arial" w:hAnsi="Arial" w:eastAsia="Arial" w:cs="Arial"/>
      <w:i/>
      <w:iCs/>
      <w:sz w:val="21"/>
      <w:szCs w:val="21"/>
    </w:rPr>
  </w:style>
  <w:style w:type="paragraph" w:styleId="701">
    <w:name w:val="List Paragraph"/>
    <w:basedOn w:val="648"/>
    <w:uiPriority w:val="34"/>
    <w:qFormat/>
    <w:pPr>
      <w:contextualSpacing/>
      <w:ind w:left="720"/>
    </w:pPr>
  </w:style>
  <w:style w:type="paragraph" w:styleId="702">
    <w:name w:val="No Spacing"/>
    <w:uiPriority w:val="1"/>
    <w:qFormat/>
    <w:pPr>
      <w:spacing w:before="0" w:after="0" w:line="240" w:lineRule="auto"/>
    </w:pPr>
    <w:rPr>
      <w:rFonts w:hint="default" w:ascii="Times New Roman" w:hAnsi="Times New Roman" w:eastAsia="宋体" w:cs="Times New Roman"/>
    </w:rPr>
  </w:style>
  <w:style w:type="character" w:styleId="703" w:customStyle="1">
    <w:name w:val="Title Char"/>
    <w:link w:val="680"/>
    <w:uiPriority w:val="10"/>
    <w:qFormat/>
    <w:rPr>
      <w:sz w:val="48"/>
      <w:szCs w:val="48"/>
    </w:rPr>
  </w:style>
  <w:style w:type="character" w:styleId="704" w:customStyle="1">
    <w:name w:val="Subtitle Char"/>
    <w:link w:val="673"/>
    <w:uiPriority w:val="11"/>
    <w:qFormat/>
    <w:rPr>
      <w:sz w:val="24"/>
      <w:szCs w:val="24"/>
    </w:rPr>
  </w:style>
  <w:style w:type="paragraph" w:styleId="705">
    <w:name w:val="Quote"/>
    <w:basedOn w:val="648"/>
    <w:next w:val="648"/>
    <w:link w:val="706"/>
    <w:uiPriority w:val="29"/>
    <w:qFormat/>
    <w:pPr>
      <w:ind w:left="720" w:right="720"/>
    </w:pPr>
    <w:rPr>
      <w:i/>
    </w:rPr>
  </w:style>
  <w:style w:type="character" w:styleId="706" w:customStyle="1">
    <w:name w:val="Quote Char"/>
    <w:link w:val="705"/>
    <w:uiPriority w:val="29"/>
    <w:qFormat/>
    <w:rPr>
      <w:i/>
    </w:rPr>
  </w:style>
  <w:style w:type="paragraph" w:styleId="707">
    <w:name w:val="Intense Quote"/>
    <w:basedOn w:val="648"/>
    <w:next w:val="648"/>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customStyle="1">
    <w:name w:val="Intense Quote Char"/>
    <w:link w:val="707"/>
    <w:uiPriority w:val="30"/>
    <w:qFormat/>
    <w:rPr>
      <w:i/>
    </w:rPr>
  </w:style>
  <w:style w:type="character" w:styleId="709" w:customStyle="1">
    <w:name w:val="Header Char"/>
    <w:link w:val="671"/>
    <w:uiPriority w:val="99"/>
    <w:qFormat/>
  </w:style>
  <w:style w:type="character" w:styleId="710" w:customStyle="1">
    <w:name w:val="Footer Char"/>
    <w:link w:val="670"/>
    <w:uiPriority w:val="99"/>
    <w:qFormat/>
  </w:style>
  <w:style w:type="character" w:styleId="711" w:customStyle="1">
    <w:name w:val="Caption Char"/>
    <w:link w:val="670"/>
    <w:uiPriority w:val="99"/>
    <w:qFormat/>
  </w:style>
  <w:style w:type="table" w:styleId="7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Footnote Text Char"/>
    <w:link w:val="674"/>
    <w:uiPriority w:val="99"/>
    <w:qFormat/>
    <w:rPr>
      <w:sz w:val="18"/>
    </w:rPr>
  </w:style>
  <w:style w:type="character" w:styleId="838" w:customStyle="1">
    <w:name w:val="Endnote Text Char"/>
    <w:link w:val="669"/>
    <w:uiPriority w:val="99"/>
    <w:qFormat/>
    <w:rPr>
      <w:sz w:val="20"/>
    </w:rPr>
  </w:style>
  <w:style w:type="paragraph" w:styleId="839" w:customStyle="1">
    <w:name w:val="TOC Heading"/>
    <w:uiPriority w:val="39"/>
    <w:unhideWhenUsed/>
    <w:qFormat/>
    <w:rPr>
      <w:rFonts w:hint="default" w:ascii="Times New Roman" w:hAnsi="Times New Roman" w:eastAsia="宋体" w:cs="Times New Roman"/>
    </w:rPr>
  </w:style>
  <w:style w:type="paragraph" w:styleId="840" w:customStyle="1">
    <w:name w:val="标题 11"/>
    <w:basedOn w:val="648"/>
    <w:next w:val="648"/>
    <w:link w:val="846"/>
    <w:uiPriority w:val="0"/>
    <w:qFormat/>
    <w:pPr>
      <w:keepLines/>
      <w:keepNext/>
      <w:spacing w:before="340" w:after="330" w:line="578" w:lineRule="auto"/>
      <w:outlineLvl w:val="0"/>
    </w:pPr>
    <w:rPr>
      <w:b/>
      <w:bCs/>
      <w:sz w:val="44"/>
      <w:szCs w:val="44"/>
    </w:rPr>
  </w:style>
  <w:style w:type="paragraph" w:styleId="841" w:customStyle="1">
    <w:name w:val="标题 21"/>
    <w:basedOn w:val="648"/>
    <w:next w:val="648"/>
    <w:uiPriority w:val="0"/>
    <w:qFormat/>
    <w:pPr>
      <w:keepLines/>
      <w:keepNext/>
      <w:spacing w:line="360" w:lineRule="auto"/>
      <w:outlineLvl w:val="1"/>
    </w:pPr>
    <w:rPr>
      <w:rFonts w:ascii="Arial" w:hAnsi="Arial"/>
      <w:b/>
      <w:bCs/>
      <w:sz w:val="24"/>
      <w:szCs w:val="32"/>
    </w:rPr>
  </w:style>
  <w:style w:type="paragraph" w:styleId="842" w:customStyle="1">
    <w:name w:val="标题 41"/>
    <w:basedOn w:val="648"/>
    <w:next w:val="843"/>
    <w:uiPriority w:val="0"/>
    <w:qFormat/>
    <w:pPr>
      <w:jc w:val="center"/>
      <w:keepNext/>
      <w:outlineLvl w:val="3"/>
    </w:pPr>
    <w:rPr>
      <w:rFonts w:eastAsia="新宋体"/>
      <w:sz w:val="30"/>
      <w:szCs w:val="21"/>
    </w:rPr>
  </w:style>
  <w:style w:type="paragraph" w:styleId="843" w:customStyle="1">
    <w:name w:val="正文缩进11"/>
    <w:basedOn w:val="648"/>
    <w:uiPriority w:val="0"/>
    <w:qFormat/>
    <w:pPr>
      <w:ind w:firstLine="420"/>
    </w:pPr>
  </w:style>
  <w:style w:type="character" w:styleId="844" w:customStyle="1">
    <w:name w:val="默认段落字体1"/>
    <w:link w:val="648"/>
    <w:uiPriority w:val="1"/>
    <w:unhideWhenUsed/>
    <w:qFormat/>
  </w:style>
  <w:style w:type="table" w:styleId="845" w:customStyle="1">
    <w:name w:val="普通表格1"/>
    <w:uiPriority w:val="99"/>
    <w:unhideWhenUsed/>
    <w:qFormat/>
    <w:tblPr/>
  </w:style>
  <w:style w:type="character" w:styleId="846" w:customStyle="1">
    <w:name w:val="标题 1 字符"/>
    <w:link w:val="840"/>
    <w:uiPriority w:val="0"/>
    <w:qFormat/>
    <w:rPr>
      <w:rFonts w:ascii="Times New Roman" w:hAnsi="Times New Roman"/>
      <w:b/>
      <w:bCs/>
      <w:sz w:val="44"/>
      <w:szCs w:val="44"/>
    </w:rPr>
  </w:style>
  <w:style w:type="paragraph" w:styleId="847" w:customStyle="1">
    <w:name w:val="批注文字1"/>
    <w:basedOn w:val="648"/>
    <w:link w:val="848"/>
    <w:uiPriority w:val="0"/>
    <w:qFormat/>
    <w:pPr>
      <w:jc w:val="left"/>
    </w:pPr>
  </w:style>
  <w:style w:type="character" w:styleId="848" w:customStyle="1">
    <w:name w:val="批注文字 字符"/>
    <w:link w:val="847"/>
    <w:uiPriority w:val="0"/>
    <w:qFormat/>
    <w:rPr>
      <w:sz w:val="21"/>
    </w:rPr>
  </w:style>
  <w:style w:type="paragraph" w:styleId="849" w:customStyle="1">
    <w:name w:val="正文文本11"/>
    <w:basedOn w:val="648"/>
    <w:next w:val="648"/>
    <w:uiPriority w:val="0"/>
    <w:qFormat/>
    <w:rPr>
      <w:rFonts w:ascii="仿宋_GB2312" w:eastAsia="仿宋_GB2312"/>
      <w:sz w:val="24"/>
    </w:rPr>
  </w:style>
  <w:style w:type="paragraph" w:styleId="850" w:customStyle="1">
    <w:name w:val="正文文本缩进11"/>
    <w:basedOn w:val="648"/>
    <w:next w:val="851"/>
    <w:link w:val="852"/>
    <w:uiPriority w:val="0"/>
    <w:qFormat/>
    <w:pPr>
      <w:ind w:left="420"/>
      <w:spacing w:after="120"/>
    </w:pPr>
  </w:style>
  <w:style w:type="paragraph" w:styleId="851" w:customStyle="1">
    <w:name w:val="寄信人地址1"/>
    <w:basedOn w:val="648"/>
    <w:uiPriority w:val="0"/>
    <w:qFormat/>
    <w:rPr>
      <w:rFonts w:ascii="Arial" w:hAnsi="Arial"/>
    </w:rPr>
  </w:style>
  <w:style w:type="character" w:styleId="852" w:customStyle="1">
    <w:name w:val="正文文本缩进 字符"/>
    <w:link w:val="850"/>
    <w:uiPriority w:val="0"/>
    <w:qFormat/>
    <w:rPr>
      <w:sz w:val="21"/>
    </w:rPr>
  </w:style>
  <w:style w:type="paragraph" w:styleId="853" w:customStyle="1">
    <w:name w:val="索引 41"/>
    <w:basedOn w:val="648"/>
    <w:next w:val="648"/>
    <w:uiPriority w:val="99"/>
    <w:unhideWhenUsed/>
    <w:qFormat/>
    <w:pPr>
      <w:ind w:left="600"/>
    </w:pPr>
  </w:style>
  <w:style w:type="paragraph" w:styleId="854" w:customStyle="1">
    <w:name w:val="纯文本11"/>
    <w:basedOn w:val="648"/>
    <w:uiPriority w:val="0"/>
    <w:qFormat/>
    <w:rPr>
      <w:rFonts w:ascii="宋体" w:hAnsi="Courier New" w:cs="Courier New"/>
      <w:szCs w:val="21"/>
    </w:rPr>
  </w:style>
  <w:style w:type="paragraph" w:styleId="855" w:customStyle="1">
    <w:name w:val="批注框文本1"/>
    <w:basedOn w:val="648"/>
    <w:link w:val="856"/>
    <w:uiPriority w:val="0"/>
    <w:qFormat/>
    <w:rPr>
      <w:sz w:val="18"/>
      <w:szCs w:val="18"/>
    </w:rPr>
  </w:style>
  <w:style w:type="character" w:styleId="856" w:customStyle="1">
    <w:name w:val="批注框文本 字符"/>
    <w:link w:val="855"/>
    <w:uiPriority w:val="0"/>
    <w:qFormat/>
    <w:rPr>
      <w:sz w:val="18"/>
      <w:szCs w:val="18"/>
    </w:rPr>
  </w:style>
  <w:style w:type="paragraph" w:styleId="857" w:customStyle="1">
    <w:name w:val="页脚11"/>
    <w:basedOn w:val="648"/>
    <w:link w:val="858"/>
    <w:uiPriority w:val="99"/>
    <w:qFormat/>
    <w:pPr>
      <w:jc w:val="left"/>
      <w:tabs>
        <w:tab w:val="center" w:pos="4153" w:leader="none"/>
        <w:tab w:val="right" w:pos="8306" w:leader="none"/>
      </w:tabs>
    </w:pPr>
    <w:rPr>
      <w:sz w:val="18"/>
      <w:szCs w:val="18"/>
    </w:rPr>
  </w:style>
  <w:style w:type="character" w:styleId="858" w:customStyle="1">
    <w:name w:val="页脚 字符"/>
    <w:link w:val="857"/>
    <w:uiPriority w:val="99"/>
    <w:qFormat/>
    <w:rPr>
      <w:rFonts w:ascii="Times New Roman" w:hAnsi="Times New Roman" w:eastAsia="宋体" w:cs="Times New Roman"/>
      <w:sz w:val="18"/>
      <w:szCs w:val="18"/>
    </w:rPr>
  </w:style>
  <w:style w:type="paragraph" w:styleId="859" w:customStyle="1">
    <w:name w:val="页眉1"/>
    <w:basedOn w:val="64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60" w:customStyle="1">
    <w:name w:val="目录 11"/>
    <w:basedOn w:val="648"/>
    <w:next w:val="648"/>
    <w:uiPriority w:val="39"/>
    <w:qFormat/>
  </w:style>
  <w:style w:type="paragraph" w:styleId="861" w:customStyle="1">
    <w:name w:val="正文文本缩进 31"/>
    <w:basedOn w:val="648"/>
    <w:uiPriority w:val="0"/>
    <w:qFormat/>
    <w:pPr>
      <w:ind w:left="645" w:firstLine="645"/>
    </w:pPr>
    <w:rPr>
      <w:rFonts w:ascii="Arial" w:hAnsi="Arial" w:eastAsia="仿宋_GB2312"/>
      <w:color w:val="ffff00"/>
      <w:sz w:val="32"/>
      <w:szCs w:val="32"/>
    </w:rPr>
  </w:style>
  <w:style w:type="paragraph" w:styleId="862" w:customStyle="1">
    <w:name w:val="普通(网站)11"/>
    <w:basedOn w:val="648"/>
    <w:uiPriority w:val="99"/>
    <w:unhideWhenUsed/>
    <w:qFormat/>
    <w:pPr>
      <w:jc w:val="left"/>
      <w:spacing w:before="100" w:beforeAutospacing="1" w:after="100" w:afterAutospacing="1"/>
      <w:widowControl/>
    </w:pPr>
    <w:rPr>
      <w:rFonts w:ascii="宋体" w:hAnsi="宋体" w:cs="宋体"/>
      <w:sz w:val="24"/>
      <w:szCs w:val="24"/>
    </w:rPr>
  </w:style>
  <w:style w:type="paragraph" w:styleId="863" w:customStyle="1">
    <w:name w:val="批注主题1"/>
    <w:basedOn w:val="847"/>
    <w:next w:val="847"/>
    <w:link w:val="864"/>
    <w:uiPriority w:val="0"/>
    <w:qFormat/>
    <w:rPr>
      <w:b/>
      <w:bCs/>
    </w:rPr>
  </w:style>
  <w:style w:type="character" w:styleId="864" w:customStyle="1">
    <w:name w:val="批注主题 字符"/>
    <w:link w:val="863"/>
    <w:uiPriority w:val="0"/>
    <w:qFormat/>
    <w:rPr>
      <w:b/>
      <w:bCs/>
      <w:sz w:val="21"/>
    </w:rPr>
  </w:style>
  <w:style w:type="paragraph" w:styleId="865" w:customStyle="1">
    <w:name w:val="正文首行缩进1"/>
    <w:basedOn w:val="849"/>
    <w:link w:val="866"/>
    <w:uiPriority w:val="0"/>
    <w:qFormat/>
    <w:pPr>
      <w:ind w:firstLine="420"/>
      <w:spacing w:after="120"/>
    </w:pPr>
    <w:rPr>
      <w:rFonts w:ascii="Times New Roman" w:eastAsia="宋体"/>
      <w:szCs w:val="24"/>
    </w:rPr>
  </w:style>
  <w:style w:type="character" w:styleId="866" w:customStyle="1">
    <w:name w:val="正文首行缩进 字符"/>
    <w:link w:val="865"/>
    <w:uiPriority w:val="0"/>
    <w:qFormat/>
    <w:rPr>
      <w:sz w:val="24"/>
      <w:szCs w:val="24"/>
    </w:rPr>
  </w:style>
  <w:style w:type="paragraph" w:styleId="867" w:customStyle="1">
    <w:name w:val="正文首行缩进 211"/>
    <w:basedOn w:val="850"/>
    <w:next w:val="861"/>
    <w:uiPriority w:val="0"/>
    <w:qFormat/>
    <w:pPr>
      <w:ind w:left="0" w:firstLine="420"/>
      <w:spacing w:after="0" w:line="360" w:lineRule="auto"/>
    </w:pPr>
    <w:rPr>
      <w:rFonts w:ascii="宋体" w:hAnsi="宋体"/>
      <w:sz w:val="20"/>
      <w:szCs w:val="20"/>
    </w:rPr>
  </w:style>
  <w:style w:type="table" w:styleId="868" w:customStyle="1">
    <w:name w:val="网格型1"/>
    <w:basedOn w:val="845"/>
    <w:uiPriority w:val="39"/>
    <w:qFormat/>
    <w:tblPr/>
  </w:style>
  <w:style w:type="character" w:styleId="869" w:customStyle="1">
    <w:name w:val="要点1"/>
    <w:link w:val="648"/>
    <w:uiPriority w:val="22"/>
    <w:qFormat/>
    <w:rPr>
      <w:b/>
      <w:bCs/>
    </w:rPr>
  </w:style>
  <w:style w:type="character" w:styleId="870" w:customStyle="1">
    <w:name w:val="已访问的超链接1"/>
    <w:link w:val="648"/>
    <w:uiPriority w:val="0"/>
    <w:qFormat/>
    <w:rPr>
      <w:rFonts w:ascii="Times New Roman" w:hAnsi="Times New Roman" w:eastAsia="宋体" w:cs="Times New Roman"/>
      <w:sz w:val="21"/>
      <w:lang w:val="en-US" w:eastAsia="zh-CN" w:bidi="ar-SA"/>
    </w:rPr>
  </w:style>
  <w:style w:type="character" w:styleId="871" w:customStyle="1">
    <w:name w:val="强调1"/>
    <w:link w:val="648"/>
    <w:uiPriority w:val="0"/>
    <w:qFormat/>
    <w:rPr>
      <w:i/>
    </w:rPr>
  </w:style>
  <w:style w:type="character" w:styleId="872" w:customStyle="1">
    <w:name w:val="超链接1"/>
    <w:link w:val="648"/>
    <w:uiPriority w:val="99"/>
    <w:unhideWhenUsed/>
    <w:qFormat/>
    <w:rPr>
      <w:color w:val="0563c1"/>
      <w:u w:val="single"/>
    </w:rPr>
  </w:style>
  <w:style w:type="character" w:styleId="873" w:customStyle="1">
    <w:name w:val="批注引用1"/>
    <w:link w:val="648"/>
    <w:uiPriority w:val="0"/>
    <w:qFormat/>
    <w:rPr>
      <w:sz w:val="21"/>
      <w:szCs w:val="21"/>
    </w:rPr>
  </w:style>
  <w:style w:type="paragraph" w:styleId="874" w:customStyle="1">
    <w:name w:val="普通文字"/>
    <w:basedOn w:val="648"/>
    <w:next w:val="648"/>
    <w:uiPriority w:val="0"/>
    <w:qFormat/>
    <w:rPr>
      <w:rFonts w:ascii="宋体"/>
      <w:sz w:val="24"/>
    </w:rPr>
  </w:style>
  <w:style w:type="paragraph" w:styleId="875" w:customStyle="1">
    <w:name w:val="正文缩进1"/>
    <w:basedOn w:val="648"/>
    <w:uiPriority w:val="0"/>
    <w:qFormat/>
    <w:pPr>
      <w:ind w:firstLine="420"/>
      <w:jc w:val="left"/>
    </w:pPr>
    <w:rPr>
      <w:rFonts w:ascii="宋体" w:hAnsi="Calibri"/>
      <w:sz w:val="24"/>
      <w:szCs w:val="22"/>
    </w:rPr>
  </w:style>
  <w:style w:type="paragraph" w:styleId="876" w:customStyle="1">
    <w:name w:val="索引 11"/>
    <w:basedOn w:val="648"/>
    <w:next w:val="648"/>
    <w:uiPriority w:val="0"/>
    <w:qFormat/>
    <w:pPr>
      <w:spacing w:line="360" w:lineRule="auto"/>
    </w:pPr>
    <w:rPr>
      <w:rFonts w:ascii="仿宋_GB2312" w:eastAsia="仿宋_GB2312"/>
      <w:sz w:val="24"/>
    </w:rPr>
  </w:style>
  <w:style w:type="paragraph" w:styleId="877" w:customStyle="1">
    <w:name w:val="纯文本1"/>
    <w:basedOn w:val="648"/>
    <w:uiPriority w:val="0"/>
    <w:qFormat/>
    <w:rPr>
      <w:rFonts w:ascii="宋体" w:hAnsi="Courier New"/>
      <w:szCs w:val="22"/>
    </w:rPr>
  </w:style>
  <w:style w:type="paragraph" w:styleId="878" w:customStyle="1">
    <w:name w:val="普通(网站)1"/>
    <w:basedOn w:val="648"/>
    <w:uiPriority w:val="99"/>
    <w:qFormat/>
    <w:pPr>
      <w:jc w:val="left"/>
      <w:spacing w:before="100" w:beforeAutospacing="1" w:after="100" w:afterAutospacing="1"/>
    </w:pPr>
    <w:rPr>
      <w:sz w:val="24"/>
    </w:rPr>
  </w:style>
  <w:style w:type="paragraph" w:styleId="879" w:customStyle="1">
    <w:name w:val="正文文本首行缩进"/>
    <w:basedOn w:val="688"/>
    <w:uiPriority w:val="0"/>
    <w:qFormat/>
    <w:pPr>
      <w:ind w:firstLine="420"/>
      <w:spacing w:after="120"/>
      <w:tabs>
        <w:tab w:val="left" w:pos="2020" w:leader="none"/>
        <w:tab w:val="center" w:pos="4535" w:leader="none"/>
      </w:tabs>
    </w:pPr>
    <w:rPr>
      <w:sz w:val="21"/>
    </w:rPr>
  </w:style>
  <w:style w:type="paragraph" w:styleId="880" w:customStyle="1">
    <w:name w:val="纯文本2"/>
    <w:basedOn w:val="648"/>
    <w:uiPriority w:val="0"/>
    <w:qFormat/>
    <w:rPr>
      <w:rFonts w:ascii="宋体" w:hAnsi="Courier New"/>
    </w:rPr>
  </w:style>
  <w:style w:type="paragraph" w:styleId="881" w:customStyle="1">
    <w:name w:val="正文文本 21"/>
    <w:basedOn w:val="648"/>
    <w:uiPriority w:val="0"/>
    <w:qFormat/>
    <w:pPr>
      <w:spacing w:after="120" w:line="480" w:lineRule="auto"/>
    </w:pPr>
    <w:rPr>
      <w:sz w:val="20"/>
    </w:rPr>
  </w:style>
  <w:style w:type="paragraph" w:styleId="882" w:customStyle="1">
    <w:name w:val="页脚1"/>
    <w:basedOn w:val="648"/>
    <w:uiPriority w:val="0"/>
    <w:qFormat/>
    <w:pPr>
      <w:jc w:val="left"/>
      <w:tabs>
        <w:tab w:val="center" w:pos="4153" w:leader="none"/>
        <w:tab w:val="right" w:pos="8306" w:leader="none"/>
      </w:tabs>
    </w:pPr>
    <w:rPr>
      <w:sz w:val="18"/>
    </w:rPr>
  </w:style>
  <w:style w:type="character" w:styleId="883" w:customStyle="1">
    <w:name w:val="custom-tag-placeholder-class"/>
    <w:link w:val="648"/>
    <w:uiPriority w:val="0"/>
    <w:qFormat/>
  </w:style>
  <w:style w:type="paragraph" w:styleId="8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5" w:customStyle="1">
    <w:name w:val="列出段落1"/>
    <w:basedOn w:val="648"/>
    <w:uiPriority w:val="0"/>
    <w:qFormat/>
    <w:pPr>
      <w:ind w:firstLine="420"/>
    </w:pPr>
    <w:rPr>
      <w:szCs w:val="21"/>
    </w:rPr>
  </w:style>
  <w:style w:type="paragraph" w:styleId="886" w:customStyle="1">
    <w:name w:val="标题 111"/>
    <w:basedOn w:val="648"/>
    <w:next w:val="648"/>
    <w:uiPriority w:val="0"/>
    <w:qFormat/>
    <w:pPr>
      <w:keepLines/>
      <w:keepNext/>
      <w:spacing w:before="340" w:after="330" w:line="578" w:lineRule="auto"/>
      <w:outlineLvl w:val="0"/>
    </w:pPr>
    <w:rPr>
      <w:b/>
      <w:bCs/>
      <w:sz w:val="44"/>
      <w:szCs w:val="44"/>
      <w:lang w:val="en-US" w:eastAsia="en-US"/>
    </w:rPr>
  </w:style>
  <w:style w:type="paragraph" w:styleId="887" w:customStyle="1">
    <w:name w:val="普通(网站)2"/>
    <w:basedOn w:val="648"/>
    <w:uiPriority w:val="99"/>
    <w:unhideWhenUsed/>
    <w:qFormat/>
    <w:pPr>
      <w:jc w:val="left"/>
      <w:spacing w:before="100" w:beforeAutospacing="1" w:after="100" w:afterAutospacing="1"/>
      <w:widowControl/>
    </w:pPr>
    <w:rPr>
      <w:rFonts w:ascii="宋体" w:hAnsi="宋体" w:cs="宋体"/>
      <w:sz w:val="24"/>
      <w:szCs w:val="24"/>
    </w:rPr>
  </w:style>
  <w:style w:type="paragraph" w:styleId="888" w:customStyle="1">
    <w:name w:val="普通正文"/>
    <w:basedOn w:val="648"/>
    <w:uiPriority w:val="0"/>
    <w:qFormat/>
    <w:pPr>
      <w:ind w:firstLine="480"/>
      <w:jc w:val="left"/>
      <w:spacing w:before="120" w:after="120" w:line="360" w:lineRule="auto"/>
    </w:pPr>
    <w:rPr>
      <w:rFonts w:ascii="Arial" w:hAnsi="Arial"/>
      <w:sz w:val="24"/>
      <w:szCs w:val="24"/>
    </w:rPr>
  </w:style>
  <w:style w:type="character" w:styleId="889" w:customStyle="1">
    <w:name w:val="font51"/>
    <w:basedOn w:val="658"/>
    <w:uiPriority w:val="0"/>
    <w:qFormat/>
    <w:rPr>
      <w:rFonts w:hint="eastAsia" w:ascii="宋体" w:hAnsi="宋体" w:eastAsia="宋体" w:cs="宋体"/>
      <w:color w:val="000000"/>
      <w:sz w:val="21"/>
      <w:szCs w:val="21"/>
      <w:u w:val="none"/>
    </w:rPr>
  </w:style>
  <w:style w:type="character" w:styleId="890" w:customStyle="1">
    <w:name w:val="font41"/>
    <w:basedOn w:val="658"/>
    <w:uiPriority w:val="0"/>
    <w:qFormat/>
    <w:rPr>
      <w:rFonts w:hint="eastAsia" w:ascii="宋体" w:hAnsi="宋体" w:eastAsia="宋体" w:cs="宋体"/>
      <w:color w:val="000000"/>
      <w:sz w:val="22"/>
      <w:szCs w:val="22"/>
      <w:u w:val="none"/>
    </w:rPr>
  </w:style>
  <w:style w:type="numbering" w:styleId="8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1805e33f-5029-4d80-82b6-0f3aee31c446</errorID>
      <errorWord>Ｘ</errorWord>
      <group>L1_Format</group>
      <groupName>格式问题</groupName>
      <ability>L2_HalfPunc</ability>
      <abilityName>全半角检查</abilityName>
      <candidateList>
        <item>X</item>
      </candidateList>
      <explain>文本全半角错误。</explain>
      <paraID>7A52C22D</paraID>
      <start>12</start>
      <end>13</end>
      <status>ignored</status>
      <modifiedWord/>
      <trackRevisions>false</trackRevisions>
    </reviewItem>
    <reviewItem>
      <errorID>b4e2678d-779a-4339-9916-dceebf42ce3e</errorID>
      <errorWord>日支付合同</errorWord>
      <group>L1_Word</group>
      <groupName>字词问题</groupName>
      <ability>L2_Typo</ability>
      <abilityName>字词错误</abilityName>
      <candidateList>
        <item>日内支付合同</item>
      </candidateList>
      <explain/>
      <paraID>380AB587</paraID>
      <start>4</start>
      <end>9</end>
      <status>ignored</status>
      <modifiedWord/>
      <trackRevisions>false</trackRevisions>
    </reviewItem>
  </reviewItems>
  <config/>
</contractReview>
</file>

<file path=customXml/itemProps1.xml><?xml version="1.0" encoding="utf-8"?>
<ds:datastoreItem xmlns:ds="http://schemas.openxmlformats.org/officeDocument/2006/customXml" ds:itemID="{130F4472-40A2-44C2-B6FA-BB0B76CE7FA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27</cp:revision>
  <dcterms:created xsi:type="dcterms:W3CDTF">2023-12-07T03:32:00Z</dcterms:created>
  <dcterms:modified xsi:type="dcterms:W3CDTF">2026-08-17T03:07:31Z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7E08E8960E564904BEB39FAED6270652_13</vt:lpwstr>
  </property>
  <property fmtid="{D5CDD505-2E9C-101B-9397-08002B2CF9AE}" pid="4" name="KSOTemplateDocerSaveRecord">
    <vt:lpwstr>eyJoZGlkIjoiMGRkNTk5ZjA5YWZiMjQ4N2FjZjQ2MmExYTFlODRiZjYiLCJ1c2VySWQiOiIxNjU1OTQ5OTkwIn0=</vt:lpwstr>
  </property>
</Properties>
</file>