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项目名称：AI赋能智慧医疗服务创新项目</w:t>
      </w:r>
      <w:r/>
    </w:p>
    <w:p>
      <w:pPr>
        <w:ind w:left="0" w:right="0" w:firstLine="150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项目编号：JSZC-320115-NJZZ-G2026-0033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采购人：南京市江宁医院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08</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第一章</w:t>
      </w:r>
      <w:r>
        <w:rPr>
          <w:rFonts w:ascii="SimSun" w:hAnsi="SimSun" w:eastAsia="SimSun" w:cs="SimSun"/>
          <w:color w:val="000000"/>
          <w:sz w:val="36"/>
        </w:rPr>
        <w:t xml:space="preserve">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受南京市江宁医院（采购单位）委托，南京众智工程咨询有限公司（以下简称“招标代理机构”）就AI赋能智慧医疗服务创新项目（项目名称）项目进行公开招标采购，欢迎符合条件的供应商投标。</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1.项目编号：JSZC-320115-NJZZ-G2026-0033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2.项目名称：AI赋能智慧医疗服务创新项目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3.预算金额：395万元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4.最高限价：本项目最高限价365万元。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5.采购需求（简介）本项目为南京市江宁医院AI赋能智慧医疗服务创新项目建设（详细内容见本招标文件第四章）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6.合同履行期限：在接口、服务器、医院人员等配合到位情况下，12个月内完成货物的交付，质保期为验收合格后1年。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7.本项目（是/否）接受联合体投标：否。</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满足《中华人民共和国政府采购法》第二十二条规定，并提供下列材料：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1.具有独立承担民事责任的能力（法人或者其他组织提供营业执照或法人证书或组织机构代码证，自然人提供身份证）；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3.具有履行合同所必需的设备和专业技术能力（根据项目需求提供履行合同所必需的设备和专业技术能力的证明材料或承诺书原件）；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4.参加政府采购活动前三年内，在经营活动中没有重大违法记录（提供参加本次政府采购活动前3年内在经营活动中没有重大违法记录的书面声明）；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（二）落实政府采购政策需满足的资格要求（如属于专门面向中小企业采购的项目，供应商应为中小微企业、监狱企业、残疾人福利性单位）：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本项目为非预留份额的采购项目或采购包，执行价格扣除优惠政策，具体详见第五章评审办法与标准。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1.提交投标文件截止时间、开标时间：2026年08月31日14时30分（北京时间）。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自本公告发布之日起5个工作日。</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1.本项目采购标的对应的中小企业划分标准所属行业为</w:t>
      </w:r>
      <w:r>
        <w:rPr>
          <w:rFonts w:ascii="SimSun" w:hAnsi="SimSun" w:eastAsia="SimSun" w:cs="SimSun"/>
          <w:color w:val="000000"/>
          <w:sz w:val="24"/>
        </w:rPr>
        <w:t xml:space="preserve">：工业。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6.本项目不组织集中勘察及答疑，供应商如对采购需求有疑问，请咨询采购单位联系人。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8.报价响应人应充分考虑网络环境、网络带宽等因素可能对投标产生的影响，如因投标人自身原因造成的电子投标文件上传不成功的，作无效响应文件处理。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10.有关本次招标的事项若存在变动或修改，敬请及时关注“江苏政府采购网”（www.ccgp-jiangsu.gov.cn）发布的信息更正公告。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11.中标人在领取中标通知书时应提供与苏采云系统中一致的投标文件 2份，交采购代理机构归档使用。</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名称：南京市江宁医院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地址：南京市江宁区湖山路169号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联系电话：025-52087739</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联系方式：谭工 025-52896520-20</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w:t>
      </w:r>
      <w:r>
        <w:rPr>
          <w:rFonts w:ascii="SimSun" w:hAnsi="SimSun" w:eastAsia="SimSun" w:cs="SimSun"/>
          <w:b/>
          <w:color w:val="000000"/>
          <w:sz w:val="28"/>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w:t>
      </w:r>
      <w:r>
        <w:rPr>
          <w:rFonts w:ascii="SimSun" w:hAnsi="SimSun" w:eastAsia="SimSun" w:cs="SimSun"/>
          <w:b/>
          <w:color w:val="000000"/>
          <w:sz w:val="28"/>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4</w:t>
      </w:r>
      <w:r>
        <w:rPr>
          <w:rFonts w:ascii="SimSun" w:hAnsi="SimSun" w:eastAsia="SimSun" w:cs="SimSun"/>
          <w:b/>
          <w:color w:val="000000"/>
          <w:sz w:val="28"/>
        </w:rPr>
        <w:t xml:space="preserve">.投标费用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6</w:t>
      </w:r>
      <w:r>
        <w:rPr>
          <w:rFonts w:ascii="SimSun" w:hAnsi="SimSun" w:eastAsia="SimSun" w:cs="SimSun"/>
          <w:b/>
          <w:color w:val="000000"/>
          <w:sz w:val="28"/>
        </w:rPr>
        <w:t xml:space="preserve">.招标文件构成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7</w:t>
      </w:r>
      <w:r>
        <w:rPr>
          <w:rFonts w:ascii="SimSun" w:hAnsi="SimSun" w:eastAsia="SimSun" w:cs="SimSun"/>
          <w:b/>
          <w:color w:val="000000"/>
          <w:sz w:val="28"/>
        </w:rPr>
        <w:t xml:space="preserve">.招标文件的澄清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8</w:t>
      </w:r>
      <w:r>
        <w:rPr>
          <w:rFonts w:ascii="SimSun" w:hAnsi="SimSun" w:eastAsia="SimSun" w:cs="SimSun"/>
          <w:b/>
          <w:color w:val="000000"/>
          <w:sz w:val="28"/>
        </w:rPr>
        <w:t xml:space="preserve">.招标文件的修改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在投标截止时间前，</w:t>
      </w:r>
      <w:r>
        <w:rPr>
          <w:rFonts w:ascii="SimSun" w:hAnsi="SimSun" w:eastAsia="SimSun" w:cs="SimSun"/>
          <w:color w:val="000000"/>
          <w:sz w:val="24"/>
        </w:rPr>
        <w:t xml:space="preserve">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9</w:t>
      </w:r>
      <w:r>
        <w:rPr>
          <w:rFonts w:ascii="SimSun" w:hAnsi="SimSun" w:eastAsia="SimSun" w:cs="SimSun"/>
          <w:b/>
          <w:color w:val="000000"/>
          <w:sz w:val="28"/>
        </w:rPr>
        <w:t xml:space="preserve">.投标文件的语言及度量衡单位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10</w:t>
      </w:r>
      <w:r>
        <w:rPr>
          <w:rFonts w:ascii="SimSun" w:hAnsi="SimSun" w:eastAsia="SimSun" w:cs="SimSun"/>
          <w:b/>
          <w:color w:val="000000"/>
          <w:sz w:val="28"/>
        </w:rPr>
        <w:t xml:space="preserve">.投标文件构成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11</w:t>
      </w:r>
      <w:r>
        <w:rPr>
          <w:rFonts w:ascii="SimSun" w:hAnsi="SimSun" w:eastAsia="SimSun" w:cs="SimSun"/>
          <w:b/>
          <w:color w:val="000000"/>
          <w:sz w:val="28"/>
        </w:rPr>
        <w:t xml:space="preserve">.证明投标人及投标标的符合招标文件规定的文件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14</w:t>
      </w:r>
      <w:r>
        <w:rPr>
          <w:rFonts w:ascii="SimSun" w:hAnsi="SimSun" w:eastAsia="SimSun" w:cs="SimSun"/>
          <w:b/>
          <w:color w:val="000000"/>
          <w:sz w:val="28"/>
        </w:rPr>
        <w:t xml:space="preserve">.投标函和开标一览表及核心产品品牌一览表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投标人应按照招标文件规定格式完整、正确填报投标函、开标一览表及核心产品品牌一览表。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17</w:t>
      </w:r>
      <w:r>
        <w:rPr>
          <w:rFonts w:ascii="SimSun" w:hAnsi="SimSun" w:eastAsia="SimSun" w:cs="SimSun"/>
          <w:b/>
          <w:color w:val="000000"/>
          <w:sz w:val="28"/>
        </w:rPr>
        <w:t xml:space="preserve">.投标文件的递交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w:t>
      </w:r>
      <w:r>
        <w:rPr>
          <w:rFonts w:ascii="SimSun" w:hAnsi="SimSun" w:eastAsia="SimSun" w:cs="SimSun"/>
          <w:b/>
          <w:color w:val="000000"/>
          <w:sz w:val="28"/>
        </w:rPr>
        <w:t xml:space="preserve">8.投标文件的拒收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w:t>
      </w:r>
      <w:r>
        <w:rPr>
          <w:rFonts w:ascii="SimSun" w:hAnsi="SimSun" w:eastAsia="SimSun" w:cs="SimSun"/>
          <w:b/>
          <w:color w:val="000000"/>
          <w:sz w:val="28"/>
        </w:rPr>
        <w:t xml:space="preserve">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4.投标文件的审查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本招标文件中斜体且有下划线部分，或者打“★”内容为实质性要求和条件</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35.《质疑函》接收部门为本次招标代理机构注明的联系地址和联系方式。</w:t>
      </w:r>
      <w:r>
        <w:rPr>
          <w:rFonts w:ascii="SimSun" w:hAnsi="SimSun" w:eastAsia="SimSun" w:cs="SimSun"/>
          <w:color w:val="0000ff"/>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43.1为贯彻落实《国务院办公厅关于在政府采购中实施本国产品标准及相关政策的通知》  （国办发〔2025〕34号），在政府采购中实施本国产品标准及相关政策。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十、其他</w:t>
      </w:r>
      <w:r/>
    </w:p>
    <w:p>
      <w:pPr>
        <w:ind w:left="0" w:right="0" w:firstLine="56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44.代理服务费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 本次采购的代理服务费由成交供应商承担；参照《江苏省政府采购代理服务收费指导意见》苏政采协〔2024〕20号文招标收费基准费率计算。开具增值税普通发票。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44.2 中标供应商向采购代理机构支付所有费用后到采购代理机构领取中标通知书。</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代理费汇款单位：南京众智工程咨询有限公司；</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代理费汇款银行：华夏银行股份有限公司南京城北支行；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代理费汇款账号：10366000000495882</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w:t>
      </w:r>
      <w:r>
        <w:rPr>
          <w:rFonts w:ascii="SimSun" w:hAnsi="SimSun" w:eastAsia="SimSun" w:cs="SimSun"/>
          <w:color w:val="000000"/>
          <w:sz w:val="24"/>
        </w:rPr>
        <w:t xml:space="preserve">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政府采购合同（货物）</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甲、乙双方根据南京众智工程咨询有限公司组织的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二、合同金额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本合同金额为（大写）：____________________圆（____________________元）人民币。</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3"/>
        <w:gridCol w:w="503"/>
        <w:gridCol w:w="504"/>
        <w:gridCol w:w="504"/>
        <w:gridCol w:w="504"/>
        <w:gridCol w:w="951"/>
        <w:gridCol w:w="3644"/>
        <w:gridCol w:w="9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总计</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人民币（大写）：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备注：以上价格含包装、装卸、运输、保险、安装、税费等所有费用。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乙方应按招标文件规定的时间向甲方提供使用货物（包含与货物相关的服务）的有关技术资料。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乙方保证所供产品、服务质量合格，不得弄虚作假、不得提供假冒伪劣产品、不合格服务或任意提供合同（协议）外产品、服务。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乙方向甲方提供营业执照复印件、信用报告、个人授权书、质量承诺书等相关证件，并加盖公章。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付款方式：自本合同签订之日起15日内，乙方出具全额发票，甲方向乙方支付合同额的30%作为预付款；项目验收合格后凭验收单、收据和合同复印件15日内，甲方向乙方支付合同额的60%；项目整体验收合格后满12个月的15日内，甲方向乙方支付合同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8.1.2满足合同约定支付条件的，甲方收到乙方发票后10个工作日内，将资金支付到合同约定的乙方账户。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根据工业和信息化部关于印发《保障中小企业款项支付投诉处理暂行办法》的通知（工信部企业〔2021〕224 号），甲方未按合同约定支付款项的，乙方可以向有关部门投诉。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当采购数量与实际使用数量不一致时，乙方应根据实际使用量供货，合同的最终结算金额按实际使用量乘以成交单价进行计算。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十、质量保修范围和保修期及售后服务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乙方应按招标文件规定的货物性能、技术要求、质量标准向甲方提供未经使用的全新产品。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乙方提供的货物在质保期内因货物本身的质量问题发生故障，乙方应负责免费更换。对达不到技术要求者，根据实际情况，经双方协商可按以下方式处理：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更换：由乙方承担所发生的全部费用。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10.2.2 贬值处理：由甲乙双方合议定价。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10.2.3 退货处理：乙方应退还甲方支付的合同款，同时应承担该货物的直接费用（运输、保险、检验、货款利息及银行手续费等）。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如在使用过程中发生质量问题，乙方应在接到甲方通知后</w:t>
      </w:r>
      <w:r>
        <w:rPr>
          <w:rFonts w:ascii="SimSun" w:hAnsi="SimSun" w:eastAsia="SimSun" w:cs="SimSun"/>
          <w:color w:val="000000"/>
          <w:sz w:val="24"/>
          <w:u w:val="single"/>
        </w:rPr>
        <w:t xml:space="preserve">     </w:t>
      </w:r>
      <w:r>
        <w:rPr>
          <w:rFonts w:ascii="SimSun" w:hAnsi="SimSun" w:eastAsia="SimSun" w:cs="SimSun"/>
          <w:color w:val="000000"/>
          <w:sz w:val="24"/>
        </w:rPr>
        <w:t xml:space="preserve">小时内到达甲方现场。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质保期内，乙方应对货物出现的质量及安全问题负责处理解决并承担一切费用。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质保期为自交货验收合格之日起</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年，因人为因素出现的故障不在质保范围内。超过质保期的乙方负责终生维修，维修时只收取部件成本费。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十一、项目验收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如有必要，甲方可邀请参加本项目投标的其他投标人或第三方专业机构及专家参与验收，相关意见将作为验收结论的参考。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十二、货物的包装、发运及运输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在货物发运前对其进行满足运输距离、防潮、防震、防锈和防破损装卸等要求包装，以保证货物安全运达甲方指定地点。货物的包装应符合《商品包装政府采购需求标准（试行）》和《快递包装政府采购需求标准（试行）》的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使用说明书、质量检验证明书、随配附件和工具以及清单一并附于货物内。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乙方在货物发运手续办理完毕后24小时内或货到甲方48小时前通知甲方，以准备接货。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货物在交付甲方前发生的风险均由乙方负责。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货物在规定的交付期限内由乙方送达甲方指定的地点视为交付，乙方同时需通知甲方货物已送达。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甲方无正当理由拒收货物的，应向乙方偿付拒收货物总价款的</w:t>
      </w:r>
      <w:r>
        <w:rPr>
          <w:rFonts w:ascii="SimSun" w:hAnsi="SimSun" w:eastAsia="SimSun" w:cs="SimSun"/>
          <w:color w:val="000000"/>
          <w:sz w:val="24"/>
          <w:u w:val="single"/>
        </w:rPr>
        <w:t xml:space="preserve">    </w:t>
      </w:r>
      <w:r>
        <w:rPr>
          <w:rFonts w:ascii="SimSun" w:hAnsi="SimSun" w:eastAsia="SimSun" w:cs="SimSun"/>
          <w:color w:val="000000"/>
          <w:sz w:val="24"/>
        </w:rPr>
        <w:t xml:space="preserve">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甲方无故逾期验收和办理货款支付手续的，应按逾期付款总额每日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乙方逾期交付货物的，应按逾期交货总额每日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甲乙双方因合同签订、履行而发生的一切争议，应通过友好协商解决。协商不成的由甲方住所地人民法院管辖。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本合同正本一式两份，具有同等法律效力，甲方、乙方各执一份。</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《*******合同》补充协议（合同附件）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如遇招标/采购文件及合同未约定事项，双方可友好协商签订补充协议。</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一、</w:t>
      </w:r>
      <w:r>
        <w:rPr>
          <w:rFonts w:ascii="SimHei" w:hAnsi="SimHei" w:eastAsia="SimHei" w:cs="SimHei"/>
          <w:color w:val="000000"/>
          <w:sz w:val="24"/>
        </w:rPr>
        <w:t xml:space="preserve">项目属性：</w:t>
      </w:r>
      <w:r>
        <w:rPr>
          <w:rFonts w:ascii="SimSun" w:hAnsi="SimSun" w:eastAsia="SimSun" w:cs="SimSun"/>
          <w:color w:val="000000"/>
          <w:sz w:val="24"/>
        </w:rPr>
        <w:t xml:space="preserve">货物类项目。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年来，在国家政策持续推动与行业标准不断完善的背景下，互联网医疗与智慧医院建设已成为医疗卫生服务体系转型升级的核心方向。政策层面，国务院、国家卫健委及江苏省等陆续出台系列文件，从顶层设计、服务模式、管理规范、数据安全及医保支付等多维度构建了制度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建设导向上，行业评审与评级体系为互联网医疗发展提供了具体标尺，推动实现“以评促建、以评促用”。其中，智慧服务评级对患者线上线下一体化服务、统一门户、智能导诊、医疗协同、药品配送、患者反馈、患者管理等方面提出明确层级要求，促使医院必须建立完善的智慧服务持续改进机制，系统化提升患者端服务体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此同时，医疗健康行业正整体从“以疾病为中心”向“以患者为中心”转型，借助信息化手段着力破解“三长一短”的就医痛点。通过构建覆盖诊前、诊中、诊后的线上线下一体化服务模式，推进分时段预约、线上导诊、预问诊、一体化预约与药品配送等全流程优化，推动形成“信息多跑路、患者少跑腿”的高效服务链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此，在政策持续引导、评级体系推动与行业转型趋势的三重作用下，全面推进互联网医院与智慧服务建设，不仅是落实国家战略与评审要求的必然选择，也是实现医疗服务提质增效、改善群众就医体验的关键路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前期调研，发现医院现有一体化患者全流程整合服务能力较为薄弱，距离智慧服务三级标准仍有明显差距，现有系统难以支撑重点专科开展高质量的线上复诊、线上住院、患者反馈等创新服务项目建设需求，医院作为区域内唯一的三级甲等综合医院，拥有多个省级临床重点专科，已进入内涵质量提升的新阶段，传统的“烟囱式”“垂直”服务模式已难以满足新时期医疗机构数字化改革与高质量发展需求。需通过智慧服务平台，将一次性“门诊接触”转化为持续性“健康管理”，开展线上复诊、健康咨询、线上住院；打破物理空间限制，将优质资源辐射至更广区域，从“服</w:t>
      </w:r>
      <w:r>
        <w:rPr>
          <w:rFonts w:ascii="SimSun" w:hAnsi="SimSun" w:eastAsia="SimSun" w:cs="SimSun"/>
          <w:color w:val="000000"/>
          <w:sz w:val="24"/>
        </w:rPr>
        <w:t xml:space="preserve">务本地”迈向“影响区域”；形成连续、真实的专病数据，构建“服务—数据—科研—教学—提升服务”的良性循环。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（二）建设目标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此次项目建设坚持“统一规划、分步实施”的原则，注重实用可行与利旧增效，追求易用便捷与开放拓展，推动项目稳步落地与长效应用。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优化医院患者服务体系，构建线上线下一体化智慧服务平台，升级“互联网+医疗健康”服务，强化区域医疗协同，构建统一消息平台、线上支付平台、线上门诊系统、线上住院系统、患者反馈系统、互联网医院平台。完善互联网诊疗、健康咨询等协同机制，健全患者满意度监测与投诉闭环管理体系，打通流程堵点断点，延伸连续性服务，强化患者全流程健康管理，构建以患者为中心、高效便捷、融合统一的智慧医疗服务生态，全面提升医院服务效率、医疗协同能力与患者就医体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三、产品清单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3"/>
        <w:gridCol w:w="2376"/>
        <w:gridCol w:w="931"/>
        <w:gridCol w:w="1129"/>
        <w:gridCol w:w="1912"/>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产品类型</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统一消息平台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线上支付平台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线上门诊系统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线上住院系统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患者反馈系统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主要产品</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互联网医院平台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425" w:right="0" w:hanging="425"/>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统一消息平台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82"/>
        <w:gridCol w:w="1688"/>
        <w:gridCol w:w="53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功能分类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多渠道支持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多渠道支持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支持提供短信、微信、APP等渠道推送。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可根据用户信息自动路由到相关渠道。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统一通道管理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统一通道管理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统一管理医院对外消息通道，包括短信、微信和APP等。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多通道支持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多通道支持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对短信超时发送可提供备用通道重发。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统一API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统一API</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提供统一的API支持多业务子系统，多业务应用场景的推送。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多应用管理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多应用管理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分业务应用管理消息推送。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可进行通讯录管理，群发消息。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可对发送记录进行查询，费用统计等。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vMerge w:val="restart"/>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挂号通知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通过短信、微信消息等方式给患者推送挂号通知。</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缴费通知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通过短信、微信消息等方式给患者推送缴费通知。</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处方提醒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通过短信、微信消息等方式给患者推送处方通知。</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排队叫号提醒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通过短信、微信消息等方式给患者推送排队叫号通知。</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停诊通知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通过短信、微信消息等方式给患者推送停诊通知。</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检验、检查报告出具提醒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通过短信、微信消息等方式为患者推送检验、检查报告出具通知。</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检查预约提醒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通过短信、微信消息等方式为患者推送检查项目的预约、检查注意事项等信息。</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危急报告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提醒患者报告中含有危急数据。</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通过短信、微信消息等方式给患者推送手术通知。</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取药提醒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患者在取药后，给患者推送相关已取药通知并在后台保存相关取药记录。</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入出院提醒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通过短信、微信消息等方式给患者推送入出院消息通知。</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诊后提醒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诊后的复诊提醒、用药提醒、生活指导等。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消息订阅配置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允许患者屏蔽非关键信息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允许患者自主订阅接收的消息提醒，满足“应患者要求，可推送检查注意事项、用药指导等信息的条款要求”。</w:t>
            </w:r>
            <w:r/>
          </w:p>
        </w:tc>
      </w:tr>
    </w:tbl>
    <w:p>
      <w:pPr>
        <w:ind w:left="1024" w:right="0" w:firstLine="0"/>
        <w:jc w:val="both"/>
        <w:spacing w:before="100" w:after="100"/>
        <w:pBdr>
          <w:top w:val="none" w:color="000000" w:sz="4" w:space="0"/>
          <w:left w:val="none" w:color="000000" w:sz="4" w:space="0"/>
          <w:bottom w:val="none" w:color="000000" w:sz="4" w:space="0"/>
          <w:right w:val="none" w:color="000000" w:sz="4" w:space="0"/>
        </w:pBdr>
      </w:pPr>
      <w:r>
        <w:br w:type="page" w:clear="all"/>
      </w:r>
      <w:r/>
    </w:p>
    <w:p>
      <w:pPr>
        <w:ind w:left="425" w:right="0" w:hanging="425"/>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线上支付平台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28"/>
        <w:gridCol w:w="1705"/>
        <w:gridCol w:w="5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功能分类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8"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微信小程序医保移动支付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医保授权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▲对接医保电子凭证授权接口，完成在线医保电子凭证授权，用于后续移动支付接口对接。（需提供对应功能截图并加盖投标人公章）</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医保支付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支持互联网支付，对接医保移动支付接口，通过移动医保结算信息完成医保费用的扣费结算。</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预约挂号改造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预约挂号支持患者选择医保和自费的支付渠道，优化患者挂号流程，根据患者的选择完成医保或自费扣费，支持纯医保结算、纯自费结算及混合支付结算的流程。</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门诊缴费改造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门诊缴费支持患者选择医保和自费的支付渠道，支持多个项目合并一次收费，优化患者结算流程，根据患者的选择完成医保或自费扣费，支持纯医保结算、纯自费结算及混合支付结算的流程。</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页面改造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按照国家医保订单页标准要求完成医保支付页面改造。</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挂号记录改造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挂号记录页面改造，支持显示医保结算后明细费用信息，包含自费费用、个账费用、基金费用等。</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缴费记录改造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缴费记录页面改造，支持显示医保结算后明细费用信息，包含自费费用、个账费用、基金费用等。</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HIS接口对接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与HIS对接移动医保支付相关业务接口，包含医保个人信息获取、就诊登记、费用上传、支付下单、医保订单查询等接口。</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25" w:right="0" w:hanging="425"/>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b/>
          <w:color w:val="000000"/>
          <w:sz w:val="24"/>
        </w:rPr>
        <w:t xml:space="preserve">线上门诊系统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56"/>
        <w:gridCol w:w="1305"/>
        <w:gridCol w:w="1770"/>
        <w:gridCol w:w="40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功能模块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功能分类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vMerge w:val="restart"/>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注册与建档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在线建档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支持首诊患者通过录入姓名、身份证号、手机号等信息进行在线建档，并标记已在我院线下门诊就诊过的复诊病人。也可通过已有电子健康卡快速建档。</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实名认证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通过人脸识别方式进行患者实名认证。</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电子就诊卡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支持患者使用电子就诊卡完成院内全流程就诊。</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就诊人管理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就诊人管理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支持新增、编辑、删除就诊人，维护就诊人关系，快速切换当前就诊人。</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就诊人解绑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支持患者本人查看被其他账号绑定状态，并可选择相应账号进行解绑操作，系统对患者本人人脸识别后进行解绑操作，同时强制被解绑账号下线。如人脸识别失败，可联系客服由管理人工解绑。</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就诊人绑定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通过用户姓名、身份证号查询用户在医院信息系统中的档案进行绑定。</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切换就诊人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支持在患者端快速切换当前就诊人，并根据当前就诊人关联消息、订单、健康数据等多个模块业务。</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首页基础功能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搜索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支持在患者端首页按医生（按照医生开通业务范围）、科室进行查找。</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通知公告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支持在患者端查看通知公告信息，支持多条滚动，支持查看过往记录及公告详情（图文），例如药品及服务公示等。支持在患者端进行横幅图片的轮播。</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诊前服务系统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▲智能导诊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AI健康助手、多模态交互、挂号直达、入口集成。（需提供对应功能截图并加盖投标人公章）</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▲智能预问诊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症状选择与智能联想、病情追问与风险预判、资料上传与结构化、校验与断点续传、预问诊病历自动生成。（需提供对应功能截图并加盖投标人公章）</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预约挂号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分时号源查询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支持患者通过日期、医生、科室、病种查找多院区分时段排班信息进行挂号，预约时间可精确到30分钟以内。患者在进行预约挂号时，提示用户阅读预约挂号服务条款。</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预约挂号缴费与查询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支持患者在线预约挂号，支持在线支付，用户可以查询预约挂号记录。</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预约挂号成功通知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挂号成功后通过消息通知患者。</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停诊通知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支持专家停诊后推荐其他号源，号源变化能及时通知到患者。</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医生主页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医生主页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支持展示医生线上线下排班信息、剩余号源、医生简介、健康科普等。</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医技预约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医技预约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对接院内预约平台，患者可以分时段进行医技预约，预约时间可精确到1小时以内，可修改预约时间。</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门诊缴费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待缴费处方查询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用户可在手机端查询待缴费处方信息。</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门诊支付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用户可以在手机端进行待缴费处方支付。</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缴费成功通知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门诊处方支付成功后，推送消息提醒患者。</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缴费记录查询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患者可以查询缴费记录。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vMerge w:val="restart"/>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报到候诊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报到候诊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与排队叫号系统对接，患者可在小程序进行在线报到，报到后患者可进入就诊等待序列，已报到的患者可实时查看当前排队情况。</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检验检查预约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检验检查处方查询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患者可以在手机端查询已付费的检验检查处方记录。</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▲检查预约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对接医院检查预约系统，患者可在线预约检查时间并推送预约信息。（需提供对应功能截图并加盖投标人公章）</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检查注意事项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患者缴费后，通过消息推送对应检查的注意事项。</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检验检查报告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报告单查询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患者可以查询自己历次就诊的检验检查报告单，并可查看检验的详细结果和检查的结果描述与诊断，与本院移动影像系统对接，支持患者在线查看相关影像报告。</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报告出具提醒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当患者检验检查报告出具后，平台将会推送消息给患者提醒患者及时查看。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vMerge w:val="restart"/>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就医全程服务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在线缴费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在线缴费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支持患者通过移动端查询在院内产生的各类医疗费用待缴费信息（含挂号、处方、检验检查、治疗单等），完成缴费。患者可选择自费或医保缴费。</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支持查询缴费记录。</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处方查询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处方查询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支持在线查看处方详情，</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全程消息推送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消息推送提醒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短信、互联网诊疗平台等形式主动向患者推送关键节点的消息通知。（含挂号、就诊注意事项、检查注意事项、在线接诊、在线开方、缴费、取药、报告出具、停诊、线上义诊、药品发货、用药指导、入院提示、手术通知、住院欠费、出院提示等）。</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就医助手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▲就医助手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患者就诊流程生成就医助手，按流程步骤指引患者进行挂号缴费、线上签到、填写预问诊、处方缴费、检验检查预约、取药、查看用药指导等操作，结合实时的消息提醒通知，实现就诊全流程的智能化引导。（需提供对应功能截图并加盖投标人公章）</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信息发布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信息发布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用户可以在手机端查询健康宣教、医学知识及就诊注意事项等，且内容可同步至线下。</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医院公共信息查询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医院介绍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医院的文字、图片详细介绍，提供后台发布修改。</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科室介绍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医院科室信息介绍，包含科室特色、科室位置等。</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专家介绍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医院专家信息介绍，包含专家擅长、出诊时间等。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vMerge w:val="restart"/>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用药指导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用药指导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支持为患者提供用药指导与说明，患者可在线查询药品说明书。</w:t>
            </w:r>
            <w:r/>
          </w:p>
        </w:tc>
      </w:tr>
      <w:tr>
        <w:trPr>
          <w:trHeight w:val="24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患者反馈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支持患者对本次就诊服务、接诊医生进行评价。</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患者投诉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支持投诉及意见反馈，形成闭环。</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病案邮寄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病案邮寄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支持患者线上申请病历档案复印，选择自提或邮寄到家服务。</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物价查询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物价查询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支持患者查询院内药品、检查项目、材料等价格，支持分类搜索。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6" w:type="dxa"/>
            <w:vAlign w:val="center"/>
            <w:vMerge w:val="restart"/>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公共信息查询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支持查看医院、科室、专家、楼层简介，提供就医指南、医院地址、电话查询等服务。</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支持患者查看个人线上线下历史就诊的挂号、医嘱、处方、电子病历、缴费等信息。电子病历支持下载。</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电子票据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支持患者查看及下载在院内产生的各类医疗费用电子发票和清单。</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支持患者查询关注的医生，快速进入医生主页挂号或取关医生，可在线分享医生名片。</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支持患者管理个人收货地址信息，设置默认等。</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支持快速切换当前就诊人，并根据当前就诊人关联消息、订单、健康数据等多个模块业务。</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07"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支持患者进行注销账号、退出登录等操作。</w:t>
            </w:r>
            <w:r/>
          </w:p>
        </w:tc>
      </w:tr>
    </w:tbl>
    <w:p>
      <w:pPr>
        <w:ind w:left="425" w:right="0" w:hanging="425"/>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线上住院系统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8"/>
        <w:gridCol w:w="1971"/>
        <w:gridCol w:w="5558"/>
      </w:tblGrid>
      <w:tr>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功能分类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功能要求</w:t>
            </w:r>
            <w:r/>
          </w:p>
        </w:tc>
      </w:tr>
      <w:tr>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入院申请单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入院申请单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医生在院内工作站及互联网医院开具的住院申请单后患者可以线上同步获得电子住院申请单，并支持患者查看、完善入院登记信息。</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住院预交金充值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住院预交余额查询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在线查询住院费用余额。</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预交金充值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在线预存住院费用。</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充值成功提醒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充值费用支付成功后，平台将会通知HIS系统并向用户推送充值成功信息。</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缴费记录查询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用户可以在手机端查询住院预交金充值记录。</w:t>
            </w: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住院清单</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住院日清单查询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用户可以通过住院号、身份证号、姓名等信息查询自己的住院日清单。</w:t>
            </w:r>
            <w:r/>
          </w:p>
        </w:tc>
      </w:tr>
      <w:tr>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住院结算清单查询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用户可以通过住院号、身份证号、姓名等信息查询自己的住院总费用清单。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出院带药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出院带药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▲患者可在线查询到出院带药信息，包含医嘱详情、用药指导和药品说明书。（需提供对应功能截图并加盖投标人公章）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出院结算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出院结算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▲患者可通过移动端小程序自行办理出院结算业务，同时住院的预交金可通过原支付通道返回给患者。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支持自费患者通过微信小程序进行出院结算。（在政策允许的情况下支持医保患者）（需提供对应功能截图并加盖投标人公章）</w:t>
            </w:r>
            <w:r/>
          </w:p>
        </w:tc>
      </w:tr>
    </w:tbl>
    <w:p>
      <w:pPr>
        <w:ind w:left="425" w:right="0" w:hanging="425"/>
        <w:jc w:val="both"/>
        <w:spacing w:before="100" w:after="10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患者反馈系统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b/>
          <w:color w:val="000000"/>
          <w:sz w:val="21"/>
        </w:rPr>
        <w:t xml:space="preserve">满意度调查系统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0"/>
        <w:gridCol w:w="2136"/>
        <w:gridCol w:w="6068"/>
      </w:tblGrid>
      <w:tr>
        <w:trPr>
          <w:trHeight w:val="60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一、管理后台应用（WEB）</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功能参数</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问卷管理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问卷分类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支持创建问卷分类。</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支持多层级分类。</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问卷维护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支持自定义问卷内容，在管理后台对患者、职工满意度问卷进行编辑。</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支持多种问卷题型，单选题、多选题、下拉题、填空题、单行文本题、多行文本题、量表题、数字题、评分题等。</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支持维护问卷题目分值。</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问卷查看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支持查看问卷填写数据。</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支持导出下载问卷填写明细。</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满意度推送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执行方式配置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支持配置满意度推送执行方式，根据业务需要可支持短信推送、微信小程序推送、人工座席等。</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重复次数配置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支持配置满意度调查问卷重复推送次数，给未填写满意度问卷的用户重复推送提醒。</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推送时间配置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支持配置满意度推送时间规则、数据抽取时间规则。</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动态满意度调查触发规则配置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能够根据患者就诊轨迹自动组装问卷，仅呈现与本次就诊相关的环节题目，提升完成率。</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就诊记录对接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▲支持按照配置规则，定时抽取门诊、住院患者就诊记录，自动生成推送任务。（需提供对应功能截图并加盖投标人公章）</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座席执行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支持查看满意度推送记录，可以按照推送时间、响应方式、推送状态、完成状态筛选推送记录。</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未完成的满意度调查，支持手动再次推送。</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支持查看满意度问卷填写详情。</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执行情况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支持查看每天的数据同步情况，包含数据抽取数量、推送成功失败数量。</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支持查看每天数据推送失败情况，包含推送失败患者基本信息、推送失败原因。</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患者满意度查看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患者满意度答卷统计浏览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患者满意度答卷统计信息，包括各渠道推送的满意度问卷份数、返回问卷份数、问卷评分等信息，支持按照责任科室进行满意度分析；支持责任科室满意度调查结果筛选和导出；支持医院个性化设置统计数据、图表分析等。</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满意度问卷反馈查看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查看每一份问卷反馈的评分详情，包括对就医评价的各个分项的评分。</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患者就医记录查看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针对每份患者满意度答卷，查看关联的患者就医记录，住院患者可查看患者360视图。</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电话回访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支持系统内直接拨号进行电话回访，并记录回访语音及相关信息内容。</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统计分析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满意率统计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支持按患者就诊科室维度查看问卷填写份数、平均满意率。</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支持按照填写日期筛选满意率统计情况。</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支持对各渠道推送的满意度问卷反馈进行统计和展示。</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支持导出满意率统计数据。</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满意率同环比图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支持按患者就诊科室维度，按月、季度、年查看满意度同环比。</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满意率对比图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支持按患者就诊科室维度，按日、月、年查看各科室和全院满意度的对比情况。</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支持按题目维度进行对比。</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满意度问卷分析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▲支持按问卷题目分析满意度填写情况，包含题目选项的选择人次、比例。（需提供对应功能截图并加盖投标人公章）</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支持查看每个选项选择人的基本信息，包含患者的门诊号/住院号、姓名、性别、就诊科室等。</w:t>
            </w:r>
            <w:r/>
          </w:p>
        </w:tc>
      </w:tr>
      <w:tr>
        <w:trPr>
          <w:trHeight w:val="6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支持按填写日期、科室筛选满意度问卷分析数据。</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数据导出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对满意度调查信息，支持excel表导出打印。</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对就医过程中的总体感受与各分项进行评分。</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vMerge w:val="restart"/>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权限管理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对各管理角色人员的账号、权限进行设置。</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角色管理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支持自定义角色权限。</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二、满意度患者端</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功能参数</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满意度调查消息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满意度调查消息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就诊结束后，支持通过短信、小程序消息等方式推送满意度调查消息。</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满意度问卷查看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支持通过短信/小程序消息、小程序首页入口、线上挂号记录详情页、线上就诊记录查询页面等方式查看满意度问卷。</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满意度调查三方集成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支持在第三方小程序、官网、自助机等渠道，通过H5页面集成满意度调查。</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满意度问卷回答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患者在线对满意度调查问卷的各项内容进行逐项在线填写。</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满意度问卷提交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将书写完毕后的满意度调查问卷进行提交。</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center"/>
            <w:vMerge w:val="restart"/>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意见建议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建议文字输入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患者可以对就医过程中不满意的环节进行投诉意见填写。</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8"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患者可以拍照上传作为建议佐证材料。</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5.2. </w:t>
      </w:r>
      <w:r>
        <w:rPr>
          <w:rFonts w:ascii="SimSun" w:hAnsi="SimSun" w:eastAsia="SimSun" w:cs="SimSun"/>
          <w:b/>
          <w:color w:val="000000"/>
          <w:sz w:val="21"/>
        </w:rPr>
        <w:t xml:space="preserve">投诉工单流转系统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9"/>
        <w:gridCol w:w="1531"/>
        <w:gridCol w:w="6874"/>
      </w:tblGrid>
      <w:tr>
        <w:trPr>
          <w:trHeight w:val="60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一、患者端移动应用（微信小程序）</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功能参数</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投诉反馈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填写投诉页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支持填写联系人信息以及反馈信息；</w:t>
              <w:br/>
              <w:t xml:space="preserve">支持对患者门诊/住院信息校验；</w:t>
              <w:br/>
              <w:t xml:space="preserve">支持提交投诉内容。</w:t>
            </w:r>
            <w:r/>
          </w:p>
        </w:tc>
      </w:tr>
      <w:tr>
        <w:trPr>
          <w:trHeight w:val="5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患者可以拍照上传作为投诉的佐证材料。</w:t>
            </w:r>
            <w:r/>
          </w:p>
        </w:tc>
      </w:tr>
      <w:tr>
        <w:trPr>
          <w:trHeight w:val="73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投诉回应接收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对于从患者移动端发起的患者投诉，从原路径推送投诉处理回应消息通知患者。</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投诉历史记录列表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支持查看历史提交过的投诉信息列表。</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投诉详情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支持查看历史投诉信息的投诉信息以及客服回复内容。</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二、管理后台应用（WEB）</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功能参数</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数据看板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支持查看工单数量趋势、工单类型占比、被投诉部门以及被投诉人排序等统计数据。</w:t>
            </w:r>
            <w:r/>
          </w:p>
        </w:tc>
      </w:tr>
      <w:tr>
        <w:trPr>
          <w:trHeight w:val="6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患者投诉信息汇总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对各渠道的患者投诉进行统一界面展示。</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支持工单筛选、创建、修改、删除、催办以及查看详情操作；</w:t>
              <w:br/>
              <w:t xml:space="preserve">工单创建时需填写登记信息、患者信息以及承办信息；</w:t>
              <w:br/>
              <w:t xml:space="preserve">支持登记人操作和查看自己创建工单，管理员操作和查看所有工单；</w:t>
              <w:br/>
              <w:t xml:space="preserve">工单列表可查看基本工单数据以及指派部门的信息；</w:t>
              <w:br/>
              <w:t xml:space="preserve">工单详情支持查看工单基础信息以及处理信息；</w:t>
              <w:br/>
              <w:t xml:space="preserve">支持查看反馈人以及患者相关工单数据信息。</w:t>
            </w:r>
            <w:r/>
          </w:p>
        </w:tc>
      </w:tr>
      <w:tr>
        <w:trPr>
          <w:trHeight w:val="14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支持承办部门和处理部门的处理人查看所有与当前账号相关的工单；</w:t>
              <w:br/>
              <w:t xml:space="preserve">支持数据筛选、工单处理、转派处理、指派处理、接收、退回、撤回转派、撤回指派、驳回处理、催办以及查看详情操作；</w:t>
              <w:br/>
              <w:t xml:space="preserve">工单详情可查看工单基础信息以及处理信息；</w:t>
              <w:br/>
              <w:t xml:space="preserve">支持查看反馈人以及患者相关工单数据信息。</w:t>
            </w:r>
            <w:r/>
          </w:p>
        </w:tc>
      </w:tr>
      <w:tr>
        <w:trPr>
          <w:trHeight w:val="13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工单审核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支持承办部门和处理部门的审核人查看所有与当前账号相关的工单；</w:t>
              <w:br/>
              <w:t xml:space="preserve">支持数据筛选、工单审核通过、工单审核驳回以及查看详情操作；</w:t>
              <w:br/>
              <w:t xml:space="preserve">工单详情可查看工单基础信息以及处理信息；</w:t>
              <w:br/>
              <w:t xml:space="preserve">支持查看反馈人以及患者相关工单数据信息。</w:t>
            </w:r>
            <w:r/>
          </w:p>
        </w:tc>
      </w:tr>
      <w:tr>
        <w:trPr>
          <w:trHeight w:val="10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反馈类型管理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支持查看反馈类型信息；</w:t>
              <w:br/>
              <w:t xml:space="preserve">支持添加、修改、删除反馈类型。</w:t>
            </w:r>
            <w:r/>
          </w:p>
        </w:tc>
      </w:tr>
      <w:tr>
        <w:trPr>
          <w:trHeight w:val="10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渠道来源管理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支持查看渠道来源信息；</w:t>
              <w:br/>
              <w:t xml:space="preserve">支持筛选、添加、修改、删除渠道来源数据。</w:t>
            </w:r>
            <w:r/>
          </w:p>
        </w:tc>
      </w:tr>
      <w:tr>
        <w:trPr>
          <w:trHeight w:val="10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回复模板管理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支持查看所有回复模版类型；</w:t>
              <w:br/>
              <w:t xml:space="preserve">支持添加、修改、删除回复模板类型；</w:t>
              <w:br/>
              <w:t xml:space="preserve">支持查看不同回复模版类型下的回复模板信息；</w:t>
              <w:br/>
              <w:t xml:space="preserve">支持筛选、添加、修改、删除回复模版数据。</w:t>
            </w:r>
            <w:r/>
          </w:p>
        </w:tc>
      </w:tr>
      <w:tr>
        <w:trPr>
          <w:trHeight w:val="1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架构管理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登记部门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支持搜索、查看所有登记部门；</w:t>
              <w:br/>
              <w:t xml:space="preserve">支持筛选、添加、修改、删除登记部门；</w:t>
              <w:br/>
              <w:t xml:space="preserve">支持查看各个登记部门下的人员信息；</w:t>
              <w:br/>
              <w:t xml:space="preserve">支持对人员进行筛选、添加、修改角色、移出和查看详情操作。</w:t>
            </w:r>
            <w:r/>
          </w:p>
        </w:tc>
      </w:tr>
      <w:tr>
        <w:trPr>
          <w:trHeight w:val="14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承办部门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支持搜索、查看所有承办部门；</w:t>
              <w:br/>
              <w:t xml:space="preserve">支持筛选、添加、修改、删除承办部门；</w:t>
              <w:br/>
              <w:t xml:space="preserve">支持查看各个承办部门下的人员信息；</w:t>
              <w:br/>
              <w:t xml:space="preserve">支持对人员进行筛选、添加、修改角色、移出和查看详情操作；</w:t>
              <w:br/>
              <w:t xml:space="preserve">支持对指定部门配置是否需要审核。</w:t>
            </w:r>
            <w:r/>
          </w:p>
        </w:tc>
      </w:tr>
      <w:tr>
        <w:trPr>
          <w:trHeight w:val="208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支持搜索、查看所有处理部门；</w:t>
              <w:br/>
              <w:t xml:space="preserve">支持筛选、添加、修改、删除处理部门；</w:t>
              <w:br/>
              <w:t xml:space="preserve">支持对处理部门进行层级关系关联；</w:t>
              <w:br/>
              <w:t xml:space="preserve">支持查看各个处理部门下的人员信息；</w:t>
              <w:br/>
              <w:t xml:space="preserve">支持对人员进行筛选、添加、修改角色、移出和查看详情操作；</w:t>
              <w:br/>
              <w:t xml:space="preserve">支持对指定部门配置是否需要审核。</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系统通知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短信通知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支持对用户实时或定时发送催办、待处理、待审核、待汇总工单的提醒短信。</w:t>
            </w:r>
            <w:r/>
          </w:p>
        </w:tc>
      </w:tr>
      <w:tr>
        <w:trPr>
          <w:trHeight w:val="8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患者投诉信息反馈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将院内针对患者投诉的响应信息对患者进行反馈。</w:t>
            </w:r>
            <w:r/>
          </w:p>
        </w:tc>
      </w:tr>
      <w:tr>
        <w:trPr>
          <w:trHeight w:val="6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三、工单管理移动端（医生APP）</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功能参数</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系统通知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工单消息通知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若移动端账号系统与工单系统中人员组织架构相匹配，支持直接在移动端向对应用户发送工单消息；</w:t>
              <w:br/>
              <w:t xml:space="preserve">支持对用户实时或定时发送催办、待处理、待审核、待汇总工单的提醒短信。</w:t>
            </w:r>
            <w:r/>
          </w:p>
        </w:tc>
      </w:tr>
      <w:tr>
        <w:trPr>
          <w:trHeight w:val="2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支持工单筛选、催办以及查看详情操作；</w:t>
              <w:br/>
              <w:t xml:space="preserve">支持登记人操作和查看自己创建工单，管理员操作和查看所有工单；</w:t>
              <w:br/>
              <w:t xml:space="preserve">工单列表可查看基本工单数据以及指派部门的信息；</w:t>
              <w:br/>
              <w:t xml:space="preserve">工单详情支持查看工单基础信息以及处理信息；</w:t>
            </w:r>
            <w:r/>
          </w:p>
        </w:tc>
      </w:tr>
      <w:tr>
        <w:trPr>
          <w:trHeight w:val="8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支持承办部门和处理部门的处理人查看所有与当前账号相关的工单；</w:t>
              <w:br/>
              <w:t xml:space="preserve">支持数据筛选、工单处理、转派处理、指派处理、接收、撤回转派、撤回指派、驳回处理、催办以及查看详情操作；</w:t>
              <w:br/>
              <w:t xml:space="preserve">工单详情可查看工单基础信息以及处理信息。</w:t>
            </w:r>
            <w:r/>
          </w:p>
        </w:tc>
      </w:tr>
      <w:tr>
        <w:trPr>
          <w:trHeight w:val="19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1" w:type="dxa"/>
            <w:vAlign w:val="center"/>
            <w:textDirection w:val="lrTb"/>
            <w:noWrap/>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工单审核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支持承办部门和处理部门的审核人查看所有与当前账号相关的工单；</w:t>
              <w:br/>
              <w:t xml:space="preserve">支持通过审核状态快速筛选工单列表；</w:t>
              <w:br/>
              <w:t xml:space="preserve">支持数据筛选、工单审核通过、工单审核驳回以及查看详情操作；</w:t>
              <w:br/>
              <w:t xml:space="preserve">工单详情可查看工单基础信息以及处理信息。</w:t>
            </w:r>
            <w:r/>
          </w:p>
        </w:tc>
      </w:tr>
    </w:tbl>
    <w:p>
      <w:pPr>
        <w:ind w:left="1024"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5" w:right="0" w:hanging="425"/>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6.互联网医院平台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1124"/>
        <w:gridCol w:w="7105"/>
      </w:tblGrid>
      <w:tr>
        <w:trPr>
          <w:trHeight w:val="278"/>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一、患者端移动应用（微信小程序）</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功能分类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功能要求</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互联网医院患者端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专家咨询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支持通过医生、科室查找医生排班。</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根据查找结果选择医生进行咨询预约。</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阅读线上咨询服务条款。</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选择当前医生咨询详情页，填写病情描述及上传病历/检验检查报告图片（最多支持9幅图片），支持切换就诊人。</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支持快速导入病史病情。</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确认挂号并完成在线咨询的挂号费支付。</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医生接诊后进入IM在线沟通（支持图文/视频/语音等沟通方式）。</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医生未接诊的情况下，可修改病情描述问卷内容，支持取消挂号并自动退款。</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检验检查开单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支持患者根据自身病情需要完成检验检查、药品自助开单。开具的药品支持来院自提或邮寄到家。</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快速问诊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支持患者对一般性医疗健康问题快捷问诊，医生快速开具处方单、检查和检验等申请单，审核通过后可完成在线缴费。</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线上复诊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支持通过医生、科室查找医生排班。</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根据查找结果选择医生进行复诊预约。</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阅读线上复诊服务条款。</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选择当前医生的排班时段，选择就诊人，填写病情描述及上传病历/检验检查报告图片（最多支持9幅图片）。</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支持快速导入病史病情。</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确认挂号并完成线上复诊的挂号费支付。</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医生接诊后进入IM在线沟通（支持图文/视频/语音等沟通方式）。</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医生未接诊的情况下，可修改病情描述问卷内容，支持取消挂号并自动退款。</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医生开具处方后在IM推送处方订单，提示患者支付。</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药品寄送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支持药品寄送服务，患者接收到线上处方信息后，可选择药房取药或配送到家服务，并进行处方和快递费用支付。</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快递查询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支持药品寄送的快递查询，支持与顺丰、邮政、京东等快递公司对接。</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医生首页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在首页展示医生基本信息（头像、职称、科室、擅长、简介、问诊量及好评率等）。</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支持关注医生功能（对已关注的医生上线提醒功能）。</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按类型展示医生提供的服务类目，例如健康咨询、在线复诊等。</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消息通知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通过消息通知引导患者完成各项业务操作，包括咨询接诊回复、已关注医生的上线通知、关联就诊人业务通知等。</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订单中心，展示各类业务的订单状态及详情。</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维护收货人信息及收件地址。</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修改登录密码。</w:t>
            </w:r>
            <w:r/>
          </w:p>
        </w:tc>
      </w:tr>
      <w:tr>
        <w:trPr>
          <w:trHeight w:val="27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二、医护端移动应用（APP）</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登录管理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用户登录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支持医生输入账号密码登录应用，找回密码。支持CA登录。</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支持按登录医生的统计数据展示，统计服务包括：咨询待回复、咨询人次、当月咨询人次等。</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支持按待接诊、咨询中、已完成等状态分类展示患者列表。</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支持按日期、患者姓名等条件搜索定位患者。</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接诊管理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咨询会话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支持文字、图片、语音等沟通方式。支持语音/视频通话，由医生主动发起。</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支持常用语管理。</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复诊会话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支持文字、图片、语音等沟通方式</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支持语音/视频通话，由医生主动发起。</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支持常用语管理配置，可向患者推送宣教问诊，推荐医生个人名片。</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支持回复消息条数设置，支持主动赠送回复条数服务。</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支持结束问诊后对患者留言。</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在线接诊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支持医生进行接诊、退诊等操作，退诊后自动退款。</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▲医生可以主动结束健康咨询服务，结束服务后患者不能发送消息给医生，医生可以对患者留言，一键咨询转复诊（在医院政策允许的情况下）。（需提供对应功能截图并加盖投标人公章）</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支持医生以图文、语音/视频通话等方式与患者沟通。</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支持自主设置咨询在线/离线状态。</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支持医生拒绝接诊，快捷回复、撤回消息，设置回复条数，查看患者预问诊资料，将预问诊信息引用至电子病历，对无效咨询进行退号，将患者加入黑名单，添加患者特殊标识，推荐号源，推送健康宣教内容。</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在线开方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支持医生为患者开具处方前必须添加相应诊断，支持多种处方类型的开立。</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支持处方开立服务，支持维护常用药品，支持默认用法、用量；支持处方模板管理，包括：模板创建、模板引用。</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支持多种申请单开立（药品处方、检查检验申请单、治疗单、入院申请单等）。</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支持引用历史诊断，引用医嘱模板，支持对未缴费处方单、申请单进行撤销、编辑、删除操作。</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处方审核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支持处方信息传给HIS，HIS将审方结果返回给互联网医院。</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支持审核结果反馈给医生，医生可选择接受并修改处方或者进行申诉，支持填写原因申诉。</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电子病历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支持复诊病历编辑，支持维护医生常用医嘱、病历模板，支持添加、修改、删除等。</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支持根据医生维护常用诊断。</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支持医生为在线接诊患者书写病历，支持引用电子病历模板。</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支持集成医院现有的CA服务；</w:t>
              <w:br/>
              <w:t xml:space="preserve">根据院内CA的接口能力，支持免密、批量、自动等签名方式。</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模板管理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支持维护医生常用医嘱、病历模板，支持添加、修改、删除等。支持个人线下模板同步。</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挂号管理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支持医生为患者预约本人线下门诊号源，线下号源挂满时，支持加号。</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问诊订单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支持医生查看历史问诊接诊记录及详情、处方记录及详情，通过日期、号别、患者姓名、订单号等查找。</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工作量查询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支持统计医生挂号量、接诊量、收入等信息，对各类业务类型的汇总数据及同比、环比数据的汇总展示。</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支持医生检索某一时间段工作量，支持数据下钻查看详情。</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移动患者360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患者360视图查询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向临床应用场景，支持临床医生第一时间掌握患者病情资料，包括：病历、医嘱、检验报告、检查报告、手术、病理等。在做好权限控制的基础上，实现医生之间的轻量级临床协作讨论。（需提供对应功能截图并加盖投标人公章）</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线上诊疗日报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支持按日统计线上诊疗数据，包括就诊人次，就诊金额；支持按科室及业务类型统计数据，支持按科室维度下钻到所属科室医生的相关服务统计。</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线上诊疗月报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支持按月统计线上诊疗数据，包括就诊人次，就诊金额；支持按科室及业务类型统计数据，支持按科室维度下钻到所属科室医生的相关服务统计。</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个人中心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支持医生维护常用回复、分享医生主页、查看评价。支持与院内主数据对接，获取医生介绍信息展示。</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支持医生密码修改、清除缓存、退出登录等操作；支持查看App使用常见问题说明。</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消息推送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支持以短信、互联网诊疗平台等形式提供挂号消息、接诊提醒、患者缴费、新增待接诊、患者回复等就医关键流程节点的消息提醒。</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终端安全防护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▲在所有涉及患者信息的页面，背景水印显示当前登录工号和姓名。（需提供对应功能截图并加盖投标人公章）</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新设备初次登录，要求进行手机验证码确认，登录成功后强制要求设置新密码。</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通过设备标识绑定固定设备，更换设备需要后台授权。</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终端适配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支持手机、平板等主流操作系统及屏幕大小自适应显示。</w:t>
            </w:r>
            <w:r/>
          </w:p>
        </w:tc>
      </w:tr>
      <w:tr>
        <w:trPr>
          <w:trHeight w:val="27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三、管理后台（web端）</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用户登录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用户登录</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支持通过工号或手机号加密码的方式登录；</w:t>
              <w:br/>
              <w:t xml:space="preserve">支持通过忘记密码来修改密码。</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权限中心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权限管理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配置管理后台应用目录、菜单、按钮权限。</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角色管理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支持根据角色划分来控制各功能节点的权限。</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支持在相应角色下添加、删除用户；通过用户管理功能，对应用实现账号和角色权限控制。</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支持双聘医师坐诊互联网医院，并做标记。</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基础信息管理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基础信息维护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支持手动维护或自动同步医院介绍、科室基本信息、医生基本信息等用于展示，支持审核或修改以上信息。</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支持维护班次、号别信息，用于复诊/咨询排班时，选择班次、号别。支持获取线下排班信息，用于预约挂号。</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支持维护病种信息，维护成功后，在编辑医生信息时，关联病种，患者可通过病种找医生。</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支持维护咨询团队信息。</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支持手动或根据规则设置热门科室与热门医生。</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药品库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支持定时同步院内系统药品库信息，支持对单个或批量药品进行互联网医院端启用、停用操作；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支持自主开单药品信息维护。</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患者管理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支持对互联网医院所有患者进行统一管理，可根据姓名、手机号、身份证号等条件查找患者。支持对接患者主索引。</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可以对患者进行定向消息推送。</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支持查看、编辑患者基本信息、禁用、注销用户账户等操作。</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日志管理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管理后台的操作记录，追踪变更数据。</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宣发管理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宣发管理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支持对患者端接收的公告、广告牌内容进行统一维护管理，支持录入、编辑、设置排序、停用操作。</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支持自由编辑、排版、发布原创文章，管理文章分类，一键同步医院微信公众号、订阅号健康宣教内容。</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协议条款维护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支持通过可视化界面维护协议条款内容并发布。</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首页模板配置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支持自定义患者端首页，可以调整功能区域位置、编辑具体应用信息；</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支持可视化编辑首页应用、应用标题、图标、跳转地址等。</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业务管理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问诊管理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支持查看所有待接诊患者及其等待时长等信息。对医生当前接诊患者人数，最近接诊时间进行展示。</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支持对会话进行结束会话、重新打开、退款、查看聊天记录、查看就诊资料等操作。</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支持查询所有医生、所有状态的问诊订单信息、问诊记录。</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支持查看审核患者提交的取消就诊申请记录。</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支持查询、审核、展示和管理患者对医生的评价。</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排班管理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支持管理医生排班模板，可以根据排班模板自动更新排班；也可以手动更新、新增排班；</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审方管理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支持与院内审方系统对接，实现院内统一审方。（支持采用药师端审方功能进行人工审方及审方签名服务。支持审方时查看患者信息，包括基本信息、问诊记录、病历信息等。）</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物流管理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60" w:after="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支持发药订单物流信息填写，修改处方药品订单取药方式，自动更新物流订单及药品配送状态。</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支持互联网诊疗业务的各类报表数据可视化分析：包括数据总览、挂号报表、在线问诊报表、医生接诊统计等。</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支持根据需求制定报表。可以从时间、科室、医生等多个维度查看数据分布及变化趋势，支持数据下钻。可查询导出各类报表数据。</w:t>
            </w:r>
            <w:r/>
          </w:p>
        </w:tc>
      </w:tr>
      <w:tr>
        <w:trPr>
          <w:trHeight w:val="27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财务管理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支持记录和管理互联网诊疗上所有患者产生的费用情况，包括缴费记录管理、退费管理、费用对账管理。</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vMerge w:val="restart"/>
            <w:textDirection w:val="lrTb"/>
            <w:noWrap w:val="false"/>
          </w:tcPr>
          <w:p>
            <w:pPr>
              <w:ind w:left="0" w:right="0" w:firstLine="0"/>
              <w:jc w:val="center"/>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支持后台配置不同业务类型的消息模板，消息推送平台支持分模块、消息内容、时间段查询消息推送记录（包括接收人，推送内容、推送状态、推送渠道等）。</w:t>
            </w:r>
            <w:r/>
          </w:p>
        </w:tc>
      </w:tr>
      <w:tr>
        <w:trPr>
          <w:trHeight w:val="27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5" w:type="dxa"/>
            <w:vAlign w:val="center"/>
            <w:textDirection w:val="lrTb"/>
            <w:noWrap w:val="false"/>
          </w:tcPr>
          <w:p>
            <w:pPr>
              <w:ind w:left="0" w:right="0" w:firstLine="0"/>
              <w:jc w:val="both"/>
              <w:spacing w:before="100" w:after="1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查看消息发送记录，统计消息发送数量。</w:t>
            </w:r>
            <w:r/>
          </w:p>
        </w:tc>
      </w:tr>
    </w:tbl>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7.系统集成服务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针对新建设的功能，实现与HIS、LIS、PACS、EMR等基础业务系统进行数据对接和业务协同。</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9"/>
        <w:gridCol w:w="81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HIS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对接统一消息平台消息提醒；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对接线上医保移动支付、自费支付业务等；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对接线上门诊系统注册建档、挂号缴费、记录查询、电子票据、处方查询、病历查询、物价查询；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对接审方（或直接审方系统对接，根据医院情况而定）；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对接线上住院系统：住院申请单、预交金充值、查询、住院结算、费用查询、出院带药；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对接互联网医院线上检查检验药品自助开单；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对接互联网医院在线开方；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对接医生科室信息；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对接患者360视图数据；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对接就诊记录，进行满意度、投诉管理；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对接发药信息、互联网医院药品库信息等。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号源系统（HIS）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对接分时段号源、排班；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对接停诊通知；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对接黑名单管理等。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排队叫号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对接门诊诊室、检查检验排队叫号信息等。</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对接报告查询，影像查询；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对接出具报告、危急值提醒等。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预约系统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对接检验检查预约等。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合理用药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对接用药指导、审方等。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与原有院内CA做对接。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对账平台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对接互联网医院财务对账等。</w:t>
            </w:r>
            <w:r/>
          </w:p>
        </w:tc>
      </w:tr>
    </w:tbl>
    <w:p>
      <w:pPr>
        <w:ind w:left="0" w:right="84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（二）商务要求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1.合同签订日期：</w:t>
      </w:r>
      <w:r>
        <w:rPr>
          <w:rFonts w:ascii="SimSun" w:hAnsi="SimSun" w:eastAsia="SimSun" w:cs="SimSun"/>
          <w:color w:val="000000"/>
          <w:sz w:val="24"/>
        </w:rPr>
        <w:t xml:space="preserve">项目中标后30日内签订合同。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2.投标人需承诺：</w:t>
      </w:r>
      <w:r>
        <w:rPr>
          <w:rFonts w:ascii="SimSun" w:hAnsi="SimSun" w:eastAsia="SimSun" w:cs="SimSun"/>
          <w:color w:val="000000"/>
          <w:sz w:val="24"/>
        </w:rPr>
        <w:t xml:space="preserve">提供的所有资料（包含但不限于相关证书、功能界面截图、检测报告等）必须真实可靠和逐条响应，并在签订合同前提供上述证明材料给采购人，若未能在规定时间内提交真实可靠材料的视为自动放弃处理。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3.成交供应商确定后 5 个工作日内，须将投标文件中所列全部资料原件完整提交采购人核查，若发现存在资料遗漏、缺失、虚假，或与投标文件内容不符等情形，采购人有权取消其成交资格，由排名第二的投标人递补或重新组织招标，因此所带来的所有损失由投标人自行承担(情节严重者将列入政府采购黑名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4.合同履行期限：</w:t>
      </w:r>
      <w:r>
        <w:rPr>
          <w:rFonts w:ascii="SimSun" w:hAnsi="SimSun" w:eastAsia="SimSun" w:cs="SimSun"/>
          <w:color w:val="000000"/>
          <w:sz w:val="24"/>
        </w:rPr>
        <w:t xml:space="preserve">在合同签订、接到采购人通知开始实施之日起12个月内完成以下工作内容（统一消息平台系统、线上支付平台系统、线上门诊系统、线上住院系统、患者反馈系统、互联网医院平台的建设与运行，接口对接改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本合同签订之日起15日内，供应商出具全额发票，采购人向供应商支付合同额的30%作为预付款；项目验收合格后凭验收单、收据和合同复印件15日内，采购人向供应商支付合同额的60%；项目整体验收合格后满12个月的15日内，采购人向供应商支付合同额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（2）满足合同约定支付条件的，采购人收到供应商发票后10个工作日内，将资金支付到合同约定的供应商账户。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6.自</w:t>
      </w:r>
      <w:r>
        <w:rPr>
          <w:rFonts w:ascii="SimSun" w:hAnsi="SimSun" w:eastAsia="SimSun" w:cs="SimSun"/>
          <w:b/>
          <w:color w:val="000000"/>
          <w:sz w:val="24"/>
          <w:u w:val="single"/>
        </w:rPr>
        <w:t xml:space="preserve">验收后合格之日起提供一年服务质保</w:t>
      </w:r>
      <w:r>
        <w:rPr>
          <w:rFonts w:ascii="SimSun" w:hAnsi="SimSun" w:eastAsia="SimSun" w:cs="SimSun"/>
          <w:color w:val="000000"/>
          <w:sz w:val="24"/>
        </w:rPr>
        <w:t xml:space="preserve">，免费安装、培训。在质保期内提供7*24小时免费维护维修及技术支持；接到故障通知时，2小时内上门，24小时内解决问题。遇到特殊情况，根据医院安排提供人员保障服务。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7.项目验收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项目验收：经采购人及专家组验收合格为通过验收。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如出现以下情况，项目延期验收或不予验收：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（1）供应商产品如不符合合同质量、技术等要求，采购人将拒收，供应商除赔偿因此而给采购人造成的损失外，另承担合同总价5%的质量违约金。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（2）供应商不能如期完工，每超过一天，则按合同金额1%/天的违约金支付给采购人（因采购人付款引起的延迟除外），工期延迟达到20天采购人可解除合同，供应商还需向采购人支付因延退造成的所有经济损失。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（3）供应商如在扩容搬迁过程中造成业务数据丢失或业务长时间中断，供应商需赔偿因此而给采购人造成的损失，并且采购人有权解除合同。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（4）违约金：供应商未按服务需求提供服务的，每违约一次扣除合同金额千分之五违约金。</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价格扣除优惠政策仅适用于“第一章二、申请人的资格要求2.落实政府采购政策需满足的资格要求”中“本项目为非预留份额的采购项目或采购包，执行价格扣除优惠政策，具体详见第五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233"/>
        <w:gridCol w:w="6039"/>
        <w:gridCol w:w="628"/>
        <w:gridCol w:w="873"/>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7"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3"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39"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4"/>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114" w:right="0" w:firstLine="0"/>
              <w:jc w:val="both"/>
              <w:spacing w:before="1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1.价</w:t>
            </w:r>
            <w:r>
              <w:rPr>
                <w:rFonts w:ascii="SimSun" w:hAnsi="SimSun" w:eastAsia="SimSun" w:cs="SimSun"/>
                <w:b/>
                <w:color w:val="000000"/>
                <w:spacing w:val="-2"/>
                <w:sz w:val="24"/>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5"/>
                <w:sz w:val="24"/>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采用低价优先</w:t>
            </w:r>
            <w:r>
              <w:rPr>
                <w:rFonts w:ascii="SimSun" w:hAnsi="SimSun" w:eastAsia="SimSun" w:cs="SimSun"/>
                <w:color w:val="000000"/>
                <w:sz w:val="24"/>
              </w:rPr>
              <w:t xml:space="preserve">法计算，即满足招标文件要求且投标价格最低的投标</w:t>
            </w:r>
            <w:r>
              <w:rPr>
                <w:rFonts w:ascii="SimSun" w:hAnsi="SimSun" w:eastAsia="SimSun" w:cs="SimSun"/>
                <w:color w:val="000000"/>
                <w:spacing w:val="1"/>
                <w:sz w:val="24"/>
              </w:rPr>
              <w:t xml:space="preserve">报价为评标基准</w:t>
            </w:r>
            <w:r>
              <w:rPr>
                <w:rFonts w:ascii="SimSun" w:hAnsi="SimSun" w:eastAsia="SimSun" w:cs="SimSun"/>
                <w:color w:val="000000"/>
                <w:sz w:val="24"/>
              </w:rPr>
              <w:t xml:space="preserve">价，其价格分为满分。其他投标人的价格分统一按</w:t>
            </w:r>
            <w:r>
              <w:rPr>
                <w:rFonts w:ascii="SimSun" w:hAnsi="SimSun" w:eastAsia="SimSun" w:cs="SimSun"/>
                <w:color w:val="000000"/>
                <w:spacing w:val="-1"/>
                <w:sz w:val="24"/>
              </w:rPr>
              <w:t xml:space="preserve">照下列公</w:t>
            </w:r>
            <w:r>
              <w:rPr>
                <w:rFonts w:ascii="SimSun" w:hAnsi="SimSun" w:eastAsia="SimSun" w:cs="SimSun"/>
                <w:color w:val="000000"/>
                <w:sz w:val="24"/>
              </w:rPr>
              <w:t xml:space="preserve">式计算：投标报价得分=(评标基准价/投标报价)×30（小数点保留两位）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114" w:right="0" w:firstLine="0"/>
              <w:jc w:val="both"/>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产品功能、性能、配置要求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一般参数负偏离：存在一般参数（未标注▲的条款）负偏离的，每项扣0.5分，扣完为止。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要参数负偏离：标注▲的参数为重要技术指标，投标人须提供实际产品功能截图作为证明材料（须加盖投标人公章），以验证其技术参数的真实性与符合性。重要参数每有一项不满足或未按要求提供有效证明材料的，扣1分，扣完为止。</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注：标注▲的参数须提供清晰可辨的实际产品截图，截图内容须能够有效佐证所投产品对应功能参数的实际存在与正常运行状态。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项目需求理解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评委根据各投标人对本项目的需求理解（包括但不限于：项目现状、需求分析、需要对接系统情况、建设思路分析等）进行综合评审：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1.项目需求理解描述详细全面，需求理解分析准确，方案针对性强及科学可行性好的，得8分；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2.项目需求理解描述较详细较全面，需求理解分析较准确，方案针对性较强及科学可行性较好的，得5分；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3.项目需求理解描述一般，需求理解分析一般，方案针对性一般的，得2分；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3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功能设计方案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评委根据投标人提供的本项目功能设计方案（包括但不限于：总体架构、技术方案、功能设计、性能设计等内容）进行综合评分：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1.功能设计方案全面完整，方案针对性强及科学可行性好的，得8分；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2.功能设计方案较全面较完整，方案针对性较强及科学可行性较好的，得5分；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3.功能设计方案一般，方案针对性一般的，得2分；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56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系统演示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评委根据投标人提供以下演示内容评分（每位投标人演示视频时长总计不超过20分钟）。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1.患者端（微信小程序）（2分）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统一订单管理：a.支持患者在个人中心统一入口集中调阅与管理服务过程中发生的各类线上线下订单；b.支持按业务场景对订单进行筛选，包括预约挂号、门诊缴费、健康咨询、检验检查开单等，方便患者快速定位目标订单。任意功能不满足不得分，完全满足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医生线上名片：a.医生主页集中展示医生简介、擅长领域、问诊量、平均回复时间等信息；b.该页面集成线下门诊预约挂号、线上复诊、健康咨询等业务操作入口；c.支持在该页面查看医生发布的科普文章及视频。任意功能不满足不得分，完全满足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2.医护端（APP）（6分）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咨询转复诊：打通在线咨询与复诊壁垒，在咨询过程中医生可发起转复诊功能，无需患者二次挂号即可进入云诊室，医生可在线书写病历、开立处方，实现咨询到复诊的一站式服务。任意环节不满足不得分，完全满足者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患者360视图查询：支持集中查阅患者病历、医嘱、检验报告、检查报告、手术记录、病理等诊疗数据。检验模块可对异常指标进行特殊标记并支持分类展示；针对数值类检验指标，自动生成患者历次就诊的趋势变化图。任意环节不满足不得分，完全满足者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（3）编辑病历：复诊过程中支持通过互联网医院医护端（医护APP）导入模板病历、开具处方（药品、检验、检查等）。任意功能不满足不得分，完全满足者得1分。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（4）上线呼叫提醒：支持医生在线上复诊接诊过程中一键向患者发送上线提醒；支持对接医院呼叫中心，自动拨打患者移动电话，辅助提醒患者及时上线接收问诊。任意环节不满足不得分，满足者得1分；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（5）医生推荐：支持医生在患者沟通过程中推送其他医生名片或链接；②患者点击名片后可一键跳转至医生主页；③医生主页集中展示该医生提供的线上及线下号源。任意环节不满足不得分，满足者得1分；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（6）科普推送：支持在医患沟通过程中，以链接或卡片等形式推送全院范围内的科普文章，并通过维护好的常用语一键发送对应文字，以供患者在线查看。任意环节不满足不得分，完全满足者得1分；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3.投诉工单管理系统（1分）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（1）支持如主动填写,电话投诉,12345等多渠道来源投诉工单在系统中流转；可实时查看工单流转所在环节,若超期未处理,可进行一键催办。任意环节不满足不得分，完全满足者得1分。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4.管理应用（管理WEB端）（1分）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方便院方管理，不依赖开发人员的情况下，可通过后台配置快速响应业务调整。a.支持在后台灵活配置患者端首页的页面样式、业务功能图标及第三方页面跳转链接b.患者端首页推荐医生及推荐科室可按单一业务量排序、综合业务量排序及自定义排序等多种排序规则。任意环节不满足不得分，完全满足者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（备注：未上传视频文件或因投标人自身原因视频文件无法打开或视频画面不清晰无法辨认的不得分。视频文件格式为</w:t>
            </w:r>
            <w:r>
              <w:rPr>
                <w:rFonts w:ascii="Times New Roman" w:hAnsi="Times New Roman" w:eastAsia="Times New Roman" w:cs="Times New Roman"/>
                <w:color w:val="000000"/>
                <w:sz w:val="21"/>
              </w:rPr>
              <w:t xml:space="preserve">*.mp4</w:t>
            </w:r>
            <w:r>
              <w:rPr>
                <w:rFonts w:ascii="SimSun" w:hAnsi="SimSun" w:eastAsia="SimSun" w:cs="SimSun"/>
                <w:color w:val="000000"/>
                <w:sz w:val="21"/>
              </w:rPr>
              <w:t xml:space="preserve">或</w:t>
            </w:r>
            <w:r>
              <w:rPr>
                <w:rFonts w:ascii="Times New Roman" w:hAnsi="Times New Roman" w:eastAsia="Times New Roman" w:cs="Times New Roman"/>
                <w:color w:val="000000"/>
                <w:sz w:val="21"/>
              </w:rPr>
              <w:t xml:space="preserve">*.avi</w:t>
            </w:r>
            <w:r>
              <w:rPr>
                <w:rFonts w:ascii="SimSun" w:hAnsi="SimSun" w:eastAsia="SimSun" w:cs="SimSun"/>
                <w:color w:val="000000"/>
                <w:sz w:val="21"/>
              </w:rPr>
              <w:t xml:space="preserve">，投标人须将视频文件分段压缩为</w:t>
            </w:r>
            <w:r>
              <w:rPr>
                <w:rFonts w:ascii="Times New Roman" w:hAnsi="Times New Roman" w:eastAsia="Times New Roman" w:cs="Times New Roman"/>
                <w:color w:val="000000"/>
                <w:sz w:val="21"/>
              </w:rPr>
              <w:t xml:space="preserve">*.zip</w:t>
            </w:r>
            <w:r>
              <w:rPr>
                <w:rFonts w:ascii="SimSun" w:hAnsi="SimSun" w:eastAsia="SimSun" w:cs="SimSun"/>
                <w:color w:val="000000"/>
                <w:sz w:val="21"/>
              </w:rPr>
              <w:t xml:space="preserve">文件上传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单个文件不得大于</w:t>
            </w:r>
            <w:r>
              <w:rPr>
                <w:rFonts w:ascii="Times New Roman" w:hAnsi="Times New Roman" w:eastAsia="Times New Roman" w:cs="Times New Roman"/>
                <w:color w:val="000000"/>
                <w:sz w:val="21"/>
              </w:rPr>
              <w:t xml:space="preserve">50M</w:t>
            </w:r>
            <w:r>
              <w:rPr>
                <w:rFonts w:ascii="SimSun" w:hAnsi="SimSun" w:eastAsia="SimSun" w:cs="SimSun"/>
                <w:color w:val="000000"/>
                <w:sz w:val="21"/>
              </w:rPr>
              <w:t xml:space="preserve">，所有文件总共不得大于</w:t>
            </w:r>
            <w:r>
              <w:rPr>
                <w:rFonts w:ascii="Times New Roman" w:hAnsi="Times New Roman" w:eastAsia="Times New Roman" w:cs="Times New Roman"/>
                <w:color w:val="000000"/>
                <w:sz w:val="21"/>
              </w:rPr>
              <w:t xml:space="preserve">300M)</w:t>
            </w:r>
            <w:r>
              <w:rPr>
                <w:rFonts w:ascii="SimSun" w:hAnsi="SimSun" w:eastAsia="SimSun" w:cs="SimSun"/>
                <w:color w:val="000000"/>
                <w:sz w:val="21"/>
              </w:rPr>
              <w:t xml:space="preserve">。文件上传方式见《操作手册》，上传的演示视频作为投标文件的组成部分。）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center"/>
            <w:textDirection w:val="lrTb"/>
            <w:noWrap w:val="false"/>
          </w:tcPr>
          <w:p>
            <w:pPr>
              <w:ind w:left="0" w:right="0" w:firstLine="0"/>
              <w:jc w:val="both"/>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3.服务</w:t>
            </w:r>
            <w:r/>
          </w:p>
        </w:tc>
      </w:tr>
      <w:tr>
        <w:trPr>
          <w:trHeight w:val="8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评委根据各投标人提供的售后服务方案（包括但不限于：售后服务内容、应急处置预案及措施、维护服务人员保障体系、服务方式等）进行综合评审，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1.售后服务方案内容详细、科学合理、可行性强的，得8分；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2.售后服务方案内容较详细、较科学较合理、可行性较强的，得5分；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3.售后服务方案内容基本详细、基本科学合理、基本可行的，得2分；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评委根据各投标人提供的项目培训方案（包括但不限于：培训计划、培训方式、培训人员配置、培训质量控制等）进行综合评审，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1.培训方案内容描述全面合理符合采购需求的，得7分；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2.培训方案内容描述较全面较合理较符合采购需求的，得4分；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3.培训方案内容描述基本符合采购需求的，得1分；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0" w:right="0" w:firstLine="0"/>
              <w:jc w:val="both"/>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4.履约能力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项目实施团队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1.投标人拟投入该项目的实施团队中，项目负责人具备信息系统项目管理师证书（级别：高级资格）的得2分，最高2分。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2.实施团队人员中，除项目负责人外，每有一人具备系统分析师或系统架构设计师或系统规划与管理师或信息系统项目管理师证书（级别：高级资格），每提供一人得1.5分，最高得3分。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3.实施团队人员中，除项目负责人外，每有一人具备软件设计师或系统集成项目管理工程师证书（级别：中级资格），每提供一人得1分，最高得2分。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注：以上需提供证书扫描件及投标人为其缴纳近半年内任意一个月的社保证明材料并加盖投标人公章，一人多证不重复得分。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软件著作权及专利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备由中华人民共和国国家版权局登记颁发的计算机软件著作权登记证书，提供含有“消息推送”、“投诉工单管理”、“门诊流程指引”、“互联网医院”关键字或含义相同的软件著作权，每具备一个得0.5分，满分2分，需提供软件著作权证书扫描件并加盖投标单位公章，不提供不得分。</w:t>
              <w:br/>
              <w:t xml:space="preserve">注：若供应商提供的著作权与要求的关键字不一致但含义相同的，由评标委员会根据供应商提供相关材料进行综合评定。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r>
        <w:trPr>
          <w:trHeight w:val="6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类似业绩证明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投标人提供2023年1月1日（含）以后（以合同签订日期为准）同类业务系统建设项目业绩。每提供1项有效业绩得2分，本项最高8分，不提供不得分。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业绩佐证材料须同时提供：①合同关键页扫描件；②业主单位盖章的项目验收合格报告；③投标人自行编制的项目建设内容与本项目采购模块的对应说明，三项资料缺少任一项均不予认定业绩分值。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有效业绩须覆盖本项目所属业务领域主要工作内容及核心业务模块，满足采购需求中系统模块至少其中5项（统一消息平台、线上支付平台、线上门诊系统、线上住院系统、满意度调查系统、投诉工单流转系统、互联网医院平台、系统集成服务），仅零散单一功能、碎片化小型专项项目不予认定为有效同类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440" w:right="144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7"/>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3355"/>
        <w:gridCol w:w="1939"/>
        <w:gridCol w:w="2146"/>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
        <w:gridCol w:w="1213"/>
        <w:gridCol w:w="1748"/>
        <w:gridCol w:w="834"/>
        <w:gridCol w:w="712"/>
        <w:gridCol w:w="683"/>
        <w:gridCol w:w="825"/>
        <w:gridCol w:w="125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2"/>
        <w:gridCol w:w="2605"/>
        <w:gridCol w:w="2537"/>
        <w:gridCol w:w="3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2577"/>
        <w:gridCol w:w="2537"/>
        <w:gridCol w:w="3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574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7"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ff"/>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ff"/>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Arial" w:hAnsi="Arial" w:eastAsia="Arial" w:cs="Arial"/>
          <w:i/>
          <w:color w:val="000000"/>
          <w:sz w:val="21"/>
          <w:u w:val="single"/>
        </w:rPr>
        <w:t xml:space="preserve">（产品名称1）</w:t>
      </w:r>
      <w:r>
        <w:rPr>
          <w:rFonts w:ascii="Arial" w:hAnsi="Arial" w:eastAsia="Arial" w:cs="Arial"/>
          <w:i/>
          <w:color w:val="000000"/>
          <w:sz w:val="21"/>
          <w:vertAlign w:val="superscript"/>
        </w:rPr>
        <w:t xml:space="preserve">1</w:t>
      </w:r>
      <w:r>
        <w:rPr>
          <w:rFonts w:ascii="Arial" w:hAnsi="Arial" w:eastAsia="Arial" w:cs="Arial"/>
          <w:color w:val="000000"/>
          <w:sz w:val="21"/>
        </w:rPr>
        <w:t xml:space="preserve">，生产厂为</w:t>
      </w:r>
      <w:r>
        <w:rPr>
          <w:rFonts w:ascii="Arial" w:hAnsi="Arial" w:eastAsia="Arial" w:cs="Arial"/>
          <w:i/>
          <w:color w:val="000000"/>
          <w:sz w:val="21"/>
          <w:u w:val="single"/>
        </w:rPr>
        <w:t xml:space="preserve">（</w:t>
      </w:r>
      <w:r>
        <w:rPr>
          <w:rFonts w:ascii="Arial" w:hAnsi="Arial" w:eastAsia="Arial" w:cs="Arial"/>
          <w:color w:val="000000"/>
          <w:sz w:val="21"/>
          <w:u w:val="single"/>
        </w:rPr>
        <w:t xml:space="preserve">厂名</w:t>
      </w:r>
      <w:r>
        <w:rPr>
          <w:rFonts w:ascii="Arial" w:hAnsi="Arial" w:eastAsia="Arial" w:cs="Arial"/>
          <w:i/>
          <w:color w:val="000000"/>
          <w:sz w:val="21"/>
          <w:u w:val="single"/>
        </w:rPr>
        <w:t xml:space="preserve">）</w:t>
      </w:r>
      <w:r>
        <w:rPr>
          <w:rFonts w:ascii="Arial" w:hAnsi="Arial" w:eastAsia="Arial" w:cs="Arial"/>
          <w:i/>
          <w:color w:val="000000"/>
          <w:sz w:val="21"/>
          <w:vertAlign w:val="superscript"/>
        </w:rPr>
        <w:t xml:space="preserve">2</w:t>
      </w:r>
      <w:r>
        <w:rPr>
          <w:rFonts w:ascii="Arial" w:hAnsi="Arial" w:eastAsia="Arial" w:cs="Arial"/>
          <w:color w:val="000000"/>
          <w:sz w:val="21"/>
        </w:rPr>
        <w:t xml:space="preserve">，厂址为</w:t>
      </w:r>
      <w:r>
        <w:rPr>
          <w:rFonts w:ascii="Arial" w:hAnsi="Arial" w:eastAsia="Arial" w:cs="Arial"/>
          <w:i/>
          <w:color w:val="000000"/>
          <w:sz w:val="21"/>
          <w:u w:val="single"/>
        </w:rPr>
        <w:t xml:space="preserve">（生产厂址）</w:t>
      </w:r>
      <w:r>
        <w:rPr>
          <w:rFonts w:ascii="Arial" w:hAnsi="Arial" w:eastAsia="Arial" w:cs="Arial"/>
          <w:color w:val="000000"/>
          <w:sz w:val="21"/>
        </w:rPr>
        <w:t xml:space="preserve">。</w:t>
      </w:r>
      <w:r>
        <w:rPr>
          <w:rFonts w:ascii="Arial" w:hAnsi="Arial" w:eastAsia="Arial" w:cs="Arial"/>
          <w:i/>
          <w:color w:val="000000"/>
          <w:sz w:val="21"/>
          <w:u w:val="single"/>
        </w:rPr>
        <w:t xml:space="preserve">（产品名称1）</w:t>
      </w:r>
      <w:r>
        <w:rPr>
          <w:rFonts w:ascii="Arial" w:hAnsi="Arial" w:eastAsia="Arial" w:cs="Arial"/>
          <w:color w:val="000000"/>
          <w:sz w:val="21"/>
        </w:rPr>
        <w:t xml:space="preserve">的中国境内生产的组件成本占比≥</w:t>
      </w:r>
      <w:r>
        <w:rPr>
          <w:rFonts w:ascii="Arial" w:hAnsi="Arial" w:eastAsia="Arial" w:cs="Arial"/>
          <w:i/>
          <w:color w:val="000000"/>
          <w:sz w:val="21"/>
          <w:u w:val="single"/>
        </w:rPr>
        <w:t xml:space="preserve">（规定比例）</w:t>
      </w:r>
      <w:r>
        <w:rPr>
          <w:rFonts w:ascii="Arial" w:hAnsi="Arial" w:eastAsia="Arial" w:cs="Arial"/>
          <w:i/>
          <w:color w:val="000000"/>
          <w:sz w:val="21"/>
          <w:vertAlign w:val="superscript"/>
        </w:rPr>
        <w:t xml:space="preserve">3</w:t>
      </w:r>
      <w:r>
        <w:rPr>
          <w:rFonts w:ascii="Arial" w:hAnsi="Arial" w:eastAsia="Arial" w:cs="Arial"/>
          <w:color w:val="000000"/>
          <w:sz w:val="21"/>
        </w:rPr>
        <w:t xml:space="preserve">。</w:t>
      </w:r>
      <w:r>
        <w:rPr>
          <w:rFonts w:ascii="Arial" w:hAnsi="Arial" w:eastAsia="Arial" w:cs="Arial"/>
          <w:i/>
          <w:color w:val="000000"/>
          <w:sz w:val="21"/>
          <w:u w:val="single"/>
        </w:rPr>
        <w:t xml:space="preserve">（产品名称1）</w:t>
      </w:r>
      <w:r>
        <w:rPr>
          <w:rFonts w:ascii="Arial" w:hAnsi="Arial" w:eastAsia="Arial" w:cs="Arial"/>
          <w:color w:val="000000"/>
          <w:sz w:val="21"/>
        </w:rPr>
        <w:t xml:space="preserve">的</w:t>
      </w:r>
      <w:r>
        <w:rPr>
          <w:rFonts w:ascii="Arial" w:hAnsi="Arial" w:eastAsia="Arial" w:cs="Arial"/>
          <w:i/>
          <w:color w:val="000000"/>
          <w:sz w:val="21"/>
          <w:u w:val="single"/>
        </w:rPr>
        <w:t xml:space="preserve">（关键组件）</w:t>
      </w:r>
      <w:r>
        <w:rPr>
          <w:rFonts w:ascii="Arial" w:hAnsi="Arial" w:eastAsia="Arial" w:cs="Arial"/>
          <w:i/>
          <w:color w:val="000000"/>
          <w:sz w:val="21"/>
          <w:vertAlign w:val="superscript"/>
        </w:rPr>
        <w:t xml:space="preserve">4</w:t>
      </w:r>
      <w:r>
        <w:rPr>
          <w:rFonts w:ascii="Arial" w:hAnsi="Arial" w:eastAsia="Arial" w:cs="Arial"/>
          <w:color w:val="000000"/>
          <w:sz w:val="21"/>
        </w:rPr>
        <w:t xml:space="preserve">在中国境内生产。</w:t>
      </w:r>
      <w:r>
        <w:rPr>
          <w:rFonts w:ascii="Arial" w:hAnsi="Arial" w:eastAsia="Arial" w:cs="Arial"/>
          <w:i/>
          <w:color w:val="000000"/>
          <w:sz w:val="21"/>
          <w:u w:val="single"/>
        </w:rPr>
        <w:t xml:space="preserve">（产品名称1）</w:t>
      </w:r>
      <w:r>
        <w:rPr>
          <w:rFonts w:ascii="Arial" w:hAnsi="Arial" w:eastAsia="Arial" w:cs="Arial"/>
          <w:color w:val="000000"/>
          <w:sz w:val="21"/>
        </w:rPr>
        <w:t xml:space="preserve">的</w:t>
      </w:r>
      <w:r>
        <w:rPr>
          <w:rFonts w:ascii="Arial" w:hAnsi="Arial" w:eastAsia="Arial" w:cs="Arial"/>
          <w:i/>
          <w:color w:val="000000"/>
          <w:sz w:val="21"/>
          <w:u w:val="single"/>
        </w:rPr>
        <w:t xml:space="preserve">（关键工序）</w:t>
      </w:r>
      <w:r>
        <w:rPr>
          <w:rFonts w:ascii="Arial" w:hAnsi="Arial" w:eastAsia="Arial" w:cs="Arial"/>
          <w:i/>
          <w:color w:val="000000"/>
          <w:sz w:val="21"/>
          <w:vertAlign w:val="superscript"/>
        </w:rPr>
        <w:t xml:space="preserve">5</w:t>
      </w:r>
      <w:r>
        <w:rPr>
          <w:rFonts w:ascii="Arial" w:hAnsi="Arial" w:eastAsia="Arial" w:cs="Arial"/>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Arial" w:hAnsi="Arial" w:eastAsia="Arial" w:cs="Arial"/>
          <w:i/>
          <w:color w:val="000000"/>
          <w:sz w:val="21"/>
          <w:u w:val="single"/>
        </w:rPr>
        <w:t xml:space="preserve">（产品名称2）</w:t>
      </w:r>
      <w:r>
        <w:rPr>
          <w:rFonts w:ascii="Arial" w:hAnsi="Arial" w:eastAsia="Arial" w:cs="Arial"/>
          <w:color w:val="000000"/>
          <w:sz w:val="21"/>
        </w:rPr>
        <w:t xml:space="preserve">，生产厂为</w:t>
      </w:r>
      <w:r>
        <w:rPr>
          <w:rFonts w:ascii="Arial" w:hAnsi="Arial" w:eastAsia="Arial" w:cs="Arial"/>
          <w:i/>
          <w:color w:val="000000"/>
          <w:sz w:val="21"/>
          <w:u w:val="single"/>
        </w:rPr>
        <w:t xml:space="preserve">（厂名）</w:t>
      </w:r>
      <w:r>
        <w:rPr>
          <w:rFonts w:ascii="Arial" w:hAnsi="Arial" w:eastAsia="Arial" w:cs="Arial"/>
          <w:color w:val="000000"/>
          <w:sz w:val="21"/>
        </w:rPr>
        <w:t xml:space="preserve">，厂址为</w:t>
      </w:r>
      <w:r>
        <w:rPr>
          <w:rFonts w:ascii="Arial" w:hAnsi="Arial" w:eastAsia="Arial" w:cs="Arial"/>
          <w:i/>
          <w:color w:val="000000"/>
          <w:sz w:val="21"/>
          <w:u w:val="single"/>
        </w:rPr>
        <w:t xml:space="preserve">（生产厂址）</w:t>
      </w:r>
      <w:r>
        <w:rPr>
          <w:rFonts w:ascii="Arial" w:hAnsi="Arial" w:eastAsia="Arial" w:cs="Arial"/>
          <w:color w:val="000000"/>
          <w:sz w:val="21"/>
        </w:rPr>
        <w:t xml:space="preserve">。</w:t>
      </w:r>
      <w:r>
        <w:rPr>
          <w:rFonts w:ascii="Arial" w:hAnsi="Arial" w:eastAsia="Arial" w:cs="Arial"/>
          <w:i/>
          <w:color w:val="000000"/>
          <w:sz w:val="21"/>
          <w:u w:val="single"/>
        </w:rPr>
        <w:t xml:space="preserve">（产品名称2）</w:t>
      </w:r>
      <w:r>
        <w:rPr>
          <w:rFonts w:ascii="Arial" w:hAnsi="Arial" w:eastAsia="Arial" w:cs="Arial"/>
          <w:color w:val="000000"/>
          <w:sz w:val="21"/>
        </w:rPr>
        <w:t xml:space="preserve">的中国境内生产的组件成本占比≥</w:t>
      </w:r>
      <w:r>
        <w:rPr>
          <w:rFonts w:ascii="Arial" w:hAnsi="Arial" w:eastAsia="Arial" w:cs="Arial"/>
          <w:i/>
          <w:color w:val="000000"/>
          <w:sz w:val="21"/>
          <w:u w:val="single"/>
        </w:rPr>
        <w:t xml:space="preserve">（规定比例）</w:t>
      </w:r>
      <w:r>
        <w:rPr>
          <w:rFonts w:ascii="Arial" w:hAnsi="Arial" w:eastAsia="Arial" w:cs="Arial"/>
          <w:color w:val="000000"/>
          <w:sz w:val="21"/>
        </w:rPr>
        <w:t xml:space="preserve">。</w:t>
      </w:r>
      <w:r>
        <w:rPr>
          <w:rFonts w:ascii="Arial" w:hAnsi="Arial" w:eastAsia="Arial" w:cs="Arial"/>
          <w:i/>
          <w:color w:val="000000"/>
          <w:sz w:val="21"/>
          <w:u w:val="single"/>
        </w:rPr>
        <w:t xml:space="preserve">（产品名称2）</w:t>
      </w:r>
      <w:r>
        <w:rPr>
          <w:rFonts w:ascii="Arial" w:hAnsi="Arial" w:eastAsia="Arial" w:cs="Arial"/>
          <w:color w:val="000000"/>
          <w:sz w:val="21"/>
        </w:rPr>
        <w:t xml:space="preserve">的</w:t>
      </w:r>
      <w:r>
        <w:rPr>
          <w:rFonts w:ascii="Arial" w:hAnsi="Arial" w:eastAsia="Arial" w:cs="Arial"/>
          <w:i/>
          <w:color w:val="000000"/>
          <w:sz w:val="21"/>
          <w:u w:val="single"/>
        </w:rPr>
        <w:t xml:space="preserve">（关键组件）</w:t>
      </w:r>
      <w:r>
        <w:rPr>
          <w:rFonts w:ascii="Arial" w:hAnsi="Arial" w:eastAsia="Arial" w:cs="Arial"/>
          <w:color w:val="000000"/>
          <w:sz w:val="21"/>
        </w:rPr>
        <w:t xml:space="preserve">在中国境内生产。</w:t>
      </w:r>
      <w:r>
        <w:rPr>
          <w:rFonts w:ascii="Arial" w:hAnsi="Arial" w:eastAsia="Arial" w:cs="Arial"/>
          <w:i/>
          <w:color w:val="000000"/>
          <w:sz w:val="21"/>
          <w:u w:val="single"/>
        </w:rPr>
        <w:t xml:space="preserve">（产品名称2）</w:t>
      </w:r>
      <w:r>
        <w:rPr>
          <w:rFonts w:ascii="Arial" w:hAnsi="Arial" w:eastAsia="Arial" w:cs="Arial"/>
          <w:color w:val="000000"/>
          <w:sz w:val="21"/>
        </w:rPr>
        <w:t xml:space="preserve">的</w:t>
      </w:r>
      <w:r>
        <w:rPr>
          <w:rFonts w:ascii="Arial" w:hAnsi="Arial" w:eastAsia="Arial" w:cs="Arial"/>
          <w:i/>
          <w:color w:val="000000"/>
          <w:sz w:val="21"/>
          <w:u w:val="single"/>
        </w:rPr>
        <w:t xml:space="preserve">（关键工序）</w:t>
      </w:r>
      <w:r>
        <w:rPr>
          <w:rFonts w:ascii="Arial" w:hAnsi="Arial" w:eastAsia="Arial" w:cs="Arial"/>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ff"/>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ff"/>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ff"/>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ff"/>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ff"/>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ff"/>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
      <w:r/>
      <w:r>
        <w:rPr>
          <w:rFonts w:ascii="Times New Roman" w:hAnsi="Times New Roman" w:eastAsia="Times New Roman" w:cs="Times New Roman"/>
          <w:sz w:val="21"/>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2</cp:revision>
  <dcterms:created xsi:type="dcterms:W3CDTF">2026-08-08T10:46:25Z</dcterms:created>
  <dcterms:modified xsi:type="dcterms:W3CDTF">2026-08-09T06:28:23Z</dcterms:modified>
</cp:coreProperties>
</file>