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南京医科大学超市货品及后勤物资采购</w:t>
      </w:r>
      <w:r/>
    </w:p>
    <w:p>
      <w:pPr>
        <w:ind w:left="0" w:right="0" w:firstLine="0"/>
        <w:spacing w:before="0" w:after="0" w:line="85" w:lineRule="atLeast"/>
        <w:tabs>
          <w:tab w:val="left" w:pos="873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ab/>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JSZC-320000-SNZX-G2026-0100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采购人：南京医科大学</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招标代理机构：南京苏宁工程咨询有限公司</w:t>
      </w:r>
      <w:r/>
    </w:p>
    <w:p>
      <w:pPr>
        <w:ind w:left="0" w:right="0" w:firstLine="128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日期：二〇二六年七月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投标邀请</w:t>
      </w:r>
      <w:r/>
    </w:p>
    <w:p>
      <w:pPr>
        <w:ind w:left="0" w:right="0" w:firstLine="56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56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南京医科大学超市货品及后勤物资采购</w:t>
      </w:r>
      <w:r>
        <w:rPr>
          <w:rFonts w:ascii="SimSun" w:hAnsi="SimSun" w:eastAsia="SimSun" w:cs="SimSun"/>
          <w:color w:val="000000"/>
          <w:sz w:val="24"/>
        </w:rPr>
        <w:t xml:space="preserve">项目的潜在投标人应在</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2026年8月11日9点30分</w:t>
      </w:r>
      <w:r>
        <w:rPr>
          <w:rFonts w:ascii="SimSun" w:hAnsi="SimSun" w:eastAsia="SimSun" w:cs="SimSun"/>
          <w:color w:val="000000"/>
          <w:sz w:val="24"/>
        </w:rPr>
        <w:t xml:space="preserve">（北京时间）前递交投标文件。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项目编号：JSZC-320000-SNZX-G2026-0100</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项目名称：南京医科大学超市货品及后勤物资采购</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905万元【采购包1:135万元；采购包2:130万元；采购包3:113万元；采购包4:70万元；采购包5:65万元；采购包6:30万元；采购包7:25万元；采购包8:30万元；采购包9:127万元；采购包10:30万元；采购包11:10万元；采购包12:140万元。】</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892.150319万元【采购包1:129.179779万元；采购包2:129.352336万元；采购包3:112.759359万元；采购包4:69.007474万元；采购包5:63.481143万元；采购包6:28.7851万元；采购包7:24.160882万元；采购包8:29.446万元；采购包9:126.349727万元；采购包10:29.975557万元；采购包11:9.8019万元；采购包12:139.851062万元。】投标报价高于最高限价的按无效投标文件处理，具体要求详见招标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4"/>
        <w:gridCol w:w="2631"/>
        <w:gridCol w:w="3502"/>
        <w:gridCol w:w="2017"/>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采购品类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预算金额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选取家数</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低温乳制品系列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矿泉水、传统茶饮系列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矿泉水、碳酸饮料系列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气泡水、功能饮料、特色茶饮系列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方便面系列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冷饮、速冻食品系列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短保面包系列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即食鲜食系列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副食品系列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散称食品系列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1家</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常温乳制品系列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1家</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日用百货、洗护系列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3家</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同一供应商可同时参加多个采购包投标，但最多兼中2个采购包。供应商应分别制作并上传投标文件。本项目按采购包1、采购包2、采购包3、采购包4、采购包5、采购包6、采购包7、采购包8、采购包9、采购包10、采购包11、采购包12顺序开评标，按照评标先后顺序确定入围供应商，供应商如已经被推荐为入围供应商，可以参加后续包的评审。</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合同履行期限：自合同签订之日起一年。</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1.具有独立承担民事责任的能力（提供法人或者其他组织的营业执照；供应商为自然人的提供其身份证，提供相关证明材料复印件并加盖公章）；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提供上一年度（或2024年度）审计报告，或投标截止时间前六个月内任意一个月的财务状况报告（至少包括资产负债表和利润表）或投标截止时间前六个月内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3.具有履行合同所必需的设备和专业技术能力（投标人根据履行采购项目合同需要，提供履行合同所必需的设备和专业技术能力的证明材料，提供相关证明材料复印件并加盖公章或承诺书原件）；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提供投标截止时间前六个月内任意一个月的纳税证明文件（依法免缴的应提供相应文件说明）；并提供投标截止时间前六个月内任意一个月的依法为员工缴纳社会保障资金的证明材料（依法不需要缴纳社会保障资金的应提供相应文件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5.参加政府采购活动前三年内，在经营活动中没有重大违法记录（提供承诺书原件）；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6.法律、行政法规规定的其他条件，提供相关证明材料：无。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7.注：①前款第5条所称重大违法记录，是指供应商因违法经营受到刑事处罚或者责令停产停业、吊销许可证或者执照、较大数额罚款等行政处罚。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②供应商在参加政府采购活动前3年内因违法经营被禁止在一定期限内参加政府采购活动，期限届满的，可以参加政府采购活动。</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（二）落实政府采购政策需满足的资格要求：本项目不专门面向中小微型企业，如为中小微型企业、监狱企业、残疾人福利性单位，提供的产品为国家认定的节能产品和环保产品的须按要求提供相关材料。</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1.采购包1至采购包11：</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（1）投标人需提供有效的《食品经营许可证》或市场监督管理部门的备案证明。</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（2）如投标人为生产厂家需提供有效期内的《食品生产许可证》。</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2.采购包12：无。</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（四）本项目不接受进口产品投标（注：本文件所称进口产品是指通过中国海关报关验放进入中国境内且产自关境外的产品）</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（五）拒绝下述供应商参加本次采购活动：</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1.供应商单位负责人为同一人或者存在直接控股、管理关系的不同供应商，不得参加同一合同项下的采购活动。</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2.凡为采购项目提供整体设计、规范编制或者项目管理、监理、检测等服务的供应商，不得再参加本项目的采购活动。</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等渠道查询供应商在采购公告发布之日前的信用记录并保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时间：自招标文件发布之日起5个工作日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方式：网上下载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2026年8月11日9点30分</w:t>
      </w:r>
      <w:r>
        <w:rPr>
          <w:rFonts w:ascii="SimSun" w:hAnsi="SimSun" w:eastAsia="SimSun" w:cs="SimSun"/>
          <w:color w:val="000000"/>
          <w:sz w:val="24"/>
        </w:rPr>
        <w:t xml:space="preserve">（北京时间）</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地点：“苏采云”网上开标大厅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1.本项目所属行业为：工业</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2.集中考察或答疑：</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3.公告媒体</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（1）本公告在江苏政府采购网（http：//www.ccgp-jiangsu.gov.cn/）公示发布，敬请各投标人关注。</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（2）若有关本次采购存在变动或修改，敬请各投标人及时关注江苏政府采购网（http：//www.ccgp-jiangsu.gov.cn/）发布的关于本项目的信息更正公告。</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http://www.ccgp-jiangsu.gov.cn/jiangsu/zlxz/ee/ee3a4bc5a3454aa2b0d9312230633ce9.html</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5.潜在供应商访问电子招标响应交易平台的网络地址和方法：</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（2）潜在供应商访问“苏采云”系统的网络地址和方法：“苏采云”系统的网址：http://jszfcg.jsczt.cn/。</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（3）“CA数字证书”的获取：</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（4）采购文件（后缀名为“.kedt”）、供应商操作手册及政府采购客户端工具可通过“苏采云”系统--已报名项目--报名详情页面内相应链接进行下载。</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（5）招标代理机构（采购代理机构）将数据电文形式的采购文件加载至“苏采云”系统，供潜在供应商下载或者查阅。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（6）请潜在投标单位提前安装相应的控件（详见《江苏省政府采购管理交易系统（苏采云）供应商操作手册》）并使用谷歌浏览器登录“苏采云”系统参与不见面开评标。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南京医科大学</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南京市江宁区龙眠大道101号</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何老师、朱老师</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025-86868369</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rPr>
          <w:rFonts w:ascii="SimSun" w:hAnsi="SimSun" w:eastAsia="SimSun" w:cs="SimSun"/>
          <w:color w:val="000000"/>
          <w:sz w:val="24"/>
          <w:u w:val="single"/>
        </w:rPr>
        <w:t xml:space="preserve">南京苏宁工程咨询有限公司</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南京市鼓楼区中山路99号12楼1212室</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李佳蓉</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025-84200809</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rPr>
          <w:rFonts w:ascii="SimSun" w:hAnsi="SimSun" w:eastAsia="SimSun" w:cs="SimSun"/>
          <w:color w:val="000000"/>
          <w:sz w:val="24"/>
          <w:u w:val="single"/>
        </w:rPr>
        <w:t xml:space="preserve">李佳蓉</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025-84200809</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请贵单位领取本次采购文件后，认真阅读各项内容，进行必要的投标准备，按文件的要求详细填写和编制响应文件，并按以上确定的时间、地点准时参加投标。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供应商须知</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一、总则</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1、适用法律</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《中华人民共和国政府采购法》、《中华人民共和国政府采购法实施条例》、《政府采购货物和服务招标投标管理办法》等有关法律、规章和规定等。</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w:t>
      </w:r>
      <w:r>
        <w:rPr>
          <w:rFonts w:ascii="SimSun" w:hAnsi="SimSun" w:eastAsia="SimSun" w:cs="SimSun"/>
          <w:b/>
          <w:color w:val="000000"/>
          <w:sz w:val="22"/>
        </w:rPr>
        <w:t xml:space="preserve">供应商</w:t>
      </w:r>
      <w:r>
        <w:rPr>
          <w:rFonts w:ascii="SimSun" w:hAnsi="SimSun" w:eastAsia="SimSun" w:cs="SimSun"/>
          <w:color w:val="000000"/>
          <w:sz w:val="22"/>
        </w:rPr>
        <w:t xml:space="preserve">”是指参加投标竞争，并符合招标文件规定资格条件的法人、其他组织或者自然人。</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“产品”指本招标文件中所述</w:t>
      </w:r>
      <w:r>
        <w:rPr>
          <w:rFonts w:ascii="SimSun" w:hAnsi="SimSun" w:eastAsia="SimSun" w:cs="SimSun"/>
          <w:b/>
          <w:color w:val="000000"/>
          <w:sz w:val="22"/>
        </w:rPr>
        <w:t xml:space="preserve">产品</w:t>
      </w:r>
      <w:r>
        <w:rPr>
          <w:rFonts w:ascii="SimSun" w:hAnsi="SimSun" w:eastAsia="SimSun" w:cs="SimSun"/>
          <w:color w:val="000000"/>
          <w:sz w:val="22"/>
        </w:rPr>
        <w:t xml:space="preserve">及相关服务。</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 “用户或使用单位”是指使用货物、服务的单位。</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3、政策功能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3.1中小供应商政策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提供由省级以上监狱管理局、戒毒管理局（含新疆生产建设兵团）出具的属于监狱供应商的证明文件，监狱和戒毒供应商享受政府采购支持政策的要求详见财库〔2014〕68号。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（5）提供的产品属于信息安全产品的，供应商应当选择经国家认证的信息安全产品投标，并提供由中国信息安全认证中心按国家标准认证 颁发的有效认证证书复印件。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（6）提供的产品属于政府强制采购节能产品的，供应商应当选择经过认证的节能产品投标，并提供有效的节能产品认证证书复印件。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（7）提供的产品属于环境标志产品的，供应商应当选择经过认证的环境标志产品投标，并提供有效的环境标志产品认证证书复印件。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w:t>
      </w:r>
      <w:r>
        <w:rPr>
          <w:rFonts w:ascii="SimSun" w:hAnsi="SimSun" w:eastAsia="SimSun" w:cs="SimSun"/>
          <w:color w:val="000000"/>
          <w:sz w:val="21"/>
        </w:rPr>
        <w:t xml:space="preserve"> </w:t>
      </w:r>
      <w:r>
        <w:rPr>
          <w:rFonts w:ascii="SimSun" w:hAnsi="SimSun" w:eastAsia="SimSun" w:cs="SimSun"/>
          <w:color w:val="000000"/>
          <w:sz w:val="22"/>
        </w:rPr>
        <w:t xml:space="preserve">政府采购中实施本国产品标准及相关政策</w:t>
      </w:r>
      <w:r>
        <w:rPr>
          <w:rFonts w:ascii="SimSun" w:hAnsi="SimSun" w:eastAsia="SimSun" w:cs="SimSun"/>
          <w:b/>
          <w:color w:val="000000"/>
          <w:sz w:val="22"/>
        </w:rPr>
        <w:t xml:space="preserve">（仅限采购包12）</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（1）本项目对采购本国产品给予政策支持，具体内容见招标文件“第三章</w:t>
      </w:r>
      <w:r>
        <w:rPr>
          <w:rFonts w:ascii="SimSun" w:hAnsi="SimSun" w:eastAsia="SimSun" w:cs="SimSun"/>
          <w:color w:val="000000"/>
          <w:sz w:val="21"/>
        </w:rPr>
        <w:t xml:space="preserve"> </w:t>
      </w:r>
      <w:r>
        <w:rPr>
          <w:rFonts w:ascii="SimSun" w:hAnsi="SimSun" w:eastAsia="SimSun" w:cs="SimSun"/>
          <w:color w:val="000000"/>
          <w:sz w:val="22"/>
        </w:rPr>
        <w:t xml:space="preserve">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未按要求提供相关材料的，不享受相关政策。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w:t>
      </w:r>
      <w:r>
        <w:rPr>
          <w:rFonts w:ascii="SimSun" w:hAnsi="SimSun" w:eastAsia="SimSun" w:cs="SimSun"/>
          <w:color w:val="000000"/>
          <w:sz w:val="21"/>
        </w:rPr>
        <w:t xml:space="preserve"> </w:t>
      </w:r>
      <w:r>
        <w:rPr>
          <w:rFonts w:ascii="SimSun" w:hAnsi="SimSun" w:eastAsia="SimSun" w:cs="SimSun"/>
          <w:color w:val="000000"/>
          <w:sz w:val="22"/>
        </w:rPr>
        <w:t xml:space="preserve">进口产品政策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（1）除在采购文件另有规定外，不允许进口产品参加。进口产品认定依照《财政部关于政府采购进口产品管理有关问题的通知》（财办库〔2008〕248 号）的规定。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（2）允许进口产品参加的，满足需求的国内产品可以参加。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（3）允许进口产品参加的，优先采购向我国企业转让技术、与我国企业签订消化吸收再创新方案的供应商的进口产品。</w:t>
      </w:r>
      <w:r/>
    </w:p>
    <w:p>
      <w:pPr>
        <w:ind w:left="0" w:right="0" w:firstLine="413"/>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4、招标文件组成</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招标的最小单位是包。招标服务数量及技术要求中未分包的，供应商对要求提供的服务不得部分投标；招标服务数量及技术要求中已经分包的，应当以包为单位投标。</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招标文件如果要求供应商提交备选投标方案的，供应商可以提交备选方案；否则，备选方案将被拒绝。</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5、招标文件的澄清、修改</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5.1招标代理机构对已发出的招标文件进行必要澄清或者修改的，将在招标文件要求提交投标文件截止时间</w:t>
      </w:r>
      <w:r>
        <w:rPr>
          <w:rFonts w:ascii="SimSun" w:hAnsi="SimSun" w:eastAsia="SimSun" w:cs="SimSun"/>
          <w:b/>
          <w:color w:val="000000"/>
          <w:sz w:val="22"/>
          <w:u w:val="single"/>
        </w:rPr>
        <w:t xml:space="preserve">十五日</w:t>
      </w:r>
      <w:r>
        <w:rPr>
          <w:rFonts w:ascii="SimSun" w:hAnsi="SimSun" w:eastAsia="SimSun" w:cs="SimSun"/>
          <w:color w:val="000000"/>
          <w:sz w:val="22"/>
        </w:rPr>
        <w:t xml:space="preserve">前，在原招标公告媒体发布更正公告，该澄清或者修改的内容为招标文件的组成部分。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招标代理机构在招标文件要求提交投标文件截止时间前，有权决定延长投标截止时间和开标时间，并在原采购信息发布媒体上发布变更公告。</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供应商应在投标截止时间前关注原采购信息发布媒体上有关本招标项目有无变更公告。根据更正公告内容自行决定是否需要重新制作和提交投标文件，并承担由此产生的相应责任。</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6、投标文件的语言、计量单位、货币和编制</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供应商所使用的计量单位应为国家法定计量单位。</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供应商应用人民币报价。</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如标书制作工具中格式和内容与“江苏政府采购网”发布的招标文件不一致，以“江苏政府采购网”发布的招标文件为准。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 供应商应在投标文件中写清相应的项目编号、项目名称、供应商全称、地址、电话、传真等。</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 供应商所使用的技术标准应遵循国家最新标准及规范。</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b/>
          <w:color w:val="000000"/>
          <w:sz w:val="22"/>
        </w:rPr>
        <w:t xml:space="preserve">、联合投标</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本次项目不接受联合体形式投标。</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8、投标费用</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8.1投标人应承担所有与准备和参加投标有关的费用，无论采购结果如何，代理机构和采购人在任何情况下均无义务和责任承担这些费用。</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8.2本次招标，中标供应商根据各采购包年度预计支出按《招标代理服务费管理暂行办法》（国家发展计划委员会计价格【2002】1980号）代理服务招标收费标准48%计算，超过人民币</w:t>
      </w:r>
      <w:r>
        <w:rPr>
          <w:rFonts w:ascii="Times New Roman" w:hAnsi="Times New Roman" w:eastAsia="Times New Roman" w:cs="Times New Roman"/>
          <w:color w:val="000000"/>
          <w:sz w:val="22"/>
        </w:rPr>
        <w:t xml:space="preserve">18000</w:t>
      </w:r>
      <w:r>
        <w:rPr>
          <w:rFonts w:ascii="SimSun" w:hAnsi="SimSun" w:eastAsia="SimSun" w:cs="SimSun"/>
          <w:color w:val="000000"/>
          <w:sz w:val="22"/>
        </w:rPr>
        <w:t xml:space="preserve">元的按固定金额人民币</w:t>
      </w:r>
      <w:r>
        <w:rPr>
          <w:rFonts w:ascii="Times New Roman" w:hAnsi="Times New Roman" w:eastAsia="Times New Roman" w:cs="Times New Roman"/>
          <w:color w:val="000000"/>
          <w:sz w:val="22"/>
        </w:rPr>
        <w:t xml:space="preserve">18000</w:t>
      </w:r>
      <w:r>
        <w:rPr>
          <w:rFonts w:ascii="SimSun" w:hAnsi="SimSun" w:eastAsia="SimSun" w:cs="SimSun"/>
          <w:color w:val="000000"/>
          <w:sz w:val="22"/>
        </w:rPr>
        <w:t xml:space="preserve">元计算，向招标代理机构支付招标服务费。该项费用请投标人综合考虑在投标报价中，后期采购人不单独列支，必须在领取中标通知书前向招标代理机构支付招标服务费。最终费用由中标单位均摊。</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9、投标文件组成</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9.1供应商应当根据招标文件要求编制投标文件，投标文件应对招标文件提出的要求和条件作出实质性响应，并在《商务条款偏离表》和《技术条款偏离表》等处逐条标明满足与否。</w:t>
      </w:r>
      <w:r/>
    </w:p>
    <w:p>
      <w:pPr>
        <w:ind w:left="0" w:right="0" w:firstLine="411"/>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供应商根据招标文件载明的标的采购项目实际情况，拟在中标后将中标项目的非主体、非关键性工作交由他人完成的，应当在投标文件中载明。</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 投标文件由商务部分、技术部分、价格部分，以及其他部分组成。</w:t>
      </w:r>
      <w:r/>
    </w:p>
    <w:p>
      <w:pPr>
        <w:ind w:left="0" w:right="0" w:firstLine="42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10、投标文件的商务部分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商务部分是证明供应商有资格参加投标和中标后有能力履行合同的文件，这些文件应能满足招标的要求，包括但不限于下列文件，其中加“★”项目不得有缺失或无效。</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（1）★投标函（投标申请及声明）；</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（2）★法定代表人授权委托书及委托代理人的身份证复印件；</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（3）★第一章投标邀请中二、申请人的资格要求：(一）《中华人民共和国政府采购法》规定的资格条件证明文件；</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（4）★第一章投标邀请中二、申请人的资格要求：（二）本项目的特定资格要求证明文件；</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（6）《商务条款偏离表》；</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（7）合同条款</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（8）供应商认为需要提供的其他资格证明文件和商务资料等。</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11、投标文件的技术部分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 技术部分是证明供应商提供的产品和服务是合格的、并符合招标文件要求的证明文件，以及对投标报价表中的服务的详细说明，这些文件可以是文字资料、图纸和数据等。</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 若技术性能无特殊说明，则按国家有关部门最新颁布的标准及规范为准；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 提供的服务如与招标文件要求有不符之处，应说明其差别之所在，并在《技术条款偏离表》中逐条予以说明。</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 投标文件应按照招标文件要求提供技术资料、文件和有关证明，包括但不限于</w:t>
      </w:r>
      <w:r>
        <w:rPr>
          <w:rFonts w:ascii="SimSun" w:hAnsi="SimSun" w:eastAsia="SimSun" w:cs="SimSun"/>
          <w:b/>
          <w:color w:val="000000"/>
          <w:sz w:val="22"/>
        </w:rPr>
        <w:t xml:space="preserve">其中加★项目不得有缺失或无效：</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（1）项目实施方案；</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（2）服务承诺（包含增值服务内容）；</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（3）企业概况（包括物流、仓储条件，其它特色服务）；</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（4）《技术条款偏离表》；</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（5）供应商认为需要提供的其他技术资料。</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12、投标文件的价格部分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价格部分是对服务价格构成的说明，招标文件如没有特别说明的话，对每一项服务仅接受一个价格。投标人应按照招标文件规定格式填报投标分项报价表。</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ascii="SimSun" w:hAnsi="SimSun" w:eastAsia="SimSun" w:cs="SimSun"/>
          <w:b/>
          <w:color w:val="000000"/>
          <w:sz w:val="22"/>
        </w:rPr>
        <w:t xml:space="preserve">。</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12.3 供应商的任何错漏、优惠、竞争性报价不得作为减轻责任、减少服务、增加收费、降低质量的理由。</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 供应商应在《开标一览表》、《分项报价表》等标明提供货物和服务的</w:t>
      </w:r>
      <w:r>
        <w:rPr>
          <w:rFonts w:ascii="SimSun" w:hAnsi="SimSun" w:eastAsia="SimSun" w:cs="SimSun"/>
          <w:b/>
          <w:color w:val="000000"/>
          <w:sz w:val="22"/>
        </w:rPr>
        <w:t xml:space="preserve">单价、总价以及分项报价</w:t>
      </w:r>
      <w:r>
        <w:rPr>
          <w:rFonts w:ascii="SimSun" w:hAnsi="SimSun" w:eastAsia="SimSun" w:cs="SimSun"/>
          <w:color w:val="000000"/>
          <w:sz w:val="22"/>
        </w:rPr>
        <w:t xml:space="preserve">。</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w:t>
      </w:r>
      <w:r>
        <w:rPr>
          <w:rFonts w:ascii="SimSun" w:hAnsi="SimSun" w:eastAsia="SimSun" w:cs="SimSun"/>
          <w:color w:val="000000"/>
          <w:sz w:val="21"/>
        </w:rPr>
        <w:t xml:space="preserve"> </w:t>
      </w:r>
      <w:r>
        <w:rPr>
          <w:rFonts w:ascii="SimSun" w:hAnsi="SimSun" w:eastAsia="SimSun" w:cs="SimSun"/>
          <w:color w:val="000000"/>
          <w:sz w:val="22"/>
        </w:rPr>
        <w:t xml:space="preserve">《开标一览表》须加盖电子公章。</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 评审中出现下列情形之一的，评审委员会应当启动异常低价投标（响应）审查程序：</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（1）投标（响应）报价低于全部通过符合性审查供应商投标（响应）报价平均值50%的，即投标（响应）报价&lt;全部通过符合性审查供应商投标（响应）报价平均值×50%；</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（2）投标（响应）报价低于通过符合性审查的次低报价供应商投标（响应）报价50%的，即投标（响应）报价&lt;通过符合性审查的次低报价供应商投标（响应）报价×50%；</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（3）投标（响应）报价低于采购项目最高限价45%的，即投标（响应）报价&lt;采购项目最高限价×45%；</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（4）评审委员会基于专业判断，认为供应商报价过低，有可能影响产品质量或者不能诚信履约的其他情形。</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相关法律法规对供应商报价有规定的，从其规定。</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12.7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12.9供应商的报价须能符合市场行情（如当地货品批发价、电商平台价、行业指导价等），不得恶意竞争。</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13、投标文件的其他部分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其他部分由供应商根据编制投标文件需要提供的其他相关文件。</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14、投标有效期</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自开标之日起</w:t>
      </w:r>
      <w:r>
        <w:rPr>
          <w:rFonts w:ascii="SimSun" w:hAnsi="SimSun" w:eastAsia="SimSun" w:cs="SimSun"/>
          <w:b/>
          <w:color w:val="000000"/>
          <w:sz w:val="22"/>
        </w:rPr>
        <w:t xml:space="preserve">60天</w:t>
      </w:r>
      <w:r>
        <w:rPr>
          <w:rFonts w:ascii="SimSun" w:hAnsi="SimSun" w:eastAsia="SimSun" w:cs="SimSun"/>
          <w:color w:val="000000"/>
          <w:sz w:val="22"/>
        </w:rPr>
        <w:t xml:space="preserve">内投标有效。</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15、投标文件的签署</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15.1投标文件应加盖响应供应商公章，招标文件中注明须签字的地方应由供应商的法定代表人或委托代理人签字。</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15.2除供应商对错处做必要修改外，投标文件不得行间插字、涂改或增删。如有修改错漏处，必须由投标文件签署人签字或加盖电子公章。</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16、投标文件的递交</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投标人应当按照《操作手册》规定，在招标公告规定的投标截止时间前制作并上传电子投标文件。</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16.2投标人应当按照《操作手册》规定，在苏采云系统规定的时间内对投标文件进行解密。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16.3</w:t>
      </w:r>
      <w:r>
        <w:rPr>
          <w:rFonts w:ascii="SimSun" w:hAnsi="SimSun" w:eastAsia="SimSun" w:cs="SimSun"/>
          <w:color w:val="000000"/>
          <w:sz w:val="21"/>
        </w:rPr>
        <w:t xml:space="preserve"> </w:t>
      </w:r>
      <w:r>
        <w:rPr>
          <w:rFonts w:ascii="SimSun" w:hAnsi="SimSun" w:eastAsia="SimSun" w:cs="SimSun"/>
          <w:color w:val="000000"/>
          <w:sz w:val="22"/>
        </w:rPr>
        <w:t xml:space="preserve">所有投标人使用</w:t>
      </w:r>
      <w:r>
        <w:rPr>
          <w:rFonts w:ascii="SimSun" w:hAnsi="SimSun" w:eastAsia="SimSun" w:cs="SimSun"/>
          <w:color w:val="000000"/>
          <w:sz w:val="21"/>
        </w:rPr>
        <w:t xml:space="preserve"> </w:t>
      </w:r>
      <w:r>
        <w:rPr>
          <w:rFonts w:ascii="SimSun" w:hAnsi="SimSun" w:eastAsia="SimSun" w:cs="SimSun"/>
          <w:color w:val="000000"/>
          <w:sz w:val="22"/>
        </w:rPr>
        <w:t xml:space="preserve">CA 证书在递交响应文件截止后，解密各自响应文件，投标人不足3家的，不得评标。</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w:t>
      </w:r>
      <w:r>
        <w:rPr>
          <w:rFonts w:ascii="SimSun" w:hAnsi="SimSun" w:eastAsia="SimSun" w:cs="SimSun"/>
          <w:color w:val="000000"/>
          <w:sz w:val="21"/>
        </w:rPr>
        <w:t xml:space="preserve"> </w:t>
      </w:r>
      <w:r>
        <w:rPr>
          <w:rFonts w:ascii="SimSun" w:hAnsi="SimSun" w:eastAsia="SimSun" w:cs="SimSun"/>
          <w:color w:val="000000"/>
          <w:sz w:val="22"/>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部分投标文件未解密的，其他投标文件的评标可以继续进行。</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16.5</w:t>
      </w:r>
      <w:r>
        <w:rPr>
          <w:rFonts w:ascii="SimSun" w:hAnsi="SimSun" w:eastAsia="SimSun" w:cs="SimSun"/>
          <w:color w:val="000000"/>
          <w:sz w:val="21"/>
        </w:rPr>
        <w:t xml:space="preserve"> </w:t>
      </w:r>
      <w:r>
        <w:rPr>
          <w:rFonts w:ascii="SimSun" w:hAnsi="SimSun" w:eastAsia="SimSun" w:cs="SimSun"/>
          <w:color w:val="000000"/>
          <w:sz w:val="22"/>
        </w:rPr>
        <w:t xml:space="preserve">代理机构有权通过修改招标文件酌情延长投标截止时间，在此情况下，投标人的所有权利和义务均以延长后新的截止时间为准。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17、有下列情形之一的投标文件将拒收：</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 在招标文件要求提交投标文件的截止时间之后上传的。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18、投标文件的修改和撤回</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投标文件的修改</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18.1.1 投标人可在投标截止时间前对其电子投标文件进行修改，具体操作方法见《操作手册》。</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18.1.2 投标截止时间之后，投标人不得对其电子投标文件作任何修改。</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投标文件的撤回</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18.2.1 投标人可在投标截止时间前撤回其电子投标文件，具体操作方法见《操作手册》。</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18.2.2 投标人撤回电子投标文件，则认为其不再参与本项目投标活动。</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18.2.3 在投标截止时间至招标文件中规定的投标有效期满之间的这段时间内，投标人不得撤回其投标。</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四、开标、评标与确定中标供应商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19、开标</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代理机构将在招标文件确定的时间和地点进行公开开标。投标人按照《操作手册》规定参加开标活动，并在苏采云系统规定的时间内对投标文件进行解密。苏采云系统公布各投标人名称和投标价格。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 投标人在开标过程中涉及到的投标文件解密、开标结果确认等工作，应按照《操作手册》规定执行。</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 投标人如果对开标过程和开标结果有疑议，应当根据《操作手册》规定提出，苏采云系统中《开标记录表》公布后5分钟内未提出的，视同认可开标结果。</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20、评标</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w:t>
      </w:r>
      <w:r>
        <w:rPr>
          <w:rFonts w:ascii="SimSun" w:hAnsi="SimSun" w:eastAsia="SimSun" w:cs="SimSun"/>
          <w:b/>
          <w:color w:val="000000"/>
          <w:sz w:val="22"/>
        </w:rPr>
        <w:t xml:space="preserve">评标组织</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20.1.1评标工作由招标代理负责组织，具体评标事务由依法组建的评标委员会负责，并独立履行下列职责：</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（1）审查、评价投标文件是否符合招标文件的商务、技术等实质性要求；</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（2）要求投标人对投标文件有关事项作出澄清或者说明；</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（3）对投标文件进行比较和评价；</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（3）推荐中标候选人或根据采购人委托协议直接确定中标供应商；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（4）向采购人、财政部门报告评标中发现的违法行为。</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20.1.2 </w:t>
      </w:r>
      <w:r>
        <w:rPr>
          <w:rFonts w:ascii="SimSun" w:hAnsi="SimSun" w:eastAsia="SimSun" w:cs="SimSun"/>
          <w:color w:val="000000"/>
          <w:sz w:val="22"/>
        </w:rPr>
        <w:t xml:space="preserve">评标委员会由采购人代表和有关技术、经济等方面的专家组成，独立开展评审工作。</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20.2 评标程序</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20.2.1 投标文件的资格审查。</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20.2.1.1采购人代表将依法对投标人的资格进行审查。</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20.2.1.2资格性审查：依据法律法规和招标文件的规定，对投标文件中的资格证明文件等进行审查，以确定投标供应商是否具备投标资格。</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20.2.1.4 投标文件有下列情况之一的，在资格性审查时按照无效投标处理：</w:t>
      </w:r>
      <w:r/>
    </w:p>
    <w:p>
      <w:pPr>
        <w:ind w:left="0" w:right="0" w:firstLine="42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（1）不具备招标文件中规定资格条件的；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20.2.2   投标文件的符合性审查。</w:t>
      </w:r>
      <w:r/>
    </w:p>
    <w:p>
      <w:pPr>
        <w:ind w:left="0" w:right="0" w:firstLine="42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20.2.2.1</w:t>
      </w:r>
      <w:r>
        <w:rPr>
          <w:rFonts w:ascii="SimSun" w:hAnsi="SimSun" w:eastAsia="SimSun" w:cs="SimSun"/>
          <w:color w:val="000000"/>
          <w:sz w:val="22"/>
        </w:rPr>
        <w:t xml:space="preserve">评标委员会将依据法律法规和招标文件的规定，对投标文件的有效性、完整性和对招标文件的响应程度进行审查，以确定是否对招标文件的实质性要求作出响应。</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20.2.2.2 实质性要求是指本招标文件中带星号（“★”）的商务和技术要求。</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20.2.2.3 如果投标文件实质上没有响应招标文件的要求，评标委员会将予以拒绝，投标人不得通过修改或撤销不符合要求的偏离或保留而使其投标成为实质性响应的投标。</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20.2.2.4 投标文件有下列情况之一的，在符合性审查时按照</w:t>
      </w:r>
      <w:r>
        <w:rPr>
          <w:rFonts w:ascii="SimSun" w:hAnsi="SimSun" w:eastAsia="SimSun" w:cs="SimSun"/>
          <w:b/>
          <w:color w:val="000000"/>
          <w:sz w:val="22"/>
        </w:rPr>
        <w:t xml:space="preserve">无效投标处理</w:t>
      </w:r>
      <w:r>
        <w:rPr>
          <w:rFonts w:ascii="SimSun" w:hAnsi="SimSun" w:eastAsia="SimSun" w:cs="SimSun"/>
          <w:color w:val="000000"/>
          <w:sz w:val="22"/>
        </w:rPr>
        <w:t xml:space="preserve">：</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（1）供应商在苏采云系统规定的时间内未成功解密电子投标文件的。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（2）供应商未按照采购文件要求上传电子投标文件的。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（3）供应商不具备采购文件中规定资格要求的；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（4）供应商在报价时采用选择性报价；</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（5）报价超过采购文件中规定的预算金额或者最高限价或者最高单价限价的；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（6）投标文件含有采购人不能接受的附加条件的；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（7）不同供应商的投标文件由同一单位或者个人编制；</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（8）不同供应商委托同一单位或者个人办理投标事宜；</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（9）不同供应商的投标文件载明的项目管理成员或联系人员为同一人；</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（10）不同供应商的投标文件异常一致或者报价呈规律性差异；</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（11）不同供应商的投标文件相互混装；</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（12）不同供应商的负责人为同一人或者存在控股、管理关系的；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（13）未通过符合性检查的；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（15）未按文件要求签署、盖章的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（16）不符合采购文件中规定的其他实质性要求的；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w:t>
      </w:r>
      <w:r>
        <w:rPr>
          <w:rFonts w:ascii="SimSun" w:hAnsi="SimSun" w:eastAsia="SimSun" w:cs="SimSun"/>
          <w:color w:val="000000"/>
          <w:sz w:val="21"/>
        </w:rPr>
        <w:t xml:space="preserve"> </w:t>
      </w:r>
      <w:r>
        <w:rPr>
          <w:rFonts w:ascii="SimSun" w:hAnsi="SimSun" w:eastAsia="SimSun" w:cs="SimSun"/>
          <w:color w:val="000000"/>
          <w:sz w:val="22"/>
        </w:rPr>
        <w:t xml:space="preserve">，以一个供应商的身份共同参加政府采购活动的，联合体成员存在不良信用记录的，视同联合体存在不良信用记录；</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（18）不符合法律、法规和磋商文件规定的其他实质性要求的。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20.2.2.5</w:t>
      </w:r>
      <w:r>
        <w:rPr>
          <w:rFonts w:ascii="SimSun" w:hAnsi="SimSun" w:eastAsia="SimSun" w:cs="SimSun"/>
          <w:color w:val="000000"/>
          <w:sz w:val="21"/>
        </w:rPr>
        <w:t xml:space="preserve"> </w:t>
      </w:r>
      <w:r>
        <w:rPr>
          <w:rFonts w:ascii="SimSun" w:hAnsi="SimSun" w:eastAsia="SimSun" w:cs="SimSun"/>
          <w:color w:val="000000"/>
          <w:sz w:val="22"/>
        </w:rPr>
        <w:t xml:space="preserve">在评标期间，出现符合专业条件的供应商或者对招标文件作出实质性响应的供应商不足三家情形的，比照19.4款执行。</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20.2.2.6</w:t>
      </w:r>
      <w:r>
        <w:rPr>
          <w:rFonts w:ascii="SimSun" w:hAnsi="SimSun" w:eastAsia="SimSun" w:cs="SimSun"/>
          <w:color w:val="000000"/>
          <w:sz w:val="21"/>
        </w:rPr>
        <w:t xml:space="preserve"> </w:t>
      </w:r>
      <w:r>
        <w:rPr>
          <w:rFonts w:ascii="SimSun" w:hAnsi="SimSun" w:eastAsia="SimSun" w:cs="SimSun"/>
          <w:color w:val="000000"/>
          <w:sz w:val="22"/>
        </w:rPr>
        <w:t xml:space="preserve">有下列情形之一的予以</w:t>
      </w:r>
      <w:r>
        <w:rPr>
          <w:rFonts w:ascii="SimSun" w:hAnsi="SimSun" w:eastAsia="SimSun" w:cs="SimSun"/>
          <w:b/>
          <w:color w:val="000000"/>
          <w:sz w:val="22"/>
        </w:rPr>
        <w:t xml:space="preserve">废标</w:t>
      </w:r>
      <w:r>
        <w:rPr>
          <w:rFonts w:ascii="SimSun" w:hAnsi="SimSun" w:eastAsia="SimSun" w:cs="SimSun"/>
          <w:color w:val="000000"/>
          <w:sz w:val="22"/>
        </w:rPr>
        <w:t xml:space="preserve">，同时将废标理由通知所有供应商：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（1）符合资格条件的供应商或者对招标文件作实质响应的供应商不足三家；</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（2）出现影响采购公正的违法、违规行为的；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（3）供应商的报价均超过了采购预算或最高限价的，采购人不能支付的；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（4）因重大变故，采购任务取消的；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（5）评委会认定招标文件存在歧义、重大缺陷导致评审工作无法进行。</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（6）预留份额的采购项目或采购包，通过发布公告方式邀请供应商后，符合资格条件的中小企业数量不足3家的。</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（7）因苏采云系统故障造成开标不成功。</w:t>
      </w:r>
      <w:r/>
    </w:p>
    <w:p>
      <w:pPr>
        <w:ind w:left="0" w:right="0" w:firstLine="422"/>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20.2.3   投标文件的进一步评审。</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20.2.3.1评标委员会将对确定为实质性响应的投标文件进行进一步评审，看其是否有计算上或累加上的算术错误，修正错误的原则如下：</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 </w:t>
      </w:r>
      <w:r>
        <w:rPr>
          <w:rFonts w:ascii="SimSun" w:hAnsi="SimSun" w:eastAsia="SimSun" w:cs="SimSun"/>
          <w:color w:val="000000"/>
          <w:sz w:val="22"/>
        </w:rPr>
        <w:t xml:space="preserve">《开标一览表》（报价表）内容与投标文件中相应内容不一致的，以《开标一览表》（报价表）为准。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rPr>
        <w:t xml:space="preserve"> </w:t>
      </w:r>
      <w:r>
        <w:rPr>
          <w:rFonts w:ascii="SimSun" w:hAnsi="SimSun" w:eastAsia="SimSun" w:cs="SimSun"/>
          <w:color w:val="000000"/>
          <w:sz w:val="22"/>
        </w:rPr>
        <w:t xml:space="preserve">投标文件、《开标一览表》（报价表）中报价的大写金额与小写金额不一致的，以大写金额为准。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rPr>
          <w:rFonts w:ascii="SimSun" w:hAnsi="SimSun" w:eastAsia="SimSun" w:cs="SimSun"/>
          <w:color w:val="000000"/>
          <w:sz w:val="21"/>
        </w:rPr>
        <w:t xml:space="preserve"> </w:t>
      </w:r>
      <w:r>
        <w:rPr>
          <w:rFonts w:ascii="SimSun" w:hAnsi="SimSun" w:eastAsia="SimSun" w:cs="SimSun"/>
          <w:color w:val="000000"/>
          <w:sz w:val="22"/>
        </w:rPr>
        <w:t xml:space="preserve">单价金额小数点或者百分比有明显错位的，以《开标一览表》（报价表）的总价为准，并修改单价；</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rPr>
          <w:rFonts w:ascii="SimSun" w:hAnsi="SimSun" w:eastAsia="SimSun" w:cs="SimSun"/>
          <w:color w:val="000000"/>
          <w:sz w:val="21"/>
        </w:rPr>
        <w:t xml:space="preserve"> </w:t>
      </w:r>
      <w:r>
        <w:rPr>
          <w:rFonts w:ascii="SimSun" w:hAnsi="SimSun" w:eastAsia="SimSun" w:cs="SimSun"/>
          <w:color w:val="000000"/>
          <w:sz w:val="22"/>
        </w:rPr>
        <w:t xml:space="preserve">总价金额与按单价汇总金额不一致的，以单价金额计算结果为准；只有在评委会认为单价有明显的小数点错误时，才能以标出的总价为准，并修改单价。</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rPr>
          <w:rFonts w:ascii="SimSun" w:hAnsi="SimSun" w:eastAsia="SimSun" w:cs="SimSun"/>
          <w:color w:val="000000"/>
          <w:sz w:val="21"/>
        </w:rPr>
        <w:t xml:space="preserve"> </w:t>
      </w:r>
      <w:r>
        <w:rPr>
          <w:rFonts w:ascii="SimSun" w:hAnsi="SimSun" w:eastAsia="SimSun" w:cs="SimSun"/>
          <w:color w:val="000000"/>
          <w:sz w:val="22"/>
        </w:rPr>
        <w:t xml:space="preserve">同时出现20.2.3.1中两种以上不一致的，按照（1）-（4）的顺序修正。修正后的报价由法定代表人或其授权的代表通过“苏采云”系统确认后产生约束力，投标人不确认的，投标无效。</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rPr>
          <w:rFonts w:ascii="SimSun" w:hAnsi="SimSun" w:eastAsia="SimSun" w:cs="SimSun"/>
          <w:color w:val="000000"/>
          <w:sz w:val="21"/>
        </w:rPr>
        <w:t xml:space="preserve"> </w:t>
      </w:r>
      <w:r>
        <w:rPr>
          <w:rFonts w:ascii="SimSun" w:hAnsi="SimSun" w:eastAsia="SimSun" w:cs="SimSun"/>
          <w:color w:val="000000"/>
          <w:sz w:val="22"/>
        </w:rPr>
        <w:t xml:space="preserve">对不同文字文本投标文件的解释发生异议的，以中文文本为准。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20.2.3.2评标委员会将按上述修正错误的方法调整投标文件中的投标价，调整后的价格应对投标人具有约束力。如果投标人不接受修正后的价格，则其投标将被拒绝。</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20.2.3.3 评委会将允许修正投标文件中不构成重大偏离的、微小的、非正规的、不一致的或不规则的地方，但这些修改不能影响任何投标人相应的名次排列。</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20.2.3.4 </w:t>
      </w:r>
      <w:r>
        <w:rPr>
          <w:rFonts w:ascii="SimSun" w:hAnsi="SimSun" w:eastAsia="SimSun" w:cs="SimSun"/>
          <w:b/>
          <w:color w:val="000000"/>
          <w:sz w:val="22"/>
        </w:rPr>
        <w:t xml:space="preserve">澄清有关问题</w:t>
      </w:r>
      <w:r>
        <w:rPr>
          <w:rFonts w:ascii="SimSun" w:hAnsi="SimSun" w:eastAsia="SimSun" w:cs="SimSun"/>
          <w:color w:val="000000"/>
          <w:sz w:val="22"/>
        </w:rPr>
        <w:t xml:space="preserve">。对投标文件中含义不明确、同类问题表述不一致或者明显文字错误的内容，评标委员会可以要求供应商作出必要的澄清、说明或者补正。供应商的澄清、说明或者补正不得超出响应文件的范围或者改变响应文件的实质性内容。</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20.2.3.5需要供应商进行澄清、说明和补正的，评标委员会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20.2.3.6接到评标委员会澄清、说明和补正要求的供应商如未按规定作出澄清、说明和补正，其风险由供应商自行承担。供应商拒不按照要求对响应件进行澄清、说明或者补正的，视其放弃该项权利。</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20.2.3.5比较与评价。</w:t>
      </w:r>
      <w:r>
        <w:rPr>
          <w:rFonts w:ascii="SimSun" w:hAnsi="SimSun" w:eastAsia="SimSun" w:cs="SimSun"/>
          <w:color w:val="000000"/>
          <w:sz w:val="22"/>
        </w:rPr>
        <w:t xml:space="preserve">按照招标文件中规定的评标方法和标准，对资格性检查和符合性检查合格的投标文件进行商务和技术评估，综合比较与评价。</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20.2.3.6 投标人在开、评标全过程中应保持通讯畅通，及时登录苏采云系统查阅、答复相关信息，并安排专人与代理机构及评委会联系。</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20.2.3.7 如出现投标截止时间后参加投标的供应商或者对招标文件作出实质性响应的供应商不足三家的情况，按政府采购相关规定执行。</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20.3 评标方法和标准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20.3.1 采用综合评分法。</w:t>
      </w:r>
      <w:r>
        <w:rPr>
          <w:rFonts w:ascii="SimSun" w:hAnsi="SimSun" w:eastAsia="SimSun" w:cs="SimSun"/>
          <w:color w:val="000000"/>
          <w:sz w:val="22"/>
        </w:rPr>
        <w:t xml:space="preserve">即在投标文件满足招标文件全部实质性要求前提下，且按照评审因素的量化指标评审得分最高的投标人为中标供应商的评标方法。</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20.3.2 综合评分的主要因素是：详见评分标准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20.3.3</w:t>
      </w:r>
      <w:r>
        <w:rPr>
          <w:rFonts w:ascii="SimSun" w:hAnsi="SimSun" w:eastAsia="SimSun" w:cs="SimSun"/>
          <w:b/>
          <w:color w:val="000000"/>
          <w:sz w:val="22"/>
        </w:rPr>
        <w:t xml:space="preserve">评分标准详见文件第三章。</w:t>
      </w:r>
      <w:r>
        <w:rPr>
          <w:rFonts w:ascii="SimSun" w:hAnsi="SimSun" w:eastAsia="SimSun" w:cs="SimSun"/>
          <w:b/>
          <w:color w:val="000000"/>
          <w:sz w:val="21"/>
        </w:rPr>
        <w:t xml:space="preserve"> </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21、确定中标供应商</w:t>
      </w:r>
      <w:r/>
    </w:p>
    <w:p>
      <w:pPr>
        <w:ind w:left="0" w:right="0" w:firstLine="413"/>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在综合比较与评价后按照得分由高到低顺序对供应商进行排序。评标委员会按综合得分排名推荐中标候选供应商，其中采购包1推荐4家、采购包2推荐4家、采购包3推荐4家、采购包4推荐4家、采购包5推荐3家、采购包6推荐3家、采购包7推荐4家、采购包8推荐3家、采购包9推荐4家、采购包10推荐3家、采购包11推荐3家、采购包12推荐5家。得分相同的，按投标报价由低到高顺序排列。得分且报价相同的，按技术指标（实施方案）优劣顺序排列。同一供应商可同时参加多个采购包投标，但最多兼中2个采购包（如遇系统与文件不一致处，以</w:t>
      </w:r>
      <w:r>
        <w:rPr>
          <w:rFonts w:ascii="SimSun" w:hAnsi="SimSun" w:eastAsia="SimSun" w:cs="SimSun"/>
          <w:color w:val="000000"/>
          <w:sz w:val="22"/>
        </w:rPr>
        <w:t xml:space="preserve">文件为准）。供应商应分别制作并上传投标文件。本项目按采购包1、采购包2、采购包3、采购包4、采购包5、采购包6、采购包7、采购包8、采购包9、采购包10、采购包11、采购包12顺序开评标，按照评标先后顺序确定入围供应商，供应商如已经被推荐为入围供应商，可以参加后续包的评审。</w:t>
      </w:r>
      <w:r/>
    </w:p>
    <w:p>
      <w:pPr>
        <w:ind w:left="0" w:right="0" w:firstLine="413"/>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 按以下第（2）种方式确定中标供应商</w:t>
      </w:r>
      <w:r/>
    </w:p>
    <w:p>
      <w:pPr>
        <w:ind w:left="0" w:right="0" w:firstLine="413"/>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评标委员会直接确定采购包1排名前二、采购包2排名前二、采购包3排名前二、采购包4排名前二、采购包5排名第一、采购包6排名第一、采购包7排名前二、采购包8排名第一、采购包9排名前二、采购包10排名第一、采购包11排名第一、采购包12排名前三的中标候选人为中标供应商；</w:t>
      </w:r>
      <w:r/>
    </w:p>
    <w:p>
      <w:pPr>
        <w:ind w:left="0" w:right="0" w:firstLine="413"/>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（2）采购人在评标委员会推荐的中标候选人中按顺序确定中标供应商。</w:t>
      </w:r>
      <w:r/>
    </w:p>
    <w:p>
      <w:pPr>
        <w:ind w:left="0" w:right="0" w:firstLine="413"/>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left="0" w:right="0" w:firstLine="413"/>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 中标供应商确定之日起两个工作日内，将在财政部门指定的政府采购信息发布媒体上公告。</w:t>
      </w:r>
      <w:r/>
    </w:p>
    <w:p>
      <w:pPr>
        <w:ind w:left="0" w:right="0" w:firstLine="413"/>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 《中标通知书》对采购人和中标供应商具有同等法律效力。</w:t>
      </w:r>
      <w:r/>
    </w:p>
    <w:p>
      <w:pPr>
        <w:ind w:left="0" w:right="0" w:firstLine="413"/>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 《中标通知书》发出后，中标供应商无正当理由不与采购人签订合同的，应当依法承担法律责任。</w:t>
      </w:r>
      <w:r/>
    </w:p>
    <w:p>
      <w:pPr>
        <w:ind w:left="0" w:right="0" w:firstLine="413"/>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21.6代理机构和评标委员会对未中标的供应商不作未中标原因的解释。</w:t>
      </w:r>
      <w:r/>
    </w:p>
    <w:p>
      <w:pPr>
        <w:ind w:left="0" w:right="0" w:firstLine="413"/>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22、编写评标报告</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评标委员会根据全体评标成员签字的原始评标记录和评标结果编写评标报告。</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23、评标过程的保密性</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 招标代理将采取必要措施，保证评标在严格保密的情况下进行。</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 任何单位和个人不得非法干预、影响评标办法的确定，以及评标过程和结果。</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凡是与审查、澄清、评价和比较投标的有关资料等，均不向供应商及与评标无关的其他人员透露。</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五、签订合同</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24、签订合同</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 采购人应当自中标通知书发出之日起30日内，按照招标文件和中标供应商投标文件的规定与中标供应商签订书面合同。所签订的合同不得对招标文件确定事项和中标供应商投标文件作实质性修改。</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24.2采购人不得向中标供应商提出任何不合理的要求作为签订合同的条件，不得与中标供应商私下订立背离合同实质性内容的协议。</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24.3中标供应商拒绝与采购人签订合同，或因不可抗力或者自身原因不能履行政府采购合同的，采购人可以按照评审报告中的得分高低顺序，确定下一顺序投标人为中标供应商，也可以重新开展政府采购活动。</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 采购合同履行中，采购人需追加与合同标的相同货物的，在不改变合同其他条款的前提下，可以与供应商协商签订补充合同，但所有补充合同的采购金额不得超过原合同采购金额的百分之十。</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六、询问、质疑、投诉和诚实信用</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25、询问</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 供应商对招标活动事项有疑问的，可以向招标代理或采购人提出询问，招标代理或采购人将在两个工作日内作出答复，但答复的内容不涉及商业秘密</w:t>
      </w:r>
      <w:r>
        <w:rPr>
          <w:rFonts w:ascii="SimSun" w:hAnsi="SimSun" w:eastAsia="SimSun" w:cs="SimSun"/>
          <w:b/>
          <w:color w:val="000000"/>
          <w:sz w:val="22"/>
        </w:rPr>
        <w:t xml:space="preserve">。</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26、质疑</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 供应商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left="0" w:right="0" w:firstLine="409"/>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 质疑供应商的质疑行为应符合财政部94号令相关规定，质疑供应商是指直接参加本次投标活动的供应商，未参加投标活动的供应商或在投标活动中自身权益未受到损害的供应商所提出的质疑不予受理。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质疑必须以参加投标供应商法定代表人或授权代表原件送达的方式提交，否则，招标代理有权不予受理。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26.4上述应知其权益受到损害之日是指：</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（1）对招标文件提出质疑的，为招标文件公告期限届满之日起计算；</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（2）对采购过程提出质疑的，自采购程序环节结束之日起计算；</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（3）对中标结果提出质疑的，自中标结果公告期限届满之日起计算。</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 质疑文件应包括以下主要内容，并按照“谁主张、谁举证”的原则，附上相关证明材料。否则，招标代理或采购人不予受理：</w:t>
      </w:r>
      <w:r/>
    </w:p>
    <w:p>
      <w:pPr>
        <w:ind w:left="42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（1）质疑项目名称、项目编号、包号、招标公告发布时间、开标时间；</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（2）提起质疑的日期、具体的质疑事项及事实根据（具体条款）；</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（3）认为自己合法权益受到损害或可能受到损害的相关证据材料；</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（4）质疑供应商名称、地址、邮编、联系人、联系电话（包括座机、手机、传真号码等）；</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（5）质疑文件应当署名，质疑人为自然人的，应当由本人签字并附有效身份证明；质疑人为法人或其他组织的，应当由法定代表人签字并加盖单位公章。</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（6）供应商委托代理质疑的，应当向被质疑人提交授权委托书，并载明委托代理的具体权限和事项。</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26.6 招标代理在收到供应商的书面质疑后将及时组织调查核实，在七个工作日内作出答复，并以书面或在网站公告形式通知质疑供应商和其他有关供应商，答复的内容不涉及商业秘密。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26.7招标代理遵循“谁过错谁负担”的原则，有过错的一方承担调查论证费用。</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27、投诉</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 质疑供应商对招标代理的答复不满意，或招标代理未在规定的时间内作出答复的，可以在答复期满后</w:t>
      </w:r>
      <w:r>
        <w:rPr>
          <w:rFonts w:ascii="SimSun" w:hAnsi="SimSun" w:eastAsia="SimSun" w:cs="SimSun"/>
          <w:b/>
          <w:color w:val="000000"/>
          <w:sz w:val="22"/>
        </w:rPr>
        <w:t xml:space="preserve">十五个工作日内</w:t>
      </w:r>
      <w:r>
        <w:rPr>
          <w:rFonts w:ascii="SimSun" w:hAnsi="SimSun" w:eastAsia="SimSun" w:cs="SimSun"/>
          <w:color w:val="000000"/>
          <w:sz w:val="22"/>
        </w:rPr>
        <w:t xml:space="preserve">向采购项目同级财政部门投诉。</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28、诚实信用</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 供应商之间不得相互串通投标报价，不得妨碍其他供应商的公平竞争，不得损害采购人和其他供应商的合法权益。</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 供应商不得以向招标代理工作人员、评标委员会成员行贿或者采取其他不正当手段谋取中标。经查实供应商有此行为的，政府采购管理部门将供应商列入不良行为记录名单，按照《政府采购法》有关规定处理。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供应商不得虚假承诺，否则，按照提供虚假材料谋取中标成交处理。</w:t>
      </w:r>
      <w:r/>
    </w:p>
    <w:p>
      <w:pPr>
        <w:ind w:left="0" w:right="0" w:firstLine="42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 供应商应自觉遵守开标、评标纪律，扰乱开标评标现场秩序的，属于失信行为，根据《江苏省政府采购供应商监督管理暂行办法》，失信行为将被记入供应商诚信档案。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评标标准</w:t>
      </w:r>
      <w:r/>
    </w:p>
    <w:p>
      <w:pPr>
        <w:ind w:left="0" w:right="0" w:firstLine="480"/>
        <w:spacing w:before="0" w:after="0"/>
        <w:tabs>
          <w:tab w:val="left" w:pos="89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本项目采用综合评分法确定中标候选人。评标委员会将按下列评分具体办法和标准进行打分，总分值为100分，小数点后保留两位。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【采购包1：低温乳制品系列】</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832"/>
        <w:gridCol w:w="7037"/>
        <w:gridCol w:w="685"/>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供应商具有自有或租赁专用配送冷链车的，每提供一台车辆得2分，最多得4分。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供应商具有自有冷鲜仓库或租赁冷鲜仓库证明。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仓库面积≥2</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面积＜2</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评委根据供应商提供的低温乳制品系列货品供货渠道（可提供产品来源渠道说明或证明、产品品牌质量或经销资质、进货发票或合同等相关证明材料）进行综合评分：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评委根据供应商提供的低温乳制品系列货品配送服务方案（包括但不限于配送能力、服务流程、库存不足解决方案以及配送过程中安全保障措施等）进行综合评分：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评委根据供应商提供的低温乳制品系列货品退换方案进行综合评分：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评委根据投标人提供的低温乳制品系列货品应急事件处理方案（包括但不限于恶劣天气供应、紧急补货处理、疫情防范措施、售后服务等）进行综合评分：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评委根据投标人提供的因低温乳制品系列货品质量原因发生食品安全事故的处置方案进行综合评分：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评委根据供应商提供的低温乳制品系列货品服从采购人管理方案（包括但不限于与采购人及各主管部门的日常沟通、配合验收，服从现场管理等）进行综合评分：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评委根据供应商提供低温乳制品系列货品服务所具备的优势以及供应商为采购人提供特色服务（包括但不限于活动促销、各类活动支持等）进行综合评分：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　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【采购包2：矿泉水、传统茶饮系列】</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832"/>
        <w:gridCol w:w="7037"/>
        <w:gridCol w:w="685"/>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供应商具有自有或租赁专用配送车辆的，每提供一台车辆得2分，最多得4分。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供应商具有自有仓库或租赁仓库证明。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仓库面积≥3</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面积＜3</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10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评委根据供应商提供的矿泉水、茶饮系列货品供货渠道（可提供产品来源渠道说明或证明、产品品牌质量或经销资质、进货发票或合同等相关证明材料）进行综合评分：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评委根据供应商提供的矿泉水、茶饮系列货品配送服务方案（包括但不限于配送能力、服务流程、库存不足解决方案以及配送过程中安全保障措施等）进行综合评分：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评委根据供应商提供的矿泉水、茶饮系列货品退换方案进行综合评分：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评委根据投标人提供的矿泉水、茶饮系列货品应急事件处理方案（包括但不限于恶劣天气供应、紧急补货处理、疫情防范措施、售后服务等）进行综合评分：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评委根据投标人提供的因矿泉水、茶饮系列货品质量原因发生食品安全事故的处置方案进行综合评分：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评委根据供应商提供的矿泉水、茶饮系列货品服从采购人管理方案（包括但不限于与采购人及各主管部门的日常沟通、配合验收，服从现场管理等）进行综合评分：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评委根据供应商提供矿泉水、茶饮系列货品服务所具备的优势以及供应商为采购人提供特色服务（包括但不限于活动促销、各类活动支持等）进行综合评分：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【采购包3：矿泉水、碳酸饮料系列】</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832"/>
        <w:gridCol w:w="7037"/>
        <w:gridCol w:w="685"/>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供应商具有自有或租赁专用配送车辆的，每提供一台车辆得2分，最多得4分。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供应商具有自有仓库或租赁仓库证明。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仓库面积≥3</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面积＜3</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1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1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评委根据供应商提供的矿泉水、碳酸饮料系列货品供货渠道（可提供产品来源渠道说明或证明、产品品牌质量或经销资质、进货发票或合同等相关证明材料）进行综合评分：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评委根据供应商提供的矿泉水、碳酸饮料系列货品配送服务方案（包括但不限于配送能力、服务流程、库存不足解决方案以及配送过程中安全保障措施等）进行综合评分：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评委根据供应商提供的矿泉水、碳酸饮料系列货品退换方案进行综合评分：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评委根据投标人提供的矿泉水、碳酸饮料系列货品应急事件处理方案（包括但不限于恶劣天气供应、紧急补货处理、疫情防范措施、售后服务等）进行综合评分：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评委根据投标人提供的因矿泉水、碳酸饮料系列货品质量原因发生食品安全事故的处置方案进行综合评分：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评委根据供应商提供的矿泉水、碳酸饮料系列货品服从采购人管理方案（包括但不限于与采购人及各主管部门的日常沟通、配合验收，服从现场管理等）进行综合评分：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评委根据供应商提供矿泉水、碳酸饮料系列货品服务所具备的优势以及供应商为采购人提供特色服务（包括但不限于活动促销、各类活动支持等）进行综合评分：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优势突出，提供特色服务内容完善合理、科学性及可实施性强得4分。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　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【采购包4：气泡水、功能饮料、特色茶饮系列】</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832"/>
        <w:gridCol w:w="7037"/>
        <w:gridCol w:w="685"/>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供应商具有自有或租赁专用配送车辆的，每提供一台车辆得2分，最多得4分。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供应商具有自有仓库或租赁仓库证明。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仓库面积≥3</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面积＜3</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1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评委根据供应商提供的气泡水、功能饮料、茶饮系列货品供货渠道（可提供产品来源渠道说明或证明、产品品牌质量或经销资质、进货发票或合同等相关证明材料）进行综合评分：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评委根据供应商提供的气泡水、功能饮料、茶饮系列货品配送服务方案（包括但不限于配送能力、服务流程、库存不足解决方案以及配送过程中安全保障措施等）进行综合评分：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评委根据供应商提供的气泡水、功能饮料、茶饮系列货品退换方案进行综合评分：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评委根据投标人提供的气泡水、功能饮料、茶饮系列货品应急事件处理方案（包括但不限于恶劣天气供应、紧急补货处理、疫情防范措施、售后服务等）进行综合评分：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评委根据投标人提供的因气泡水、功能饮料、茶饮系列货品质量原因发生食品安全事故的处置方案进行综合评分：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评委根据供应商提供的气泡水、功能饮料、茶饮系列货品服从采购人管理方案（包括但不限于与采购人及各主管部门的日常沟通、配合验收，服从现场管理等）进行综合评分：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评委根据供应商提供气泡水、功能饮料、茶饮系列货品服务所具备的优势以及供应商为采购人提供特色服务（包括但不限于活动促销、各类活动支持等）进行综合评分：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优势突出，提供特色服务内容完善合理、科学性及可实施性强得4分。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　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【采购包5：方便面系列】</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832"/>
        <w:gridCol w:w="7037"/>
        <w:gridCol w:w="685"/>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供应商具有自有或租赁专用配送车辆的，每提供一台车辆得2分，最多得4分。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供应商具有自有仓库或租赁仓库证明。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仓库面积≥2</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面积＜2</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评委根据供应商提供的方便面系列货品供货渠道（可提供产品来源渠道说明或证明、产品品牌质量或经销资质、进货发票或合同等相关证明材料）进行综合评分：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评委根据供应商提供的方便面系列货品配送服务方案（包括但不限于配送能力、服务流程、库存不足解决方案以及配送过程中安全保障措施等）进行综合评分：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评委根据供应商提供的方便面系列货品退换方案进行综合评分：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评委根据投标人提供的方便面系列货品应急事件处理方案（包括但不限于恶劣天气供应、紧急补货处理、疫情防范措施、售后服务等）进行综合评分：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评委根据投标人提供的因方便面系列货品质量原因发生食品安全事故的处置方案进行综合评分：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评委根据供应商提供的方便面系列货品服从采购人管理方案（包括但不限于与采购人及各主管部门的日常沟通、配合验收，服从现场管理等）进行综合评分：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评委根据供应商提供方便面系列货品服务所具备的优势以及供应商为采购人提供特色服务（包括但不限于活动促销、各类活动支持等）进行综合评分：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优势突出，提供特色服务内容完善合理、科学性及可实施性强得4分。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　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【采购包6：冷饮、速冻食品系列】</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832"/>
        <w:gridCol w:w="7037"/>
        <w:gridCol w:w="685"/>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供应商具有自有或租赁专用配送冷链车的，每提供一台车辆得2分，最多得4分。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供应商具有自有冷冻仓库或租赁冷冻仓库证明。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仓库面积≥2</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面积＜2</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7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评委根据供应商提供的冷饮类、速冻食品系列货品供货渠道（可提供产品来源渠道说明或证明、产品品牌质量或经销资质、进货发票或合同等相关证明材料）进行综合评分：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评委根据供应商提供的冷饮类、速冻食品系列货品配送服务方案（包括但不限于配送能力、服务流程、库存不足解决方案以及配送过程中安全保障措施等）进行综合评分：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评委根据供应商提供的冷饮类、速冻食品系列货品退换方案进行综合评分：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评委根据投标人提供的冷饮类、速冻食品系列货品应急事件处理方案（包括但不限于恶劣天气供应、紧急补货处理、疫情防范措施、售后服务等）进行综合评分：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评委根据投标人提供的因冷饮类、速冻食品系列货品质量原因发生食品安全事故的处置方案进行综合评分：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评委根据供应商提供的冷饮类、速冻食品系列货品服从采购人管理方案（包括但不限于与采购人及各主管部门的日常沟通、配合验收，服从现场管理等）进行综合评分：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评委根据供应商提供冷饮类、速冻食品系列货品服务所具备的优势以及供应商为采购人提供特色服务（包括但不限于活动促销、各类活动支持等）进行综合评分：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优势突出，提供特色服务内容完善合理、科学性及可实施性强得4分。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　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【采购包7：短保面包系列】</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832"/>
        <w:gridCol w:w="7037"/>
        <w:gridCol w:w="685"/>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供应商具有自有或租赁专用配送车辆的，每提供一台车辆得2分，最多得4分。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供应商具有自有仓库或租赁仓库证明。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仓库面积≥2</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面积＜2</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评委根据供应商提供的短保面包系列货品供货渠道（可提供产品来源渠道说明或证明、产品品牌质量或经销资质、进货发票或合同等相关证明材料）进行综合评分：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评委根据供应商提供的短保面包系列货品配送服务方案（包括但不限于配送能力、服务流程、库存不足解决方案以及配送过程中安全保障措施等）进行综合评分：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评委根据供应商提供的短保面包系列货品退换方案进行综合评分：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评委根据投标人提供的短保面包货品应急事件处理方案（包括但不限于恶劣天气供应、紧急补货处理、疫情防范措施、售后服务等）进行综合评分：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评委根据投标人提供的因短保面包系列货品质量原因发生食品安全事故的处置方案进行综合评分：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评委根据供应商提供的短保面包系列货品服从采购人管理方案（包括但不限于与采购人及各主管部门的日常沟通、配合验收，服从现场管理等）进行综合评分：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评委根据供应商提供短保面包系列货品服务所具备的优势以及供应商为采购人提供特色服务（包括但不限于活动促销、各类活动支持等）进行综合评分：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优势突出，提供特色服务内容完善合理、科学性及可实施性强得4分。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　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【采购包8：即食鲜食系列】</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832"/>
        <w:gridCol w:w="7037"/>
        <w:gridCol w:w="685"/>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供应商具有自有或租赁专用配送冷链车的，每提供一台车辆得2分，最多得4分。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供应商具有自有冷鲜仓库或租赁冷鲜仓库证明。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仓库面积≥2</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面积＜2</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评委根据供应商提供的即食鲜食系列货品供货渠道（可提供产品来源渠道说明或证明、产品品牌质量或经销资质、进货发票或合同等相关证明材料）进行综合评分：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评委根据供应商提供的即食鲜食系列货品配送服务方案（包括但不限于配送能力、服务流程、库存不足解决方案以及配送过程中安全保障措施等）进行综合评分：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评委根据供应商提供的即食鲜食系列货品退换方案进行综合评分：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评委根据投标人提供的即食鲜食系列货品应急事件处理方案（包括但不限于恶劣天气供应、紧急补货处理、疫情防范措施、售后服务等）进行综合评分：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评委根据投标人提供的因即食鲜食系列货品质量原因发生食品安全事故的处置方案进行综合评分：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评委根据供应商提供的即食鲜食系列货品服从采购人管理方案（包括但不限于与采购人及各主管部门的日常沟通、配合验收，服从现场管理等）进行综合评分：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评委根据供应商提供即食鲜食系列货品服务所具备的优势以及供应商为采购人提供特色服务（包括但不限于活动促销、各类活动支持等）进行综合评分：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优势突出，提供特色服务内容完善合理、科学性及可实施性强得4分。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　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【采购包9：副食品系列】</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832"/>
        <w:gridCol w:w="7037"/>
        <w:gridCol w:w="685"/>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供应商具有自有或租赁专用配送车辆的，每提供一台车辆得2分，最多得4分。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供应商具有自有仓库或租赁仓库证明。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仓库面积≥1</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面积＜1</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评委根据供应商提供的副食品系列货品供货渠道（可提供产品来源渠道说明或证明、产品品牌质量或经销资质、进货发票或合同等相关证明材料）进行综合评分：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评委根据供应商提供的副食品系列货品配送服务方案（包括但不限于配送能力、服务流程、库存不足解决方案以及配送过程中安全保障措施等）进行综合评分：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评委根据供应商提供的副食品系列货品退换方案进行综合评分：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评委根据投标人提供的副食品系列货品应急事件处理方案（包括但不限于恶劣天气供应、紧急补货处理、疫情防范措施、售后服务等）进行综合评分：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评委根据投标人提供的因副食品系列货品质量原因发生食品安全事故的处置方案进行综合评分：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评委根据供应商提供的副食品系列货品服从采购人管理方案（包括但不限于与采购人及各主管部门的日常沟通、配合验收，服从现场管理等）进行综合评分：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评委根据供应商提供副食品系列货品服务所具备的优势以及供应商为采购人提供特色服务（包括但不限于活动促销、各类活动支持等）进行综合评分：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优势突出，提供特色服务内容完善合理、科学性及可实施性强得4分。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　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【采购包10：散称食品系列】</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832"/>
        <w:gridCol w:w="7037"/>
        <w:gridCol w:w="685"/>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供应商具有自有或租赁专用配送车辆的，每提供一台车辆得2分，最多得4分。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供应商具有自有仓库或租赁仓库证明。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仓库面积≥1</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面积＜1</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评委根据供应商提供的散称食品系列货品供货渠道（可提供产品来源渠道说明或证明、产品品牌质量或经销资质、进货发票或合同等相关证明材料）进行综合评分：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评委根据供应商提供的散称食品系列货品配送服务方案（包括但不限于配送能力、服务流程、库存不足解决方案以及配送过程中安全保障措施等）进行综合评分：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评委根据供应商提供的散称食品系列货品退换方案进行综合评分：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评委根据投标人提供的散称食品系列货品应急事件处理方案（包括但不限于恶劣天气供应、紧急补货处理、疫情防范措施、售后服务等）进行综合评分：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评委根据投标人提供的因散称食品系列货品质量原因发生食品安全事故的处置方案进行综合评分：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评委根据供应商提供的散称食品系列货品服从采购人管理方案（包括但不限于与采购人及各主管部门的日常沟通、配合验收，服从现场管理等）进行综合评分：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评委根据供应商提供散称食品系列货品服务所具备的优势以及供应商为采购人提供特色服务（包括但不限于活动促销、各类活动支持等）进行综合评分：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优势突出，提供特色服务内容完善合理、科学性及可实施性强得4分。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　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【采购包11：常温乳制品系列】</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832"/>
        <w:gridCol w:w="7037"/>
        <w:gridCol w:w="685"/>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供应商具有自有或租赁专用配送车辆的，每提供一台车辆得2分，最多得4分。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供应商具有自有仓库或租赁仓库证明。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仓库面积≥2</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面积＜2</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需提供人员配置名单（需包含具体负责事项）、有效期内健康证、劳动合同以及投标截止时间前近半年（2026年1月-6月）内任意一个月的社会保险证明。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具有类似品类供货项目业绩的，每提供1个业绩得1分，最多得4分。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保险要求：</w:t>
            </w:r>
            <w:r>
              <w:rPr>
                <w:rFonts w:ascii="SimSun" w:hAnsi="SimSun" w:eastAsia="SimSun" w:cs="SimSun"/>
                <w:color w:val="000000"/>
                <w:sz w:val="22"/>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供应商具有本分包产品食品安全责任保险或承诺中标后（合同签订前）为本分包产品投保食品安全责任险，且保险有效期应覆盖本项目周期：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保险金额≥500万元的得4分；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500万元＞保险金额≥200万元的得2分；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其他不得分。</w:t>
            </w:r>
            <w:r>
              <w:rPr>
                <w:rFonts w:ascii="SimSun" w:hAnsi="SimSun" w:eastAsia="SimSun" w:cs="SimSun"/>
                <w:color w:val="000000"/>
                <w:sz w:val="21"/>
              </w:rPr>
              <w:t xml:space="preserve"> </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①若现已购买保险：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1）需提供保单证明材料；若现有保险有效期未覆盖项目周期，供应商需额外承诺保险的有效期可完全覆盖本项目周期，提供承诺书，格式自拟；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②若承诺中标后（合同签订前）购买：</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提供承诺书。（承诺书格式详见招标文件第六章附件七），未提供或未按要求提供不得分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评委根据供应商提供的常温乳制品系列货品供货渠道（可提供产品来源渠道说明或证明、产品品牌质量或经销资质、进货发票或合同等相关证明材料）进行综合评分：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评委根据供应商提供的常温乳制品系列货品配送服务方案（包括但不限于配送能力、服务流程、库存不足解决方案以及配送过程中安全保障措施等）进行综合评分：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评委根据供应商提供的常温乳制品系列货品退换方案进行综合评分：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评委根据投标人提供的常温乳制品系列货品应急事件处理方案（包括但不限于恶劣天气供应、紧急补货处理、疫情防范措施、售后服务等）进行综合评分：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食品安全事故处置方案：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评委根据投标人提供的因常温乳制品系列货品质量原因发生食品安全事故的处置方案进行综合评分：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评委根据供应商提供的常温乳制品系列货品服从采购人管理方案（包括但不限于与采购人及各主管部门的日常沟通、配合验收，服从现场管理等）进行综合评分：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评委根据供应商提供常温乳制品系列货品服务所具备的优势以及供应商为采购人提供特色服务（包括但不限于活动促销、各类活动支持等）进行综合评分：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　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【采购包12：日用百货、洗护系列】</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832"/>
        <w:gridCol w:w="7037"/>
        <w:gridCol w:w="685"/>
      </w:tblGrid>
      <w:tr>
        <w:trPr>
          <w:trHeight w:val="4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11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采用低价优先法计算，即满足招标文件要求且投标总价最低的投标报价为评标基准价，其价格分为满分。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其他供应商的价格分统一按照下列公式计算：</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投标报价得分=（评标基准价/投标总价）×40（小数点保留两位）</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供应商的报价须能符合市场行情（如当地货品批发价、电商平台价、行业指导价等），不得恶意竞争。评标委员会认为供应商的报价明显低于其他通过符合性审查供应商的报价，有可能影响产品质量或者不能诚信履约的，供应商应在评标现场合理的时间内提供书面说明，必要时提交相关证明材料；供应商不能证明其报价合理性的，评标委员会将其作为无效投标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供应商具有自有或租赁专用配送车辆的，每提供一台车辆得2分，最多得4分。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2）有效的行驶证复印件，行驶证上显示的所有人需与供应商名称一致。</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②若为租用车辆：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1）需提供车辆照片；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2）截至投标日仍在合同期内的租赁合同复印件；若现有合同租赁期未覆盖项目周期，供应商需额外承诺租用车辆的租赁期可完全覆盖本项目周期，提供承诺书，格式自拟；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3）有效的行驶证复印件，行驶证上显示的所有人需与出租方名称一致；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8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仓储能力：</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供应商具有自有仓库或租赁仓库证明。</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仓库面积≥2</w:t>
            </w:r>
            <w:r>
              <w:rPr>
                <w:rFonts w:ascii="SimSun" w:hAnsi="SimSun" w:eastAsia="SimSun" w:cs="SimSun"/>
                <w:color w:val="000000"/>
                <w:sz w:val="21"/>
              </w:rPr>
              <w:t xml:space="preserve">00㎡，得</w:t>
            </w:r>
            <w:r>
              <w:rPr>
                <w:rFonts w:ascii="SimSun" w:hAnsi="SimSun" w:eastAsia="SimSun" w:cs="SimSun"/>
                <w:color w:val="000000"/>
                <w:sz w:val="22"/>
              </w:rPr>
              <w:t xml:space="preserve">4分；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面积＜2</w:t>
            </w:r>
            <w:r>
              <w:rPr>
                <w:rFonts w:ascii="SimSun" w:hAnsi="SimSun" w:eastAsia="SimSun" w:cs="SimSun"/>
                <w:color w:val="000000"/>
                <w:sz w:val="21"/>
              </w:rPr>
              <w:t xml:space="preserve">00㎡，得2分；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未提供不得分。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①若为自有仓库：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2）仓库产权证明复印件。</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②若为租赁仓库：</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1）需提供仓库的相关照片；</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2）截至投标日仍在合同期内的租赁协议复印件；若现有合同租赁期未覆盖项目周期，供应商需额外承诺租用仓库的租赁期可完全覆盖本项目周期，提供承诺书，格式自拟；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项目团队：</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需明确团队所有成员（含项目负责人）配置名单及具体负责事项，项目负责人及团队所有成员必须是供应商的正式员工，每提供一名团队成员的完整证明材料得2分，最高得6分，未提供团队服务人员名单及相关证明材料不得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需提供人员配置名单（需包含具体负责事项）、劳动合同以及投标截止时间前近半年（2026年1月-6月）内任意一个月的社会保险证明。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企业业绩：</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供应商自2023年1月1日（含）以来：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具有类似品类供货项目业绩的，每提供1个业绩得2分，最多得8分。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注：需提供以下证明材料并加盖投标单位公章：</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需提供合同复印件，时间以合同签订日期或合同期限起始时间为准，未提供不得分，同一采购单位不重复计分。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0"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承诺：</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供应商每提供一项以下服务承诺得1分，本项最多得4分，未提供或提供不全的不得分。</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①供应商承诺在履行本项目的全部过程中，因存在质量问题或因质量原因发生的食品安全事故，供应商主要负责人和相关主管人员30分钟内响应并积极处理，及时做好安抚工作和善后处理。</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应商承诺在履行本项目的全部过程中完全满足采购人配送需求，保证能按时、保质、保量配送并及时做好补货、调换货服务；若因供应商自身原因出现无法及时按要求完成调换或送货等配送问题，无条件接受采购人相应的处罚措施。凡出现因配送运输引发的安全事故，供应商承担全部法律责任并赔偿所有经济损失。</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应商承诺在本项目合同有效期内，按投标报价或经采购人确认的价格，无条件保质保量按时供货，自负盈亏。供应商不得以任何理由降低供货品质和服务质量，不得以任何理由拒绝供货或减少供货，否则采购人有权全额没收履约保证金并追究违约责任。</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p>
            <w:pPr>
              <w:ind w:left="252" w:right="0" w:hanging="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④供应商承诺严格遵守采购人单位的各项规章制度，服从采购人管理，不与采购人单位或人员发生冲突或其他不文明行为。</w:t>
            </w:r>
            <w:r>
              <w:rPr>
                <w:rFonts w:ascii="SimSun" w:hAnsi="SimSun" w:eastAsia="SimSun" w:cs="SimSun"/>
                <w:b/>
                <w:color w:val="000000"/>
                <w:sz w:val="22"/>
              </w:rPr>
              <w:t xml:space="preserve">（提供承诺书并加盖投标单位公章，承诺书格式自拟）</w:t>
            </w:r>
            <w:r>
              <w:rPr>
                <w:rFonts w:ascii="SimSun" w:hAnsi="SimSun" w:eastAsia="SimSun" w:cs="SimSun"/>
                <w:color w:val="000000"/>
                <w:sz w:val="22"/>
              </w:rPr>
              <w:t xml:space="preserve">。</w:t>
            </w: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2" w:type="dxa"/>
            <w:vAlign w:val="center"/>
            <w:vMerge w:val="restart"/>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实施方案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采购渠道方案：</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评委根据供应商提供的日用百货、洗护系列货品供货渠道（可提供产品来源渠道说明或证明、产品品牌质量或经销资质、进货发票或合同等相关证明材料）进行综合评分：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①所供货品具有可追溯性供货渠道正规，质量符合采购要求得5分；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②供货渠道较正规，质量较符合采购要求得3分；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③供货渠道不清晰，质量基本符合采购要求得1分；</w:t>
            </w:r>
            <w:r/>
          </w:p>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配送服务方案：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评委根据供应商提供的日用百货、洗护系列货品配送服务方案（包括但不限于配送能力、服务流程、库存不足解决方案以及配送过程中安全保障措施等）进行综合评分：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①方案全面合理、可操作性强且有不同于其他供应商特色举措的得5分；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②方案齐全、具有实际可操作性的得3分；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货品退换方案：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评委根据供应商提供的日用百货、洗护系列货品退换方案进行综合评分：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①方案描述清晰、详细、保障措施健全、有针对性，得5分；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②方案描述清晰、保障措施得当，得3分；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12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应急事件处理方案：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评委根据投标人提供的日用百货、洗护系列货品应急事件处理方案（包括但不限于恶劣天气供应、紧急补货处理、疫情防范措施、售后服务等）进行综合评分：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①方案全面合理、时效性强的得5分；</w:t>
            </w: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②方案较齐全、时效性较强的得3分；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③方案一般、实际可操作性一般的得1分；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货品安全事故处置方案：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评委根据投标人提供的因日用百货、洗护系列货品质量原因发生货品安全事故的处置方案进行综合评分：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①方案描述清晰、详细、处置措施健全、应急反应速度快、安抚工作职责明确、善后措施完善、有针对性，得5分；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②方案描述清晰、处置措施得当、安抚工作职责明确、善后措施合理，得3分；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④未提供方案不得分。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服从管理方案：</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评委根据供应商提供的日用百货、洗护系列货品服从采购人管理方案（包括但不限于与采购人及各主管部门的日常沟通、配合验收，服从现场管理等）进行综合评分：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①方案描述清晰、详细、健全、有针对性，得</w:t>
            </w:r>
            <w:r>
              <w:rPr>
                <w:rFonts w:ascii="SimSun" w:hAnsi="SimSun" w:eastAsia="SimSun" w:cs="SimSun"/>
                <w:color w:val="000000"/>
                <w:sz w:val="21"/>
              </w:rPr>
              <w:t xml:space="preserve">5</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②方案描述清晰、内容较为完善，得</w:t>
            </w:r>
            <w:r>
              <w:rPr>
                <w:rFonts w:ascii="SimSun" w:hAnsi="SimSun" w:eastAsia="SimSun" w:cs="SimSun"/>
                <w:color w:val="000000"/>
                <w:sz w:val="21"/>
              </w:rPr>
              <w:t xml:space="preserve">3</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③内容不全、有所欠缺，最多得1分。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center"/>
            <w:textDirection w:val="lrTb"/>
            <w:noWrap w:val="false"/>
          </w:tcPr>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供应商优势和特色服务：</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评委根据供应商提供日用百货、洗护系列货品服务所具备的优势以及供应商为采购人提供特色服务（包括但不限于活动促销、各类活动支持等）进行综合评分：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①</w:t>
            </w:r>
            <w:r>
              <w:rPr>
                <w:rFonts w:ascii="SimSun" w:hAnsi="SimSun" w:eastAsia="SimSun" w:cs="SimSun"/>
                <w:color w:val="000000"/>
                <w:sz w:val="22"/>
              </w:rPr>
              <w:t xml:space="preserve">优势突出，提供特色服务内容完善合理、科学性及可实施性强得</w:t>
            </w: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②</w:t>
            </w:r>
            <w:r>
              <w:rPr>
                <w:rFonts w:ascii="SimSun" w:hAnsi="SimSun" w:eastAsia="SimSun" w:cs="SimSun"/>
                <w:color w:val="000000"/>
                <w:sz w:val="22"/>
              </w:rPr>
              <w:t xml:space="preserve">优势较为突出，提供特色服务内容较为合理，科学性及可实施性较强，得</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③</w:t>
            </w:r>
            <w:r>
              <w:rPr>
                <w:rFonts w:ascii="SimSun" w:hAnsi="SimSun" w:eastAsia="SimSun" w:cs="SimSun"/>
                <w:color w:val="000000"/>
                <w:sz w:val="22"/>
              </w:rPr>
              <w:t xml:space="preserve">优势一般，提供特色服务内容基本合理，科学性及可实施性一般的，最多得</w:t>
            </w:r>
            <w:r>
              <w:rPr>
                <w:rFonts w:ascii="Times New Roman" w:hAnsi="Times New Roman" w:eastAsia="Times New Roman" w:cs="Times New Roman"/>
                <w:color w:val="000000"/>
                <w:sz w:val="21"/>
              </w:rPr>
              <w:t xml:space="preserve">1</w:t>
            </w:r>
            <w:r>
              <w:rPr>
                <w:rFonts w:ascii="SimSun" w:hAnsi="SimSun" w:eastAsia="SimSun" w:cs="SimSun"/>
                <w:color w:val="000000"/>
                <w:sz w:val="22"/>
              </w:rPr>
              <w:t xml:space="preserve">分。</w:t>
            </w:r>
            <w:r/>
          </w:p>
          <w:p>
            <w:pPr>
              <w:ind w:left="42"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④</w:t>
            </w:r>
            <w:r>
              <w:rPr>
                <w:rFonts w:ascii="SimSun" w:hAnsi="SimSun" w:eastAsia="SimSun" w:cs="SimSun"/>
                <w:color w:val="000000"/>
                <w:sz w:val="22"/>
              </w:rPr>
              <w:t xml:space="preserve">　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ind w:left="42"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一、小微企业的价格扣除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2.价格扣除比例或者价格分加分比例对小型企业和微型企业同等对待，不作区分。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二、监狱和戒毒企业的价格扣除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1.本项目对监狱和戒毒企业（简称监狱企业）视同小型、微型企业，享受相同的价格扣除优惠政策。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2.监狱企业需提供由省级以上监狱管理局、戒毒管理局（含新疆生产建设兵团）出具的属于监狱企业的证明文件。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3.监狱企业标准请参照《关于政府采购支持监狱企业发展有关问题的通知》（财库〔2014〕68号）。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三、残疾人福利性单位的价格扣除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1.本项目对残疾人福利性单位视同小型、微型企业，享受相同的价格扣除优惠政策。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2.残疾人福利性单位需按照招标文件的要求提供《残疾人福利性单位声明函》。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3.残疾人福利性单位标准请参照《关于促进残疾人就业政府采购政策的通知》（财库〔2017〕141号）。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四、监狱企业、残疾人福利性单位属于小型、微型企业的，不重复享受政策。</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五、采购本国产品的支持政策</w:t>
      </w:r>
      <w:r>
        <w:rPr>
          <w:rFonts w:ascii="SimSun" w:hAnsi="SimSun" w:eastAsia="SimSun" w:cs="SimSun"/>
          <w:b/>
          <w:color w:val="000000"/>
          <w:sz w:val="22"/>
        </w:rPr>
        <w:t xml:space="preserve">（仅适用于采购包12）</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rPr>
        <w:t xml:space="preserve"> </w:t>
      </w:r>
      <w:r>
        <w:rPr>
          <w:rFonts w:ascii="SimSun" w:hAnsi="SimSun" w:eastAsia="SimSun" w:cs="SimSun"/>
          <w:color w:val="000000"/>
          <w:sz w:val="22"/>
        </w:rPr>
        <w:t xml:space="preserve">本项目政府采购活动中既有本国产品又有非本国产品参与竞争的，依法对本国产品给予价格评审优惠，对本国产品的报价给予20%的价格扣除，用扣除后的价格参与评审。</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及附件”中的“目录四、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3、供应商需按照招标文件的要求提供《关于符合本国产品标准的声明函》（以下简称《声明函》），如不提供将不享受本国产品价格评审优惠。</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购人与中标人在签订合同时，有权要求中标人提供其投标文件中的承诺响应的证明材料原件进行真实性核实，如中标人无法提供，或无法核实真实性的，则视为虚假响应，报财政部门按照政府采购相关规定处理。</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招标项目的技术规格</w:t>
      </w:r>
      <w:r>
        <w:rPr>
          <w:rFonts w:ascii="SimSun" w:hAnsi="SimSun" w:eastAsia="SimSun" w:cs="SimSun"/>
          <w:color w:val="000000"/>
          <w:sz w:val="22"/>
        </w:rPr>
        <w:t xml:space="preserve">、</w:t>
      </w:r>
      <w:r>
        <w:rPr>
          <w:rFonts w:ascii="SimSun" w:hAnsi="SimSun" w:eastAsia="SimSun" w:cs="SimSun"/>
          <w:b/>
          <w:color w:val="000000"/>
          <w:sz w:val="36"/>
        </w:rPr>
        <w:t xml:space="preserve">要求和数量等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注：本章节需在《技术条款偏离表》或《商务条款偏离表》中进行响应，其中加“★”内容为实质性要求，投标人未对实质性要求明确响应或有负偏离的，按无效投标处理。</w:t>
      </w:r>
      <w:r/>
    </w:p>
    <w:p>
      <w:pPr>
        <w:pStyle w:val="704"/>
        <w:ind w:left="0" w:right="0" w:firstLine="0"/>
        <w:jc w:val="center"/>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 项目总则）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一、项目简介：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为规范南京医科大学超市货品及后勤物资的采购，确保货品采购公平、公正、公开及采购价格合理，质量符合食品卫生安全及相关质量要求。现拟通过公开招标的方式确定所需家数供应及配送下列货品的供应商。</w:t>
      </w:r>
      <w:r/>
    </w:p>
    <w:p>
      <w:pPr>
        <w:pStyle w:val="704"/>
        <w:ind w:left="0" w:right="0" w:firstLine="0"/>
        <w:jc w:val="center"/>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 技术部分）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二、采购需求清单及质量标准：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采购包1：低温乳制品系列。选取2家供应商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 GB 25190、GB 25191 等国家标准。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2、剩余保质期不得低于总保质期的80%。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3、运输工具、配送人员、包装材料和货物运输途中的防护措施必须符合相关规定和要求；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4、每次供货时，中标供应商须向采购人提供当批次符合国家及行业标准的有效检测或检验报告、冷链运输记录、产品合格证及供货清单，且所有资料必须</w:t>
      </w:r>
      <w:r>
        <w:rPr>
          <w:rFonts w:ascii="SimSun" w:hAnsi="SimSun" w:eastAsia="SimSun" w:cs="SimSun"/>
          <w:color w:val="000000"/>
          <w:sz w:val="24"/>
          <w:highlight w:val="white"/>
        </w:rPr>
        <w:t xml:space="preserve">加盖供应商公章</w:t>
      </w:r>
      <w:r>
        <w:rPr>
          <w:rFonts w:ascii="SimSun" w:hAnsi="SimSun" w:eastAsia="SimSun" w:cs="SimSun"/>
          <w:color w:val="000000"/>
          <w:sz w:val="24"/>
        </w:rPr>
        <w:t xml:space="preserve">，采购人将对货物标签完整性及新鲜度进行核查。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6、货物的标签标识内容必须真实，符合国家法律法规的规定，并符合相应产品（标签）标准的要求，外包装上必须明确标注规格、型号、生产日期、保质期、生产商等信息。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1.1包装应符合相应卫生标准的包装材料，包装材料应密封、防潮；并且满足标准中关于丙烯腈、苯乙烯、氯乙烯等特异性指标的限量要求，避免有害物质迁移至食品中；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2.3必须全程使用清洁卫生的专用冷链运输车辆配送，并采取防晒、防雨措施，保证货物的卫生与安全。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4、中标供应商所送货物不符合相关质量标准，或使用方发现所送货物有明显质量问题，供应商需无条件退货，并及时补货，保证不影响超市正常供应，情节严重的采购人有权单方终止合同。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5、配送企业必须按所填订单配送，按规定时间送达指定地点，确保食品新鲜、优质、安全、可靠。</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采购包2：矿泉水、传统茶饮系列。选取2家供应商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 GB 7101、GB/T 10792 等国家标准。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2.剩余保质期不得低于货品标示总保质期的三分之二。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4、每次供货时，中标供应商须向采购人提供当批次符合国家及行业标准的有效检测或检验报告、产品合格证及供货清单，且所有资料必须</w:t>
      </w:r>
      <w:r>
        <w:rPr>
          <w:rFonts w:ascii="SimSun" w:hAnsi="SimSun" w:eastAsia="SimSun" w:cs="SimSun"/>
          <w:color w:val="000000"/>
          <w:sz w:val="24"/>
          <w:highlight w:val="white"/>
        </w:rPr>
        <w:t xml:space="preserve">加盖供应商公章</w:t>
      </w:r>
      <w:r>
        <w:rPr>
          <w:rFonts w:ascii="SimSun" w:hAnsi="SimSun" w:eastAsia="SimSun" w:cs="SimSun"/>
          <w:color w:val="000000"/>
          <w:sz w:val="24"/>
        </w:rPr>
        <w:t xml:space="preserve">，采购人将对货物标签完整性及新鲜度进行核查。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6、货品的标签标识内容必须真实，符合国家法律法规的规定，并符合相应产品（标签）标准的要求，外包装上必须明确标注规格、型号、生产日期、保质期、生产商等信息。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1.1包装应符合相应卫生标准的包装材料，包装材料应密封、防潮；并且满足标准中关于丙烯腈、苯乙烯、氯乙烯等特异性指标的限量要求，避免有害物质迁移至食品中；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2.3必须全程使用清洁卫生的专用运输车辆配送，并采取防晒、防雨措施，保证货品的卫生与安全。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5、配送企业必须按所填订单配送，按规定时间送达指定地点，确保货品新鲜、优质、安全、可靠。</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采购包3：矿泉水、碳酸饮料系列。选取2家供应商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1.质量标准：符合 GB 7101、GB/T 10792 等国家标准。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2.剩余保质期不得低于货品标示总保质期的三分之二。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4、每次供货时，中标供应商须向采购人提供当批次符合国家及行业标准的有效检测或检验报告、产品合格证及供货清单，且所有资料必须</w:t>
      </w:r>
      <w:r>
        <w:rPr>
          <w:rFonts w:ascii="SimSun" w:hAnsi="SimSun" w:eastAsia="SimSun" w:cs="SimSun"/>
          <w:color w:val="000000"/>
          <w:sz w:val="24"/>
          <w:highlight w:val="white"/>
        </w:rPr>
        <w:t xml:space="preserve">加盖供应商公章</w:t>
      </w:r>
      <w:r>
        <w:rPr>
          <w:rFonts w:ascii="SimSun" w:hAnsi="SimSun" w:eastAsia="SimSun" w:cs="SimSun"/>
          <w:color w:val="000000"/>
          <w:sz w:val="24"/>
        </w:rPr>
        <w:t xml:space="preserve">，采购人将对货物标签完整性及新鲜度进行核查。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6、货品的标签标识内容必须真实，符合国家法律法规的规定，并符合相应产品（标签）标准的要求，外包装上必须明确标注规格、型号、生产日期、保质期、生产商等信息。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1.1包装应符合相应卫生标准的包装材料，包装材料应密封、防潮；且满足标准中关于丙烯腈、苯乙烯、氯乙烯等特异性指标的限量要求，避免有害物质迁移至食品中；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2.3必须全程使用清洁卫生的专用运输车辆配送，并采取防晒、防雨措施，保证货品的卫生与安全。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5、配送企业必须按所填订单配送，按规定时间送达指定地点，确保货品新鲜、优质、安全、可靠。</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采购包4：气泡水、功能饮料、特色茶饮系列。选取2家供应商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 GB 7101、GB/T 10792 等国家标准。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2、剩余保质期不得低于货品标示总保质期的三分之二。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4、每次供货时，中标供应商须向采购人提供当批次符合国家及行业标准的有效检测或检验报告、产品合格证及供货清单，且所有资料必须</w:t>
      </w:r>
      <w:r>
        <w:rPr>
          <w:rFonts w:ascii="SimSun" w:hAnsi="SimSun" w:eastAsia="SimSun" w:cs="SimSun"/>
          <w:color w:val="000000"/>
          <w:sz w:val="24"/>
          <w:highlight w:val="white"/>
        </w:rPr>
        <w:t xml:space="preserve">加盖供应商公章</w:t>
      </w:r>
      <w:r>
        <w:rPr>
          <w:rFonts w:ascii="SimSun" w:hAnsi="SimSun" w:eastAsia="SimSun" w:cs="SimSun"/>
          <w:color w:val="000000"/>
          <w:sz w:val="24"/>
        </w:rPr>
        <w:t xml:space="preserve">，采购人将对货物标签完整性及新鲜度进行核查。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6、货品的标签标识内容必须真实，符合国家法律法规的规定，并符合相应产品（标签）标准的要求，外包装上必须明确标注规格、型号、生产日期、保质期、生产商等信息。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1.1包装应符合相应卫生标准的包装材料，包装材料应密封、防潮；并且满足标准中关于丙烯腈、苯乙烯、氯乙烯等特异性指标的限量要求，避免有害物质迁移至食品中；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2.3必须全程使用清洁卫生的专用运输车辆配送，并采取防晒、防雨措施，保证货品的卫生与安全。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5、配送企业必须按所填订单配送，按规定时间送达指定地点，确保货品新鲜、优质、安全、可靠。</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采购包5：方便面系列。选取1家供应商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 GB 17400、GB 2760 等国家标准。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2、剩余保质期不得低于货品标示总保质期的三分之二。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4、每次供货时，中标供应商须向采购人提供当批次符合国家及行业标准的有效检测或检验报告、产品合格证及供货清单，且所有资料必须</w:t>
      </w:r>
      <w:r>
        <w:rPr>
          <w:rFonts w:ascii="SimSun" w:hAnsi="SimSun" w:eastAsia="SimSun" w:cs="SimSun"/>
          <w:color w:val="000000"/>
          <w:sz w:val="24"/>
          <w:highlight w:val="white"/>
        </w:rPr>
        <w:t xml:space="preserve">加盖供应商公章</w:t>
      </w:r>
      <w:r>
        <w:rPr>
          <w:rFonts w:ascii="SimSun" w:hAnsi="SimSun" w:eastAsia="SimSun" w:cs="SimSun"/>
          <w:color w:val="000000"/>
          <w:sz w:val="24"/>
        </w:rPr>
        <w:t xml:space="preserve">，采购人将对货物标签完整性及新鲜度进行核查。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6、货品的标签标识内容必须真实，符合国家法律法规的规定，并符合相应产品（标签）标准的要求，外包装上必须明确标注规格、型号、生产日期、保质期、生产商等信息。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1.1包装应符合相应卫生标准的包装材料，包装材料应密封、防潮；并且满足标准中关于丙烯腈、苯乙烯、氯乙烯等特异性指标的限量要求，避免有害物质迁移至食品中；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2.3必须全程使用清洁卫生的专用运输车辆配送，并采取防晒、防雨措施，保证货品的卫生与安全。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5、配送企业必须按所填订单配送，按规定时间送达指定地点，确保货品新鲜、优质、安全、可靠。</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采购包6：冷饮、速冻食品系列。选取1家供应商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 GB 2759 等国家标准。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2、剩余保质期不得低于货品标示总保质期的三分之二。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4、每次供货时，中标供应商须向采购人提供当批次符合国家及行业标准的有效检测或检验报告、冷链运输记录、产品合格证及供货清单，且所有资料必须</w:t>
      </w:r>
      <w:r>
        <w:rPr>
          <w:rFonts w:ascii="SimSun" w:hAnsi="SimSun" w:eastAsia="SimSun" w:cs="SimSun"/>
          <w:color w:val="000000"/>
          <w:sz w:val="24"/>
          <w:highlight w:val="white"/>
        </w:rPr>
        <w:t xml:space="preserve">加盖供应商公章</w:t>
      </w:r>
      <w:r>
        <w:rPr>
          <w:rFonts w:ascii="SimSun" w:hAnsi="SimSun" w:eastAsia="SimSun" w:cs="SimSun"/>
          <w:color w:val="000000"/>
          <w:sz w:val="24"/>
        </w:rPr>
        <w:t xml:space="preserve">，采购人将对货物标签完整性及新鲜度进行核查。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6、货品的标签标识内容必须真实，符合国家法律法规的规定，并符合相应产品（标签）标准的要求，外包装上必须明确标注规格、型号、生产日期、保质期、生产商等信息。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2.3必须全程使用清洁卫生的专用冷链运输车辆配送，并采取防晒、防雨措施，保证货品的卫生与安全。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5、配送企业必须按所填订单配送，按规定时间送达指定地点，确保货品新鲜、优质、安全、可靠。</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采购包7：短保面包系列。选取2家供应商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 GB 7099 等国家标准。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2、剩余保质期不得低于总保质期的80%。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4、每次供货时，中标供应商须向采购人提供当批次符合国家及行业标准的有效检测或检验报告、产品合格证及供货清单，且所有资料必须</w:t>
      </w:r>
      <w:r>
        <w:rPr>
          <w:rFonts w:ascii="SimSun" w:hAnsi="SimSun" w:eastAsia="SimSun" w:cs="SimSun"/>
          <w:color w:val="000000"/>
          <w:sz w:val="24"/>
          <w:highlight w:val="white"/>
        </w:rPr>
        <w:t xml:space="preserve">加盖供应商公章</w:t>
      </w:r>
      <w:r>
        <w:rPr>
          <w:rFonts w:ascii="SimSun" w:hAnsi="SimSun" w:eastAsia="SimSun" w:cs="SimSun"/>
          <w:color w:val="000000"/>
          <w:sz w:val="24"/>
        </w:rPr>
        <w:t xml:space="preserve">，采购人将对货物标签完整性及新鲜度进行核查。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6、货品的标签标识内容必须真实，符合国家法律法规的规定，并符合相应产品（标签）标准的要求，外包装上必须明确标注规格、型号、生产日期、保质期、生产商等信息。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1.1包装应符合相应卫生标准的包装材料，包装材料应密封、防潮；并且满足标准中关于丙烯腈、苯乙烯、氯乙烯等特异性指标的限量要求，避免有害物质迁移至食品中；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2.3必须全程使用清洁卫生的专用运输车辆配送，并采取防晒、防雨措施，保证货物的卫生与安全。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4、中标供应商所送货物不符合相关质量标准，或使用方发现所送货物有明显质量问题，供应商需无条件退货，并及时补货，保证不影响超市供应，情节严重的采购人有权单方终止合同。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5、配送企业必须按所填订单配送，按规定时间送达指定地点，确保食品新鲜、优质、安全、可靠。</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采购包8：即食鲜食系列。选取1家供应商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 GB 2760、GB 29921 等食品安全国家标准。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2、剩余保质期不得低于总保质期的80%。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3、运输工具、配送人员、包装材料和货物运输途中的防护措施必须符合相关规定和要求；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4、每次供货时，中标供应商须向采购人提供当批次符合国家及行业标准的有效检测或检验报告、冷链运输记录、产品合格证及供货清单，且所有资料必须</w:t>
      </w:r>
      <w:r>
        <w:rPr>
          <w:rFonts w:ascii="SimSun" w:hAnsi="SimSun" w:eastAsia="SimSun" w:cs="SimSun"/>
          <w:color w:val="000000"/>
          <w:sz w:val="24"/>
          <w:highlight w:val="white"/>
        </w:rPr>
        <w:t xml:space="preserve">加盖供应商公章</w:t>
      </w:r>
      <w:r>
        <w:rPr>
          <w:rFonts w:ascii="SimSun" w:hAnsi="SimSun" w:eastAsia="SimSun" w:cs="SimSun"/>
          <w:color w:val="000000"/>
          <w:sz w:val="24"/>
        </w:rPr>
        <w:t xml:space="preserve">，采购人将对货物标签完整性及新鲜度进行核查。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6、货物的标签标识内容必须真实，符合国家法律法规的规定，并符合相应产品（标签）标准的要求，外包装上必须明确标注规格、型号、生产日期、保质期、生产商等信息。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1.1包装应符合相应卫生标准的包装材料，包装材料应密封、防潮；并且满足标准中关于丙烯腈、苯乙烯、氯乙烯等特异性指标的限量要求，避免有害物质迁移至食品中；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2.3必须全程使用清洁卫生的专用冷链运输车辆配送，并采取防晒、防雨措施，保证货物的卫生与安全。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4、中标供应商所送货物不符合相关质量标准，或使用方发现所送货物有明显质量问题，供应商需无条件退货，并及时补货，保证不影响超市供应，情节严重的采购人有权单方终止合同。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5、配送企业必须按所填订单配送，按规定时间送达指定地点，确保食品新鲜、优质、安全、可靠。</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采购包9：副食品系列。选取2家供应商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 GB 17399、GB 2760 等国家标准。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2、剩余保质期不得低于货品标示总保质期的三分之二。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4、每次供货时，中标供应商须向采购人提供当批次符合国家及行业标准的有效检测或检验报告、产品合格证及供货清单，且所有资料必须</w:t>
      </w:r>
      <w:r>
        <w:rPr>
          <w:rFonts w:ascii="SimSun" w:hAnsi="SimSun" w:eastAsia="SimSun" w:cs="SimSun"/>
          <w:color w:val="000000"/>
          <w:sz w:val="24"/>
          <w:highlight w:val="white"/>
        </w:rPr>
        <w:t xml:space="preserve">加盖供应商公章</w:t>
      </w:r>
      <w:r>
        <w:rPr>
          <w:rFonts w:ascii="SimSun" w:hAnsi="SimSun" w:eastAsia="SimSun" w:cs="SimSun"/>
          <w:color w:val="000000"/>
          <w:sz w:val="24"/>
        </w:rPr>
        <w:t xml:space="preserve">，采购人将对货物标签完整性及新鲜度进行核查。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6、货品的标签标识内容必须真实，符合国家法律法规的规定，并符合相应产品（标签）标准的要求，外包装上必须明确标注规格、型号、生产日期、保质期、生产商等信息。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1.1包装应符合相应卫生标准的包装材料，包装材料应密封、防潮；并且满足标准中关于丙烯腈、苯乙烯、氯乙烯等特异性指标的限量要求，避免有害物质迁移至食品中；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2.3必须全程使用清洁卫生的专用运输车辆配送，并采取防晒、防雨措施，保证货品的卫生与安全。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5、配送企业必须按所填订单配送，按规定时间送达指定地点，确保货品新鲜、优质、安全、可靠。</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采购包10：散称食品系列。选取1家供应商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 GB 2762、GB 29921 等国家标准。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2、剩余保质期不得低于货品标示总保质期的三分之二。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4、每次供货时，中标供应商须向采购人提供当批次符合国家及行业标准的有效检测或检验报告、产品合格证及供货清单，且所有资料必须</w:t>
      </w:r>
      <w:r>
        <w:rPr>
          <w:rFonts w:ascii="SimSun" w:hAnsi="SimSun" w:eastAsia="SimSun" w:cs="SimSun"/>
          <w:color w:val="000000"/>
          <w:sz w:val="24"/>
          <w:highlight w:val="white"/>
        </w:rPr>
        <w:t xml:space="preserve">加盖供应商公章</w:t>
      </w:r>
      <w:r>
        <w:rPr>
          <w:rFonts w:ascii="SimSun" w:hAnsi="SimSun" w:eastAsia="SimSun" w:cs="SimSun"/>
          <w:color w:val="000000"/>
          <w:sz w:val="24"/>
        </w:rPr>
        <w:t xml:space="preserve">，采购人将对货物标签完整性及新鲜度进行核查。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6、货品的标签标识内容必须真实，符合国家法律法规的规定，并符合相应产品（标签）标准的要求，外包装上必须明确标注规格、型号、生产日期、保质期、生产商等信息。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1.1包装应符合相应卫生标准的包装材料，包装材料应密封、防潮；并且满足标准中关于丙烯腈、苯乙烯、氯乙烯等特异性指标的限量要求，避免有害物质迁移至食品中；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2.3必须全程使用清洁卫生的专用运输车辆配送，并采取防晒、防雨措施，保证货品的卫生与安全。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5、配送企业必须按所填订单配送，按规定时间送达指定地点，确保货品新鲜、优质、安全、可靠。</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采购包11：常温乳制品系列。选取1家供应商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 GB 25190、GB 25191 等国家标准。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2、剩余保质期不得低于货品标示总保质期的三分之二。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4、每次供货时，中标供应商须向采购人提供当批次符合国家及行业标准的有效检测或检验报告、产品合格证及供货清单，且所有资料必须</w:t>
      </w:r>
      <w:r>
        <w:rPr>
          <w:rFonts w:ascii="SimSun" w:hAnsi="SimSun" w:eastAsia="SimSun" w:cs="SimSun"/>
          <w:color w:val="000000"/>
          <w:sz w:val="24"/>
          <w:highlight w:val="white"/>
        </w:rPr>
        <w:t xml:space="preserve">加盖供应商公章</w:t>
      </w:r>
      <w:r>
        <w:rPr>
          <w:rFonts w:ascii="SimSun" w:hAnsi="SimSun" w:eastAsia="SimSun" w:cs="SimSun"/>
          <w:color w:val="000000"/>
          <w:sz w:val="24"/>
        </w:rPr>
        <w:t xml:space="preserve">，采购人将对货物标签完整性及新鲜度进行核查。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6、货品的标签标识内容必须真实，符合国家法律法规的规定，并符合相应产品（标签）标准的要求，外包装上必须明确标注规格、型号、生产日期、保质期、生产商等信息。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中华人民共和国食品安全法》及相关法律法规的要求；必须符合卫生防疫部门，质量检验、监督等部门的相关质量要求；所有货物外包装必须安全、卫生、无毒、无害，符合食品卫生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4、所有因货物质量问题导致的食品安全或食物中毒责任，由该供应商承担全部法律责任与经济损失；采购人有权立即终止合同并追责；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5、中标供应商应完全尊重采购人的行业惯例和要求，确保所供应食品中不出现违禁添加剂。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1.1包装应符合相应卫生标准的包装材料，包装材料应密封、防潮；并且满足标准中关于丙烯腈、苯乙烯、氯乙烯等特异性指标的限量要求，避免有害物质迁移至食品中；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2.3必须全程使用清洁卫生的专用运输车辆配送，并采取防晒、防雨措施，保证货品的卫生与安全。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1、中标供应商必须自行提供配送服务，不得将配送项目进行任何方式的转包、分包，配送人员应具备有效的健康合格证明，配送车辆应符合相关卫生要求，做到每日清洗、消毒并做好消毒记录。</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食品安全的保障工作。</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5、配送企业必须按所填订单配送，按规定时间送达指定地点，确保货品新鲜、优质、安全、可靠。</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食品经营许可证等必备资质。具备较强供货能力和应急保障能力、实力强、信誉好、满意度高的企业。</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7、采购人与供应商签订合同时，各供应商须提供有效的营业执照、食品生产许可证或食品经营许可证或市场监督管理部门的备案证明、税务登记证、检测或检验报告、法人身份证复印件并加盖公章供学校审验。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鲜、保质措施，同时不得喷洒有毒有害物质进行保鲜或保质。否则一经查实，采购人可立即终止合同，供应商承担全部责任。供应商须接受采购人不定期的第三方检验，做好配送台账，确保货品无毒无害、新鲜达标。若采购人发现在质保期内货品变质，将及时通知供应商进行处理，并更换相应数量的货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采购包12：日用百货、洗护系列。选取3家供应商</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（一）货品标准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1、纸巾符合 GB/T 20808，洗护用品符合 GB/T 34857 等国家标准。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2、剩余保质期不得低于货品标示总保质期的三分之二。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（二）配送要求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1、中标供应商必须严格按照采购人规定的时间送至指定地点，并安排专人做好入库、上架等工作。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2、采购人发现质量等问题，中标供应商必须按要求及时予以解决；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3、运输工具、配送人员、包装材料和货品运输途中的防护措施必须符合相关规定和要求；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4、每次供货时，中标供应商须向采购人提供当批次符合国家及行业标准的有效检测或检验报告、产品合格证及供货清单，且所有资料必须</w:t>
      </w:r>
      <w:r>
        <w:rPr>
          <w:rFonts w:ascii="SimSun" w:hAnsi="SimSun" w:eastAsia="SimSun" w:cs="SimSun"/>
          <w:color w:val="000000"/>
          <w:sz w:val="24"/>
          <w:highlight w:val="white"/>
        </w:rPr>
        <w:t xml:space="preserve">加盖供应商公章</w:t>
      </w:r>
      <w:r>
        <w:rPr>
          <w:rFonts w:ascii="SimSun" w:hAnsi="SimSun" w:eastAsia="SimSun" w:cs="SimSun"/>
          <w:color w:val="000000"/>
          <w:sz w:val="24"/>
        </w:rPr>
        <w:t xml:space="preserve">，采购人将对货物标签完整性及新鲜度进行核查。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5、配送车辆和人员进入学校，必须遵守学校有关交通、安全等方面的要求。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6、货品的标签标识内容必须真实，符合国家法律法规的规定，并符合相应产品（标签）标准的要求，外包装上必须明确标注产品名称、规格、生产日期、保质期、生产商等信息。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7、采购人如有特殊需求等情况，供应商必须积极配合。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（三）验收要求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货物必须通过国家强制要求的各类认证；所有货物质量必须达到相关法律法规的要求；必须符合质量检验、监督等有关部门的相关质量要求；所有货物外包装必须安全、卫生、无毒、无害，符合卫生质量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供应商所提供货物的质量不符合相关质量标准，导致采购人被卫生防疫部门或市场监督管理部门处罚，所产生的扣款费用由中标供应商全额承担；同时，采购人将依据合同中的违约条款对中标供应商进行处理，情节严重的，采购人有权单方面终止合同，并按合同违约条款要求中标供应商进行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验收由采购人业务管理方与供应方双方现场检验，对供应产品的质量、数量无异议后，双方签字并各自留存验收记录；验收时如发现破损、变质、过期、临期货品，供应商需无条件退换并承担所有责任；货物在验收时不符合要求的，供应商需无条件重新更换配送；更换后仍不符合标准的，采购人有权对供应商进行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4、所有因货物质量问题导致的问题，由该供应商承担全部法律责任与经济损失；采购人有权立即终止合同并追责；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5、中标供应商应完全尊重采购人的行业惯例和要求，确保所供应货物中不出现对人体有害的物质。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供货物必须提供相关票证，符合索票索证和溯源的相关要求；所有索取的证票资料需按供货名称或者货物种类整理建档备查，相关档案保管期限自该货物购入之日起不少于2年；验货人将对证票信息与货物信息的一致性进行验证，确保货物来源可追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（四）包装和运输要求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1、包装要求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1.1包装应符合相应卫生标准的包装材料，包装材料应密封、防潮；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1.2若采用包装袋，则包装袋应坚固结实，封口应严密；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1.3包装箱完整无损，箱体上有明确的品牌、生产厂家、厂址、生产日期、产品规格等。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2.储存和运输要求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2.1应储存在卫生、阴凉、干燥、避光的地方、不得与有害、有毒物品一同存放。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2.2运输中应注意安全，防止日晒、雨淋、渗漏、污染和标签脱落。保持车辆内外的清洁、卫生。不得使用装运过有毒、有害物质的车辆。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2.3必须全程使用清洁卫生的专用运输车辆配送，并采取防晒、防雨措施，保证货品的卫生与安全。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1、中标供应商必须自行提供配送服务，不得将配送项目进行任何方式的转包、分包，配送人员应身体健康，配送车辆应符合相关卫生要求，做到每日清洗、消毒并做好消毒记录。</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人员备案，不得擅自更换管理层人员，若确需更换，须得到采购人同意并备案后方可更换，若发现擅自更换管理层人员的，情节严重者，终止其合同，并追究其责任，供应商应做好相关安全的保障工作。</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需按照采购人实际订货情况在配送前预先分装好并明确标注品类。配送人员无特殊情况要求保持固定，并持有自体检合格之日起有效期为一年的人员健康证明，若确需更换，须得到采购人同意并备案后方可更换。</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4、中标供应商所送货品不符合相关质量标准，或使用方发现所送货品有明显质量问题，供应商需无条件退货，并及时补货，保证不影响超市供应，情节严重的采购人有权单方终止合同。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5、配送企业必须按所填订单配送，按规定时间送达指定地点，确保货品优质、安全、可靠。</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按采购人要求，提供货品的价格、检测或检验报告、销售许可证等相关材料，并积极配合相关部门的监督检查。中标供应商应当是满足学校供货资质要求、具备营业执照等必备资质。具备较强供货能力和应急保障能力、实力强、信誉好、满意度高的企业。</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7、采购人与供应商签订合同时，各供应商须提供有效的营业执照、税务登记证、检测或检验报告、法人身份证复印件并加盖公章供学校审验。</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实行优胜劣汰机制，在货品供货过程中，中标供应商应配合采购人建立日常管理考核机制和定期回访制度，若发现供应商不守信用、以次充好质量不达标或供货不及时、价格虚高等其它行为，采购人将提出警告，情节严重的，采购人可立即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供应商对配送货品，在配送过程中要做好保质措施，同时不得喷洒有毒有害物质进行保质。否则一经查实，采购人可立即终止合同，供应商承担全部责任。供应商须接受采购人不定期的第三方检验，做好配送台账，确保货品无毒无害、质量达标。若采购人发现在质保期内货品变质，将及时通知供应商进行处理，并更换相应数量的货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10、中标供应商需要做到售后服务专业化，建立固定配送网点，具备调运、分拣、包装、二次搬运能力；确保具有固定的配送网点服务能力。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11、采购人根据实际需求向供应商下达订单，供应商须严格按照采购人要求的品种、数量及时间进行轮换送货。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12、采购人有权对供应商的履约情况进行综合考核，并依据考核结果有权调整配送事宜（包括但不限于配送份额、配送区域、配送品类等）。供应商保证无条件严格地遵照执行。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13、采购人有权在供应商中标后对其进行实地考察。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704"/>
        <w:ind w:left="0" w:right="0" w:firstLine="0"/>
        <w:jc w:val="center"/>
        <w:spacing w:before="0" w:after="0" w:line="550" w:lineRule="atLeast"/>
        <w:pBdr>
          <w:top w:val="none" w:color="000000" w:sz="4" w:space="0"/>
          <w:left w:val="none" w:color="000000" w:sz="4" w:space="0"/>
          <w:bottom w:val="none" w:color="000000" w:sz="4" w:space="0"/>
          <w:right w:val="none" w:color="000000" w:sz="4" w:space="0"/>
        </w:pBdr>
      </w:pPr>
      <w:r>
        <w:br w:type="page" w:clear="all"/>
      </w:r>
      <w:r/>
    </w:p>
    <w:p>
      <w:pPr>
        <w:pStyle w:val="704"/>
        <w:ind w:left="0" w:right="0" w:firstLine="0"/>
        <w:jc w:val="center"/>
        <w:spacing w:before="0" w:after="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 商务部分）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1、合同履行期：自合同签订之日起一年。</w:t>
      </w:r>
      <w:r/>
    </w:p>
    <w:p>
      <w:pPr>
        <w:ind w:left="0" w:right="0" w:firstLine="480"/>
        <w:spacing w:before="24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2、送货地点：具体送货地址以采购人通知为准，包括但不限于江宁校区、五台校区及采购人指定的其他地点（具体以采购人通知为准）。</w:t>
      </w:r>
      <w:r/>
    </w:p>
    <w:p>
      <w:pPr>
        <w:ind w:left="0" w:right="0" w:firstLine="48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3、送货时间：所有货物必须严格按照采购人规定的时间运送。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投标报价，应考虑到采购配送的成本、人员成本及合理的利润，不得以不合理低价恶意竞争，中标后不得以任何理由降低供货品质和服务质量，不得以任何理由拒绝供货或减少供货，否则需承担相应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（2）投标报价应包含货物采购、检验、仓储、分装、运输、装卸、管理、税金等一切全部费用，采购人不再另行支付任何费用。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（1）合同签订前，本项目中标供应商需向采购人缴纳履约保证金人民币</w:t>
      </w:r>
      <w:r>
        <w:rPr>
          <w:rFonts w:ascii="SimSun" w:hAnsi="SimSun" w:eastAsia="SimSun" w:cs="SimSun"/>
          <w:color w:val="000000"/>
          <w:sz w:val="24"/>
          <w:u w:val="single"/>
        </w:rPr>
        <w:t xml:space="preserve"> 贰 </w:t>
      </w:r>
      <w:r>
        <w:rPr>
          <w:rFonts w:ascii="SimSun" w:hAnsi="SimSun" w:eastAsia="SimSun" w:cs="SimSun"/>
          <w:color w:val="000000"/>
          <w:sz w:val="24"/>
        </w:rPr>
        <w:t xml:space="preserve">万元整。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供应商在合同履行期内存在违法违规、违约行为需支付违约金的，采购人有权直接从履约保证金中扣除，若保证金不足以抵扣违约金的，采购人可从待付货款中直接扣除，不足部分中标供应商应在采购人通知后 3 个工作日内补足。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（3）合同履行完毕后，中标供应商无任何服务质量、食品安全纠纷及其他法律纠纷的，采购人在 2 个月内无息返还全部履约保证金。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6、调价流程及定价周期：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合同期内原则上价格不进行调整，若市场行情发生重大变化，采购人有权根据市场行情组织市场询价，并有权结合相关市场行情提出调价，调价经协商一致执行。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7、结帐及付款：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（1）中标供应商所供货物经采购人验收合格、确认无质量问题后，中标供应商须凭供货明细单及合法合规的发票，向采购人申请结算。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（2）双方实行按月结算，次月支付，如遇寒暑假、法定节假日付款时间顺延。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（3）若中标供应商提供的发票信息（户名、开户行、账号等）与供货单位主体不一致，采购人有权不予付款；中标供应商延期提供发票的，采购人不承担延期付款的责任。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（4）本项目采购人以指定账户向供应商付款，供应商收到汇款后即视为采购人已履行合同约定付款义务，并且同意向采购人指定账户开具相应货款金额的增值税发票。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8、退换货机制：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（1）临期货品退换：供应商所提供的货品，距保质期截止日不足整个保质期三分之一的，视为临期货品。采购人有权无条件要求供应商退货或换货，供应商不得拒绝。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（2）滞销货品退换：对于因市场需求变化等原因造成的滞销货品，采购人有权根据超市实际运营情况与供应商退换货。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（3）退换货过程中产生的所有费用，包括但不限于运输、装卸等，均由供应商承担。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9、退出机制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（1）供应商因自身原因需提前终止供货的，须提前 90日向采购人提交书面退出申请，经采购人书面同意后，按程序办理退出手续；未经采购人同意，供应商不得擅自停止供货，否则按第五章合同第九条违约责任相关约定处理。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（2）供应商发生食品安全事故或其他安全事故、被监管部门行政处罚、列入严重违法失信名单、相关资质证件被吊销等情形的，采购人可单方解除合同。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（3）供应商在合同期内擅自断供、迟供、减量供应，严重影响采购人正常供餐秩序，经采购人催告后仍未改正的，采购人有权终止合同、扣除相应履约保证金，并追究供应商赔偿责任。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（4）供应商在采购人日常考核中不合格，且在采购人指定的整改期限内仍未达标者，采购人有权单方终止本合同。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10、促销要求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）采购人可提供相关场地以便于供应商开展促销活动，但供应商需将相关费用支付至采购人指定账户。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）相关费用标准：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①冰箱、冷饮柜费用：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1)采购人提供双门或三门冰箱，单台冰箱划分为两个或三个独立使用区域，采购包1、2、3、4的中标人按每区域300元/月的标准向采购人支付综合使用费。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2)冷饮柜由中标人投放，按300元/月/台向采购人支付综合使用费；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3)即食食品冷藏柜由采购人提供，按300元/月/台向采购人支付综合使用费。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②货架端头：面包区陈列位</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③促销堆头：设置于超市大门入口处，专门用于供货商开展促销活动，每组每次收取</w:t>
      </w:r>
      <w:r>
        <w:rPr>
          <w:rFonts w:ascii="Times New Roman" w:hAnsi="Times New Roman" w:eastAsia="Times New Roman" w:cs="Times New Roman"/>
          <w:color w:val="000000"/>
          <w:sz w:val="24"/>
        </w:rPr>
        <w:t xml:space="preserve">200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天内）。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）供应商如需开展促销活动，须提前向采购人申请，并经采购人同意后方可开展。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、中标供应商应配合采购人建立电子化订货、对账系统，按要求使用采购人指定的信息化管理平台进行订单接收、发货确认、库存查询及结算对账。供应商应指定专人负责系统操作，确保信息及时准确。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下表中所提供的货品预估用量仅为一年配送参考量，不作为结算依据。采购人对中标的供应商能够承揽的业务数量不作任何承诺。采购人如需采购供应清单以外的品种，由中标供应商先行报价，双方根据市场行情协商确认最终价格后，按合同约定权责履行手续。</w:t>
      </w:r>
      <w:r/>
    </w:p>
    <w:p>
      <w:pPr>
        <w:ind w:left="0" w:right="0" w:firstLine="0"/>
        <w:jc w:val="both"/>
        <w:spacing w:before="24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年度预计支出（年度预计支出仅供参考，并非采购人对采购金额的承诺）</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9"/>
        <w:gridCol w:w="5452"/>
        <w:gridCol w:w="2452"/>
      </w:tblGrid>
      <w:tr>
        <w:trPr>
          <w:trHeight w:val="5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采购品类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br/>
              <w:t xml:space="preserve">（万元）</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低温乳制品系列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矿泉水、传统茶饮系列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矿泉水、碳酸饮料系列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气泡水、功能饮料、特色茶饮系列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方便面系列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冷饮、速冻食品系列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短保面包系列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25万元</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即食鲜食系列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副食品系列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127万元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散称食品系列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常温乳制品系列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10万元</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日用百货、洗护系列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140万元</w:t>
            </w:r>
            <w:r/>
          </w:p>
        </w:tc>
      </w:tr>
    </w:tbl>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附件2：采购清单</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详见采购公告附件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（参考格式，本合同内容条款在正式签署前可具体补充细化，仅作参考，最终合同以采购人法务审查通过的版本为准）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南京医科大学超市货品及后勤物资采购项目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采购合同</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00"/>
          <w:sz w:val="24"/>
        </w:rPr>
        <w:t xml:space="preserve"> </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甲方：南京医科大学</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乙方：</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为切实保障在校师生购物的品质与安全，规范学校超市货品及后勤物资的采购与供货服务流程，维护师生合法权益，甲乙双方本着安全至上、平等互利、真诚合作的原则，经充分协商，达成如下协议，共同遵照执行。</w:t>
      </w:r>
      <w:r/>
    </w:p>
    <w:p>
      <w:pPr>
        <w:pStyle w:val="704"/>
        <w:ind w:left="0" w:right="0" w:firstLine="643"/>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一、合同期限</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合同期限：</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年</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月</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日起至</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年</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月</w:t>
      </w:r>
      <w:r>
        <w:rPr>
          <w:rFonts w:ascii="FangSong" w:hAnsi="FangSong" w:eastAsia="FangSong" w:cs="FangSong"/>
          <w:color w:val="000000"/>
          <w:sz w:val="32"/>
          <w:u w:val="single"/>
        </w:rPr>
        <w:t xml:space="preserve">   </w:t>
      </w:r>
      <w:r>
        <w:rPr>
          <w:rFonts w:ascii="FangSong" w:hAnsi="FangSong" w:eastAsia="FangSong" w:cs="FangSong"/>
          <w:color w:val="000000"/>
          <w:sz w:val="32"/>
        </w:rPr>
        <w:t xml:space="preserve">日。</w:t>
      </w:r>
      <w:r/>
    </w:p>
    <w:p>
      <w:pPr>
        <w:pStyle w:val="704"/>
        <w:ind w:left="0" w:right="0" w:firstLine="643"/>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二、供应品类范围</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乙方须严格按照甲方要求，为甲方供应</w:t>
      </w:r>
      <w:r>
        <w:rPr>
          <w:rFonts w:ascii="FangSong" w:hAnsi="FangSong" w:eastAsia="FangSong" w:cs="FangSong"/>
          <w:b/>
          <w:color w:val="000000"/>
          <w:sz w:val="32"/>
          <w:u w:val="single"/>
        </w:rPr>
        <w:t xml:space="preserve">     </w:t>
      </w:r>
      <w:r>
        <w:rPr>
          <w:rFonts w:ascii="FangSong" w:hAnsi="FangSong" w:eastAsia="FangSong" w:cs="FangSong"/>
          <w:color w:val="000000"/>
          <w:sz w:val="32"/>
        </w:rPr>
        <w:t xml:space="preserve">等货品。（供货品种、价格及规格参照附件）</w:t>
      </w:r>
      <w:r/>
    </w:p>
    <w:p>
      <w:pPr>
        <w:pStyle w:val="704"/>
        <w:ind w:left="0" w:right="0" w:firstLine="643"/>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三、履约保证金</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1.合同签订前，乙方向甲方缴纳履约保证金人民币贰万元整（¥20000）。</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若乙方在合同履行期内存在违法违规或违约行为，需向甲方支付违约金的，甲方有权直接从履约保证金中予以扣除；若履约保证金不足以抵扣违约金，甲方可从待付货款中直接扣除，不足部分乙方应在收到甲方通知后3个工作日内补足差额。</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3.合同履行完毕后，若乙方无任何服务质量问题、食品安全纠纷及其他法律纠纷，甲方将在合同履行完毕之日起2个月内无息返还全部履约保证金。</w:t>
      </w:r>
      <w:r/>
    </w:p>
    <w:p>
      <w:pPr>
        <w:pStyle w:val="704"/>
        <w:ind w:left="0" w:right="0" w:firstLine="643"/>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四、货品质量及价格要求</w:t>
      </w:r>
      <w:r/>
    </w:p>
    <w:p>
      <w:pPr>
        <w:pStyle w:val="706"/>
        <w:ind w:left="0" w:right="0" w:firstLine="643"/>
        <w:spacing w:before="100" w:after="1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（一）质量要求</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所供食品类货品须符合《中华人民共和国食品安全法》及国家、南京市相关食品质量标准与卫生要求；非食品类货品须符合国家、江苏省、南京市及甲方所在地的相关法律法规要求。送货时，乙方应按招标文件及行业主管部门规定，提供与所供货品对应的质检报告、检验合格证、溯源凭证等合格证明材料。</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2.乙方严格按照甲方订单要求供应及配送产品，不得擅自变更品</w:t>
      </w:r>
      <w:r>
        <w:rPr>
          <w:rFonts w:ascii="FangSong" w:hAnsi="FangSong" w:eastAsia="FangSong" w:cs="FangSong"/>
          <w:color w:val="000000"/>
          <w:spacing w:val="-3"/>
          <w:sz w:val="32"/>
        </w:rPr>
        <w:t xml:space="preserve">种</w:t>
      </w:r>
      <w:r>
        <w:rPr>
          <w:rFonts w:ascii="FangSong" w:hAnsi="FangSong" w:eastAsia="FangSong" w:cs="FangSong"/>
          <w:color w:val="000000"/>
          <w:spacing w:val="-2"/>
          <w:sz w:val="32"/>
        </w:rPr>
        <w:t xml:space="preserve">、</w:t>
      </w:r>
      <w:r>
        <w:rPr>
          <w:rFonts w:ascii="FangSong" w:hAnsi="FangSong" w:eastAsia="FangSong" w:cs="FangSong"/>
          <w:color w:val="000000"/>
          <w:spacing w:val="-3"/>
          <w:sz w:val="32"/>
        </w:rPr>
        <w:t xml:space="preserve">规</w:t>
      </w:r>
      <w:r>
        <w:rPr>
          <w:rFonts w:ascii="FangSong" w:hAnsi="FangSong" w:eastAsia="FangSong" w:cs="FangSong"/>
          <w:color w:val="000000"/>
          <w:spacing w:val="-2"/>
          <w:sz w:val="32"/>
        </w:rPr>
        <w:t xml:space="preserve">格</w:t>
      </w:r>
      <w:r>
        <w:rPr>
          <w:rFonts w:ascii="FangSong" w:hAnsi="FangSong" w:eastAsia="FangSong" w:cs="FangSong"/>
          <w:color w:val="000000"/>
          <w:spacing w:val="-3"/>
          <w:sz w:val="32"/>
        </w:rPr>
        <w:t xml:space="preserve">、</w:t>
      </w:r>
      <w:r>
        <w:rPr>
          <w:rFonts w:ascii="FangSong" w:hAnsi="FangSong" w:eastAsia="FangSong" w:cs="FangSong"/>
          <w:color w:val="000000"/>
          <w:spacing w:val="-2"/>
          <w:sz w:val="32"/>
        </w:rPr>
        <w:t xml:space="preserve">数</w:t>
      </w:r>
      <w:r>
        <w:rPr>
          <w:rFonts w:ascii="FangSong" w:hAnsi="FangSong" w:eastAsia="FangSong" w:cs="FangSong"/>
          <w:color w:val="000000"/>
          <w:spacing w:val="-3"/>
          <w:sz w:val="32"/>
        </w:rPr>
        <w:t xml:space="preserve">量；</w:t>
      </w:r>
      <w:r>
        <w:rPr>
          <w:rFonts w:ascii="FangSong" w:hAnsi="FangSong" w:eastAsia="FangSong" w:cs="FangSong"/>
          <w:color w:val="000000"/>
          <w:spacing w:val="-2"/>
          <w:sz w:val="32"/>
        </w:rPr>
        <w:t xml:space="preserve">若甲方提出新的供货要求</w:t>
      </w:r>
      <w:r>
        <w:rPr>
          <w:rFonts w:ascii="FangSong" w:hAnsi="FangSong" w:eastAsia="FangSong" w:cs="FangSong"/>
          <w:color w:val="000000"/>
          <w:spacing w:val="-3"/>
          <w:sz w:val="32"/>
        </w:rPr>
        <w:t xml:space="preserve">，</w:t>
      </w:r>
      <w:r>
        <w:rPr>
          <w:rFonts w:ascii="FangSong" w:hAnsi="FangSong" w:eastAsia="FangSong" w:cs="FangSong"/>
          <w:color w:val="000000"/>
          <w:spacing w:val="-2"/>
          <w:sz w:val="32"/>
        </w:rPr>
        <w:t xml:space="preserve">乙方应无条件配</w:t>
      </w:r>
      <w:r>
        <w:rPr>
          <w:rFonts w:ascii="FangSong" w:hAnsi="FangSong" w:eastAsia="FangSong" w:cs="FangSong"/>
          <w:color w:val="000000"/>
          <w:spacing w:val="-6"/>
          <w:sz w:val="32"/>
        </w:rPr>
        <w:t xml:space="preserve">合</w:t>
      </w:r>
      <w:r>
        <w:rPr>
          <w:rFonts w:ascii="FangSong" w:hAnsi="FangSong" w:eastAsia="FangSong" w:cs="FangSong"/>
          <w:color w:val="000000"/>
          <w:sz w:val="32"/>
        </w:rPr>
        <w:t xml:space="preserve">执行。</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乙方对所供货品的保鲜、保质承担全部责任，并对所有货品的配送过程负责，配送过程中须采取有效保护措施，严禁喷洒有毒有害物质；货品在质保期内出现质量问题的或食品类货品在质保期内出现变质的，乙方须在甲方通知后立即处理并免费更换同等数量的合格货品。</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4.因乙方供货质量问题引发食品安全事故及其他安全事故的，乙方主要负责人及相关主管人员须在 30 分钟内响应处理，全面承担事故安抚、善后及全部法律责任、经济赔偿责任。</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5.乙方所供货品必须全程可溯源：相应品类按照要求提供检验检测报告。</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6.乙方严禁供应过期、临期的</w:t>
      </w:r>
      <w:r>
        <w:rPr>
          <w:rFonts w:ascii="FangSong" w:hAnsi="FangSong" w:eastAsia="FangSong" w:cs="FangSong"/>
          <w:color w:val="000000"/>
          <w:sz w:val="32"/>
        </w:rPr>
        <w:t xml:space="preserve">货品</w:t>
      </w:r>
      <w:r>
        <w:rPr>
          <w:rFonts w:ascii="FangSong" w:hAnsi="FangSong" w:eastAsia="FangSong" w:cs="FangSong"/>
          <w:color w:val="000000"/>
          <w:sz w:val="32"/>
          <w:highlight w:val="white"/>
        </w:rPr>
        <w:t xml:space="preserve">，甲方验收发现临期</w:t>
      </w:r>
      <w:r>
        <w:rPr>
          <w:rFonts w:ascii="FangSong" w:hAnsi="FangSong" w:eastAsia="FangSong" w:cs="FangSong"/>
          <w:color w:val="000000"/>
          <w:sz w:val="32"/>
        </w:rPr>
        <w:t xml:space="preserve">货品</w:t>
      </w:r>
      <w:r>
        <w:rPr>
          <w:rFonts w:ascii="FangSong" w:hAnsi="FangSong" w:eastAsia="FangSong" w:cs="FangSong"/>
          <w:color w:val="000000"/>
          <w:sz w:val="32"/>
          <w:highlight w:val="white"/>
        </w:rPr>
        <w:t xml:space="preserve">有权无条件退货，乙方承担违约责任。</w:t>
      </w:r>
      <w:r/>
    </w:p>
    <w:p>
      <w:pPr>
        <w:pStyle w:val="706"/>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（二）价格及调价规则</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1.供货价格包含货物采购、检验、仓储、分装、运输、装卸、管理、税金等全部费用，甲方不再另行支付任何费用。</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2</w:t>
      </w:r>
      <w:r>
        <w:rPr>
          <w:rFonts w:ascii="FangSong" w:hAnsi="FangSong" w:eastAsia="FangSong" w:cs="FangSong"/>
          <w:color w:val="000000"/>
          <w:spacing w:val="-1"/>
          <w:sz w:val="32"/>
        </w:rPr>
        <w:t xml:space="preserve">.</w:t>
      </w:r>
      <w:r>
        <w:rPr>
          <w:rFonts w:ascii="FangSong" w:hAnsi="FangSong" w:eastAsia="FangSong" w:cs="FangSong"/>
          <w:color w:val="000000"/>
          <w:sz w:val="32"/>
        </w:rPr>
        <w:t xml:space="preserve">合同期内原则上价格不进行调整，但甲方有权根据市场行情组织市场询价，并有权结合相关市场行情对价格提出调整，经协商一致执行。</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3.合同期内，乙方保质保量按时供货，自负盈亏。乙方不得以任何理由降低供货品质和服务质量，不得以任何理由拒绝供货或减少供货，否则甲方有权全额没收履约保证金并追究违约责任。</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4.乙方需要使用甲方提供的冰箱、冷饮柜、货架端头或促销堆头进行商品陈列或促销活动，相关费用标准按招标文件商务要求第10条执行，具体费用由双方另行签署确认单。</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5.如遇其他情况，双方协商决定。</w:t>
      </w:r>
      <w:r/>
    </w:p>
    <w:p>
      <w:pPr>
        <w:pStyle w:val="704"/>
        <w:ind w:left="0" w:right="0" w:firstLine="643"/>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五、供货能力及配送要求</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1.乙方须具备配送能力，能同时满足甲方江宁校区、五台校区的配送需求，严格按照甲方订单约定的时间、地点将货物送达，</w:t>
      </w:r>
      <w:r>
        <w:rPr>
          <w:rFonts w:ascii="FangSong" w:hAnsi="FangSong" w:eastAsia="FangSong" w:cs="FangSong"/>
          <w:color w:val="000000"/>
          <w:sz w:val="32"/>
          <w:highlight w:val="white"/>
        </w:rPr>
        <w:t xml:space="preserve">并安排专人做好入库、上架等工作。</w:t>
      </w:r>
      <w:r>
        <w:rPr>
          <w:rFonts w:ascii="FangSong" w:hAnsi="FangSong" w:eastAsia="FangSong" w:cs="FangSong"/>
          <w:color w:val="000000"/>
          <w:sz w:val="32"/>
        </w:rPr>
        <w:t xml:space="preserve">否则甲方有权解除合同并追究乙方的违约责任。</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乙方不得将配送项目以任何形式转包、分包，须自行完成全部配送服务；配送车辆须符合《食品安全法》及相关食品卫生法规要求，每日对车辆内壁、货架、门把手等接触食品部位进行清洗、消毒，使用合适的清洁剂和消毒剂按照 正确操作步骤执行，并留存完整消毒记录，确保车辆无异味、无污渍和细菌滋生的环境。</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货品的配送人员须持有自体检合格之日起有效期为一年的人员健康证明，无特殊情况保持固定；若确需更换管理层人员以及配送人员，须提前向甲方申请，经甲方书面同意并备案后方可更换，擅自更换的，甲方有权视情节轻重提出警告，情节严重的终止本合同并追究乙方责任。</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4.乙方须根据甲方实际订货明细，在配送前完成货品预先分装作业，并清晰标注货品品类，确保所有货品新鲜、优质、安全、可靠。</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5.乙方须建立固定配送网点，具备调运、分拣、包装、二次搬运能力，提供专业化售后服务；同时做好全程配送台账，留存相关记录备查，接受甲方不定期第三方检验。</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6.因乙方配送运输环节引发的安全事故，由乙方承担全部法律责任及所有经济损失；乙方须随时为甲方提供补货、调换货服务，确保不影响甲方正常供应货品。</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w:t>
      </w:r>
      <w:r>
        <w:rPr>
          <w:rFonts w:ascii="FangSong" w:hAnsi="FangSong" w:eastAsia="FangSong" w:cs="FangSong"/>
          <w:color w:val="000000"/>
          <w:spacing w:val="-6"/>
          <w:sz w:val="32"/>
        </w:rPr>
        <w:t xml:space="preserve">甲方有权对乙方的配送网点、作业流程、服务能力等进行实地考察。</w:t>
      </w:r>
      <w:r/>
    </w:p>
    <w:p>
      <w:pPr>
        <w:pStyle w:val="704"/>
        <w:ind w:left="0" w:right="0" w:firstLine="640"/>
        <w:jc w:val="both"/>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六、交货及验收</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1.乙方按甲方要求对货品分装打包后，在订单约定的交货时间内将货物送至指定地点，等待甲方验收，不得无故拖延。</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2.甲方验收人员须依据招标文件、本合同及附件约定的质量标准、数量要求，及时对货物进行全面验收，确保验收结果客观公正。</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验收过程中发现货品质量、数量、规格不符合约定要求的，乙方须立即响应，无条件采取退货、补货、更换等整改处理措施；批量货物虽已入库，在使用过程中发现质量或数量问题的，乙方亦须在甲方通知后24小时内及时补救工作，满足甲方正常运营需要，并承担由此引发的全部责任及经济损失。</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4.若乙方对验收问题未及时处理，造成甲方运营受到影响、产生经济损失的，甲方有权解除合同，同时追究乙方违约责任，包括但不限于暂停结算货款、退货、要求乙方支付合同总金额 30％ 的违约金等。</w:t>
      </w:r>
      <w:r/>
    </w:p>
    <w:p>
      <w:pPr>
        <w:pStyle w:val="704"/>
        <w:ind w:left="0" w:right="0" w:firstLine="643"/>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七、结账及付款</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1.乙方所供货物经甲方验收合格、确认无质量问题后，乙方须凭供货明细单及合法合规的发票，向甲方申请结算。</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2.双方实行按月结算，次月支付，寒暑假、法定节假日付款时间顺延。</w:t>
      </w:r>
      <w:r/>
    </w:p>
    <w:p>
      <w:pPr>
        <w:ind w:left="0" w:right="0" w:firstLine="640"/>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3.若乙方提供的发票信息（户名、开户行、账号等）与供货单位主体不一致，甲方有权不予付款；乙方延期提供发票的，甲方不承担延期付款责任。</w:t>
      </w:r>
      <w:r/>
    </w:p>
    <w:p>
      <w:pPr>
        <w:ind w:left="0" w:right="0" w:firstLine="616"/>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本合同款项由甲方指定账户支付至乙方账户，乙方收到甲方指定账户的汇款后，即视为甲方已完全履行本合同项下的付款义务；乙方同意向甲方指定的付款主体开具等额增值税发票，具体账户及开票信息以甲方通知为准。</w:t>
      </w:r>
      <w:r/>
    </w:p>
    <w:p>
      <w:pPr>
        <w:ind w:left="0" w:right="0" w:firstLine="616"/>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八、</w:t>
      </w:r>
      <w:r>
        <w:rPr>
          <w:rFonts w:ascii="FangSong" w:hAnsi="FangSong" w:eastAsia="FangSong" w:cs="FangSong"/>
          <w:b/>
          <w:color w:val="000000"/>
          <w:sz w:val="32"/>
          <w:highlight w:val="white"/>
        </w:rPr>
        <w:t xml:space="preserve">退换货机制</w:t>
      </w:r>
      <w:r/>
    </w:p>
    <w:p>
      <w:pPr>
        <w:ind w:left="0" w:right="0" w:firstLine="640"/>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 </w:t>
      </w:r>
      <w:r>
        <w:rPr>
          <w:rFonts w:ascii="FangSong" w:hAnsi="FangSong" w:eastAsia="FangSong" w:cs="FangSong"/>
          <w:b/>
          <w:color w:val="000000"/>
          <w:sz w:val="32"/>
          <w:highlight w:val="white"/>
        </w:rPr>
        <w:t xml:space="preserve">临期货品退换</w:t>
      </w:r>
      <w:r>
        <w:rPr>
          <w:rFonts w:ascii="FangSong" w:hAnsi="FangSong" w:eastAsia="FangSong" w:cs="FangSong"/>
          <w:color w:val="000000"/>
          <w:sz w:val="32"/>
          <w:highlight w:val="white"/>
        </w:rPr>
        <w:t xml:space="preserve">：</w:t>
      </w:r>
      <w:r>
        <w:rPr>
          <w:rFonts w:ascii="FangSong" w:hAnsi="FangSong" w:eastAsia="FangSong" w:cs="FangSong"/>
          <w:color w:val="000000"/>
          <w:sz w:val="32"/>
        </w:rPr>
        <w:t xml:space="preserve">乙方供应货品剩余保质期不足总保质期</w:t>
      </w:r>
      <w:r>
        <w:rPr>
          <w:rFonts w:ascii="FangSong" w:hAnsi="FangSong" w:eastAsia="FangSong" w:cs="FangSong"/>
          <w:color w:val="000000"/>
          <w:sz w:val="32"/>
          <w:u w:val="single"/>
        </w:rPr>
        <w:t xml:space="preserve">1/3 </w:t>
      </w:r>
      <w:r>
        <w:rPr>
          <w:rFonts w:ascii="FangSong" w:hAnsi="FangSong" w:eastAsia="FangSong" w:cs="FangSong"/>
          <w:color w:val="000000"/>
          <w:sz w:val="32"/>
        </w:rPr>
        <w:t xml:space="preserve">的，视为临期货品。甲方有权无条件要求乙方退货或换货，乙方不得拒绝并承担违约责任。</w:t>
      </w:r>
      <w:r/>
    </w:p>
    <w:p>
      <w:pPr>
        <w:ind w:left="0" w:right="0" w:firstLine="643"/>
        <w:jc w:val="both"/>
        <w:spacing w:before="120" w:after="12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white"/>
        </w:rPr>
        <w:t xml:space="preserve">2. 滞销货品退换</w:t>
      </w:r>
      <w:r>
        <w:rPr>
          <w:rFonts w:ascii="FangSong" w:hAnsi="FangSong" w:eastAsia="FangSong" w:cs="FangSong"/>
          <w:color w:val="000000"/>
          <w:sz w:val="32"/>
          <w:highlight w:val="white"/>
        </w:rPr>
        <w:t xml:space="preserve">：对于因市场需求变化等原因造成的滞销货品，甲方有权根据超市实际运营情况与乙方退换货，乙方应予配合。</w:t>
      </w:r>
      <w:r/>
    </w:p>
    <w:p>
      <w:pPr>
        <w:ind w:left="0" w:right="0" w:firstLine="640"/>
        <w:spacing w:before="1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3. 退换货过程中产生的所有费用，包括但不限于运输、装卸等，均由乙方承担。</w:t>
      </w:r>
      <w:r/>
    </w:p>
    <w:p>
      <w:pPr>
        <w:pStyle w:val="704"/>
        <w:ind w:left="0" w:right="0" w:firstLine="643"/>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九、合同双方权利与义务：</w:t>
      </w:r>
      <w:r/>
    </w:p>
    <w:p>
      <w:pPr>
        <w:pStyle w:val="706"/>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（一）甲方权利与义务</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1.安排工作人员对乙方供货进行严格、客观公正的验收，保障供货服务有序开展。</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2.有权随机抽检质量，抽检不合格的，该批次全部退货，乙方承担检测费用及违约责任。</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3.为乙方送货入校办理相关进校手续，配合乙方完成货物收货、验货工作。</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4.在乙方履约的前提下，甲方按照本合同约定，及时向乙方支付验收合格货物的货款。</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5.对乙方所承揽业务的供货数量等不作任何承诺，有权对乙方履约情况进行考核，并依据考核结果调整乙方的配送量、配送区域等，乙方必须无条件执行。</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6.有权对乙方的生产、仓储、配送等环节进行实地考察，乙方须积极配合，不得拒绝、阻挠。</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7.若乙方存在违约行为，甲方有权根据本合同约定提出警告、扣除违约金、没收履约保证金、解除合同并追究乙方全部赔偿责任。</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8.若按上级政府部门要求开展农校对接、帮扶项目等，甲方有权对供货分配进行调整，乙方须无条件服从。</w:t>
      </w:r>
      <w:r/>
    </w:p>
    <w:p>
      <w:pPr>
        <w:pStyle w:val="706"/>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（二）乙方权利与义务</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严格执行《中华人民共和国食品安全法》等相关法律法规，依据法律规定建立并执行从业人员健康管理制度、食品安全自查制度等食品卫生安全和质量保障机制，定期对食品安全状况进行检查评价，确保供货安全。</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向甲方提供营业执照、《食品生产许可证》、《食品经营许可证》、市场监督管理部门的备案证明（如涉及食品）、产品质检报告、税务登记证、法人身份证原件供甲方审验，并留存复印件存档；每次供货须提供货品的检测、检验报告、合格证、供货清单等合格证明材料。</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3.按照甲方要求，积极配合甲方及相关监管部门的监督检查工作。</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4.严格执行《中华人民共和国食品安全法》、《中华人民共和国产品质量法》等相关法律法规，建立并履行食品卫生安全和质量保障机制，确保供货安全。</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5.严格遵守甲方单位的各项规章制度，服从甲方管理，按时、按要求、保质保量完成承接的供货服务工作；遇纠纷时与甲方友好协商解决，不得与甲方工作人员发生不文明行为。</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6.乙方进入校园的车辆及人员须严格遵守学校的各项管理规定，服从学校管理。</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7.严格按照甲方招标文件及本合同约定，确保配送食材完全符合要求，并按照甲方分配的配送量及配送区域等提供优质服务。</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8.按照甲方要求定期提供产品报价，积极配合甲方及相关监管部门的监督检查工作。</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9.按照本合同约定收取经甲方验收合格后的货款。</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10.积极配合甲方建立的日常管理考核机制与定期回访制度，接受甲方的优胜劣汰管理。</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11.乙方应配合甲方建立电子化订货、对账系统，按要求使用甲方指定的信息化管理平台进行订单接收、发货确认、库存查询及结算对账。乙方应指定专人负责系统操作，确保信息及时准确。</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12.甲方有特殊需求等情况，乙方必须全力积极配合。</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13.乙方如需开展促销活动，须提前向甲方申请，并经甲方同意后方可开展。</w:t>
      </w:r>
      <w:r/>
    </w:p>
    <w:p>
      <w:pPr>
        <w:pStyle w:val="704"/>
        <w:ind w:left="0" w:right="0" w:firstLine="643"/>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十、违约责任</w:t>
      </w:r>
      <w:r/>
    </w:p>
    <w:p>
      <w:pPr>
        <w:pStyle w:val="706"/>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（一）质量违约</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所供货品存在下列情形之一的，甲方有权按同批次货款的50%向乙方收取违约金（每次违约金最低为500元，最高为2000元）；甲方可视情节严重程度，全部或部分没收履约保证金，并有权暂停结算货款、解除合同，乙方同时承担全部赔偿责任，履约保证金不足以赔偿的，乙方须补足差额：</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（1）预包装货品无品名、产地、厂名、生产日期、保质期、中文标识及原材料说明的；</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（2）预包装货品标签不醒目、不清晰、不持久，未执行《预包装食品标签规则》（GB7718—2011）的；</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（3）货品腐败变质、油脂酸败、霉变、生虫、污秽不洁、混有异物或感官性状异常，含有毒、有害物质或被污染的；</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（4）其他不符合食品卫生标准和质量要求的情形。</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乙方所供货品存在不新鲜、残次等任何质量问题的，甲方有权拒收；每发生一次拒收，乙方须按该次拒收物资总价的20%支付违约金（每次最低200元、最高1000元）。并及时补足合格货品；若乙方未及时补足，甲方可自行组织采购，相关费用由乙方承担，甲方从货款中直接扣除。合同有效期内累计拒收超过5次，视为乙方无法履行合</w:t>
      </w:r>
      <w:r>
        <w:rPr>
          <w:rFonts w:ascii="FangSong" w:hAnsi="FangSong" w:eastAsia="FangSong" w:cs="FangSong"/>
          <w:color w:val="000000"/>
          <w:spacing w:val="-3"/>
          <w:sz w:val="32"/>
        </w:rPr>
        <w:t xml:space="preserve">同</w:t>
      </w:r>
      <w:r>
        <w:rPr>
          <w:rFonts w:ascii="FangSong" w:hAnsi="FangSong" w:eastAsia="FangSong" w:cs="FangSong"/>
          <w:color w:val="000000"/>
          <w:spacing w:val="-2"/>
          <w:sz w:val="32"/>
        </w:rPr>
        <w:t xml:space="preserve">，</w:t>
      </w:r>
      <w:r>
        <w:rPr>
          <w:rFonts w:ascii="FangSong" w:hAnsi="FangSong" w:eastAsia="FangSong" w:cs="FangSong"/>
          <w:color w:val="000000"/>
          <w:spacing w:val="-3"/>
          <w:sz w:val="32"/>
        </w:rPr>
        <w:t xml:space="preserve">甲方有权解除合同</w:t>
      </w:r>
      <w:r>
        <w:rPr>
          <w:rFonts w:ascii="FangSong" w:hAnsi="FangSong" w:eastAsia="FangSong" w:cs="FangSong"/>
          <w:color w:val="000000"/>
          <w:spacing w:val="-2"/>
          <w:sz w:val="32"/>
        </w:rPr>
        <w:t xml:space="preserve">、</w:t>
      </w:r>
      <w:r>
        <w:rPr>
          <w:rFonts w:ascii="FangSong" w:hAnsi="FangSong" w:eastAsia="FangSong" w:cs="FangSong"/>
          <w:color w:val="000000"/>
          <w:spacing w:val="-3"/>
          <w:sz w:val="32"/>
        </w:rPr>
        <w:t xml:space="preserve">没收履约保证金并追究乙方全部违</w:t>
      </w:r>
      <w:r>
        <w:rPr>
          <w:rFonts w:ascii="FangSong" w:hAnsi="FangSong" w:eastAsia="FangSong" w:cs="FangSong"/>
          <w:color w:val="000000"/>
          <w:spacing w:val="-6"/>
          <w:sz w:val="32"/>
        </w:rPr>
        <w:t xml:space="preserve">约</w:t>
      </w:r>
      <w:r>
        <w:rPr>
          <w:rFonts w:ascii="FangSong" w:hAnsi="FangSong" w:eastAsia="FangSong" w:cs="FangSong"/>
          <w:color w:val="000000"/>
          <w:sz w:val="32"/>
        </w:rPr>
        <w:t xml:space="preserve">责任。</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3.乙方所供视频出现腐败变质、违禁添加剂、无溯源标识等严重质量问题的，除处同批次货款50％违约金（最低1000-2000元／次）外，甲方可没收履约保证金、解除合同，乙方需承担全部赔偿责任。</w:t>
      </w:r>
      <w:r/>
    </w:p>
    <w:p>
      <w:pPr>
        <w:pStyle w:val="706"/>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（二）交货期限违约</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1.乙方未按甲方订单约定时间将货品送至指定地点的，除不可抗力（按《中华人民共和国民法典》相关规定界定）外，交通拥堵、事故、限行、雨雪天气等均不得作为延时理由，乙方须承担以下违约责任：</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（1）按逾期送达货品总价的日千分之三支付滞纳金；</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逾期未满1小时的，处违约金1000-3000元/次；逾期超过1小时的，处违约金3000-5000元/次；配送地点有误且未在约定时间内调整送达的，按延时处理。合同有效期内累计超过3次，视为乙方无法履行合同，甲方有权解除合同、没收履约保证金并追究乙方全部违约责任。</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乙方配送人员与甲方超市工作人员发生口角或不服从管理未配合相关工作的，每次对乙方处以500-1000元违约金；合同有效期内累计发生超过3次的，视为乙方无法履行合同，甲方有权解除合同、没收履约保证金并追究乙方全部违约责任。发生殴斗的，相关人员移送公安机关处理，乙方被永久性取缔供货资格，甲方解除合同、没收履约保证金，并追索由此造成的全部损失。</w:t>
      </w:r>
      <w:r/>
    </w:p>
    <w:p>
      <w:pPr>
        <w:pStyle w:val="706"/>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（三）其他行为违约</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1.乙方相关人员送货后在超市内停留、乱窜、抽烟、随意食用超市食物的，每发现 1 次处以 500 -1000元违约金。</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2.乙方相关人员在装卸、运输过程中，造成甲方超市物品损坏、丢失的，须按物品实际采购价值全额赔偿。</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3.乙方未经甲方许可，擅自向甲方所属超市供货的，甲方予以全部退货，同时对乙方处以 3000-5000元违约金。</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4.乙方须在甲方通知后 3 个工作日内缴纳违约金，未按规定及时缴纳的，甲方直接从货款中扣除。</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5.乙方无故停止供货，或未经甲方书面同意将本合同的权利、义务转让给第三方的，甲方有权不予结算未结货款、没收履约保证金，并立即解除合同。</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6.乙方存在本条款未列明的其他违反合同约定、规章制度及法律法规规定的行为，或因乙方及其工作人员过错、管理不善等其他不当行为，给甲方造成人身损害、财产损失、名誉损失、经营损失及其他全部损失的，乙方应全额承担赔偿责任；同时甲方有权视情节轻重要求乙方承担相应违约责任，情节严重的，甲方有权单方解除本合同。</w:t>
      </w:r>
      <w:r/>
    </w:p>
    <w:p>
      <w:pPr>
        <w:pStyle w:val="704"/>
        <w:ind w:left="0" w:right="0" w:firstLine="643"/>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十一、退出机制</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1.乙方因自身原因需提前终止供货的，须</w:t>
      </w:r>
      <w:r>
        <w:rPr>
          <w:rFonts w:ascii="FangSong" w:hAnsi="FangSong" w:eastAsia="FangSong" w:cs="FangSong"/>
          <w:b/>
          <w:color w:val="000000"/>
          <w:sz w:val="32"/>
        </w:rPr>
        <w:t xml:space="preserve">提前90日</w:t>
      </w:r>
      <w:r>
        <w:rPr>
          <w:rFonts w:ascii="FangSong" w:hAnsi="FangSong" w:eastAsia="FangSong" w:cs="FangSong"/>
          <w:color w:val="000000"/>
          <w:sz w:val="32"/>
        </w:rPr>
        <w:t xml:space="preserve">向甲方提交书面退出申请，经甲方书面同意后，按甲方规定程序办理退出手续；未经甲方同意，乙方不得擅自停止供货，否则按本合同第九条违约责任相关约定处理。</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2.乙方发生食品安全事故或其他安全事故、被监管部门行政处罚、列入严重违法失信名单、相关资质证件被吊销等情形的，甲方可单方解除合同，乙方永久不得参与甲方任何采购项目。</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3.乙方在合同期内擅自断供、迟供、减量供应，严重影响甲方正常经营秩序，经甲方催告后仍未改正的，甲方有权终止合同、扣除相应履约保证金，并追究乙方赔偿责任。</w:t>
      </w:r>
      <w:r/>
    </w:p>
    <w:p>
      <w:pPr>
        <w:ind w:left="0" w:right="0" w:firstLine="640"/>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4.乙方在甲方日常考核中不合格，且在甲方指定的整改期限内仍未达标者，甲方有权单方终止本合同。</w:t>
      </w:r>
      <w:r/>
    </w:p>
    <w:p>
      <w:pPr>
        <w:pStyle w:val="704"/>
        <w:ind w:left="0" w:right="0" w:firstLine="643"/>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十二、其他约定事项</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（一）招标文件和中标单位的投标文件作为双方签订合同的依据，并作为正式合同的附件，具有法律效力。各类文件的具体效力顺序为：供货合同、招标文件、投标文件。</w:t>
      </w:r>
      <w:r/>
    </w:p>
    <w:p>
      <w:pPr>
        <w:ind w:left="0" w:right="0" w:firstLine="616"/>
        <w:jc w:val="both"/>
        <w:spacing w:before="24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本合同在履行过程中发生的争议，由双方当事人协商解决；协商不成的，依法向甲方所在人民法院提起诉讼。因诉讼产生的相关费用及开支（包括但不限于公证费、诉讼费、保全费、保全担保费、鉴定费、律师费、交通费用等）均由败诉方承担。</w:t>
      </w:r>
      <w:r/>
    </w:p>
    <w:p>
      <w:pPr>
        <w:ind w:left="0" w:right="0" w:firstLine="616"/>
        <w:jc w:val="both"/>
        <w:spacing w:before="24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（三）本合同一式肆份，甲方叁份，乙方壹份。</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甲方：南京医科大学 </w:t>
      </w:r>
      <w:r>
        <w:rPr>
          <w:rFonts w:ascii="FangSong" w:hAnsi="FangSong" w:eastAsia="FangSong" w:cs="FangSong"/>
          <w:color w:val="000000"/>
          <w:sz w:val="32"/>
        </w:rPr>
        <w:t xml:space="preserve">        </w:t>
      </w:r>
      <w:r>
        <w:rPr>
          <w:rFonts w:ascii="FangSong" w:hAnsi="FangSong" w:eastAsia="FangSong" w:cs="FangSong"/>
          <w:color w:val="000000"/>
          <w:spacing w:val="-6"/>
          <w:sz w:val="32"/>
        </w:rPr>
        <w:t xml:space="preserve">             乙方：</w:t>
      </w:r>
      <w:r/>
    </w:p>
    <w:p>
      <w:pPr>
        <w:ind w:left="0" w:right="0" w:firstLine="0"/>
        <w:jc w:val="both"/>
        <w:spacing w:before="24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单位地址：</w:t>
      </w:r>
      <w:r>
        <w:rPr>
          <w:rFonts w:ascii="FangSong" w:hAnsi="FangSong" w:eastAsia="FangSong" w:cs="FangSong"/>
          <w:color w:val="000000"/>
          <w:sz w:val="28"/>
        </w:rPr>
        <w:t xml:space="preserve">江苏省南京市江宁区龙眠大道101号</w:t>
      </w:r>
      <w:r>
        <w:rPr>
          <w:rFonts w:ascii="FangSong" w:hAnsi="FangSong" w:eastAsia="FangSong" w:cs="FangSong"/>
          <w:color w:val="000000"/>
          <w:sz w:val="32"/>
        </w:rPr>
        <w:t xml:space="preserve">单位地址：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代表人：</w:t>
      </w:r>
      <w:r>
        <w:rPr>
          <w:rFonts w:ascii="FangSong" w:hAnsi="FangSong" w:eastAsia="FangSong" w:cs="FangSong"/>
          <w:color w:val="000000"/>
          <w:sz w:val="32"/>
        </w:rPr>
        <w:t xml:space="preserve">                         </w:t>
      </w:r>
      <w:r>
        <w:rPr>
          <w:rFonts w:ascii="FangSong" w:hAnsi="FangSong" w:eastAsia="FangSong" w:cs="FangSong"/>
          <w:color w:val="000000"/>
          <w:spacing w:val="-6"/>
          <w:sz w:val="32"/>
        </w:rPr>
        <w:t xml:space="preserve">    代表人：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联系电话：</w:t>
      </w:r>
      <w:r>
        <w:rPr>
          <w:rFonts w:ascii="FangSong" w:hAnsi="FangSong" w:eastAsia="FangSong" w:cs="FangSong"/>
          <w:color w:val="000000"/>
          <w:sz w:val="32"/>
        </w:rPr>
        <w:t xml:space="preserve">                           </w:t>
      </w:r>
      <w:r>
        <w:rPr>
          <w:rFonts w:ascii="FangSong" w:hAnsi="FangSong" w:eastAsia="FangSong" w:cs="FangSong"/>
          <w:color w:val="000000"/>
          <w:spacing w:val="-6"/>
          <w:sz w:val="32"/>
        </w:rPr>
        <w:t xml:space="preserve">联系电话：</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2"/>
        </w:rPr>
        <w:t xml:space="preserve">签字时间：</w:t>
      </w:r>
      <w:r>
        <w:rPr>
          <w:rFonts w:ascii="FangSong" w:hAnsi="FangSong" w:eastAsia="FangSong" w:cs="FangSong"/>
          <w:color w:val="000000"/>
          <w:sz w:val="32"/>
        </w:rPr>
        <w:t xml:space="preserve">                           </w:t>
      </w:r>
      <w:r>
        <w:rPr>
          <w:rFonts w:ascii="FangSong" w:hAnsi="FangSong" w:eastAsia="FangSong" w:cs="FangSong"/>
          <w:color w:val="000000"/>
          <w:spacing w:val="-6"/>
          <w:sz w:val="32"/>
        </w:rPr>
        <w:t xml:space="preserve">签字时间：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附件：《分项报价表》</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7"/>
        <w:gridCol w:w="3990"/>
        <w:gridCol w:w="1509"/>
        <w:gridCol w:w="1214"/>
        <w:gridCol w:w="1544"/>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 投标文件格式及附件</w:t>
      </w:r>
      <w:r/>
    </w:p>
    <w:p>
      <w:pPr>
        <w:ind w:left="56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370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包 号：</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投标文件主要目录及相关证明材料格式、附件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一、投标申请及声明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二、法定代表人授权书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五、技术条款偏离表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七、投标需要的其他证明文件及材料（若有）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附件一、无重大违法记录声明格式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附件二、具备履行合同所必需的设备和专业技术能力的声明格式及证明材料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附件三、业绩一览表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附件四、中小企业声明函格式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附件五、残疾人福利性单位声明函格式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附件六、属于监狱企业的证明文件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附件七、食品安全责任险承诺书（仅采购包1-11需填写）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附件八、关于符合本国产品标准的声明函格式（仅采购包12需填写）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目录一、投标申请及声明格式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致：南京医科大学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根据贵方（项目名称）（项目编号）（采购包号）投标邀请，正式授权下述签字人（姓名和职务）代表投标人（投标人名称），提交投标文件。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我们的资格条件完全符合政府采购法和本次招标要求</w:t>
      </w:r>
      <w:r>
        <w:rPr>
          <w:rFonts w:ascii="SimSun" w:hAnsi="SimSun" w:eastAsia="SimSun" w:cs="SimSun"/>
          <w:color w:val="000000"/>
          <w:sz w:val="22"/>
        </w:rPr>
        <w:t xml:space="preserve">，我们同意并向贵方提供了与投标有关的所有证据和资料。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2、按招标要求，我们的投标报价：人民币（大写）</w:t>
      </w:r>
      <w:r>
        <w:rPr>
          <w:rFonts w:ascii="SimSun" w:hAnsi="SimSun" w:eastAsia="SimSun" w:cs="SimSun"/>
          <w:color w:val="000000"/>
          <w:sz w:val="21"/>
          <w:u w:val="single"/>
        </w:rPr>
        <w:t xml:space="preserve">       </w:t>
      </w:r>
      <w:r>
        <w:rPr>
          <w:rFonts w:ascii="SimSun" w:hAnsi="SimSun" w:eastAsia="SimSun" w:cs="SimSun"/>
          <w:color w:val="000000"/>
          <w:sz w:val="22"/>
        </w:rPr>
        <w:t xml:space="preserve">元，人民币（小写）</w:t>
      </w:r>
      <w:r>
        <w:rPr>
          <w:rFonts w:ascii="SimSun" w:hAnsi="SimSun" w:eastAsia="SimSun" w:cs="SimSun"/>
          <w:color w:val="000000"/>
          <w:sz w:val="21"/>
          <w:u w:val="single"/>
        </w:rPr>
        <w:t xml:space="preserve">       </w:t>
      </w:r>
      <w:r>
        <w:rPr>
          <w:rFonts w:ascii="SimSun" w:hAnsi="SimSun" w:eastAsia="SimSun" w:cs="SimSun"/>
          <w:color w:val="000000"/>
          <w:sz w:val="22"/>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3、我们已详细审核全部招标文件及其有效补充文件，我们放弃对招标文件任何误解的权利，提交投标文件后，</w:t>
      </w:r>
      <w:r>
        <w:rPr>
          <w:rFonts w:ascii="SimSun" w:hAnsi="SimSun" w:eastAsia="SimSun" w:cs="SimSun"/>
          <w:b/>
          <w:color w:val="000000"/>
          <w:sz w:val="22"/>
        </w:rPr>
        <w:t xml:space="preserve">不对招标文件本身提出质疑</w:t>
      </w:r>
      <w:r>
        <w:rPr>
          <w:rFonts w:ascii="SimSun" w:hAnsi="SimSun" w:eastAsia="SimSun" w:cs="SimSun"/>
          <w:color w:val="000000"/>
          <w:sz w:val="22"/>
        </w:rPr>
        <w:t xml:space="preserve">。否则，属于不诚信和故意扰乱政府采购活动行为，我们将无条件接受处罚。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5、一旦我方中标，我方将根据招标文件的规定严格履行合同，并保证于承诺的时间完成服务的启动/集成、调试等服务，交付采购人验收、使用。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7、与本投标有关的正式联系方式为：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供应商授权代表姓名（签字）：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供应商名称（加盖CA电子公章）：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目录二、法定代表人授权书格式</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南京医科大学：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投标人住址）的（投标人名称）法定代表人（法定代表人姓名、职务）代表本公司授权在下面签字的（投标人代表姓名、职务）为本公司的合法代理人，就贵方组织的（项目名称），（项目编号），（采购包号）投标，以本公司名义处理一切与之有关的事务。</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本授权书于年月日签字生效，特此声明。</w:t>
      </w:r>
      <w:r/>
    </w:p>
    <w:p>
      <w:pPr>
        <w:ind w:left="0" w:right="0" w:firstLine="40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法定代表人（签字或盖章）：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授权委托人（签字）：</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供应商名称（加盖CA电子公章）：</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法定代表人或被授权人身份证复印件：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供应商为被授权人缴纳社保证明：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目录三、开标一览表格式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开标一览表</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4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p>
      <w:pPr>
        <w:ind w:left="0" w:right="0" w:firstLine="482"/>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9"/>
        <w:gridCol w:w="8066"/>
      </w:tblGrid>
      <w:tr>
        <w:trPr>
          <w:trHeight w:val="6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总报价</w:t>
            </w:r>
            <w:r/>
          </w:p>
        </w:tc>
      </w:tr>
      <w:tr>
        <w:trPr>
          <w:trHeight w:val="1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tc>
      </w:tr>
    </w:tbl>
    <w:p>
      <w:pPr>
        <w:ind w:left="0" w:right="0" w:firstLine="0"/>
        <w:jc w:val="right"/>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填写说明：</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1、开标一览表必须加盖投标人CA电子公章。</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2、投标总报价为：各项投标单价*预估用量的合计。本次“投标总报价”仅做为报价评审依据。</w:t>
      </w:r>
      <w:r/>
    </w:p>
    <w:p>
      <w:pPr>
        <w:ind w:left="0" w:right="0" w:firstLine="42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目录四、分项报价表</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详见采购公告附件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目录五、技术条款偏离表格式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9"/>
        <w:gridCol w:w="1978"/>
        <w:gridCol w:w="2750"/>
        <w:gridCol w:w="2492"/>
        <w:gridCol w:w="1305"/>
      </w:tblGrid>
      <w:tr>
        <w:trPr>
          <w:trHeight w:val="284"/>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项目编号：            采购包号：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招标文件要求的技术条款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2"/>
        </w:rPr>
        <w:t xml:space="preserve">（加盖CA电子公章）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说明：1、如果行数不够，请自行增加。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2、供应商需在上表中对第四章“★（第二部分 技术部分）”中的相关内容进行响应。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目录六、商务条款偏离表格式</w:t>
      </w:r>
      <w:r/>
    </w:p>
    <w:p>
      <w:pPr>
        <w:ind w:left="42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9"/>
        <w:gridCol w:w="1978"/>
        <w:gridCol w:w="2750"/>
        <w:gridCol w:w="2492"/>
        <w:gridCol w:w="1305"/>
      </w:tblGrid>
      <w:tr>
        <w:trPr>
          <w:trHeight w:val="284"/>
        </w:trPr>
        <w:tc>
          <w:tcPr>
            <w:gridSpan w:val="5"/>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项目编号：            采购包号：</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招标文件要求的商务条款</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8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3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2"/>
        </w:rPr>
        <w:t xml:space="preserve">（加盖CA电子公章）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1、如果行、列数不够，请自行增加。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2、供应商需在上表中对第四章“★（第三部分 商务部分）”中的相关内容进行响应。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目录七、投标需要的其他证明文件及材料</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投标需要的其他证明文件及材料（若有）</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附件一、无重大违法记录声明格式</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南京医科大学：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w:t>
      </w:r>
      <w:r>
        <w:rPr>
          <w:rFonts w:ascii="SimSun" w:hAnsi="SimSun" w:eastAsia="SimSun" w:cs="SimSun"/>
          <w:color w:val="000000"/>
          <w:sz w:val="21"/>
          <w:u w:val="single"/>
        </w:rPr>
        <w:t xml:space="preserve">           </w:t>
      </w:r>
      <w:r>
        <w:rPr>
          <w:rFonts w:ascii="SimSun" w:hAnsi="SimSun" w:eastAsia="SimSun" w:cs="SimSun"/>
          <w:color w:val="000000"/>
          <w:sz w:val="22"/>
        </w:rPr>
        <w:t xml:space="preserve">（供应商名称）郑重声明：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参加政府采购活动前3年内在经营活动中</w:t>
      </w:r>
      <w:r>
        <w:rPr>
          <w:rFonts w:ascii="SimSun" w:hAnsi="SimSun" w:eastAsia="SimSun" w:cs="SimSun"/>
          <w:color w:val="000000"/>
          <w:sz w:val="21"/>
          <w:u w:val="single"/>
        </w:rPr>
        <w:t xml:space="preserve">   </w:t>
      </w:r>
      <w:r>
        <w:rPr>
          <w:rFonts w:ascii="SimSun" w:hAnsi="SimSun" w:eastAsia="SimSun" w:cs="SimSun"/>
          <w:color w:val="000000"/>
          <w:sz w:val="22"/>
        </w:rPr>
        <w:t xml:space="preserve">（在下划线上如实填写：有或没有）重大违法记录。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声明人（加盖CA电子公章）：</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附件二、具备履行合同所必需的设备和专业技术能力的声明格式及证明材料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南京医科大学：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w:t>
      </w:r>
      <w:r>
        <w:rPr>
          <w:rFonts w:ascii="SimSun" w:hAnsi="SimSun" w:eastAsia="SimSun" w:cs="SimSun"/>
          <w:color w:val="000000"/>
          <w:sz w:val="21"/>
          <w:u w:val="single"/>
        </w:rPr>
        <w:t xml:space="preserve">                             </w:t>
      </w:r>
      <w:r>
        <w:rPr>
          <w:rFonts w:ascii="SimSun" w:hAnsi="SimSun" w:eastAsia="SimSun" w:cs="SimSun"/>
          <w:color w:val="000000"/>
          <w:sz w:val="22"/>
        </w:rPr>
        <w:t xml:space="preserve">（供应商名称）郑重声明：我公司具备履行本项采购合同所必需的设备和专业技术能力，为履行本项采购合同我单位具备如下主要设备和主要专业技术能力：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主要设备有：</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声明人：（加盖CA电子公章）</w:t>
      </w:r>
      <w:r/>
    </w:p>
    <w:p>
      <w:pPr>
        <w:ind w:left="0" w:right="0" w:firstLine="63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其他证明材料及文件：（如果投标人认为需要提供的话）</w:t>
      </w:r>
      <w:r/>
    </w:p>
    <w:p>
      <w:pPr>
        <w:ind w:left="0" w:right="0" w:firstLine="0"/>
        <w:spacing w:before="2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附件三、业绩一览表</w:t>
      </w:r>
      <w:r/>
    </w:p>
    <w:tbl>
      <w:tblPr>
        <w:tblStyle w:val="7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0"/>
        <w:gridCol w:w="1871"/>
        <w:gridCol w:w="1871"/>
        <w:gridCol w:w="2430"/>
        <w:gridCol w:w="131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签订单位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合同履行联系人及电话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附件四、中小企业声明函格式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中小企业声明函（货物）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 号）的规定，本公司（联合体）参加</w:t>
      </w:r>
      <w:r>
        <w:rPr>
          <w:rFonts w:ascii="SimSun" w:hAnsi="SimSun" w:eastAsia="SimSun" w:cs="SimSun"/>
          <w:color w:val="000000"/>
          <w:sz w:val="22"/>
          <w:u w:val="single"/>
        </w:rPr>
        <w:t xml:space="preserve">（单位名称）</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采购活动，提供的货物全部由符合政策要求的中小企业制造。相关企业（含联合体中的中小企业、签订分包意向协议的中小企业）</w:t>
      </w:r>
      <w:r>
        <w:rPr>
          <w:rFonts w:ascii="SimSun" w:hAnsi="SimSun" w:eastAsia="SimSun" w:cs="SimSun"/>
          <w:color w:val="000000"/>
          <w:sz w:val="21"/>
        </w:rPr>
        <w:t xml:space="preserve"> </w:t>
      </w:r>
      <w:r>
        <w:rPr>
          <w:rFonts w:ascii="SimSun" w:hAnsi="SimSun" w:eastAsia="SimSun" w:cs="SimSun"/>
          <w:color w:val="000000"/>
          <w:sz w:val="22"/>
        </w:rPr>
        <w:t xml:space="preserve">的具体情况如下：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u w:val="single"/>
        </w:rPr>
        <w:t xml:space="preserve">       </w:t>
      </w:r>
      <w:r>
        <w:rPr>
          <w:rFonts w:ascii="SimSun" w:hAnsi="SimSun" w:eastAsia="SimSun" w:cs="SimSun"/>
          <w:color w:val="000000"/>
          <w:sz w:val="22"/>
        </w:rPr>
        <w:t xml:space="preserve">（标的名称），属于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工业</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（采购文件中明确的所属行业）行业；制造商为</w:t>
      </w:r>
      <w:r>
        <w:rPr>
          <w:rFonts w:ascii="SimSun" w:hAnsi="SimSun" w:eastAsia="SimSun" w:cs="SimSun"/>
          <w:color w:val="000000"/>
          <w:sz w:val="21"/>
          <w:u w:val="single"/>
        </w:rPr>
        <w:t xml:space="preserve">         </w:t>
      </w:r>
      <w:r>
        <w:rPr>
          <w:rFonts w:ascii="SimSun" w:hAnsi="SimSun" w:eastAsia="SimSun" w:cs="SimSun"/>
          <w:color w:val="000000"/>
          <w:sz w:val="22"/>
        </w:rPr>
        <w:t xml:space="preserve">（企业名称），从业人员</w:t>
      </w:r>
      <w:r>
        <w:rPr>
          <w:rFonts w:ascii="SimSun" w:hAnsi="SimSun" w:eastAsia="SimSun" w:cs="SimSun"/>
          <w:color w:val="000000"/>
          <w:sz w:val="22"/>
          <w:u w:val="single"/>
        </w:rPr>
        <w:tab/>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u w:val="single"/>
        </w:rPr>
        <w:tab/>
      </w:r>
      <w:r>
        <w:rPr>
          <w:rFonts w:ascii="SimSun" w:hAnsi="SimSun" w:eastAsia="SimSun" w:cs="SimSun"/>
          <w:color w:val="000000"/>
          <w:sz w:val="22"/>
        </w:rPr>
        <w:t xml:space="preserve">万元，资产总额为</w:t>
      </w:r>
      <w:r>
        <w:rPr>
          <w:rFonts w:ascii="SimSun" w:hAnsi="SimSun" w:eastAsia="SimSun" w:cs="SimSun"/>
          <w:color w:val="000000"/>
          <w:sz w:val="22"/>
          <w:u w:val="single"/>
        </w:rPr>
        <w:tab/>
      </w:r>
      <w:r>
        <w:rPr>
          <w:rFonts w:ascii="SimSun" w:hAnsi="SimSun" w:eastAsia="SimSun" w:cs="SimSun"/>
          <w:color w:val="000000"/>
          <w:sz w:val="22"/>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2"/>
        </w:rPr>
        <w:t xml:space="preserve">（中型企业、小型企业、微型企业）；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u w:val="single"/>
        </w:rPr>
        <w:t xml:space="preserve">       </w:t>
      </w:r>
      <w:r>
        <w:rPr>
          <w:rFonts w:ascii="SimSun" w:hAnsi="SimSun" w:eastAsia="SimSun" w:cs="SimSun"/>
          <w:color w:val="000000"/>
          <w:sz w:val="22"/>
        </w:rPr>
        <w:t xml:space="preserve">（标的名称），属于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工业</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（采购文件中明确的所属行业）行业；制造商为</w:t>
      </w:r>
      <w:r>
        <w:rPr>
          <w:rFonts w:ascii="SimSun" w:hAnsi="SimSun" w:eastAsia="SimSun" w:cs="SimSun"/>
          <w:color w:val="000000"/>
          <w:sz w:val="21"/>
          <w:u w:val="single"/>
        </w:rPr>
        <w:t xml:space="preserve">         </w:t>
      </w:r>
      <w:r>
        <w:rPr>
          <w:rFonts w:ascii="SimSun" w:hAnsi="SimSun" w:eastAsia="SimSun" w:cs="SimSun"/>
          <w:color w:val="000000"/>
          <w:sz w:val="22"/>
        </w:rPr>
        <w:t xml:space="preserve">（企业名称），从业人员</w:t>
      </w:r>
      <w:r>
        <w:rPr>
          <w:rFonts w:ascii="SimSun" w:hAnsi="SimSun" w:eastAsia="SimSun" w:cs="SimSun"/>
          <w:color w:val="000000"/>
          <w:sz w:val="22"/>
          <w:u w:val="single"/>
        </w:rPr>
        <w:tab/>
      </w:r>
      <w:r>
        <w:rPr>
          <w:rFonts w:ascii="SimSun" w:hAnsi="SimSun" w:eastAsia="SimSun" w:cs="SimSun"/>
          <w:color w:val="000000"/>
          <w:sz w:val="22"/>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2"/>
          <w:u w:val="single"/>
        </w:rPr>
        <w:tab/>
      </w:r>
      <w:r>
        <w:rPr>
          <w:rFonts w:ascii="SimSun" w:hAnsi="SimSun" w:eastAsia="SimSun" w:cs="SimSun"/>
          <w:color w:val="000000"/>
          <w:sz w:val="22"/>
        </w:rPr>
        <w:t xml:space="preserve">万元，资产总额为</w:t>
      </w:r>
      <w:r>
        <w:rPr>
          <w:rFonts w:ascii="SimSun" w:hAnsi="SimSun" w:eastAsia="SimSun" w:cs="SimSun"/>
          <w:color w:val="000000"/>
          <w:sz w:val="22"/>
          <w:u w:val="single"/>
        </w:rPr>
        <w:tab/>
      </w:r>
      <w:r>
        <w:rPr>
          <w:rFonts w:ascii="SimSun" w:hAnsi="SimSun" w:eastAsia="SimSun" w:cs="SimSun"/>
          <w:color w:val="000000"/>
          <w:sz w:val="22"/>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2"/>
        </w:rPr>
        <w:t xml:space="preserve">（中型企业、小型企业、微型企业）；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企业名称（加盖CA电子公章）：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rPr>
          <w:rFonts w:ascii="Times New Roman" w:hAnsi="Times New Roman" w:eastAsia="Times New Roman" w:cs="Times New Roman"/>
          <w:b/>
          <w:color w:val="000000"/>
          <w:sz w:val="22"/>
        </w:rPr>
        <w:t xml:space="preserve">1</w:t>
      </w:r>
      <w:r>
        <w:rPr>
          <w:rFonts w:ascii="SimSun" w:hAnsi="SimSun" w:eastAsia="SimSun" w:cs="SimSun"/>
          <w:b/>
          <w:color w:val="000000"/>
          <w:sz w:val="22"/>
        </w:rPr>
        <w:t xml:space="preserve">：</w:t>
      </w:r>
      <w:r>
        <w:rPr>
          <w:rFonts w:ascii="SimSun" w:hAnsi="SimSun" w:eastAsia="SimSun" w:cs="SimSun"/>
          <w:color w:val="000000"/>
          <w:sz w:val="22"/>
        </w:rPr>
        <w:t xml:space="preserve">从业人员、营业收入、资产总额填报上一年度数据，无上一年度数据的新成立企业可不填报。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w:t>
      </w:r>
      <w:r>
        <w:rPr>
          <w:rFonts w:ascii="SimSun" w:hAnsi="SimSun" w:eastAsia="SimSun" w:cs="SimSun"/>
          <w:color w:val="000000"/>
          <w:sz w:val="22"/>
        </w:rPr>
        <w:t xml:space="preserve">投标人对以上数据的真实性负责，中标人如享受本项目小微企业扶持政策的，其《中小企业声明函》将随本项目的中标结果同时公告，接受社会监督。</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rPr>
          <w:rFonts w:ascii="Times New Roman" w:hAnsi="Times New Roman" w:eastAsia="Times New Roman" w:cs="Times New Roman"/>
          <w:b/>
          <w:color w:val="000000"/>
          <w:sz w:val="22"/>
        </w:rPr>
        <w:t xml:space="preserve">3</w:t>
      </w:r>
      <w:r>
        <w:rPr>
          <w:rFonts w:ascii="SimSun" w:hAnsi="SimSun" w:eastAsia="SimSun" w:cs="SimSun"/>
          <w:b/>
          <w:color w:val="000000"/>
          <w:sz w:val="22"/>
        </w:rPr>
        <w:t xml:space="preserve">：</w:t>
      </w:r>
      <w:r>
        <w:rPr>
          <w:rFonts w:ascii="SimSun" w:hAnsi="SimSun" w:eastAsia="SimSun" w:cs="SimSun"/>
          <w:color w:val="000000"/>
          <w:sz w:val="22"/>
        </w:rPr>
        <w:t xml:space="preserve">本项目为货物采购，供应商提供的货物全部由小微企业制造，才能享受小微企业扶持价格扣除政策。填报《中小企业声明函》时不能填写批发商，要对货物的制造商进行溯源。</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w:t>
      </w:r>
      <w:r>
        <w:rPr>
          <w:rFonts w:ascii="Times New Roman" w:hAnsi="Times New Roman" w:eastAsia="Times New Roman" w:cs="Times New Roman"/>
          <w:b/>
          <w:color w:val="000000"/>
          <w:sz w:val="22"/>
        </w:rPr>
        <w:t xml:space="preserve">4</w:t>
      </w:r>
      <w:r>
        <w:rPr>
          <w:rFonts w:ascii="SimSun" w:hAnsi="SimSun" w:eastAsia="SimSun" w:cs="SimSun"/>
          <w:b/>
          <w:color w:val="000000"/>
          <w:sz w:val="22"/>
        </w:rPr>
        <w:t xml:space="preserve">：</w:t>
      </w:r>
      <w:r>
        <w:rPr>
          <w:rFonts w:ascii="SimSun" w:hAnsi="SimSun" w:eastAsia="SimSun" w:cs="SimSun"/>
          <w:color w:val="000000"/>
          <w:sz w:val="22"/>
        </w:rPr>
        <w:t xml:space="preserve">如可以享受中小企业政策的投标人，按照如上声明函的格式如实填写，对照采购需求中所提供的《采购清单》的每一项和采购文件明确的采购标的所属行业逐项填报每一种货物的制造商信息。如缺任意一项报价将不参与优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rPr>
          <w:rFonts w:ascii="Times New Roman" w:hAnsi="Times New Roman" w:eastAsia="Times New Roman" w:cs="Times New Roman"/>
          <w:b/>
          <w:color w:val="000000"/>
          <w:sz w:val="22"/>
        </w:rPr>
        <w:t xml:space="preserve">5</w:t>
      </w:r>
      <w:r>
        <w:rPr>
          <w:rFonts w:ascii="SimSun" w:hAnsi="SimSun" w:eastAsia="SimSun" w:cs="SimSun"/>
          <w:b/>
          <w:color w:val="000000"/>
          <w:sz w:val="22"/>
        </w:rPr>
        <w:t xml:space="preserve">：</w:t>
      </w:r>
      <w:r>
        <w:rPr>
          <w:rFonts w:ascii="SimSun" w:hAnsi="SimSun" w:eastAsia="SimSun" w:cs="SimSun"/>
          <w:color w:val="000000"/>
          <w:sz w:val="22"/>
        </w:rPr>
        <w:t xml:space="preserve">依据《关于印发中小企业划型标准规定的通知》（工信部联企业〔</w:t>
      </w:r>
      <w:r>
        <w:rPr>
          <w:rFonts w:ascii="Times New Roman" w:hAnsi="Times New Roman" w:eastAsia="Times New Roman" w:cs="Times New Roman"/>
          <w:color w:val="000000"/>
          <w:sz w:val="22"/>
        </w:rPr>
        <w:t xml:space="preserve">2011</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300</w:t>
      </w:r>
      <w:r>
        <w:rPr>
          <w:rFonts w:ascii="SimSun" w:hAnsi="SimSun" w:eastAsia="SimSun" w:cs="SimSun"/>
          <w:color w:val="000000"/>
          <w:sz w:val="22"/>
        </w:rPr>
        <w:t xml:space="preserve">号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工业。从业人员</w:t>
      </w:r>
      <w:r>
        <w:rPr>
          <w:rFonts w:ascii="Times New Roman" w:hAnsi="Times New Roman" w:eastAsia="Times New Roman" w:cs="Times New Roman"/>
          <w:color w:val="000000"/>
          <w:sz w:val="22"/>
        </w:rPr>
        <w:t xml:space="preserve">1000</w:t>
      </w:r>
      <w:r>
        <w:rPr>
          <w:rFonts w:ascii="SimSun" w:hAnsi="SimSun" w:eastAsia="SimSun" w:cs="SimSun"/>
          <w:color w:val="000000"/>
          <w:sz w:val="22"/>
        </w:rPr>
        <w:t xml:space="preserve">人以下或营业收入</w:t>
      </w:r>
      <w:r>
        <w:rPr>
          <w:rFonts w:ascii="Times New Roman" w:hAnsi="Times New Roman" w:eastAsia="Times New Roman" w:cs="Times New Roman"/>
          <w:color w:val="000000"/>
          <w:sz w:val="22"/>
        </w:rPr>
        <w:t xml:space="preserve">40000</w:t>
      </w:r>
      <w:r>
        <w:rPr>
          <w:rFonts w:ascii="SimSun" w:hAnsi="SimSun" w:eastAsia="SimSun" w:cs="SimSun"/>
          <w:color w:val="000000"/>
          <w:sz w:val="22"/>
        </w:rPr>
        <w:t xml:space="preserve">万元以下的为中小微型企业。其中，从业人员</w:t>
      </w:r>
      <w:r>
        <w:rPr>
          <w:rFonts w:ascii="Times New Roman" w:hAnsi="Times New Roman" w:eastAsia="Times New Roman" w:cs="Times New Roman"/>
          <w:color w:val="000000"/>
          <w:sz w:val="22"/>
        </w:rPr>
        <w:t xml:space="preserve">300</w:t>
      </w:r>
      <w:r>
        <w:rPr>
          <w:rFonts w:ascii="SimSun" w:hAnsi="SimSun" w:eastAsia="SimSun" w:cs="SimSun"/>
          <w:color w:val="000000"/>
          <w:sz w:val="22"/>
        </w:rPr>
        <w:t xml:space="preserve">人及以上，且营业收入</w:t>
      </w:r>
      <w:r>
        <w:rPr>
          <w:rFonts w:ascii="Times New Roman" w:hAnsi="Times New Roman" w:eastAsia="Times New Roman" w:cs="Times New Roman"/>
          <w:color w:val="000000"/>
          <w:sz w:val="22"/>
        </w:rPr>
        <w:t xml:space="preserve">2000</w:t>
      </w:r>
      <w:r>
        <w:rPr>
          <w:rFonts w:ascii="SimSun" w:hAnsi="SimSun" w:eastAsia="SimSun" w:cs="SimSun"/>
          <w:color w:val="000000"/>
          <w:sz w:val="22"/>
        </w:rPr>
        <w:t xml:space="preserve">万元及以上的为中型企业；从业人员</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人及以上，且营业收入</w:t>
      </w:r>
      <w:r>
        <w:rPr>
          <w:rFonts w:ascii="Times New Roman" w:hAnsi="Times New Roman" w:eastAsia="Times New Roman" w:cs="Times New Roman"/>
          <w:color w:val="000000"/>
          <w:sz w:val="22"/>
        </w:rPr>
        <w:t xml:space="preserve">300</w:t>
      </w:r>
      <w:r>
        <w:rPr>
          <w:rFonts w:ascii="SimSun" w:hAnsi="SimSun" w:eastAsia="SimSun" w:cs="SimSun"/>
          <w:color w:val="000000"/>
          <w:sz w:val="22"/>
        </w:rPr>
        <w:t xml:space="preserve">万元及以上的为小型企业；从业人员</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人以下或营业收入</w:t>
      </w:r>
      <w:r>
        <w:rPr>
          <w:rFonts w:ascii="Times New Roman" w:hAnsi="Times New Roman" w:eastAsia="Times New Roman" w:cs="Times New Roman"/>
          <w:color w:val="000000"/>
          <w:sz w:val="22"/>
        </w:rPr>
        <w:t xml:space="preserve">300</w:t>
      </w:r>
      <w:r>
        <w:rPr>
          <w:rFonts w:ascii="SimSun" w:hAnsi="SimSun" w:eastAsia="SimSun" w:cs="SimSun"/>
          <w:color w:val="000000"/>
          <w:sz w:val="22"/>
        </w:rPr>
        <w:t xml:space="preserve">万元以下的为微型企业。</w:t>
        <w:br w:type="page" w:clear="all"/>
      </w:r>
      <w:r/>
    </w:p>
    <w:p>
      <w:pPr>
        <w:ind w:left="0" w:right="0" w:firstLine="0"/>
        <w:spacing w:before="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附件五、残疾人福利性单位声明函格式</w:t>
      </w:r>
      <w:r/>
    </w:p>
    <w:p>
      <w:pPr>
        <w:ind w:left="0" w:right="0" w:firstLine="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167"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残疾人福利性单位声明函</w:t>
      </w:r>
      <w:r/>
    </w:p>
    <w:p>
      <w:pPr>
        <w:ind w:left="0" w:right="0" w:firstLine="0"/>
        <w:jc w:val="both"/>
        <w:spacing w:before="7"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both"/>
        <w:spacing w:before="240" w:after="0" w:line="85" w:lineRule="atLeast"/>
        <w:tabs>
          <w:tab w:val="left" w:pos="3711" w:leader="none"/>
          <w:tab w:val="left" w:pos="51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w:t>
      </w:r>
      <w:r>
        <w:rPr>
          <w:rFonts w:ascii="SimSun" w:hAnsi="SimSun" w:eastAsia="SimSun" w:cs="SimSun"/>
          <w:color w:val="000000"/>
          <w:spacing w:val="-27"/>
          <w:sz w:val="22"/>
        </w:rPr>
        <w:t xml:space="preserve">，</w:t>
      </w:r>
      <w:r>
        <w:rPr>
          <w:rFonts w:ascii="SimSun" w:hAnsi="SimSun" w:eastAsia="SimSun" w:cs="SimSun"/>
          <w:color w:val="000000"/>
          <w:sz w:val="22"/>
        </w:rPr>
        <w:t xml:space="preserve">根</w:t>
      </w:r>
      <w:r>
        <w:rPr>
          <w:rFonts w:ascii="SimSun" w:hAnsi="SimSun" w:eastAsia="SimSun" w:cs="SimSun"/>
          <w:color w:val="000000"/>
          <w:spacing w:val="-24"/>
          <w:sz w:val="22"/>
        </w:rPr>
        <w:t xml:space="preserve">据</w:t>
      </w:r>
      <w:r>
        <w:rPr>
          <w:rFonts w:ascii="SimSun" w:hAnsi="SimSun" w:eastAsia="SimSun" w:cs="SimSun"/>
          <w:color w:val="000000"/>
          <w:sz w:val="22"/>
        </w:rPr>
        <w:t xml:space="preserve">《财政部</w:t>
      </w:r>
      <w:r>
        <w:rPr>
          <w:rFonts w:ascii="SimSun" w:hAnsi="SimSun" w:eastAsia="SimSun" w:cs="SimSun"/>
          <w:color w:val="000000"/>
          <w:sz w:val="21"/>
        </w:rPr>
        <w:t xml:space="preserve"> </w:t>
      </w:r>
      <w:r>
        <w:rPr>
          <w:rFonts w:ascii="SimSun" w:hAnsi="SimSun" w:eastAsia="SimSun" w:cs="SimSun"/>
          <w:color w:val="000000"/>
          <w:sz w:val="22"/>
        </w:rPr>
        <w:t xml:space="preserve">民政部</w:t>
      </w:r>
      <w:r>
        <w:rPr>
          <w:rFonts w:ascii="SimSun" w:hAnsi="SimSun" w:eastAsia="SimSun" w:cs="SimSun"/>
          <w:color w:val="000000"/>
          <w:sz w:val="21"/>
        </w:rPr>
        <w:t xml:space="preserve"> </w:t>
      </w:r>
      <w:r>
        <w:rPr>
          <w:rFonts w:ascii="SimSun" w:hAnsi="SimSun" w:eastAsia="SimSun" w:cs="SimSun"/>
          <w:color w:val="000000"/>
          <w:sz w:val="22"/>
        </w:rPr>
        <w:t xml:space="preserve">中国残疾人联合会关于促进残疾人就业</w:t>
      </w:r>
      <w:r>
        <w:rPr>
          <w:rFonts w:ascii="SimSun" w:hAnsi="SimSun" w:eastAsia="SimSun" w:cs="SimSun"/>
          <w:color w:val="000000"/>
          <w:spacing w:val="-18"/>
          <w:sz w:val="22"/>
        </w:rPr>
        <w:t xml:space="preserve">政</w:t>
      </w:r>
      <w:r>
        <w:rPr>
          <w:rFonts w:ascii="SimSun" w:hAnsi="SimSun" w:eastAsia="SimSun" w:cs="SimSun"/>
          <w:color w:val="000000"/>
          <w:sz w:val="22"/>
        </w:rPr>
        <w:t xml:space="preserve">府采购政策的通知</w:t>
      </w:r>
      <w:r>
        <w:rPr>
          <w:rFonts w:ascii="SimSun" w:hAnsi="SimSun" w:eastAsia="SimSun" w:cs="SimSun"/>
          <w:color w:val="000000"/>
          <w:spacing w:val="-39"/>
          <w:sz w:val="22"/>
        </w:rPr>
        <w:t xml:space="preserve">》</w:t>
      </w:r>
      <w:r>
        <w:rPr>
          <w:rFonts w:ascii="SimSun" w:hAnsi="SimSun" w:eastAsia="SimSun" w:cs="SimSun"/>
          <w:color w:val="000000"/>
          <w:sz w:val="22"/>
        </w:rPr>
        <w:t xml:space="preserve">（财</w:t>
      </w:r>
      <w:r>
        <w:rPr>
          <w:rFonts w:ascii="SimSun" w:hAnsi="SimSun" w:eastAsia="SimSun" w:cs="SimSun"/>
          <w:color w:val="000000"/>
          <w:spacing w:val="-17"/>
          <w:sz w:val="22"/>
        </w:rPr>
        <w:t xml:space="preserve">库</w:t>
      </w:r>
      <w:r>
        <w:rPr>
          <w:rFonts w:ascii="SimSun" w:hAnsi="SimSun" w:eastAsia="SimSun" w:cs="SimSun"/>
          <w:color w:val="000000"/>
          <w:sz w:val="22"/>
        </w:rPr>
        <w:t xml:space="preserve">〔2017〕141号</w:t>
      </w:r>
      <w:r>
        <w:rPr>
          <w:rFonts w:ascii="SimSun" w:hAnsi="SimSun" w:eastAsia="SimSun" w:cs="SimSun"/>
          <w:color w:val="000000"/>
          <w:spacing w:val="-20"/>
          <w:sz w:val="22"/>
        </w:rPr>
        <w:t xml:space="preserve">）</w:t>
      </w:r>
      <w:r>
        <w:rPr>
          <w:rFonts w:ascii="SimSun" w:hAnsi="SimSun" w:eastAsia="SimSun" w:cs="SimSun"/>
          <w:color w:val="000000"/>
          <w:sz w:val="22"/>
        </w:rPr>
        <w:t xml:space="preserve">的规定</w:t>
      </w:r>
      <w:r>
        <w:rPr>
          <w:rFonts w:ascii="SimSun" w:hAnsi="SimSun" w:eastAsia="SimSun" w:cs="SimSun"/>
          <w:color w:val="000000"/>
          <w:spacing w:val="-17"/>
          <w:sz w:val="22"/>
        </w:rPr>
        <w:t xml:space="preserve">，</w:t>
      </w:r>
      <w:r>
        <w:rPr>
          <w:rFonts w:ascii="SimSun" w:hAnsi="SimSun" w:eastAsia="SimSun" w:cs="SimSun"/>
          <w:color w:val="000000"/>
          <w:sz w:val="22"/>
        </w:rPr>
        <w:t xml:space="preserve">本单位为符合条件的残疾人福</w:t>
      </w:r>
      <w:r>
        <w:rPr>
          <w:rFonts w:ascii="SimSun" w:hAnsi="SimSun" w:eastAsia="SimSun" w:cs="SimSun"/>
          <w:color w:val="000000"/>
          <w:spacing w:val="-16"/>
          <w:sz w:val="22"/>
        </w:rPr>
        <w:t xml:space="preserve">利</w:t>
      </w:r>
      <w:r>
        <w:rPr>
          <w:rFonts w:ascii="SimSun" w:hAnsi="SimSun" w:eastAsia="SimSun" w:cs="SimSun"/>
          <w:color w:val="000000"/>
          <w:sz w:val="22"/>
        </w:rPr>
        <w:t xml:space="preserve">性单位</w:t>
      </w:r>
      <w:r>
        <w:rPr>
          <w:rFonts w:ascii="SimSun" w:hAnsi="SimSun" w:eastAsia="SimSun" w:cs="SimSun"/>
          <w:color w:val="000000"/>
          <w:spacing w:val="-27"/>
          <w:sz w:val="22"/>
        </w:rPr>
        <w:t xml:space="preserve">，</w:t>
      </w:r>
      <w:r>
        <w:rPr>
          <w:rFonts w:ascii="SimSun" w:hAnsi="SimSun" w:eastAsia="SimSun" w:cs="SimSun"/>
          <w:color w:val="000000"/>
          <w:sz w:val="22"/>
        </w:rPr>
        <w:t xml:space="preserve">且本单位参加</w:t>
      </w:r>
      <w:r>
        <w:rPr>
          <w:rFonts w:ascii="SimSun" w:hAnsi="SimSun" w:eastAsia="SimSun" w:cs="SimSun"/>
          <w:color w:val="000000"/>
          <w:sz w:val="22"/>
          <w:u w:val="single"/>
        </w:rPr>
        <w:tab/>
      </w:r>
      <w:r>
        <w:rPr>
          <w:rFonts w:ascii="SimSun" w:hAnsi="SimSun" w:eastAsia="SimSun" w:cs="SimSun"/>
          <w:color w:val="000000"/>
          <w:sz w:val="21"/>
          <w:u w:val="single"/>
        </w:rPr>
        <w:t xml:space="preserve">  </w:t>
      </w:r>
      <w:r>
        <w:rPr>
          <w:rFonts w:ascii="SimSun" w:hAnsi="SimSun" w:eastAsia="SimSun" w:cs="SimSun"/>
          <w:color w:val="000000"/>
          <w:sz w:val="22"/>
        </w:rPr>
        <w:t xml:space="preserve">单位的</w:t>
      </w:r>
      <w:r>
        <w:rPr>
          <w:rFonts w:ascii="SimSun" w:hAnsi="SimSun" w:eastAsia="SimSun" w:cs="SimSun"/>
          <w:color w:val="000000"/>
          <w:sz w:val="22"/>
          <w:u w:val="single"/>
        </w:rPr>
        <w:tab/>
      </w:r>
      <w:r>
        <w:rPr>
          <w:rFonts w:ascii="SimSun" w:hAnsi="SimSun" w:eastAsia="SimSun" w:cs="SimSun"/>
          <w:color w:val="000000"/>
          <w:sz w:val="22"/>
        </w:rPr>
        <w:t xml:space="preserve">项目采购活动提供本单位制造的货</w:t>
      </w:r>
      <w:r>
        <w:rPr>
          <w:rFonts w:ascii="SimSun" w:hAnsi="SimSun" w:eastAsia="SimSun" w:cs="SimSun"/>
          <w:color w:val="000000"/>
          <w:spacing w:val="-24"/>
          <w:sz w:val="22"/>
        </w:rPr>
        <w:t xml:space="preserve">物</w:t>
      </w:r>
      <w:r>
        <w:rPr>
          <w:rFonts w:ascii="SimSun" w:hAnsi="SimSun" w:eastAsia="SimSun" w:cs="SimSun"/>
          <w:color w:val="000000"/>
          <w:sz w:val="22"/>
        </w:rPr>
        <w:t xml:space="preserve">（由</w:t>
      </w:r>
      <w:r>
        <w:rPr>
          <w:rFonts w:ascii="SimSun" w:hAnsi="SimSun" w:eastAsia="SimSun" w:cs="SimSun"/>
          <w:color w:val="000000"/>
          <w:spacing w:val="-18"/>
          <w:sz w:val="22"/>
        </w:rPr>
        <w:t xml:space="preserve">本</w:t>
      </w:r>
      <w:r>
        <w:rPr>
          <w:rFonts w:ascii="SimSun" w:hAnsi="SimSun" w:eastAsia="SimSun" w:cs="SimSun"/>
          <w:color w:val="000000"/>
          <w:sz w:val="22"/>
        </w:rPr>
        <w:t xml:space="preserve">单位承担工程/提供服务），或者提供其他残疾人福利性单位制造的货物（不包括使用非残疾人福利性单位注册商标的货物）。</w:t>
      </w:r>
      <w:r/>
    </w:p>
    <w:p>
      <w:pPr>
        <w:ind w:left="1098" w:right="0" w:firstLine="0"/>
        <w:jc w:val="both"/>
        <w:spacing w:before="3"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2725" w:firstLine="0"/>
        <w:jc w:val="both"/>
        <w:spacing w:before="24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单位名称（加盖CA电子公章</w:t>
      </w:r>
      <w:r>
        <w:rPr>
          <w:rFonts w:ascii="SimSun" w:hAnsi="SimSun" w:eastAsia="SimSun" w:cs="SimSun"/>
          <w:color w:val="000000"/>
          <w:spacing w:val="-9"/>
          <w:sz w:val="22"/>
        </w:rPr>
        <w:t xml:space="preserve">）：</w:t>
      </w:r>
      <w:r/>
    </w:p>
    <w:p>
      <w:pPr>
        <w:ind w:left="0" w:right="2725" w:firstLine="0"/>
        <w:jc w:val="both"/>
        <w:spacing w:before="240" w:after="120" w:line="85"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2"/>
        </w:rPr>
        <w:t xml:space="preserve">日</w:t>
      </w:r>
      <w:r>
        <w:rPr>
          <w:rFonts w:ascii="SimSun" w:hAnsi="SimSun" w:eastAsia="SimSun" w:cs="SimSun"/>
          <w:color w:val="000000"/>
          <w:sz w:val="22"/>
        </w:rPr>
        <w:t xml:space="preserve">期</w:t>
      </w:r>
      <w:r>
        <w:rPr>
          <w:rFonts w:ascii="SimSun" w:hAnsi="SimSun" w:eastAsia="SimSun" w:cs="SimSun"/>
          <w:color w:val="000000"/>
          <w:spacing w:val="-17"/>
          <w:sz w:val="2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7"/>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附件六、属于监狱企业的证明文件</w:t>
      </w:r>
      <w:r/>
    </w:p>
    <w:p>
      <w:pPr>
        <w:ind w:left="0" w:right="554" w:firstLine="480"/>
        <w:jc w:val="both"/>
        <w:spacing w:before="165"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附件七、食品安全责任险承诺书（仅采购包1-11需填写）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食品安全责任险承诺书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南京医科大学：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我司承诺，中标后（合同签订前）为本分包产品</w:t>
      </w:r>
      <w:r>
        <w:rPr>
          <w:rFonts w:ascii="SimSun" w:hAnsi="SimSun" w:eastAsia="SimSun" w:cs="SimSun"/>
          <w:color w:val="000000"/>
          <w:sz w:val="21"/>
          <w:u w:val="single"/>
        </w:rPr>
        <w:t xml:space="preserve">                </w:t>
      </w:r>
      <w:r>
        <w:rPr>
          <w:rFonts w:ascii="SimSun" w:hAnsi="SimSun" w:eastAsia="SimSun" w:cs="SimSun"/>
          <w:color w:val="000000"/>
          <w:sz w:val="22"/>
        </w:rPr>
        <w:t xml:space="preserve">投保食品安全责任险，保险有效期覆盖本项目完整周期，保险金额</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供应商名称（加盖CA电子公章）：</w:t>
      </w:r>
      <w:r/>
    </w:p>
    <w:p>
      <w:pPr>
        <w:ind w:left="0" w:right="0" w:firstLine="42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2"/>
        </w:rPr>
        <w:t xml:space="preserve">月</w:t>
      </w:r>
      <w:r>
        <w:rPr>
          <w:rFonts w:ascii="SimSun" w:hAnsi="SimSun" w:eastAsia="SimSun" w:cs="SimSun"/>
          <w:color w:val="000000"/>
          <w:sz w:val="21"/>
          <w:u w:val="single"/>
        </w:rPr>
        <w:t xml:space="preserve">    </w:t>
      </w:r>
      <w:r>
        <w:rPr>
          <w:rFonts w:ascii="SimSun" w:hAnsi="SimSun" w:eastAsia="SimSun" w:cs="SimSun"/>
          <w:color w:val="000000"/>
          <w:sz w:val="22"/>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附件八、关于符合本国产品标准的声明函格式（仅采购包12需填写）</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关于符合本国产品标准的声明函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color w:val="000000"/>
          <w:sz w:val="21"/>
          <w:u w:val="single"/>
        </w:rPr>
        <w:t xml:space="preserve">         </w:t>
      </w:r>
      <w:r>
        <w:rPr>
          <w:rFonts w:ascii="SimSun" w:hAnsi="SimSun" w:eastAsia="SimSun" w:cs="SimSun"/>
          <w:color w:val="000000"/>
          <w:sz w:val="22"/>
        </w:rPr>
        <w:t xml:space="preserve">（产品名称1），生产厂为</w:t>
      </w:r>
      <w:r>
        <w:rPr>
          <w:rFonts w:ascii="SimSun" w:hAnsi="SimSun" w:eastAsia="SimSun" w:cs="SimSun"/>
          <w:color w:val="000000"/>
          <w:sz w:val="21"/>
          <w:u w:val="single"/>
        </w:rPr>
        <w:t xml:space="preserve">       </w:t>
      </w:r>
      <w:r>
        <w:rPr>
          <w:rFonts w:ascii="SimSun" w:hAnsi="SimSun" w:eastAsia="SimSun" w:cs="SimSun"/>
          <w:color w:val="000000"/>
          <w:sz w:val="22"/>
        </w:rPr>
        <w:t xml:space="preserve">（厂名），厂址为</w:t>
      </w:r>
      <w:r>
        <w:rPr>
          <w:rFonts w:ascii="SimSun" w:hAnsi="SimSun" w:eastAsia="SimSun" w:cs="SimSun"/>
          <w:color w:val="000000"/>
          <w:sz w:val="21"/>
          <w:u w:val="single"/>
        </w:rPr>
        <w:t xml:space="preserve">       </w:t>
      </w:r>
      <w:r>
        <w:rPr>
          <w:rFonts w:ascii="SimSun" w:hAnsi="SimSun" w:eastAsia="SimSun" w:cs="SimSun"/>
          <w:color w:val="000000"/>
          <w:sz w:val="22"/>
        </w:rPr>
        <w:t xml:space="preserve">（生产厂址）。</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（产品名称1）的中国境内生产的组件成本占比≥</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（规定比例）。</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（产品名称1）的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（关键组件）在中国境内生产。</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（产品名称1）的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（关键工序）在中国境内完成。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color w:val="000000"/>
          <w:sz w:val="21"/>
          <w:u w:val="single"/>
        </w:rPr>
        <w:t xml:space="preserve">         </w:t>
      </w:r>
      <w:r>
        <w:rPr>
          <w:rFonts w:ascii="SimSun" w:hAnsi="SimSun" w:eastAsia="SimSun" w:cs="SimSun"/>
          <w:color w:val="000000"/>
          <w:sz w:val="22"/>
        </w:rPr>
        <w:t xml:space="preserve">（产品名称2），生产厂为</w:t>
      </w:r>
      <w:r>
        <w:rPr>
          <w:rFonts w:ascii="SimSun" w:hAnsi="SimSun" w:eastAsia="SimSun" w:cs="SimSun"/>
          <w:color w:val="000000"/>
          <w:sz w:val="21"/>
          <w:u w:val="single"/>
        </w:rPr>
        <w:t xml:space="preserve">       </w:t>
      </w:r>
      <w:r>
        <w:rPr>
          <w:rFonts w:ascii="SimSun" w:hAnsi="SimSun" w:eastAsia="SimSun" w:cs="SimSun"/>
          <w:color w:val="000000"/>
          <w:sz w:val="22"/>
        </w:rPr>
        <w:t xml:space="preserve">（厂名），厂址为</w:t>
      </w:r>
      <w:r>
        <w:rPr>
          <w:rFonts w:ascii="SimSun" w:hAnsi="SimSun" w:eastAsia="SimSun" w:cs="SimSun"/>
          <w:color w:val="000000"/>
          <w:sz w:val="21"/>
          <w:u w:val="single"/>
        </w:rPr>
        <w:t xml:space="preserve">       </w:t>
      </w:r>
      <w:r>
        <w:rPr>
          <w:rFonts w:ascii="SimSun" w:hAnsi="SimSun" w:eastAsia="SimSun" w:cs="SimSun"/>
          <w:color w:val="000000"/>
          <w:sz w:val="22"/>
        </w:rPr>
        <w:t xml:space="preserve">（生产厂址）。</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（产品名称2）的中国境内生产的组件成本占比≥</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（规定比例）。</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（产品名称2）的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（关键组件）在中国境内生产。</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（产品名称2）的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w:t>
      </w:r>
      <w:r>
        <w:rPr>
          <w:rFonts w:ascii="SimSun" w:hAnsi="SimSun" w:eastAsia="SimSun" w:cs="SimSun"/>
          <w:color w:val="000000"/>
          <w:sz w:val="22"/>
        </w:rPr>
        <w:t xml:space="preserve">（关键工序）在中国境内完成。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本公司（单位）对上述声明内容的真实性负责。如有虚假，愿承担相应法律责任。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公司（单位）名称（加盖CA电子公章）：</w:t>
      </w:r>
      <w:r>
        <w:rPr>
          <w:rFonts w:ascii="SimSun" w:hAnsi="SimSun" w:eastAsia="SimSun" w:cs="SimSun"/>
          <w:color w:val="000000"/>
          <w:sz w:val="21"/>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1.产品如有型号，请在“产品名称”栏一并填写。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2.生产厂名与厂址应与生产厂营业执照载明的相关信息保持一致。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3.该产品的中国境内生产的组件成本占比相关要求实施前，“规定比例”栏可不填，下同。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4.该产品的关键组件要求实施前，“关键组件”栏可不填，下同。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5.该产品的关键工序要求实施前，“关键工序”栏可不填，下同。</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6.用斜线划除的地方无需填写。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880"/>
        <w:spacing w:line="240" w:lineRule="atLeast"/>
        <w:shd w:val="clear" w:color="auto" w:fill="auto"/>
        <w:widowControl/>
        <w:rPr>
          <w:rFonts w:ascii="宋体" w:hAnsi="宋体" w:cs="宋体"/>
          <w:b w:val="0"/>
          <w:bCs/>
          <w:color w:val="000000"/>
          <w:highlight w:val="none"/>
          <w:lang w:val="en-US" w:eastAsia="zh-CN"/>
        </w:rPr>
      </w:pPr>
      <w:r>
        <w:rPr>
          <w:rFonts w:ascii="宋体" w:hAnsi="宋体" w:cs="宋体"/>
          <w:b w:val="0"/>
          <w:bCs/>
          <w:color w:val="000000"/>
          <w:highlight w:val="none"/>
          <w:lang w:val="en-US" w:eastAsia="zh-CN"/>
        </w:rPr>
      </w:r>
      <w:r/>
    </w:p>
    <w:sectPr>
      <w:headerReference w:type="default" r:id="rId8"/>
      <w:footerReference w:type="default" r:id="rId9"/>
      <w:footnotePr/>
      <w:endnotePr/>
      <w:type w:val="nextPage"/>
      <w:pgSz w:w="11906" w:h="16838" w:orient="portrait"/>
      <w:pgMar w:top="850" w:right="850" w:bottom="850" w:left="1417" w:header="39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方正小标宋简体">
    <w:panose1 w:val="020B050302020202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tabs>
                              <w:tab w:val="clear" w:pos="4153" w:leader="none"/>
                              <w:tab w:val="clear" w:pos="8306" w:leader="none"/>
                            </w:tabs>
                          </w:pPr>
                          <w:r>
                            <w:t xml:space="preserve">第 </w:t>
                          </w:r>
                          <w:r>
                            <w:fldChar w:fldCharType="begin"/>
                          </w:r>
                          <w:r>
                            <w:instrText xml:space="preserve"> PAGE  \* MERGEFORMAT </w:instrText>
                          </w:r>
                          <w:r>
                            <w:fldChar w:fldCharType="separate"/>
                          </w:r>
                          <w:r>
                            <w:t xml:space="preserve">181</w:t>
                          </w:r>
                          <w:r>
                            <w:fldChar w:fldCharType="end"/>
                          </w:r>
                          <w:r>
                            <w:t xml:space="preserve"> 页 共 </w:t>
                          </w:r>
                          <w:r>
                            <w:fldChar w:fldCharType="begin"/>
                          </w:r>
                          <w:r>
                            <w:instrText xml:space="preserve"> NUMPAGES  \* MERGEFORMAT </w:instrText>
                          </w:r>
                          <w:r>
                            <w:fldChar w:fldCharType="separate"/>
                          </w:r>
                          <w:r>
                            <w:t xml:space="preserve">277</w:t>
                          </w:r>
                          <w:r>
                            <w:fldChar w:fldCharType="end"/>
                          </w:r>
                          <w:r>
                            <w:t xml:space="preserve"> 页</w:t>
                          </w:r>
                          <w:r/>
                        </w:p>
                        <w:p>
                          <w:pPr>
                            <w:pStyle w:val="880"/>
                          </w:pPr>
                          <w:r/>
                          <w:r/>
                        </w:p>
                      </w:txbxContent>
                    </wps:txbx>
                    <wps:bodyPr wrap="none" lIns="0" tIns="0" rIns="0" bIns="0" upright="1">
                      <a:spAutoFit/>
                    </wps:bodyPr>
                  </wps:wsp>
                </a:graphicData>
              </a:graphic>
            </wp:anchor>
          </w:drawing>
        </mc:Choice>
        <mc:Fallback>
          <w:pict>
            <v:shape id="shape 0" o:spid="_x0000_s0"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tabs>
                        <w:tab w:val="clear" w:pos="4153" w:leader="none"/>
                        <w:tab w:val="clear" w:pos="8306" w:leader="none"/>
                      </w:tabs>
                    </w:pPr>
                    <w:r>
                      <w:t xml:space="preserve">第 </w:t>
                    </w:r>
                    <w:r>
                      <w:fldChar w:fldCharType="begin"/>
                    </w:r>
                    <w:r>
                      <w:instrText xml:space="preserve"> PAGE  \* MERGEFORMAT </w:instrText>
                    </w:r>
                    <w:r>
                      <w:fldChar w:fldCharType="separate"/>
                    </w:r>
                    <w:r>
                      <w:t xml:space="preserve">181</w:t>
                    </w:r>
                    <w:r>
                      <w:fldChar w:fldCharType="end"/>
                    </w:r>
                    <w:r>
                      <w:t xml:space="preserve"> 页 共 </w:t>
                    </w:r>
                    <w:r>
                      <w:fldChar w:fldCharType="begin"/>
                    </w:r>
                    <w:r>
                      <w:instrText xml:space="preserve"> NUMPAGES  \* MERGEFORMAT </w:instrText>
                    </w:r>
                    <w:r>
                      <w:fldChar w:fldCharType="separate"/>
                    </w:r>
                    <w:r>
                      <w:t xml:space="preserve">277</w:t>
                    </w:r>
                    <w:r>
                      <w:fldChar w:fldCharType="end"/>
                    </w:r>
                    <w:r>
                      <w:t xml:space="preserve"> 页</w:t>
                    </w:r>
                    <w:r/>
                  </w:p>
                  <w:p>
                    <w:pPr>
                      <w:pStyle w:val="880"/>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margin">
                <wp:align>center</wp:align>
              </wp:positionH>
              <wp:positionV relativeFrom="paragraph">
                <wp:posOffset>0</wp:posOffset>
              </wp:positionV>
              <wp:extent cx="971550" cy="13017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71550" cy="130175"/>
                      </a:xfrm>
                      <a:prstGeom prst="rect">
                        <a:avLst/>
                      </a:prstGeom>
                      <a:noFill/>
                      <a:ln w="12700">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false;mso-position-horizontal-relative:margin;mso-position-horizontal:center;mso-position-vertical-relative:text;margin-top:0.0pt;mso-position-vertical:absolute;width:76.5pt;height:10.2pt;mso-wrap-distance-left:9.0pt;mso-wrap-distance-top:0.0pt;mso-wrap-distance-right:9.0pt;mso-wrap-distance-bottom:0.0pt;visibility:visible;" filled="f" stroked="f" strokeweight="1.00pt"/>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name w:val="Heading 1"/>
    <w:basedOn w:val="880"/>
    <w:next w:val="880"/>
    <w:link w:val="703"/>
    <w:uiPriority w:val="9"/>
    <w:qFormat/>
    <w:pPr>
      <w:keepLines/>
      <w:keepNext/>
      <w:spacing w:before="480" w:after="200"/>
      <w:outlineLvl w:val="0"/>
    </w:pPr>
    <w:rPr>
      <w:rFonts w:ascii="Arial" w:hAnsi="Arial" w:eastAsia="Arial" w:cs="Arial"/>
      <w:sz w:val="40"/>
      <w:szCs w:val="40"/>
    </w:rPr>
  </w:style>
  <w:style w:type="character" w:styleId="703">
    <w:name w:val="Heading 1 Char"/>
    <w:link w:val="702"/>
    <w:uiPriority w:val="9"/>
    <w:rPr>
      <w:rFonts w:ascii="Arial" w:hAnsi="Arial" w:eastAsia="Arial" w:cs="Arial"/>
      <w:sz w:val="40"/>
      <w:szCs w:val="40"/>
    </w:rPr>
  </w:style>
  <w:style w:type="paragraph" w:styleId="704">
    <w:name w:val="Heading 2"/>
    <w:basedOn w:val="880"/>
    <w:next w:val="880"/>
    <w:link w:val="705"/>
    <w:uiPriority w:val="9"/>
    <w:unhideWhenUsed/>
    <w:qFormat/>
    <w:pPr>
      <w:keepLines/>
      <w:keepNext/>
      <w:spacing w:before="360" w:after="200"/>
      <w:outlineLvl w:val="1"/>
    </w:pPr>
    <w:rPr>
      <w:rFonts w:ascii="Arial" w:hAnsi="Arial" w:eastAsia="Arial" w:cs="Arial"/>
      <w:sz w:val="34"/>
    </w:rPr>
  </w:style>
  <w:style w:type="character" w:styleId="705">
    <w:name w:val="Heading 2 Char"/>
    <w:link w:val="704"/>
    <w:uiPriority w:val="9"/>
    <w:rPr>
      <w:rFonts w:ascii="Arial" w:hAnsi="Arial" w:eastAsia="Arial" w:cs="Arial"/>
      <w:sz w:val="34"/>
    </w:rPr>
  </w:style>
  <w:style w:type="paragraph" w:styleId="706">
    <w:name w:val="Heading 3"/>
    <w:basedOn w:val="880"/>
    <w:next w:val="880"/>
    <w:link w:val="707"/>
    <w:uiPriority w:val="9"/>
    <w:unhideWhenUsed/>
    <w:qFormat/>
    <w:pPr>
      <w:keepLines/>
      <w:keepNext/>
      <w:spacing w:before="320" w:after="200"/>
      <w:outlineLvl w:val="2"/>
    </w:pPr>
    <w:rPr>
      <w:rFonts w:ascii="Arial" w:hAnsi="Arial" w:eastAsia="Arial" w:cs="Arial"/>
      <w:sz w:val="30"/>
      <w:szCs w:val="30"/>
    </w:rPr>
  </w:style>
  <w:style w:type="character" w:styleId="707">
    <w:name w:val="Heading 3 Char"/>
    <w:link w:val="706"/>
    <w:uiPriority w:val="9"/>
    <w:rPr>
      <w:rFonts w:ascii="Arial" w:hAnsi="Arial" w:eastAsia="Arial" w:cs="Arial"/>
      <w:sz w:val="30"/>
      <w:szCs w:val="30"/>
    </w:rPr>
  </w:style>
  <w:style w:type="paragraph" w:styleId="708">
    <w:name w:val="Heading 4"/>
    <w:basedOn w:val="880"/>
    <w:next w:val="880"/>
    <w:link w:val="709"/>
    <w:uiPriority w:val="9"/>
    <w:unhideWhenUsed/>
    <w:qFormat/>
    <w:pPr>
      <w:keepLines/>
      <w:keepNext/>
      <w:spacing w:before="320" w:after="200"/>
      <w:outlineLvl w:val="3"/>
    </w:pPr>
    <w:rPr>
      <w:rFonts w:ascii="Arial" w:hAnsi="Arial" w:eastAsia="Arial" w:cs="Arial"/>
      <w:b/>
      <w:bCs/>
      <w:sz w:val="26"/>
      <w:szCs w:val="26"/>
    </w:rPr>
  </w:style>
  <w:style w:type="character" w:styleId="709">
    <w:name w:val="Heading 4 Char"/>
    <w:link w:val="708"/>
    <w:uiPriority w:val="9"/>
    <w:rPr>
      <w:rFonts w:ascii="Arial" w:hAnsi="Arial" w:eastAsia="Arial" w:cs="Arial"/>
      <w:b/>
      <w:bCs/>
      <w:sz w:val="26"/>
      <w:szCs w:val="26"/>
    </w:rPr>
  </w:style>
  <w:style w:type="paragraph" w:styleId="710">
    <w:name w:val="Heading 5"/>
    <w:basedOn w:val="880"/>
    <w:next w:val="880"/>
    <w:link w:val="711"/>
    <w:uiPriority w:val="9"/>
    <w:unhideWhenUsed/>
    <w:qFormat/>
    <w:pPr>
      <w:keepLines/>
      <w:keepNext/>
      <w:spacing w:before="320" w:after="200"/>
      <w:outlineLvl w:val="4"/>
    </w:pPr>
    <w:rPr>
      <w:rFonts w:ascii="Arial" w:hAnsi="Arial" w:eastAsia="Arial" w:cs="Arial"/>
      <w:b/>
      <w:bCs/>
      <w:sz w:val="24"/>
      <w:szCs w:val="24"/>
    </w:rPr>
  </w:style>
  <w:style w:type="character" w:styleId="711">
    <w:name w:val="Heading 5 Char"/>
    <w:link w:val="710"/>
    <w:uiPriority w:val="9"/>
    <w:rPr>
      <w:rFonts w:ascii="Arial" w:hAnsi="Arial" w:eastAsia="Arial" w:cs="Arial"/>
      <w:b/>
      <w:bCs/>
      <w:sz w:val="24"/>
      <w:szCs w:val="24"/>
    </w:rPr>
  </w:style>
  <w:style w:type="paragraph" w:styleId="712">
    <w:name w:val="Heading 6"/>
    <w:basedOn w:val="880"/>
    <w:next w:val="880"/>
    <w:link w:val="713"/>
    <w:uiPriority w:val="9"/>
    <w:unhideWhenUsed/>
    <w:qFormat/>
    <w:pPr>
      <w:keepLines/>
      <w:keepNext/>
      <w:spacing w:before="320" w:after="200"/>
      <w:outlineLvl w:val="5"/>
    </w:pPr>
    <w:rPr>
      <w:rFonts w:ascii="Arial" w:hAnsi="Arial" w:eastAsia="Arial" w:cs="Arial"/>
      <w:b/>
      <w:bCs/>
      <w:sz w:val="22"/>
      <w:szCs w:val="22"/>
    </w:rPr>
  </w:style>
  <w:style w:type="character" w:styleId="713">
    <w:name w:val="Heading 6 Char"/>
    <w:link w:val="712"/>
    <w:uiPriority w:val="9"/>
    <w:rPr>
      <w:rFonts w:ascii="Arial" w:hAnsi="Arial" w:eastAsia="Arial" w:cs="Arial"/>
      <w:b/>
      <w:bCs/>
      <w:sz w:val="22"/>
      <w:szCs w:val="22"/>
    </w:rPr>
  </w:style>
  <w:style w:type="paragraph" w:styleId="714">
    <w:name w:val="Heading 7"/>
    <w:basedOn w:val="880"/>
    <w:next w:val="880"/>
    <w:link w:val="715"/>
    <w:uiPriority w:val="9"/>
    <w:unhideWhenUsed/>
    <w:qFormat/>
    <w:pPr>
      <w:keepLines/>
      <w:keepNext/>
      <w:spacing w:before="320" w:after="200"/>
      <w:outlineLvl w:val="6"/>
    </w:pPr>
    <w:rPr>
      <w:rFonts w:ascii="Arial" w:hAnsi="Arial" w:eastAsia="Arial" w:cs="Arial"/>
      <w:b/>
      <w:bCs/>
      <w:i/>
      <w:iCs/>
      <w:sz w:val="22"/>
      <w:szCs w:val="22"/>
    </w:rPr>
  </w:style>
  <w:style w:type="character" w:styleId="715">
    <w:name w:val="Heading 7 Char"/>
    <w:link w:val="714"/>
    <w:uiPriority w:val="9"/>
    <w:rPr>
      <w:rFonts w:ascii="Arial" w:hAnsi="Arial" w:eastAsia="Arial" w:cs="Arial"/>
      <w:b/>
      <w:bCs/>
      <w:i/>
      <w:iCs/>
      <w:sz w:val="22"/>
      <w:szCs w:val="22"/>
    </w:rPr>
  </w:style>
  <w:style w:type="paragraph" w:styleId="716">
    <w:name w:val="Heading 8"/>
    <w:basedOn w:val="880"/>
    <w:next w:val="880"/>
    <w:link w:val="717"/>
    <w:uiPriority w:val="9"/>
    <w:unhideWhenUsed/>
    <w:qFormat/>
    <w:pPr>
      <w:keepLines/>
      <w:keepNext/>
      <w:spacing w:before="320" w:after="200"/>
      <w:outlineLvl w:val="7"/>
    </w:pPr>
    <w:rPr>
      <w:rFonts w:ascii="Arial" w:hAnsi="Arial" w:eastAsia="Arial" w:cs="Arial"/>
      <w:i/>
      <w:iCs/>
      <w:sz w:val="22"/>
      <w:szCs w:val="22"/>
    </w:rPr>
  </w:style>
  <w:style w:type="character" w:styleId="717">
    <w:name w:val="Heading 8 Char"/>
    <w:link w:val="716"/>
    <w:uiPriority w:val="9"/>
    <w:rPr>
      <w:rFonts w:ascii="Arial" w:hAnsi="Arial" w:eastAsia="Arial" w:cs="Arial"/>
      <w:i/>
      <w:iCs/>
      <w:sz w:val="22"/>
      <w:szCs w:val="22"/>
    </w:rPr>
  </w:style>
  <w:style w:type="paragraph" w:styleId="718">
    <w:name w:val="Heading 9"/>
    <w:basedOn w:val="880"/>
    <w:next w:val="880"/>
    <w:link w:val="719"/>
    <w:uiPriority w:val="9"/>
    <w:unhideWhenUsed/>
    <w:qFormat/>
    <w:pPr>
      <w:keepLines/>
      <w:keepNext/>
      <w:spacing w:before="320" w:after="200"/>
      <w:outlineLvl w:val="8"/>
    </w:pPr>
    <w:rPr>
      <w:rFonts w:ascii="Arial" w:hAnsi="Arial" w:eastAsia="Arial" w:cs="Arial"/>
      <w:i/>
      <w:iCs/>
      <w:sz w:val="21"/>
      <w:szCs w:val="21"/>
    </w:rPr>
  </w:style>
  <w:style w:type="character" w:styleId="719">
    <w:name w:val="Heading 9 Char"/>
    <w:link w:val="718"/>
    <w:uiPriority w:val="9"/>
    <w:rPr>
      <w:rFonts w:ascii="Arial" w:hAnsi="Arial" w:eastAsia="Arial" w:cs="Arial"/>
      <w:i/>
      <w:iCs/>
      <w:sz w:val="21"/>
      <w:szCs w:val="21"/>
    </w:rPr>
  </w:style>
  <w:style w:type="paragraph" w:styleId="720">
    <w:name w:val="List Paragraph"/>
    <w:basedOn w:val="880"/>
    <w:uiPriority w:val="34"/>
    <w:qFormat/>
    <w:pPr>
      <w:contextualSpacing/>
      <w:ind w:left="720"/>
    </w:pPr>
  </w:style>
  <w:style w:type="paragraph" w:styleId="721">
    <w:name w:val="No Spacing"/>
    <w:uiPriority w:val="1"/>
    <w:qFormat/>
    <w:pPr>
      <w:spacing w:before="0" w:after="0" w:line="240" w:lineRule="auto"/>
    </w:pPr>
  </w:style>
  <w:style w:type="paragraph" w:styleId="722">
    <w:name w:val="Title"/>
    <w:basedOn w:val="880"/>
    <w:next w:val="880"/>
    <w:link w:val="723"/>
    <w:uiPriority w:val="10"/>
    <w:qFormat/>
    <w:pPr>
      <w:contextualSpacing/>
      <w:spacing w:before="300" w:after="200"/>
    </w:pPr>
    <w:rPr>
      <w:sz w:val="48"/>
      <w:szCs w:val="48"/>
    </w:rPr>
  </w:style>
  <w:style w:type="character" w:styleId="723">
    <w:name w:val="Title Char"/>
    <w:link w:val="722"/>
    <w:uiPriority w:val="10"/>
    <w:rPr>
      <w:sz w:val="48"/>
      <w:szCs w:val="48"/>
    </w:rPr>
  </w:style>
  <w:style w:type="paragraph" w:styleId="724">
    <w:name w:val="Subtitle"/>
    <w:basedOn w:val="880"/>
    <w:next w:val="880"/>
    <w:link w:val="725"/>
    <w:uiPriority w:val="11"/>
    <w:qFormat/>
    <w:pPr>
      <w:spacing w:before="200" w:after="200"/>
    </w:pPr>
    <w:rPr>
      <w:sz w:val="24"/>
      <w:szCs w:val="24"/>
    </w:rPr>
  </w:style>
  <w:style w:type="character" w:styleId="725">
    <w:name w:val="Subtitle Char"/>
    <w:link w:val="724"/>
    <w:uiPriority w:val="11"/>
    <w:rPr>
      <w:sz w:val="24"/>
      <w:szCs w:val="24"/>
    </w:rPr>
  </w:style>
  <w:style w:type="paragraph" w:styleId="726">
    <w:name w:val="Quote"/>
    <w:basedOn w:val="880"/>
    <w:next w:val="880"/>
    <w:link w:val="727"/>
    <w:uiPriority w:val="29"/>
    <w:qFormat/>
    <w:pPr>
      <w:ind w:left="720" w:right="720"/>
    </w:pPr>
    <w:rPr>
      <w:i/>
    </w:rPr>
  </w:style>
  <w:style w:type="character" w:styleId="727">
    <w:name w:val="Quote Char"/>
    <w:link w:val="726"/>
    <w:uiPriority w:val="29"/>
    <w:rPr>
      <w:i/>
    </w:rPr>
  </w:style>
  <w:style w:type="paragraph" w:styleId="728">
    <w:name w:val="Intense Quote"/>
    <w:basedOn w:val="880"/>
    <w:next w:val="880"/>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Intense Quote Char"/>
    <w:link w:val="728"/>
    <w:uiPriority w:val="30"/>
    <w:rPr>
      <w:i/>
    </w:rPr>
  </w:style>
  <w:style w:type="paragraph" w:styleId="730">
    <w:name w:val="Header"/>
    <w:basedOn w:val="880"/>
    <w:link w:val="731"/>
    <w:uiPriority w:val="99"/>
    <w:unhideWhenUsed/>
    <w:pPr>
      <w:spacing w:after="0" w:line="240" w:lineRule="auto"/>
      <w:tabs>
        <w:tab w:val="center" w:pos="7143" w:leader="none"/>
        <w:tab w:val="right" w:pos="14287" w:leader="none"/>
      </w:tabs>
    </w:pPr>
  </w:style>
  <w:style w:type="character" w:styleId="731">
    <w:name w:val="Header Char"/>
    <w:link w:val="730"/>
    <w:uiPriority w:val="99"/>
  </w:style>
  <w:style w:type="paragraph" w:styleId="732">
    <w:name w:val="Footer"/>
    <w:basedOn w:val="880"/>
    <w:link w:val="735"/>
    <w:uiPriority w:val="99"/>
    <w:unhideWhenUsed/>
    <w:pPr>
      <w:spacing w:after="0" w:line="240" w:lineRule="auto"/>
      <w:tabs>
        <w:tab w:val="center" w:pos="7143" w:leader="none"/>
        <w:tab w:val="right" w:pos="14287" w:leader="none"/>
      </w:tabs>
    </w:pPr>
  </w:style>
  <w:style w:type="character" w:styleId="733">
    <w:name w:val="Footer Char"/>
    <w:link w:val="732"/>
    <w:uiPriority w:val="99"/>
  </w:style>
  <w:style w:type="paragraph" w:styleId="734">
    <w:name w:val="Caption"/>
    <w:basedOn w:val="880"/>
    <w:next w:val="880"/>
    <w:uiPriority w:val="35"/>
    <w:semiHidden/>
    <w:unhideWhenUsed/>
    <w:qFormat/>
    <w:pPr>
      <w:spacing w:line="276" w:lineRule="auto"/>
    </w:pPr>
    <w:rPr>
      <w:b/>
      <w:bCs/>
      <w:color w:val="4f81bd" w:themeColor="accent1"/>
      <w:sz w:val="18"/>
      <w:szCs w:val="18"/>
    </w:rPr>
  </w:style>
  <w:style w:type="character" w:styleId="735">
    <w:name w:val="Caption Char"/>
    <w:basedOn w:val="734"/>
    <w:link w:val="732"/>
    <w:uiPriority w:val="99"/>
  </w:style>
  <w:style w:type="table" w:styleId="7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80"/>
    <w:link w:val="880"/>
    <w:qFormat/>
    <w:pPr>
      <w:jc w:val="both"/>
      <w:widowControl w:val="off"/>
    </w:pPr>
    <w:rPr>
      <w:rFonts w:ascii="Times New Roman" w:hAnsi="Times New Roman" w:eastAsia="宋体" w:cs="Times New Roman"/>
      <w:sz w:val="21"/>
      <w:szCs w:val="24"/>
      <w:lang w:val="en-US" w:eastAsia="zh-CN" w:bidi="ar-SA"/>
    </w:rPr>
  </w:style>
  <w:style w:type="paragraph" w:styleId="881">
    <w:name w:val="标题 2"/>
    <w:next w:val="880"/>
    <w:link w:val="880"/>
    <w:qFormat/>
    <w:pPr>
      <w:jc w:val="both"/>
      <w:keepLines/>
      <w:keepNext/>
      <w:spacing w:before="260" w:after="260" w:line="413" w:lineRule="auto"/>
      <w:widowControl w:val="off"/>
      <w:outlineLvl w:val="1"/>
    </w:pPr>
    <w:rPr>
      <w:rFonts w:ascii="Arial" w:hAnsi="Arial" w:eastAsia="黑体" w:cs="Times New Roman"/>
      <w:b/>
      <w:bCs/>
      <w:sz w:val="32"/>
      <w:szCs w:val="32"/>
      <w:lang w:val="en-US" w:eastAsia="zh-CN" w:bidi="ar-SA"/>
    </w:rPr>
  </w:style>
  <w:style w:type="paragraph" w:styleId="882">
    <w:name w:val="标题 3"/>
    <w:basedOn w:val="880"/>
    <w:next w:val="880"/>
    <w:link w:val="88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883">
    <w:name w:val="默认段落字体"/>
    <w:next w:val="883"/>
    <w:link w:val="880"/>
    <w:semiHidden/>
  </w:style>
  <w:style w:type="table" w:styleId="884">
    <w:name w:val="普通表格"/>
    <w:next w:val="884"/>
    <w:link w:val="880"/>
    <w:semiHidden/>
    <w:qFormat/>
    <w:tblPr/>
  </w:style>
  <w:style w:type="paragraph" w:styleId="885">
    <w:name w:val="正文文本"/>
    <w:basedOn w:val="880"/>
    <w:next w:val="885"/>
    <w:link w:val="880"/>
    <w:qFormat/>
    <w:pPr>
      <w:spacing w:after="120"/>
    </w:pPr>
    <w:rPr>
      <w:sz w:val="24"/>
    </w:rPr>
  </w:style>
  <w:style w:type="paragraph" w:styleId="886">
    <w:name w:val="正文文本缩进"/>
    <w:basedOn w:val="880"/>
    <w:next w:val="886"/>
    <w:link w:val="880"/>
    <w:qFormat/>
    <w:pPr>
      <w:ind w:left="420"/>
      <w:jc w:val="both"/>
      <w:spacing w:after="120"/>
      <w:widowControl w:val="off"/>
    </w:pPr>
    <w:rPr>
      <w:rFonts w:ascii="Times New Roman" w:hAnsi="Times New Roman" w:eastAsia="宋体" w:cs="Times New Roman"/>
      <w:sz w:val="24"/>
      <w:szCs w:val="24"/>
      <w:lang w:val="en-US" w:eastAsia="zh-CN" w:bidi="ar-SA"/>
    </w:rPr>
  </w:style>
  <w:style w:type="paragraph" w:styleId="887">
    <w:name w:val="索引 4"/>
    <w:basedOn w:val="880"/>
    <w:next w:val="880"/>
    <w:link w:val="880"/>
    <w:uiPriority w:val="99"/>
    <w:qFormat/>
    <w:pPr>
      <w:ind w:left="600"/>
    </w:pPr>
    <w:rPr>
      <w:rFonts w:ascii="Calibri" w:hAnsi="Calibri"/>
    </w:rPr>
  </w:style>
  <w:style w:type="paragraph" w:styleId="888">
    <w:name w:val="纯文本"/>
    <w:basedOn w:val="880"/>
    <w:next w:val="888"/>
    <w:link w:val="880"/>
    <w:qFormat/>
    <w:pPr>
      <w:jc w:val="both"/>
      <w:widowControl w:val="off"/>
    </w:pPr>
    <w:rPr>
      <w:rFonts w:ascii="宋体" w:hAnsi="宋体" w:eastAsia="宋体" w:cs="Times New Roman"/>
      <w:sz w:val="21"/>
      <w:szCs w:val="21"/>
      <w:lang w:val="en-US" w:eastAsia="zh-CN" w:bidi="ar-SA"/>
    </w:rPr>
  </w:style>
  <w:style w:type="paragraph" w:styleId="889">
    <w:name w:val="页脚"/>
    <w:next w:val="889"/>
    <w:link w:val="880"/>
    <w:qFormat/>
    <w:pPr>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890">
    <w:name w:val="页眉"/>
    <w:basedOn w:val="880"/>
    <w:next w:val="890"/>
    <w:link w:val="880"/>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91">
    <w:name w:val="目录 1"/>
    <w:basedOn w:val="880"/>
    <w:next w:val="880"/>
    <w:link w:val="880"/>
    <w:qFormat/>
    <w:pPr>
      <w:jc w:val="both"/>
      <w:widowControl w:val="off"/>
    </w:pPr>
    <w:rPr>
      <w:rFonts w:ascii="Times New Roman" w:hAnsi="Times New Roman" w:eastAsia="宋体" w:cs="Times New Roman"/>
      <w:sz w:val="21"/>
      <w:szCs w:val="24"/>
      <w:lang w:val="en-US" w:eastAsia="zh-CN" w:bidi="ar-SA"/>
    </w:rPr>
  </w:style>
  <w:style w:type="paragraph" w:styleId="892">
    <w:name w:val="普通(网站)"/>
    <w:basedOn w:val="880"/>
    <w:next w:val="892"/>
    <w:link w:val="880"/>
    <w:qFormat/>
    <w:pPr>
      <w:spacing w:before="100" w:beforeAutospacing="1" w:after="100" w:afterAutospacing="1"/>
    </w:pPr>
    <w:rPr>
      <w:rFonts w:ascii="宋体" w:hAnsi="宋体" w:eastAsia="宋体" w:cs="宋体"/>
      <w:sz w:val="24"/>
      <w:szCs w:val="24"/>
      <w:lang w:val="en-US" w:eastAsia="zh-CN" w:bidi="ar-SA"/>
    </w:rPr>
  </w:style>
  <w:style w:type="paragraph" w:styleId="893">
    <w:name w:val="标题"/>
    <w:next w:val="893"/>
    <w:link w:val="880"/>
    <w:qFormat/>
    <w:pPr>
      <w:jc w:val="center"/>
      <w:spacing w:line="720" w:lineRule="exact"/>
      <w:outlineLvl w:val="9"/>
    </w:pPr>
    <w:rPr>
      <w:rFonts w:ascii="方正小标宋简体" w:hAnsi="方正小标宋简体" w:eastAsia="方正小标宋简体" w:cs="方正小标宋简体"/>
      <w:sz w:val="44"/>
      <w:szCs w:val="44"/>
    </w:rPr>
  </w:style>
  <w:style w:type="paragraph" w:styleId="894">
    <w:name w:val="正文首行缩进"/>
    <w:basedOn w:val="885"/>
    <w:next w:val="894"/>
    <w:link w:val="880"/>
    <w:qFormat/>
    <w:pPr>
      <w:ind w:firstLine="420"/>
      <w:jc w:val="both"/>
      <w:widowControl w:val="off"/>
    </w:pPr>
    <w:rPr>
      <w:rFonts w:ascii="Times New Roman" w:hAnsi="Times New Roman" w:eastAsia="宋体" w:cs="Times New Roman"/>
      <w:sz w:val="21"/>
      <w:szCs w:val="24"/>
      <w:lang w:val="en-US" w:eastAsia="zh-CN" w:bidi="ar-SA"/>
    </w:rPr>
  </w:style>
  <w:style w:type="paragraph" w:styleId="895">
    <w:name w:val="正文首行缩进 2"/>
    <w:basedOn w:val="886"/>
    <w:next w:val="895"/>
    <w:link w:val="880"/>
    <w:qFormat/>
    <w:pPr>
      <w:ind w:firstLine="420"/>
      <w:jc w:val="both"/>
      <w:spacing w:line="360" w:lineRule="auto"/>
      <w:widowControl w:val="off"/>
    </w:pPr>
    <w:rPr>
      <w:rFonts w:ascii="宋体" w:hAnsi="宋体" w:eastAsia="宋体" w:cs="Times New Roman"/>
      <w:lang w:val="en-US" w:eastAsia="zh-CN" w:bidi="ar-SA"/>
    </w:rPr>
  </w:style>
  <w:style w:type="table" w:styleId="896">
    <w:name w:val="网格型"/>
    <w:basedOn w:val="884"/>
    <w:next w:val="896"/>
    <w:link w:val="880"/>
    <w:uiPriority w:val="99"/>
    <w:qFormat/>
    <w:tblPr/>
  </w:style>
  <w:style w:type="character" w:styleId="897">
    <w:name w:val="要点"/>
    <w:basedOn w:val="883"/>
    <w:next w:val="897"/>
    <w:link w:val="880"/>
    <w:qFormat/>
    <w:rPr>
      <w:b/>
    </w:rPr>
  </w:style>
  <w:style w:type="character" w:styleId="898">
    <w:name w:val="font11"/>
    <w:basedOn w:val="883"/>
    <w:next w:val="898"/>
    <w:link w:val="880"/>
    <w:qFormat/>
    <w:rPr>
      <w:rFonts w:hint="eastAsia" w:ascii="宋体" w:hAnsi="宋体" w:eastAsia="宋体" w:cs="宋体"/>
      <w:color w:val="000000"/>
      <w:sz w:val="20"/>
      <w:szCs w:val="20"/>
      <w:u w:val="none"/>
    </w:rPr>
  </w:style>
  <w:style w:type="character" w:styleId="899">
    <w:name w:val="font21"/>
    <w:basedOn w:val="883"/>
    <w:next w:val="899"/>
    <w:link w:val="880"/>
    <w:qFormat/>
    <w:rPr>
      <w:rFonts w:hint="eastAsia" w:ascii="宋体" w:hAnsi="宋体" w:eastAsia="宋体" w:cs="宋体"/>
      <w:color w:val="ff0000"/>
      <w:sz w:val="24"/>
      <w:szCs w:val="24"/>
      <w:u w:val="none"/>
    </w:rPr>
  </w:style>
  <w:style w:type="character" w:styleId="900">
    <w:name w:val="font41"/>
    <w:basedOn w:val="883"/>
    <w:next w:val="900"/>
    <w:link w:val="880"/>
    <w:qFormat/>
    <w:rPr>
      <w:rFonts w:hint="eastAsia" w:ascii="宋体" w:hAnsi="宋体" w:eastAsia="宋体" w:cs="宋体"/>
      <w:color w:val="000000"/>
      <w:sz w:val="24"/>
      <w:szCs w:val="24"/>
      <w:u w:val="none"/>
    </w:rPr>
  </w:style>
  <w:style w:type="paragraph" w:styleId="901">
    <w:name w:val="首行缩进"/>
    <w:next w:val="901"/>
    <w:link w:val="880"/>
    <w:qFormat/>
    <w:pPr>
      <w:ind w:left="420" w:firstLine="480"/>
      <w:jc w:val="both"/>
      <w:spacing w:line="400" w:lineRule="exact"/>
      <w:widowControl w:val="off"/>
    </w:pPr>
    <w:rPr>
      <w:rFonts w:ascii="Times New Roman" w:hAnsi="Times New Roman" w:eastAsia="宋体" w:cs="Times New Roman"/>
      <w:sz w:val="21"/>
      <w:lang w:val="en-US" w:eastAsia="zh-CN" w:bidi="ar-SA"/>
    </w:rPr>
  </w:style>
  <w:style w:type="paragraph" w:styleId="902">
    <w:name w:val="目录 11"/>
    <w:basedOn w:val="880"/>
    <w:next w:val="880"/>
    <w:link w:val="880"/>
    <w:qFormat/>
    <w:pPr>
      <w:jc w:val="both"/>
      <w:widowControl w:val="off"/>
    </w:pPr>
    <w:rPr>
      <w:rFonts w:ascii="Times New Roman" w:hAnsi="Times New Roman" w:eastAsia="宋体" w:cs="Times New Roman"/>
      <w:sz w:val="21"/>
      <w:szCs w:val="24"/>
      <w:lang w:val="en-US" w:eastAsia="zh-CN" w:bidi="ar-SA"/>
    </w:rPr>
  </w:style>
  <w:style w:type="paragraph" w:styleId="903">
    <w:name w:val="索引 41"/>
    <w:basedOn w:val="880"/>
    <w:next w:val="880"/>
    <w:link w:val="880"/>
    <w:uiPriority w:val="99"/>
    <w:qFormat/>
    <w:pPr>
      <w:ind w:left="600"/>
    </w:pPr>
    <w:rPr>
      <w:rFonts w:ascii="Calibri" w:hAnsi="Calibri"/>
    </w:rPr>
  </w:style>
  <w:style w:type="character" w:styleId="904">
    <w:name w:val="font181"/>
    <w:basedOn w:val="883"/>
    <w:next w:val="904"/>
    <w:link w:val="880"/>
    <w:qFormat/>
    <w:rPr>
      <w:rFonts w:ascii="宋体" w:hAnsi="宋体" w:eastAsia="宋体" w:cs="宋体"/>
      <w:b/>
      <w:bCs/>
      <w:color w:val="000000"/>
      <w:sz w:val="18"/>
      <w:szCs w:val="18"/>
      <w:u w:val="none"/>
    </w:rPr>
  </w:style>
  <w:style w:type="character" w:styleId="905">
    <w:name w:val="font31"/>
    <w:basedOn w:val="883"/>
    <w:next w:val="905"/>
    <w:link w:val="880"/>
    <w:qFormat/>
    <w:rPr>
      <w:rFonts w:hint="eastAsia" w:ascii="宋体" w:hAnsi="宋体" w:eastAsia="宋体" w:cs="宋体"/>
      <w:color w:val="000000"/>
      <w:sz w:val="24"/>
      <w:szCs w:val="24"/>
      <w:u w:val="none"/>
    </w:rPr>
  </w:style>
  <w:style w:type="paragraph" w:styleId="906">
    <w:name w:val="标题 41"/>
    <w:next w:val="906"/>
    <w:link w:val="880"/>
    <w:qFormat/>
    <w:pPr>
      <w:ind w:left="618"/>
      <w:widowControl w:val="off"/>
      <w:outlineLvl w:val="4"/>
    </w:pPr>
    <w:rPr>
      <w:rFonts w:ascii="宋体" w:hAnsi="宋体" w:eastAsia="宋体" w:cs="宋体"/>
      <w:b/>
      <w:bCs/>
      <w:sz w:val="24"/>
      <w:szCs w:val="24"/>
      <w:lang w:val="en-US" w:eastAsia="zh-CN" w:bidi="ar-SA"/>
    </w:rPr>
  </w:style>
  <w:style w:type="character" w:styleId="907" w:default="1">
    <w:name w:val="Default Paragraph Font"/>
    <w:uiPriority w:val="1"/>
    <w:semiHidden/>
    <w:unhideWhenUsed/>
  </w:style>
  <w:style w:type="numbering" w:styleId="908" w:default="1">
    <w:name w:val="No List"/>
    <w:uiPriority w:val="99"/>
    <w:semiHidden/>
    <w:unhideWhenUsed/>
  </w:style>
  <w:style w:type="table" w:styleId="9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李佳蓉</cp:lastModifiedBy>
  <cp:revision>4</cp:revision>
  <dcterms:created xsi:type="dcterms:W3CDTF">2026-03-09T01:09:00Z</dcterms:created>
  <dcterms:modified xsi:type="dcterms:W3CDTF">2026-07-16T09:02:22Z</dcterms:modified>
</cp:coreProperties>
</file>